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tabs>
          <w:tab w:leader="none" w:pos="1920" w:val="left"/>
          <w:tab w:leader="none" w:pos="3620" w:val="left"/>
          <w:tab w:leader="none" w:pos="6320" w:val="left"/>
        </w:tabs>
        <w:rPr>
          <w:sz w:val="20"/>
          <w:szCs w:val="20"/>
          <w:color w:val="auto"/>
        </w:rPr>
      </w:pPr>
      <w:r>
        <w:rPr>
          <w:rFonts w:ascii="Lucida Sans" w:cs="Lucida Sans" w:eastAsia="Lucida Sans" w:hAnsi="Lucida Sans"/>
          <w:sz w:val="26"/>
          <w:szCs w:val="26"/>
          <w:b w:val="1"/>
          <w:bCs w:val="1"/>
          <w:color w:val="EF3E2A"/>
        </w:rPr>
        <w:t>F E D E R A L</w:t>
        <w:tab/>
        <w:t>R E A L T Y</w:t>
        <w:tab/>
        <w:t>I N V E S T M E N T</w:t>
        <w:tab/>
        <w:t>T R U S T</w:t>
      </w:r>
    </w:p>
    <w:p>
      <w:pPr>
        <w:spacing w:after="0" w:line="110" w:lineRule="exact"/>
        <w:rPr>
          <w:sz w:val="24"/>
          <w:szCs w:val="24"/>
          <w:color w:val="auto"/>
        </w:rPr>
      </w:pPr>
    </w:p>
    <w:p>
      <w:pPr>
        <w:spacing w:after="0"/>
        <w:rPr>
          <w:sz w:val="20"/>
          <w:szCs w:val="20"/>
          <w:color w:val="auto"/>
        </w:rPr>
      </w:pPr>
      <w:r>
        <w:rPr>
          <w:rFonts w:ascii="Georgia Pro" w:cs="Georgia Pro" w:eastAsia="Georgia Pro" w:hAnsi="Georgia Pro"/>
          <w:sz w:val="60"/>
          <w:szCs w:val="60"/>
          <w:color w:val="E8E7E5"/>
        </w:rPr>
        <w:t>2023 Annual Report</w:t>
      </w:r>
    </w:p>
    <w:p>
      <w:pPr>
        <w:spacing w:after="0" w:line="158" w:lineRule="exact"/>
        <w:rPr>
          <w:sz w:val="24"/>
          <w:szCs w:val="24"/>
          <w:color w:val="auto"/>
        </w:rPr>
      </w:pPr>
    </w:p>
    <w:p>
      <w:pPr>
        <w:spacing w:after="0"/>
        <w:rPr>
          <w:sz w:val="20"/>
          <w:szCs w:val="20"/>
          <w:color w:val="auto"/>
        </w:rPr>
      </w:pPr>
      <w:r>
        <w:rPr>
          <w:rFonts w:ascii="Georgia Pro" w:cs="Georgia Pro" w:eastAsia="Georgia Pro" w:hAnsi="Georgia Pro"/>
          <w:sz w:val="60"/>
          <w:szCs w:val="60"/>
          <w:color w:val="E8E7E5"/>
        </w:rPr>
        <w:t>Form 10-K &amp; Proxy Statement</w:t>
      </w:r>
    </w:p>
    <w:p>
      <w:pPr>
        <w:sectPr>
          <w:pgSz w:w="12240" w:h="15840" w:orient="portrait"/>
          <w:cols w:equalWidth="0" w:num="1">
            <w:col w:w="9480"/>
          </w:cols>
          <w:pgMar w:left="1320" w:top="1440" w:right="1440" w:bottom="1440"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82" w:lineRule="exact"/>
        <w:rPr>
          <w:sz w:val="20"/>
          <w:szCs w:val="20"/>
          <w:color w:val="auto"/>
        </w:rPr>
      </w:pPr>
    </w:p>
    <w:p>
      <w:pPr>
        <w:ind w:left="120"/>
        <w:spacing w:after="0"/>
        <w:rPr>
          <w:sz w:val="20"/>
          <w:szCs w:val="20"/>
          <w:color w:val="auto"/>
        </w:rPr>
      </w:pPr>
      <w:r>
        <w:rPr>
          <w:rFonts w:ascii="Georgia Pro" w:cs="Georgia Pro" w:eastAsia="Georgia Pro" w:hAnsi="Georgia Pro"/>
          <w:sz w:val="104"/>
          <w:szCs w:val="104"/>
          <w:color w:val="262626"/>
        </w:rPr>
        <w:t>Dear Fellow</w:t>
      </w:r>
    </w:p>
    <w:p>
      <w:pPr>
        <w:ind w:left="120"/>
        <w:spacing w:after="0" w:line="214" w:lineRule="auto"/>
        <w:rPr>
          <w:sz w:val="20"/>
          <w:szCs w:val="20"/>
          <w:color w:val="auto"/>
        </w:rPr>
      </w:pPr>
      <w:r>
        <w:rPr>
          <w:rFonts w:ascii="Georgia Pro" w:cs="Georgia Pro" w:eastAsia="Georgia Pro" w:hAnsi="Georgia Pro"/>
          <w:sz w:val="100"/>
          <w:szCs w:val="100"/>
          <w:color w:val="262626"/>
        </w:rPr>
        <w:t>Shareholders,</w:t>
      </w:r>
    </w:p>
    <w:p>
      <w:pPr>
        <w:sectPr>
          <w:pgSz w:w="12240" w:h="15840" w:orient="portrait"/>
          <w:cols w:equalWidth="0" w:num="1">
            <w:col w:w="9360"/>
          </w:cols>
          <w:pgMar w:left="1440" w:top="1440" w:right="1440" w:bottom="971" w:gutter="0" w:footer="0" w:header="0"/>
        </w:sectPr>
      </w:pPr>
    </w:p>
    <w:p>
      <w:pPr>
        <w:spacing w:after="0" w:line="1" w:lineRule="exact"/>
        <w:rPr>
          <w:sz w:val="20"/>
          <w:szCs w:val="20"/>
          <w:color w:val="auto"/>
        </w:rPr>
      </w:pPr>
    </w:p>
    <w:p>
      <w:pPr>
        <w:jc w:val="both"/>
        <w:ind w:left="120"/>
        <w:spacing w:after="0" w:line="222" w:lineRule="auto"/>
        <w:rPr>
          <w:sz w:val="20"/>
          <w:szCs w:val="20"/>
          <w:color w:val="auto"/>
        </w:rPr>
      </w:pPr>
      <w:r>
        <w:rPr>
          <w:rFonts w:ascii="Lucida Sans" w:cs="Lucida Sans" w:eastAsia="Lucida Sans" w:hAnsi="Lucida Sans"/>
          <w:sz w:val="18"/>
          <w:szCs w:val="18"/>
          <w:color w:val="262626"/>
        </w:rPr>
        <w:t>There is no doubt that demand exceeds supply for high-quality open-air shopping centers in the close-in suburbs of America’s greatest cities, and 2023 was evidence of that. However, it was not too long ago that this wasn’t the case. To understand the evolution to this demand exceeding supply scenario, it’s essential to delve into how we arrived here. “Demand Exceeding Supply” (or vice versa) is as fundamental a concept as exists in understanding and increasing the value of any product or business and it was the single biggest challenge in our industry for much of our history. For more than 40 years, beginning in the 1960s all the way up to and through the turn of the century, the pace of shopping center development was significant. Spurred at first by the national effort to build our nation’s interstate highway system and thus create the suburbs as we know them today, malls, power centers and lifestyle centers were popping up everywhere and their footprints continued to increase in size.</w:t>
      </w:r>
    </w:p>
    <w:p>
      <w:pPr>
        <w:spacing w:after="0" w:line="159" w:lineRule="exact"/>
        <w:rPr>
          <w:sz w:val="20"/>
          <w:szCs w:val="20"/>
          <w:color w:val="auto"/>
        </w:rPr>
      </w:pPr>
    </w:p>
    <w:p>
      <w:pPr>
        <w:jc w:val="both"/>
        <w:ind w:left="120"/>
        <w:spacing w:after="0" w:line="223" w:lineRule="auto"/>
        <w:rPr>
          <w:sz w:val="20"/>
          <w:szCs w:val="20"/>
          <w:color w:val="auto"/>
        </w:rPr>
      </w:pPr>
      <w:r>
        <w:rPr>
          <w:rFonts w:ascii="Lucida Sans" w:cs="Lucida Sans" w:eastAsia="Lucida Sans" w:hAnsi="Lucida Sans"/>
          <w:sz w:val="18"/>
          <w:szCs w:val="18"/>
          <w:color w:val="262626"/>
        </w:rPr>
        <w:t>Eventually, and perhaps inevitably, supply readily outpaced consumer demand nationally resulting in retail space per capita in the United States that far outpaced nearly every developed nation on the globe. The country had clearly become “over-retailed” or, as one of my colleagues put it at the time—“under-demolished”. While new shopping center development slowed in the 2000’s and even more so after the great financial crisis of 2008-2010, the supply demand damage had been done. The invention of and growth in the internet and the eventual proliferation of online shopping merely exacerbated that imbalance</w:t>
      </w:r>
    </w:p>
    <w:p>
      <w:pPr>
        <w:spacing w:after="0" w:line="157" w:lineRule="exact"/>
        <w:rPr>
          <w:sz w:val="20"/>
          <w:szCs w:val="20"/>
          <w:color w:val="auto"/>
        </w:rPr>
      </w:pPr>
    </w:p>
    <w:p>
      <w:pPr>
        <w:jc w:val="both"/>
        <w:ind w:left="120"/>
        <w:spacing w:after="0" w:line="236" w:lineRule="auto"/>
        <w:rPr>
          <w:sz w:val="20"/>
          <w:szCs w:val="20"/>
          <w:color w:val="auto"/>
        </w:rPr>
      </w:pPr>
      <w:r>
        <w:rPr>
          <w:rFonts w:ascii="Lucida Sans" w:cs="Lucida Sans" w:eastAsia="Lucida Sans" w:hAnsi="Lucida Sans"/>
          <w:sz w:val="17"/>
          <w:szCs w:val="17"/>
          <w:color w:val="262626"/>
        </w:rPr>
        <w:t xml:space="preserve">During those decades, Federal Realty worked to counter this trend by selectively acquiring, operating, and in some cases developing, shopping centers only in places where new supply was more difficult to add and where the local population was robust and affluent. </w:t>
      </w:r>
      <w:r>
        <w:rPr>
          <w:rFonts w:ascii="Lucida Sans" w:cs="Lucida Sans" w:eastAsia="Lucida Sans" w:hAnsi="Lucida Sans"/>
          <w:sz w:val="17"/>
          <w:szCs w:val="17"/>
          <w:i w:val="1"/>
          <w:iCs w:val="1"/>
          <w:color w:val="262626"/>
        </w:rPr>
        <w:t>Lots of people,</w:t>
      </w:r>
      <w:r>
        <w:rPr>
          <w:rFonts w:ascii="Lucida Sans" w:cs="Lucida Sans" w:eastAsia="Lucida Sans" w:hAnsi="Lucida Sans"/>
          <w:sz w:val="17"/>
          <w:szCs w:val="17"/>
          <w:color w:val="262626"/>
        </w:rPr>
        <w:t xml:space="preserve"> </w:t>
      </w:r>
      <w:r>
        <w:rPr>
          <w:rFonts w:ascii="Lucida Sans" w:cs="Lucida Sans" w:eastAsia="Lucida Sans" w:hAnsi="Lucida Sans"/>
          <w:sz w:val="17"/>
          <w:szCs w:val="17"/>
          <w:i w:val="1"/>
          <w:iCs w:val="1"/>
          <w:color w:val="262626"/>
        </w:rPr>
        <w:t xml:space="preserve">with money to spend, in high barriers to entry markets </w:t>
      </w:r>
      <w:r>
        <w:rPr>
          <w:rFonts w:ascii="Lucida Sans" w:cs="Lucida Sans" w:eastAsia="Lucida Sans" w:hAnsi="Lucida Sans"/>
          <w:sz w:val="17"/>
          <w:szCs w:val="17"/>
          <w:color w:val="262626"/>
        </w:rPr>
        <w:t>was our mantra then and still is today.</w:t>
      </w:r>
      <w:r>
        <w:rPr>
          <w:rFonts w:ascii="Lucida Sans" w:cs="Lucida Sans" w:eastAsia="Lucida Sans" w:hAnsi="Lucida Sans"/>
          <w:sz w:val="17"/>
          <w:szCs w:val="17"/>
          <w:i w:val="1"/>
          <w:iCs w:val="1"/>
          <w:color w:val="262626"/>
        </w:rPr>
        <w:t xml:space="preserve"> </w:t>
      </w:r>
      <w:r>
        <w:rPr>
          <w:rFonts w:ascii="Lucida Sans" w:cs="Lucida Sans" w:eastAsia="Lucida Sans" w:hAnsi="Lucida Sans"/>
          <w:sz w:val="17"/>
          <w:szCs w:val="17"/>
          <w:color w:val="262626"/>
        </w:rPr>
        <w:t>Our centers needed to be the best in class, the shopping center of choice in the community, the most innovative, with the most relevant retailers.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229235</wp:posOffset>
                </wp:positionV>
                <wp:extent cx="6096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8.05pt" to="54pt,18.05pt" o:allowincell="f" strokecolor="#262626" strokeweight="0.5pt"/>
            </w:pict>
          </mc:Fallback>
        </mc:AlternateConten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Lucida Sans" w:cs="Lucida Sans" w:eastAsia="Lucida Sans" w:hAnsi="Lucida Sans"/>
          <w:sz w:val="17"/>
          <w:szCs w:val="17"/>
          <w:color w:val="262626"/>
        </w:rPr>
        <w:t>Those basic business tenets served us well even as supply exceeded demand nationally. They continue to and now, after 15 years or so without new supply coming on and a global pandemic that was instrumental in creating more demand, we’ve come to a point where we can proudly and reasonably claim that “demand exceeds supply” when it comes to high-quality open-air shopping centers in the close-in suburbs of America’s greatest cities. It’s about time.</w:t>
      </w:r>
    </w:p>
    <w:p>
      <w:pPr>
        <w:spacing w:after="0" w:line="161" w:lineRule="exact"/>
        <w:rPr>
          <w:sz w:val="20"/>
          <w:szCs w:val="20"/>
          <w:color w:val="auto"/>
        </w:rPr>
      </w:pPr>
    </w:p>
    <w:p>
      <w:pPr>
        <w:jc w:val="both"/>
        <w:ind w:right="120"/>
        <w:spacing w:after="0" w:line="223" w:lineRule="auto"/>
        <w:rPr>
          <w:sz w:val="20"/>
          <w:szCs w:val="20"/>
          <w:color w:val="auto"/>
        </w:rPr>
      </w:pPr>
      <w:r>
        <w:rPr>
          <w:rFonts w:ascii="Lucida Sans" w:cs="Lucida Sans" w:eastAsia="Lucida Sans" w:hAnsi="Lucida Sans"/>
          <w:sz w:val="18"/>
          <w:szCs w:val="18"/>
          <w:color w:val="262626"/>
        </w:rPr>
        <w:t>Demand from tenants for brick-and-mortar real estate has skyrocketed since the darkest days of 2020 when our citizens were largely quarantined, and that demand has remained elevated ever since. The effects of isolation along with huge amounts of broadly distributed Federal stimulus were the perfect antidote for reminding consumers that they are for the most part, social creatures at heart. Shopping activity surged, restaurants and health clubs, once left for dead, filled with customers and improved the mood of an entire nation. When you add to that the lack of the addition of any meaningful new retail real estate supply since the 2000’s and also consider the migratory trends of millions of Americans spending big dollars outside of the big cities, you would expect that Federal Realty would be the beneficiary of a wonderful recipe for record setting results. And that’s what has happened. Three consecutive years of record or near record levels of leasing and, in 2023, record funds from operations (FFO) and FFO per share.</w:t>
      </w:r>
      <w:r>
        <w:rPr>
          <w:rFonts w:ascii="Lucida Sans" w:cs="Lucida Sans" w:eastAsia="Lucida Sans" w:hAnsi="Lucida Sans"/>
          <w:sz w:val="23"/>
          <w:szCs w:val="23"/>
          <w:color w:val="262626"/>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2743200" cy="1822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2743200" cy="1822450"/>
                    </a:xfrm>
                    <a:prstGeom prst="rect">
                      <a:avLst/>
                    </a:prstGeom>
                    <a:noFill/>
                  </pic:spPr>
                </pic:pic>
              </a:graphicData>
            </a:graphic>
          </wp:anchor>
        </w:drawing>
      </w:r>
    </w:p>
    <w:p>
      <w:pPr>
        <w:spacing w:after="0" w:line="3047" w:lineRule="exact"/>
        <w:rPr>
          <w:sz w:val="20"/>
          <w:szCs w:val="20"/>
          <w:color w:val="auto"/>
        </w:rPr>
      </w:pPr>
    </w:p>
    <w:p>
      <w:pPr>
        <w:sectPr>
          <w:pgSz w:w="12240" w:h="15840" w:orient="portrait"/>
          <w:cols w:equalWidth="0" w:num="2">
            <w:col w:w="4440" w:space="480"/>
            <w:col w:w="4440"/>
          </w:cols>
          <w:pgMar w:left="1440" w:top="1440" w:right="1440" w:bottom="971" w:gutter="0" w:footer="0" w:header="0"/>
          <w:type w:val="continuous"/>
        </w:sectPr>
      </w:pPr>
    </w:p>
    <w:p>
      <w:pPr>
        <w:spacing w:after="0" w:line="220" w:lineRule="exact"/>
        <w:rPr>
          <w:sz w:val="20"/>
          <w:szCs w:val="20"/>
          <w:color w:val="auto"/>
        </w:rPr>
      </w:pPr>
    </w:p>
    <w:p>
      <w:pPr>
        <w:ind w:left="320" w:right="120" w:hanging="200"/>
        <w:spacing w:after="0" w:line="209" w:lineRule="auto"/>
        <w:tabs>
          <w:tab w:leader="none" w:pos="320" w:val="left"/>
        </w:tabs>
        <w:numPr>
          <w:ilvl w:val="0"/>
          <w:numId w:val="1"/>
        </w:numPr>
        <w:rPr>
          <w:rFonts w:ascii="Lucida Sans" w:cs="Lucida Sans" w:eastAsia="Lucida Sans" w:hAnsi="Lucida Sans"/>
          <w:sz w:val="25"/>
          <w:szCs w:val="25"/>
          <w:color w:val="262626"/>
          <w:vertAlign w:val="superscript"/>
        </w:rPr>
      </w:pPr>
      <w:r>
        <w:rPr>
          <w:rFonts w:ascii="Lucida Sans" w:cs="Lucida Sans" w:eastAsia="Lucida Sans" w:hAnsi="Lucida Sans"/>
          <w:sz w:val="19"/>
          <w:szCs w:val="19"/>
          <w:color w:val="262626"/>
        </w:rPr>
        <w:t>FFO is a non-GAAP financial measure. See page 46 of our Form 10-K for information on FFO and FFO per share.</w:t>
      </w:r>
    </w:p>
    <w:p>
      <w:pPr>
        <w:sectPr>
          <w:pgSz w:w="12240" w:h="15840" w:orient="portrait"/>
          <w:cols w:equalWidth="0" w:num="1">
            <w:col w:w="9360"/>
          </w:cols>
          <w:pgMar w:left="1440" w:top="1440" w:right="1440" w:bottom="971" w:gutter="0" w:footer="0" w:header="0"/>
          <w:type w:val="continuous"/>
        </w:sectPr>
      </w:pPr>
    </w:p>
    <w:p>
      <w:pPr>
        <w:spacing w:after="0" w:line="190" w:lineRule="exact"/>
        <w:rPr>
          <w:sz w:val="20"/>
          <w:szCs w:val="20"/>
          <w:color w:val="auto"/>
        </w:rPr>
      </w:pPr>
    </w:p>
    <w:p>
      <w:pPr>
        <w:ind w:left="5180"/>
        <w:spacing w:after="0"/>
        <w:tabs>
          <w:tab w:leader="none" w:pos="6120" w:val="left"/>
          <w:tab w:leader="none" w:pos="6960" w:val="left"/>
          <w:tab w:leader="none" w:pos="7140" w:val="left"/>
          <w:tab w:leader="none" w:pos="804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tab/>
        <w:t xml:space="preserve">R E P O R T </w:t>
      </w:r>
      <w:r>
        <w:rPr>
          <w:rFonts w:ascii="Georgia Pro" w:cs="Georgia Pro" w:eastAsia="Georgia Pro" w:hAnsi="Georgia Pro"/>
          <w:sz w:val="14"/>
          <w:szCs w:val="14"/>
          <w:b w:val="1"/>
          <w:bCs w:val="1"/>
          <w:color w:val="F15638"/>
        </w:rPr>
        <w:t>2023</w:t>
      </w:r>
    </w:p>
    <w:p>
      <w:pPr>
        <w:sectPr>
          <w:pgSz w:w="12240" w:h="15840" w:orient="portrait"/>
          <w:cols w:equalWidth="0" w:num="1">
            <w:col w:w="9360"/>
          </w:cols>
          <w:pgMar w:left="1440" w:top="1440" w:right="1440" w:bottom="971" w:gutter="0" w:footer="0" w:header="0"/>
          <w:type w:val="continuous"/>
        </w:sectPr>
      </w:pPr>
    </w:p>
    <w:bookmarkStart w:id="3" w:name="page4"/>
    <w:bookmarkEnd w:id="3"/>
    <w:p>
      <w:pPr>
        <w:spacing w:after="0" w:line="57" w:lineRule="exact"/>
        <w:rPr>
          <w:sz w:val="20"/>
          <w:szCs w:val="20"/>
          <w:color w:val="auto"/>
        </w:rPr>
      </w:pPr>
    </w:p>
    <w:p>
      <w:pPr>
        <w:ind w:left="120"/>
        <w:spacing w:after="0"/>
        <w:tabs>
          <w:tab w:leader="none" w:pos="3960" w:val="left"/>
        </w:tabs>
        <w:rPr>
          <w:sz w:val="20"/>
          <w:szCs w:val="20"/>
          <w:color w:val="auto"/>
        </w:rPr>
      </w:pPr>
      <w:r>
        <w:rPr>
          <w:rFonts w:ascii="Lucida Sans" w:cs="Lucida Sans" w:eastAsia="Lucida Sans" w:hAnsi="Lucida Sans"/>
          <w:sz w:val="24"/>
          <w:szCs w:val="24"/>
          <w:b w:val="1"/>
          <w:bCs w:val="1"/>
          <w:color w:val="EF3E2A"/>
        </w:rPr>
        <w:t>I N D U S T R Y - L E A D I N G</w:t>
        <w:tab/>
        <w:t>C O N S I S T E N C Y</w:t>
      </w:r>
    </w:p>
    <w:p>
      <w:pPr>
        <w:ind w:left="120" w:right="3960"/>
        <w:spacing w:after="0" w:line="223" w:lineRule="auto"/>
        <w:rPr>
          <w:sz w:val="20"/>
          <w:szCs w:val="20"/>
          <w:color w:val="auto"/>
        </w:rPr>
      </w:pPr>
      <w:r>
        <w:rPr>
          <w:rFonts w:ascii="Georgia Pro" w:cs="Georgia Pro" w:eastAsia="Georgia Pro" w:hAnsi="Georgia Pro"/>
          <w:sz w:val="52"/>
          <w:szCs w:val="52"/>
          <w:color w:val="262626"/>
        </w:rPr>
        <w:t>56 consecutive years of increased dividends.</w:t>
      </w:r>
    </w:p>
    <w:p>
      <w:pPr>
        <w:spacing w:after="0" w:line="265" w:lineRule="exact"/>
        <w:rPr>
          <w:sz w:val="20"/>
          <w:szCs w:val="20"/>
          <w:color w:val="auto"/>
        </w:rPr>
      </w:pPr>
    </w:p>
    <w:p>
      <w:pPr>
        <w:ind w:left="8800"/>
        <w:spacing w:after="0"/>
        <w:rPr>
          <w:sz w:val="20"/>
          <w:szCs w:val="20"/>
          <w:color w:val="auto"/>
        </w:rPr>
      </w:pPr>
      <w:r>
        <w:rPr>
          <w:rFonts w:ascii="Lucida Sans" w:cs="Lucida Sans" w:eastAsia="Lucida Sans" w:hAnsi="Lucida Sans"/>
          <w:sz w:val="13"/>
          <w:szCs w:val="13"/>
          <w:color w:val="231F20"/>
        </w:rPr>
        <w:t>$4.36</w:t>
      </w:r>
      <w:r>
        <w:rPr>
          <w:rFonts w:ascii="Lucida Sans" w:cs="Lucida Sans" w:eastAsia="Lucida Sans" w:hAnsi="Lucida Sans"/>
          <w:sz w:val="13"/>
          <w:szCs w:val="13"/>
          <w:b w:val="1"/>
          <w:bCs w:val="1"/>
          <w:color w:val="4C4C4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20955</wp:posOffset>
            </wp:positionV>
            <wp:extent cx="5694045" cy="211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5694045" cy="211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Lucida Sans" w:cs="Lucida Sans" w:eastAsia="Lucida Sans" w:hAnsi="Lucida Sans"/>
          <w:sz w:val="13"/>
          <w:szCs w:val="13"/>
          <w:color w:val="231F20"/>
        </w:rPr>
        <w:t>$0.12</w:t>
      </w:r>
      <w:r>
        <w:rPr>
          <w:rFonts w:ascii="Lucida Sans" w:cs="Lucida Sans" w:eastAsia="Lucida Sans" w:hAnsi="Lucida Sans"/>
          <w:sz w:val="13"/>
          <w:szCs w:val="13"/>
          <w:b w:val="1"/>
          <w:bCs w:val="1"/>
          <w:color w:val="231F20"/>
        </w:rPr>
        <w:t>*</w:t>
      </w:r>
    </w:p>
    <w:p>
      <w:pPr>
        <w:spacing w:after="0" w:line="391" w:lineRule="exact"/>
        <w:rPr>
          <w:sz w:val="20"/>
          <w:szCs w:val="20"/>
          <w:color w:val="auto"/>
        </w:rPr>
      </w:pPr>
    </w:p>
    <w:p>
      <w:pPr>
        <w:ind w:left="100"/>
        <w:spacing w:after="0"/>
        <w:tabs>
          <w:tab w:leader="none" w:pos="8880" w:val="left"/>
        </w:tabs>
        <w:rPr>
          <w:sz w:val="20"/>
          <w:szCs w:val="20"/>
          <w:color w:val="auto"/>
        </w:rPr>
      </w:pPr>
      <w:r>
        <w:rPr>
          <w:rFonts w:ascii="Lucida Sans" w:cs="Lucida Sans" w:eastAsia="Lucida Sans" w:hAnsi="Lucida Sans"/>
          <w:sz w:val="13"/>
          <w:szCs w:val="13"/>
          <w:b w:val="1"/>
          <w:bCs w:val="1"/>
          <w:color w:val="EF3E29"/>
        </w:rPr>
        <w:t>1967</w:t>
      </w:r>
      <w:r>
        <w:rPr>
          <w:sz w:val="20"/>
          <w:szCs w:val="20"/>
          <w:color w:val="auto"/>
        </w:rPr>
        <w:tab/>
      </w:r>
      <w:r>
        <w:rPr>
          <w:rFonts w:ascii="Lucida Sans" w:cs="Lucida Sans" w:eastAsia="Lucida Sans" w:hAnsi="Lucida Sans"/>
          <w:sz w:val="13"/>
          <w:szCs w:val="13"/>
          <w:b w:val="1"/>
          <w:bCs w:val="1"/>
          <w:color w:val="EF3E29"/>
        </w:rPr>
        <w:t>2023</w:t>
      </w:r>
    </w:p>
    <w:p>
      <w:pPr>
        <w:spacing w:after="0" w:line="232" w:lineRule="exact"/>
        <w:rPr>
          <w:sz w:val="20"/>
          <w:szCs w:val="20"/>
          <w:color w:val="auto"/>
        </w:rPr>
      </w:pPr>
    </w:p>
    <w:p>
      <w:pPr>
        <w:ind w:left="120"/>
        <w:spacing w:after="0"/>
        <w:rPr>
          <w:sz w:val="20"/>
          <w:szCs w:val="20"/>
          <w:color w:val="auto"/>
        </w:rPr>
      </w:pPr>
      <w:r>
        <w:rPr>
          <w:rFonts w:ascii="Lucida Sans" w:cs="Lucida Sans" w:eastAsia="Lucida Sans" w:hAnsi="Lucida Sans"/>
          <w:sz w:val="11"/>
          <w:szCs w:val="11"/>
          <w:color w:val="231F20"/>
        </w:rPr>
        <w:t>*Annualized dividends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177165</wp:posOffset>
                </wp:positionV>
                <wp:extent cx="57912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EF3E2B"/>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3.95pt" to="462pt,13.95pt" o:allowincell="f" strokecolor="#EF3E2B" strokeweight="1pt"/>
            </w:pict>
          </mc:Fallback>
        </mc:AlternateContent>
      </w:r>
    </w:p>
    <w:p>
      <w:pPr>
        <w:sectPr>
          <w:pgSz w:w="12240" w:h="15840" w:orient="portrait"/>
          <w:cols w:equalWidth="0" w:num="1">
            <w:col w:w="9360"/>
          </w:cols>
          <w:pgMar w:left="1440" w:top="1440" w:right="1440" w:bottom="9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Lucida Sans" w:cs="Lucida Sans" w:eastAsia="Lucida Sans" w:hAnsi="Lucida Sans"/>
          <w:sz w:val="19"/>
          <w:szCs w:val="19"/>
          <w:b w:val="1"/>
          <w:bCs w:val="1"/>
          <w:color w:val="262626"/>
        </w:rPr>
        <w:t>P e r f o r m a n c e</w:t>
      </w:r>
    </w:p>
    <w:p>
      <w:pPr>
        <w:spacing w:after="0" w:line="208" w:lineRule="exact"/>
        <w:rPr>
          <w:sz w:val="20"/>
          <w:szCs w:val="20"/>
          <w:color w:val="auto"/>
        </w:rPr>
      </w:pPr>
    </w:p>
    <w:p>
      <w:pPr>
        <w:jc w:val="both"/>
        <w:ind w:left="120"/>
        <w:spacing w:after="0" w:line="237" w:lineRule="auto"/>
        <w:rPr>
          <w:sz w:val="20"/>
          <w:szCs w:val="20"/>
          <w:color w:val="auto"/>
        </w:rPr>
      </w:pPr>
      <w:r>
        <w:rPr>
          <w:rFonts w:ascii="Lucida Sans" w:cs="Lucida Sans" w:eastAsia="Lucida Sans" w:hAnsi="Lucida Sans"/>
          <w:sz w:val="19"/>
          <w:szCs w:val="19"/>
          <w:color w:val="262626"/>
        </w:rPr>
        <w:t>2023 was a very strong year for our Company. In addition to recording FFO per share of $6.55, the best in our 62-year history, we were able to increase our dividends per share to $4.36, the 56</w:t>
      </w:r>
      <w:r>
        <w:rPr>
          <w:rFonts w:ascii="Lucida Sans" w:cs="Lucida Sans" w:eastAsia="Lucida Sans" w:hAnsi="Lucida Sans"/>
          <w:sz w:val="24"/>
          <w:szCs w:val="24"/>
          <w:color w:val="262626"/>
          <w:vertAlign w:val="superscript"/>
        </w:rPr>
        <w:t>th</w:t>
      </w:r>
      <w:r>
        <w:rPr>
          <w:rFonts w:ascii="Lucida Sans" w:cs="Lucida Sans" w:eastAsia="Lucida Sans" w:hAnsi="Lucida Sans"/>
          <w:sz w:val="19"/>
          <w:szCs w:val="19"/>
          <w:color w:val="262626"/>
        </w:rPr>
        <w:t xml:space="preserve"> year in a row to see a dividend increase. Of all our achievements and milestones, the dividend record is one that I marvel at most. No other REIT can match it and in fact, neither can almost 99% of all publicly traded companies in any business sector. The “Dividend King” designation of Federal Realty is a source of immense pride and one that can only be accomplished with superior real estate and a very strong balance sheet not just today, but through numerous and unpredictable economic cycles. You can imagine how I felt one day last fall when a long-term local shareholder saw me at our Bethesda Row property and told me that his Federal Realty shares had been passed down to his children who planned to pass them down to their children. It’s great real estate to hold through the inevitable ups and downs of real estate cycles.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both"/>
        <w:ind w:right="120"/>
        <w:spacing w:after="0" w:line="231" w:lineRule="auto"/>
        <w:rPr>
          <w:sz w:val="20"/>
          <w:szCs w:val="20"/>
          <w:color w:val="auto"/>
        </w:rPr>
      </w:pPr>
      <w:r>
        <w:rPr>
          <w:rFonts w:ascii="Lucida Sans" w:cs="Lucida Sans" w:eastAsia="Lucida Sans" w:hAnsi="Lucida Sans"/>
          <w:sz w:val="19"/>
          <w:szCs w:val="19"/>
          <w:color w:val="262626"/>
        </w:rPr>
        <w:t>2023 was a year that also saw near record comparable leasing activity of 2 million square feet. It was in fact the third year in a row of that lofty level and represented 25% more leasing volume than the 1.6 million square foot average for the 5 years immediately preceding the pandemic (2015-2019). In 2023, those leases were written at, on average, 10% higher rent than the final year of the expiring lease and our overall portfolio stands at 94% leased. Activity like that bodes well for the future.</w:t>
      </w:r>
    </w:p>
    <w:p>
      <w:pPr>
        <w:spacing w:after="0" w:line="213" w:lineRule="exact"/>
        <w:rPr>
          <w:sz w:val="20"/>
          <w:szCs w:val="20"/>
          <w:color w:val="auto"/>
        </w:rPr>
      </w:pPr>
    </w:p>
    <w:p>
      <w:pPr>
        <w:ind w:right="1260"/>
        <w:spacing w:after="0" w:line="233" w:lineRule="auto"/>
        <w:rPr>
          <w:sz w:val="20"/>
          <w:szCs w:val="20"/>
          <w:color w:val="auto"/>
        </w:rPr>
      </w:pPr>
      <w:r>
        <w:rPr>
          <w:rFonts w:ascii="Lucida Sans" w:cs="Lucida Sans" w:eastAsia="Lucida Sans" w:hAnsi="Lucida Sans"/>
          <w:sz w:val="19"/>
          <w:szCs w:val="19"/>
          <w:b w:val="1"/>
          <w:bCs w:val="1"/>
          <w:color w:val="262626"/>
        </w:rPr>
        <w:t>I n f l a t i o n a n d H i g h e r I n t e r e s t R a t e s</w:t>
      </w:r>
    </w:p>
    <w:p>
      <w:pPr>
        <w:spacing w:after="0" w:line="269" w:lineRule="exact"/>
        <w:rPr>
          <w:sz w:val="20"/>
          <w:szCs w:val="20"/>
          <w:color w:val="auto"/>
        </w:rPr>
      </w:pPr>
    </w:p>
    <w:p>
      <w:pPr>
        <w:jc w:val="both"/>
        <w:ind w:right="120"/>
        <w:spacing w:after="0" w:line="231" w:lineRule="auto"/>
        <w:rPr>
          <w:sz w:val="20"/>
          <w:szCs w:val="20"/>
          <w:color w:val="auto"/>
        </w:rPr>
      </w:pPr>
      <w:r>
        <w:rPr>
          <w:rFonts w:ascii="Lucida Sans" w:cs="Lucida Sans" w:eastAsia="Lucida Sans" w:hAnsi="Lucida Sans"/>
          <w:sz w:val="19"/>
          <w:szCs w:val="19"/>
          <w:color w:val="262626"/>
        </w:rPr>
        <w:t>As we sit here in early 2024, much of the dialogue surrounding inflation and interest rates is consumed with “the direction of inflation” or “the timing of impending Fed cuts in borrowing rates”, both obviously important metrics that impact decision-making in every corner of the economy and both trends that are helpful to us. But no matter what the current trends are, the historical changes in prices of the past 3 years have to be dealt with day in and day out. So, while the pace of inflation has slowed, the absolute prices of</w:t>
      </w:r>
    </w:p>
    <w:p>
      <w:pPr>
        <w:spacing w:after="0" w:line="175" w:lineRule="exact"/>
        <w:rPr>
          <w:sz w:val="20"/>
          <w:szCs w:val="20"/>
          <w:color w:val="auto"/>
        </w:rPr>
      </w:pPr>
    </w:p>
    <w:p>
      <w:pPr>
        <w:sectPr>
          <w:pgSz w:w="12240" w:h="15840" w:orient="portrait"/>
          <w:cols w:equalWidth="0" w:num="2">
            <w:col w:w="4440" w:space="480"/>
            <w:col w:w="4440"/>
          </w:cols>
          <w:pgMar w:left="1440" w:top="1440" w:right="1440" w:bottom="971" w:gutter="0" w:footer="0" w:header="0"/>
          <w:type w:val="continuous"/>
        </w:sectPr>
      </w:pPr>
    </w:p>
    <w:p>
      <w:pPr>
        <w:ind w:left="5180"/>
        <w:spacing w:after="0"/>
        <w:tabs>
          <w:tab w:leader="none" w:pos="6120" w:val="left"/>
          <w:tab w:leader="none" w:pos="6960" w:val="left"/>
          <w:tab w:leader="none" w:pos="7140" w:val="left"/>
          <w:tab w:leader="none" w:pos="804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tab/>
        <w:t xml:space="preserve">R E P O R T </w:t>
      </w:r>
      <w:r>
        <w:rPr>
          <w:rFonts w:ascii="Georgia Pro" w:cs="Georgia Pro" w:eastAsia="Georgia Pro" w:hAnsi="Georgia Pro"/>
          <w:sz w:val="14"/>
          <w:szCs w:val="14"/>
          <w:b w:val="1"/>
          <w:bCs w:val="1"/>
          <w:color w:val="F15638"/>
        </w:rPr>
        <w:t>2023</w:t>
      </w:r>
    </w:p>
    <w:p>
      <w:pPr>
        <w:sectPr>
          <w:pgSz w:w="12240" w:h="15840" w:orient="portrait"/>
          <w:cols w:equalWidth="0" w:num="1">
            <w:col w:w="9360"/>
          </w:cols>
          <w:pgMar w:left="1440" w:top="1440" w:right="1440" w:bottom="971" w:gutter="0" w:footer="0" w:header="0"/>
          <w:type w:val="continuous"/>
        </w:sectPr>
      </w:pPr>
    </w:p>
    <w:bookmarkStart w:id="4" w:name="page5"/>
    <w:bookmarkEnd w:id="4"/>
    <w:p>
      <w:pPr>
        <w:spacing w:after="0" w:line="39" w:lineRule="exact"/>
        <w:rPr>
          <w:sz w:val="20"/>
          <w:szCs w:val="20"/>
          <w:color w:val="auto"/>
        </w:rPr>
      </w:pPr>
    </w:p>
    <w:p>
      <w:pPr>
        <w:jc w:val="both"/>
        <w:ind w:left="120"/>
        <w:spacing w:after="0"/>
        <w:rPr>
          <w:sz w:val="20"/>
          <w:szCs w:val="20"/>
          <w:color w:val="auto"/>
        </w:rPr>
      </w:pPr>
      <w:r>
        <w:rPr>
          <w:rFonts w:ascii="Lucida Sans" w:cs="Lucida Sans" w:eastAsia="Lucida Sans" w:hAnsi="Lucida Sans"/>
          <w:sz w:val="19"/>
          <w:szCs w:val="19"/>
          <w:color w:val="262626"/>
        </w:rPr>
        <w:t>nearly everything have risen considerably over that period. Whether buying a sandwich at your favorite quick service restaurant, a pair of workout pants at your favorite athleisure store, or a metric ton of steel for use in developing a building, the costs of doing business are a lot higher than just a few years ago. If you consider whether materially higher prices are a positive or a negative for our business, the answer is both. Let me explain.</w:t>
      </w:r>
    </w:p>
    <w:p>
      <w:pPr>
        <w:spacing w:after="0" w:line="342" w:lineRule="exact"/>
        <w:rPr>
          <w:sz w:val="20"/>
          <w:szCs w:val="20"/>
          <w:color w:val="auto"/>
        </w:rPr>
      </w:pPr>
    </w:p>
    <w:p>
      <w:pPr>
        <w:jc w:val="both"/>
        <w:ind w:left="120"/>
        <w:spacing w:after="0" w:line="243" w:lineRule="auto"/>
        <w:rPr>
          <w:sz w:val="20"/>
          <w:szCs w:val="20"/>
          <w:color w:val="auto"/>
        </w:rPr>
      </w:pPr>
      <w:r>
        <w:rPr>
          <w:rFonts w:ascii="Lucida Sans" w:cs="Lucida Sans" w:eastAsia="Lucida Sans" w:hAnsi="Lucida Sans"/>
          <w:sz w:val="18"/>
          <w:szCs w:val="18"/>
          <w:color w:val="262626"/>
        </w:rPr>
        <w:t>Inflation of this magnitude doesn’t affect everyone equally. Not all retailers and restaurants who are paying more for goods and services (and their own labor) are able to raise their prices enough to cover those higher costs, in other words, can their customers afford to pay more. In some markets and in some businesses, the answer is yes, and in other markets and in other businesses, the answer is no. It’s why those demographic principles that Federal Realty insists on are so important in inflationary times. Strong operators in more affluent markets are far more likely to be able to pass through price increases to their customers than in less affluent areas. We see this most visibly at our trophy mixed use assets where sales and traffic continue to be well in excess of 2019 levels. Higher quality real estate in densely populated affluent areas tend to attract better operators with pricing power. Those tenants have generally signed long-term leases with Federal Realty with fixed rent obligations that increase each year. That means that as those obligations expire each year over the next several, it is likely that we will be able to continue to raise that fixed rent.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20"/>
        <w:spacing w:after="0" w:line="233" w:lineRule="auto"/>
        <w:rPr>
          <w:sz w:val="20"/>
          <w:szCs w:val="20"/>
          <w:color w:val="auto"/>
        </w:rPr>
      </w:pPr>
      <w:r>
        <w:rPr>
          <w:rFonts w:ascii="Lucida Sans" w:cs="Lucida Sans" w:eastAsia="Lucida Sans" w:hAnsi="Lucida Sans"/>
          <w:sz w:val="19"/>
          <w:szCs w:val="19"/>
          <w:color w:val="262626"/>
        </w:rPr>
        <w:t>While moderate inflation is a positive for our real estate, higher interest rates are not, at least not in the short term and particularly when raised as quickly as they were in late 2022 and 2023. Accordingly, while still a year of record FFO per share, higher interest rates weighed on those earnings to the tune of 27 cents per share. Despite this significant interest rate headwind, we still grew FFO per share at 4% highlighted by POI growth of 7%.</w:t>
      </w:r>
      <w:r>
        <w:rPr>
          <w:rFonts w:ascii="Lucida Sans" w:cs="Lucida Sans" w:eastAsia="Lucida Sans" w:hAnsi="Lucida Sans"/>
          <w:sz w:val="24"/>
          <w:szCs w:val="24"/>
          <w:color w:val="262626"/>
          <w:vertAlign w:val="superscript"/>
        </w:rPr>
        <w:t>2</w:t>
      </w:r>
    </w:p>
    <w:p>
      <w:pPr>
        <w:spacing w:after="0" w:line="160" w:lineRule="exact"/>
        <w:rPr>
          <w:sz w:val="20"/>
          <w:szCs w:val="20"/>
          <w:color w:val="auto"/>
        </w:rPr>
      </w:pPr>
    </w:p>
    <w:p>
      <w:pPr>
        <w:jc w:val="both"/>
        <w:ind w:left="120"/>
        <w:spacing w:after="0" w:line="255" w:lineRule="auto"/>
        <w:rPr>
          <w:sz w:val="20"/>
          <w:szCs w:val="20"/>
          <w:color w:val="auto"/>
        </w:rPr>
      </w:pPr>
      <w:r>
        <w:rPr>
          <w:rFonts w:ascii="Lucida Sans" w:cs="Lucida Sans" w:eastAsia="Lucida Sans" w:hAnsi="Lucida Sans"/>
          <w:sz w:val="18"/>
          <w:szCs w:val="18"/>
          <w:color w:val="262626"/>
        </w:rPr>
        <w:t>That is not to say that higher interest rates (the 10 Year Treasury is trading at approximately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149225</wp:posOffset>
                </wp:positionV>
                <wp:extent cx="609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1.75pt" to="54pt,11.75pt" o:allowincell="f" strokecolor="#262626" strokeweight="0.5pt"/>
            </w:pict>
          </mc:Fallback>
        </mc:AlternateConten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120"/>
        <w:spacing w:after="0" w:line="243" w:lineRule="auto"/>
        <w:rPr>
          <w:sz w:val="20"/>
          <w:szCs w:val="20"/>
          <w:color w:val="auto"/>
        </w:rPr>
      </w:pPr>
      <w:r>
        <w:rPr>
          <w:rFonts w:ascii="Lucida Sans" w:cs="Lucida Sans" w:eastAsia="Lucida Sans" w:hAnsi="Lucida Sans"/>
          <w:sz w:val="18"/>
          <w:szCs w:val="18"/>
          <w:color w:val="262626"/>
        </w:rPr>
        <w:t>4.3% as of this writing) impede our profitable growth as we look into 2024 and future years. We demonstrated our ability to access diverse and innovative capital sources throughout cycles over the past year. This included raising $350 million of 5-year 5.375% notes as a green bond in April 2023, securing a $200 million mortgage loan on Bethesda Row in December 2023 and raising $485 million of 5-year 3.25% Exchangeable Senior Notes in January 2024. Our debt portfolio is well-laddered with no significant debt maturing for the next two years and our overall rents remain below market. But the importance of stable, predictable capital markets cannot be overestimated as they relate to all investment decisions that will lead to mid-and long-term growth and value creation. Recent actions by the Fed and stated fiscal policy have us very encouraged that the desired balance between the rate of inflation and the rate and availability of debt capital dovetail nicely with Federal Realty’s portfolio and ability to continue to grow.</w:t>
      </w:r>
    </w:p>
    <w:p>
      <w:pPr>
        <w:spacing w:after="0" w:line="372" w:lineRule="exact"/>
        <w:rPr>
          <w:sz w:val="20"/>
          <w:szCs w:val="20"/>
          <w:color w:val="auto"/>
        </w:rPr>
      </w:pPr>
    </w:p>
    <w:p>
      <w:pPr>
        <w:spacing w:after="0"/>
        <w:rPr>
          <w:sz w:val="20"/>
          <w:szCs w:val="20"/>
          <w:color w:val="auto"/>
        </w:rPr>
      </w:pPr>
      <w:r>
        <w:rPr>
          <w:rFonts w:ascii="Lucida Sans" w:cs="Lucida Sans" w:eastAsia="Lucida Sans" w:hAnsi="Lucida Sans"/>
          <w:sz w:val="19"/>
          <w:szCs w:val="19"/>
          <w:b w:val="1"/>
          <w:bCs w:val="1"/>
          <w:color w:val="262626"/>
        </w:rPr>
        <w:t>G r o w t h</w:t>
      </w:r>
    </w:p>
    <w:p>
      <w:pPr>
        <w:spacing w:after="0" w:line="232" w:lineRule="exact"/>
        <w:rPr>
          <w:sz w:val="20"/>
          <w:szCs w:val="20"/>
          <w:color w:val="auto"/>
        </w:rPr>
      </w:pPr>
    </w:p>
    <w:p>
      <w:pPr>
        <w:jc w:val="both"/>
        <w:ind w:right="120"/>
        <w:spacing w:after="0"/>
        <w:rPr>
          <w:sz w:val="20"/>
          <w:szCs w:val="20"/>
          <w:color w:val="auto"/>
        </w:rPr>
      </w:pPr>
      <w:r>
        <w:rPr>
          <w:rFonts w:ascii="Lucida Sans" w:cs="Lucida Sans" w:eastAsia="Lucida Sans" w:hAnsi="Lucida Sans"/>
          <w:sz w:val="19"/>
          <w:szCs w:val="19"/>
          <w:color w:val="262626"/>
        </w:rPr>
        <w:t>There are times in every real estate cycle when it makes more economic sense to build rather than buy and times when it makes more economic sense to buy rather than build from an investment perspective. And in every point in the real estate cycle, it makes the most sense to have groomed great real estate to be able to generate higher rents while keeping expenses under control. What makes Federal Realty so special is that we’re equipped to do it all. In fact, you HAVE to be able to do it all if your goal is to provide a steady stream of growing cash flow to your shareholders through the inevitable highs and lows of real estate economic cycles (remember that 56-year record of increased dividends).</w:t>
      </w:r>
    </w:p>
    <w:p>
      <w:pPr>
        <w:spacing w:after="0" w:line="315" w:lineRule="exact"/>
        <w:rPr>
          <w:sz w:val="20"/>
          <w:szCs w:val="20"/>
          <w:color w:val="auto"/>
        </w:rPr>
      </w:pPr>
    </w:p>
    <w:p>
      <w:pPr>
        <w:jc w:val="both"/>
        <w:ind w:right="120"/>
        <w:spacing w:after="0" w:line="245" w:lineRule="auto"/>
        <w:rPr>
          <w:sz w:val="20"/>
          <w:szCs w:val="20"/>
          <w:color w:val="auto"/>
        </w:rPr>
      </w:pPr>
      <w:r>
        <w:rPr>
          <w:rFonts w:ascii="Lucida Sans" w:cs="Lucida Sans" w:eastAsia="Lucida Sans" w:hAnsi="Lucida Sans"/>
          <w:sz w:val="18"/>
          <w:szCs w:val="18"/>
          <w:color w:val="262626"/>
        </w:rPr>
        <w:t>Our business plan is multi-faceted. By owning and operating the highest quality retail and mixed-use real estate portfolio as measured by spending power (the combination of household incomes and population density plus lower retail supply per capita), our foundation for growth is strong. Being able to supplement that portfolio with robust in-house</w:t>
      </w:r>
    </w:p>
    <w:p>
      <w:pPr>
        <w:spacing w:after="0" w:line="274" w:lineRule="exact"/>
        <w:rPr>
          <w:sz w:val="20"/>
          <w:szCs w:val="20"/>
          <w:color w:val="auto"/>
        </w:rPr>
      </w:pPr>
    </w:p>
    <w:p>
      <w:pPr>
        <w:sectPr>
          <w:pgSz w:w="12240" w:h="15840" w:orient="portrait"/>
          <w:cols w:equalWidth="0" w:num="2">
            <w:col w:w="4440" w:space="480"/>
            <w:col w:w="4440"/>
          </w:cols>
          <w:pgMar w:left="1440" w:top="1440" w:right="1440" w:bottom="971" w:gutter="0" w:footer="0" w:header="0"/>
        </w:sectPr>
      </w:pPr>
    </w:p>
    <w:p>
      <w:pPr>
        <w:spacing w:after="0" w:line="94" w:lineRule="exact"/>
        <w:rPr>
          <w:sz w:val="20"/>
          <w:szCs w:val="20"/>
          <w:color w:val="auto"/>
        </w:rPr>
      </w:pPr>
    </w:p>
    <w:p>
      <w:pPr>
        <w:ind w:left="320" w:right="120" w:hanging="200"/>
        <w:spacing w:after="0" w:line="209" w:lineRule="auto"/>
        <w:tabs>
          <w:tab w:leader="none" w:pos="320" w:val="left"/>
        </w:tabs>
        <w:numPr>
          <w:ilvl w:val="0"/>
          <w:numId w:val="2"/>
        </w:numPr>
        <w:rPr>
          <w:rFonts w:ascii="Lucida Sans" w:cs="Lucida Sans" w:eastAsia="Lucida Sans" w:hAnsi="Lucida Sans"/>
          <w:sz w:val="25"/>
          <w:szCs w:val="25"/>
          <w:color w:val="262626"/>
          <w:vertAlign w:val="superscript"/>
        </w:rPr>
      </w:pPr>
      <w:r>
        <w:rPr>
          <w:rFonts w:ascii="Lucida Sans" w:cs="Lucida Sans" w:eastAsia="Lucida Sans" w:hAnsi="Lucida Sans"/>
          <w:sz w:val="19"/>
          <w:szCs w:val="19"/>
          <w:color w:val="262626"/>
        </w:rPr>
        <w:t>POI (property operating income) is a non-GAAP financial measure. See page 38 of our 10-K for information on POI.</w:t>
      </w:r>
    </w:p>
    <w:p>
      <w:pPr>
        <w:sectPr>
          <w:pgSz w:w="12240" w:h="15840" w:orient="portrait"/>
          <w:cols w:equalWidth="0" w:num="1">
            <w:col w:w="9360"/>
          </w:cols>
          <w:pgMar w:left="1440" w:top="1440" w:right="1440" w:bottom="971"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5180"/>
        <w:spacing w:after="0"/>
        <w:tabs>
          <w:tab w:leader="none" w:pos="6120" w:val="left"/>
          <w:tab w:leader="none" w:pos="6960" w:val="left"/>
          <w:tab w:leader="none" w:pos="7140" w:val="left"/>
          <w:tab w:leader="none" w:pos="804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tab/>
        <w:t xml:space="preserve">R E P O R T </w:t>
      </w:r>
      <w:r>
        <w:rPr>
          <w:rFonts w:ascii="Georgia Pro" w:cs="Georgia Pro" w:eastAsia="Georgia Pro" w:hAnsi="Georgia Pro"/>
          <w:sz w:val="14"/>
          <w:szCs w:val="14"/>
          <w:b w:val="1"/>
          <w:bCs w:val="1"/>
          <w:color w:val="F15638"/>
        </w:rPr>
        <w:t>2023</w:t>
      </w:r>
    </w:p>
    <w:p>
      <w:pPr>
        <w:sectPr>
          <w:pgSz w:w="12240" w:h="15840" w:orient="portrait"/>
          <w:cols w:equalWidth="0" w:num="1">
            <w:col w:w="9360"/>
          </w:cols>
          <w:pgMar w:left="1440" w:top="1440" w:right="1440" w:bottom="971" w:gutter="0" w:footer="0" w:header="0"/>
          <w:type w:val="continuous"/>
        </w:sectPr>
      </w:pPr>
    </w:p>
    <w:bookmarkStart w:id="5" w:name="page6"/>
    <w:bookmarkEnd w:id="5"/>
    <w:p>
      <w:pPr>
        <w:spacing w:after="0" w:line="39" w:lineRule="exact"/>
        <w:rPr>
          <w:sz w:val="20"/>
          <w:szCs w:val="20"/>
          <w:color w:val="auto"/>
        </w:rPr>
      </w:pPr>
    </w:p>
    <w:p>
      <w:pPr>
        <w:jc w:val="both"/>
        <w:ind w:left="120"/>
        <w:spacing w:after="0" w:line="231" w:lineRule="auto"/>
        <w:rPr>
          <w:sz w:val="20"/>
          <w:szCs w:val="20"/>
          <w:color w:val="auto"/>
        </w:rPr>
      </w:pPr>
      <w:r>
        <w:rPr>
          <w:rFonts w:ascii="Lucida Sans" w:cs="Lucida Sans" w:eastAsia="Lucida Sans" w:hAnsi="Lucida Sans"/>
          <w:sz w:val="19"/>
          <w:szCs w:val="19"/>
          <w:color w:val="262626"/>
        </w:rPr>
        <w:t>talent that can build from the ground up or redevelop our existing portfolio based on the highest and best use of a particular location is a huge advantage. So is a talented acquisition team that continues to refine and add to our own list of desirable properties for acquisition in our carefully chosen markets. No matter where we are in any given real estate cycle, we have an arrow or two in our quiver ready to be deployed.</w:t>
      </w:r>
    </w:p>
    <w:p>
      <w:pPr>
        <w:spacing w:after="0" w:line="236" w:lineRule="exact"/>
        <w:rPr>
          <w:sz w:val="20"/>
          <w:szCs w:val="20"/>
          <w:color w:val="auto"/>
        </w:rPr>
      </w:pPr>
    </w:p>
    <w:p>
      <w:pPr>
        <w:jc w:val="both"/>
        <w:ind w:left="120"/>
        <w:spacing w:after="0" w:line="231" w:lineRule="auto"/>
        <w:rPr>
          <w:sz w:val="20"/>
          <w:szCs w:val="20"/>
          <w:color w:val="auto"/>
        </w:rPr>
      </w:pPr>
      <w:r>
        <w:rPr>
          <w:rFonts w:ascii="Lucida Sans" w:cs="Lucida Sans" w:eastAsia="Lucida Sans" w:hAnsi="Lucida Sans"/>
          <w:sz w:val="19"/>
          <w:szCs w:val="19"/>
          <w:color w:val="262626"/>
        </w:rPr>
        <w:t>The combination of moderating inflation, a more settled interest rate outlook and a very favorable supply demand balance in our business suggest that we may be getting closer to a time when accelerated acquisition activity in particular, when coupled with our unique ability to re-develop and re-merchandise, could further boost our growth rate in the coming years.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420" w:val="left"/>
        </w:tabs>
        <w:rPr>
          <w:sz w:val="20"/>
          <w:szCs w:val="20"/>
          <w:color w:val="auto"/>
        </w:rPr>
      </w:pPr>
      <w:r>
        <w:rPr>
          <w:rFonts w:ascii="Lucida Sans" w:cs="Lucida Sans" w:eastAsia="Lucida Sans" w:hAnsi="Lucida Sans"/>
          <w:sz w:val="19"/>
          <w:szCs w:val="19"/>
          <w:b w:val="1"/>
          <w:bCs w:val="1"/>
          <w:color w:val="262626"/>
        </w:rPr>
        <w:t>I n</w:t>
        <w:tab/>
        <w:t>C l o s i n g</w:t>
      </w:r>
    </w:p>
    <w:p>
      <w:pPr>
        <w:spacing w:after="0" w:line="273" w:lineRule="exact"/>
        <w:rPr>
          <w:sz w:val="20"/>
          <w:szCs w:val="20"/>
          <w:color w:val="auto"/>
        </w:rPr>
      </w:pPr>
    </w:p>
    <w:p>
      <w:pPr>
        <w:jc w:val="both"/>
        <w:ind w:right="120"/>
        <w:spacing w:after="0" w:line="231" w:lineRule="auto"/>
        <w:rPr>
          <w:sz w:val="20"/>
          <w:szCs w:val="20"/>
          <w:color w:val="auto"/>
        </w:rPr>
      </w:pPr>
      <w:r>
        <w:rPr>
          <w:rFonts w:ascii="Lucida Sans" w:cs="Lucida Sans" w:eastAsia="Lucida Sans" w:hAnsi="Lucida Sans"/>
          <w:sz w:val="19"/>
          <w:szCs w:val="19"/>
          <w:color w:val="262626"/>
        </w:rPr>
        <w:t>Not a year goes by without reminder after reminder of the talent and dedication of the Federal Realty team. We’re a relatively small and tightknit group with only about 300 team members, many of whom have been together here at Federal for decades, while new team members additions add fresh ideas and viewpoints. The combination produces a level of creativity, pride and execution that is the envy of our profession. I am deeply grateful.</w:t>
      </w:r>
    </w:p>
    <w:p>
      <w:pPr>
        <w:spacing w:after="0" w:line="236" w:lineRule="exact"/>
        <w:rPr>
          <w:sz w:val="20"/>
          <w:szCs w:val="20"/>
          <w:color w:val="auto"/>
        </w:rPr>
      </w:pPr>
    </w:p>
    <w:p>
      <w:pPr>
        <w:jc w:val="both"/>
        <w:ind w:right="120"/>
        <w:spacing w:after="0" w:line="244" w:lineRule="auto"/>
        <w:rPr>
          <w:sz w:val="20"/>
          <w:szCs w:val="20"/>
          <w:color w:val="auto"/>
        </w:rPr>
      </w:pPr>
      <w:r>
        <w:rPr>
          <w:rFonts w:ascii="Lucida Sans" w:cs="Lucida Sans" w:eastAsia="Lucida Sans" w:hAnsi="Lucida Sans"/>
          <w:sz w:val="18"/>
          <w:szCs w:val="18"/>
          <w:color w:val="262626"/>
        </w:rPr>
        <w:t>Similarly, our Board of Trustees is also comprised of a combination of veteran Trustees and newer members who, like our team, come together in a Board united with a commitment and passion for professionalism and excellence and a focus on appropriately creating a valuable investment for our owners. On behalf of the Board of Trustees and our entire team, I thank you for your continued support and look forward to serving you in the years ahead.</w:t>
      </w:r>
    </w:p>
    <w:p>
      <w:pPr>
        <w:spacing w:after="0" w:line="246" w:lineRule="exact"/>
        <w:rPr>
          <w:sz w:val="20"/>
          <w:szCs w:val="20"/>
          <w:color w:val="auto"/>
        </w:rPr>
      </w:pPr>
    </w:p>
    <w:p>
      <w:pPr>
        <w:ind w:left="3200"/>
        <w:spacing w:after="0"/>
        <w:rPr>
          <w:sz w:val="20"/>
          <w:szCs w:val="20"/>
          <w:color w:val="auto"/>
        </w:rPr>
      </w:pPr>
      <w:r>
        <w:rPr>
          <w:rFonts w:ascii="Arial" w:cs="Arial" w:eastAsia="Arial" w:hAnsi="Arial"/>
          <w:sz w:val="19"/>
          <w:szCs w:val="19"/>
          <w:color w:val="262626"/>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203835</wp:posOffset>
            </wp:positionV>
            <wp:extent cx="1165860" cy="622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1165860" cy="6223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440" w:space="480"/>
            <w:col w:w="4440"/>
          </w:cols>
          <w:pgMar w:left="1440" w:top="1440" w:right="1440" w:bottom="9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720"/>
        <w:spacing w:after="0"/>
        <w:rPr>
          <w:sz w:val="20"/>
          <w:szCs w:val="20"/>
          <w:color w:val="auto"/>
        </w:rPr>
      </w:pPr>
      <w:r>
        <w:rPr>
          <w:rFonts w:ascii="Arial" w:cs="Arial" w:eastAsia="Arial" w:hAnsi="Arial"/>
          <w:sz w:val="20"/>
          <w:szCs w:val="20"/>
          <w:color w:val="262626"/>
        </w:rPr>
        <w:t>Donald C. Wood</w:t>
      </w:r>
    </w:p>
    <w:p>
      <w:pPr>
        <w:spacing w:after="0" w:line="130" w:lineRule="exact"/>
        <w:rPr>
          <w:sz w:val="20"/>
          <w:szCs w:val="20"/>
          <w:color w:val="auto"/>
        </w:rPr>
      </w:pPr>
    </w:p>
    <w:p>
      <w:pPr>
        <w:ind w:left="7120"/>
        <w:spacing w:after="0"/>
        <w:rPr>
          <w:sz w:val="20"/>
          <w:szCs w:val="20"/>
          <w:color w:val="auto"/>
        </w:rPr>
      </w:pPr>
      <w:r>
        <w:rPr>
          <w:rFonts w:ascii="Arial" w:cs="Arial" w:eastAsia="Arial" w:hAnsi="Arial"/>
          <w:sz w:val="20"/>
          <w:szCs w:val="20"/>
          <w:color w:val="262626"/>
        </w:rPr>
        <w:t>Chief Executive Officer</w:t>
      </w:r>
    </w:p>
    <w:p>
      <w:pPr>
        <w:sectPr>
          <w:pgSz w:w="12240" w:h="15840" w:orient="portrait"/>
          <w:cols w:equalWidth="0" w:num="1">
            <w:col w:w="9360"/>
          </w:cols>
          <w:pgMar w:left="1440" w:top="1440" w:right="1440" w:bottom="9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80"/>
        <w:spacing w:after="0"/>
        <w:tabs>
          <w:tab w:leader="none" w:pos="6120" w:val="left"/>
          <w:tab w:leader="none" w:pos="6960" w:val="left"/>
          <w:tab w:leader="none" w:pos="7140" w:val="left"/>
          <w:tab w:leader="none" w:pos="804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tab/>
        <w:t xml:space="preserve">R E P O R T </w:t>
      </w:r>
      <w:r>
        <w:rPr>
          <w:rFonts w:ascii="Georgia Pro" w:cs="Georgia Pro" w:eastAsia="Georgia Pro" w:hAnsi="Georgia Pro"/>
          <w:sz w:val="14"/>
          <w:szCs w:val="14"/>
          <w:b w:val="1"/>
          <w:bCs w:val="1"/>
          <w:color w:val="F15638"/>
        </w:rPr>
        <w:t>2023</w:t>
      </w:r>
    </w:p>
    <w:p>
      <w:pPr>
        <w:sectPr>
          <w:pgSz w:w="12240" w:h="15840" w:orient="portrait"/>
          <w:cols w:equalWidth="0" w:num="1">
            <w:col w:w="9360"/>
          </w:cols>
          <w:pgMar w:left="1440" w:top="1440" w:right="1440" w:bottom="971" w:gutter="0" w:footer="0" w:header="0"/>
          <w:type w:val="continuous"/>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28"/>
          <w:szCs w:val="28"/>
          <w:b w:val="1"/>
          <w:bCs w:val="1"/>
          <w:color w:val="231F20"/>
        </w:rPr>
        <w:t>UNITED STATES</w:t>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231F20"/>
        </w:rPr>
        <w:t>SECURITIES AND EXCHANGE COMMISSION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WASHINGTON, D.C. 20549</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231F20"/>
        </w:rPr>
        <w:t>FORM 10-K</w:t>
      </w:r>
    </w:p>
    <w:p>
      <w:pPr>
        <w:spacing w:after="0" w:line="179" w:lineRule="exact"/>
        <w:rPr>
          <w:sz w:val="20"/>
          <w:szCs w:val="20"/>
          <w:color w:val="auto"/>
        </w:rPr>
      </w:pPr>
    </w:p>
    <w:p>
      <w:pPr>
        <w:ind w:left="760" w:hanging="610"/>
        <w:spacing w:after="0"/>
        <w:tabs>
          <w:tab w:leader="none" w:pos="760" w:val="left"/>
        </w:tabs>
        <w:numPr>
          <w:ilvl w:val="0"/>
          <w:numId w:val="3"/>
        </w:numPr>
        <w:rPr>
          <w:rFonts w:ascii="Arial" w:cs="Arial" w:eastAsia="Arial" w:hAnsi="Arial"/>
          <w:sz w:val="24"/>
          <w:szCs w:val="24"/>
          <w:color w:val="231F20"/>
        </w:rPr>
      </w:pPr>
      <w:r>
        <w:rPr>
          <w:rFonts w:ascii="Times New Roman" w:cs="Times New Roman" w:eastAsia="Times New Roman" w:hAnsi="Times New Roman"/>
          <w:sz w:val="18"/>
          <w:szCs w:val="18"/>
          <w:b w:val="1"/>
          <w:bCs w:val="1"/>
          <w:color w:val="231F20"/>
        </w:rPr>
        <w:t>ANNUAL REPORT PURSUANT TO THE SECTION 13 OR 15(D) OF THE SECURITIES EXCHANGE ACT OF 1934</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2023</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127" w:lineRule="exact"/>
        <w:rPr>
          <w:sz w:val="20"/>
          <w:szCs w:val="20"/>
          <w:color w:val="auto"/>
        </w:rPr>
      </w:pPr>
    </w:p>
    <w:p>
      <w:pPr>
        <w:ind w:left="760" w:hanging="610"/>
        <w:spacing w:after="0"/>
        <w:tabs>
          <w:tab w:leader="none" w:pos="760" w:val="left"/>
        </w:tabs>
        <w:numPr>
          <w:ilvl w:val="0"/>
          <w:numId w:val="4"/>
        </w:numPr>
        <w:rPr>
          <w:rFonts w:ascii="Arial" w:cs="Arial" w:eastAsia="Arial" w:hAnsi="Arial"/>
          <w:sz w:val="24"/>
          <w:szCs w:val="24"/>
          <w:color w:val="231F20"/>
        </w:rPr>
      </w:pPr>
      <w:r>
        <w:rPr>
          <w:rFonts w:ascii="Times New Roman" w:cs="Times New Roman" w:eastAsia="Times New Roman" w:hAnsi="Times New Roman"/>
          <w:sz w:val="18"/>
          <w:szCs w:val="18"/>
          <w:b w:val="1"/>
          <w:bCs w:val="1"/>
          <w:color w:val="231F20"/>
        </w:rPr>
        <w:t>TRANSITION REPORT PURSUANT TO SECTION 13 OR 15(D) OF THE SECURITIES EXCHANGE ACT OF 1934</w:t>
      </w:r>
    </w:p>
    <w:p>
      <w:pPr>
        <w:spacing w:after="0" w:line="88" w:lineRule="exact"/>
        <w:rPr>
          <w:sz w:val="20"/>
          <w:szCs w:val="20"/>
          <w:color w:val="auto"/>
        </w:rPr>
      </w:pPr>
    </w:p>
    <w:p>
      <w:pPr>
        <w:ind w:left="3160"/>
        <w:spacing w:after="0"/>
        <w:tabs>
          <w:tab w:leader="none" w:pos="6440" w:val="left"/>
        </w:tabs>
        <w:rPr>
          <w:sz w:val="20"/>
          <w:szCs w:val="20"/>
          <w:color w:val="auto"/>
        </w:rPr>
      </w:pPr>
      <w:r>
        <w:rPr>
          <w:rFonts w:ascii="Times New Roman" w:cs="Times New Roman" w:eastAsia="Times New Roman" w:hAnsi="Times New Roman"/>
          <w:sz w:val="20"/>
          <w:szCs w:val="20"/>
          <w:b w:val="1"/>
          <w:bCs w:val="1"/>
          <w:color w:val="231F20"/>
        </w:rPr>
        <w:t>For the transition period from</w:t>
      </w:r>
      <w:r>
        <w:rPr>
          <w:sz w:val="20"/>
          <w:szCs w:val="20"/>
          <w:color w:val="auto"/>
        </w:rPr>
        <w:tab/>
      </w:r>
      <w:r>
        <w:rPr>
          <w:rFonts w:ascii="Times New Roman" w:cs="Times New Roman" w:eastAsia="Times New Roman" w:hAnsi="Times New Roman"/>
          <w:sz w:val="19"/>
          <w:szCs w:val="19"/>
          <w:b w:val="1"/>
          <w:bCs w:val="1"/>
          <w:color w:val="231F20"/>
        </w:rPr>
        <w:t>to</w:t>
      </w:r>
    </w:p>
    <w:p>
      <w:pPr>
        <w:spacing w:after="0" w:line="27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231F20"/>
        </w:rPr>
        <w:t>Commission file number: 1-07533 (Federal Realty Investment Trust)</w:t>
      </w:r>
    </w:p>
    <w:p>
      <w:pPr>
        <w:spacing w:after="0" w:line="3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231F20"/>
        </w:rPr>
        <w:t>Commission file number: 333-262016-01 (Federal Realty OP LP)</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231F20"/>
        </w:rPr>
        <w:t>FEDERAL REALTY INVESTMENT TRUST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231F20"/>
        </w:rPr>
        <w:t>FEDERAL REALTY OP LP</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60" w:type="dxa"/>
            <w:vAlign w:val="bottom"/>
            <w:gridSpan w:val="4"/>
          </w:tcPr>
          <w:p>
            <w:pPr>
              <w:jc w:val="center"/>
              <w:ind w:left="288"/>
              <w:spacing w:after="0"/>
              <w:rPr>
                <w:sz w:val="20"/>
                <w:szCs w:val="20"/>
                <w:color w:val="auto"/>
              </w:rPr>
            </w:pPr>
            <w:r>
              <w:rPr>
                <w:rFonts w:ascii="Times New Roman" w:cs="Times New Roman" w:eastAsia="Times New Roman" w:hAnsi="Times New Roman"/>
                <w:sz w:val="20"/>
                <w:szCs w:val="20"/>
                <w:b w:val="1"/>
                <w:bCs w:val="1"/>
                <w:color w:val="231F20"/>
                <w:w w:val="99"/>
              </w:rPr>
              <w:t>Maryland (Federal Realty Investment Trust)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2"/>
          </w:tcPr>
          <w:p>
            <w:pPr>
              <w:jc w:val="center"/>
              <w:ind w:right="832"/>
              <w:spacing w:after="0"/>
              <w:rPr>
                <w:sz w:val="20"/>
                <w:szCs w:val="20"/>
                <w:color w:val="auto"/>
              </w:rPr>
            </w:pPr>
            <w:r>
              <w:rPr>
                <w:rFonts w:ascii="Times New Roman" w:cs="Times New Roman" w:eastAsia="Times New Roman" w:hAnsi="Times New Roman"/>
                <w:sz w:val="20"/>
                <w:szCs w:val="20"/>
                <w:b w:val="1"/>
                <w:bCs w:val="1"/>
                <w:color w:val="231F20"/>
                <w:w w:val="99"/>
              </w:rPr>
              <w:t>87-3916363</w:t>
            </w:r>
          </w:p>
        </w:tc>
      </w:tr>
      <w:tr>
        <w:trPr>
          <w:trHeight w:val="254"/>
        </w:trPr>
        <w:tc>
          <w:tcPr>
            <w:tcW w:w="4360" w:type="dxa"/>
            <w:vAlign w:val="bottom"/>
            <w:gridSpan w:val="4"/>
          </w:tcPr>
          <w:p>
            <w:pPr>
              <w:jc w:val="center"/>
              <w:ind w:left="288"/>
              <w:spacing w:after="0"/>
              <w:rPr>
                <w:sz w:val="20"/>
                <w:szCs w:val="20"/>
                <w:color w:val="auto"/>
              </w:rPr>
            </w:pPr>
            <w:r>
              <w:rPr>
                <w:rFonts w:ascii="Times New Roman" w:cs="Times New Roman" w:eastAsia="Times New Roman" w:hAnsi="Times New Roman"/>
                <w:sz w:val="20"/>
                <w:szCs w:val="20"/>
                <w:b w:val="1"/>
                <w:bCs w:val="1"/>
                <w:color w:val="231F20"/>
              </w:rPr>
              <w:t>Delaware (Federal Realty OP LP)</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0" w:type="dxa"/>
            <w:vAlign w:val="bottom"/>
            <w:gridSpan w:val="2"/>
          </w:tcPr>
          <w:p>
            <w:pPr>
              <w:jc w:val="center"/>
              <w:ind w:right="832"/>
              <w:spacing w:after="0"/>
              <w:rPr>
                <w:sz w:val="20"/>
                <w:szCs w:val="20"/>
                <w:color w:val="auto"/>
              </w:rPr>
            </w:pPr>
            <w:r>
              <w:rPr>
                <w:rFonts w:ascii="Times New Roman" w:cs="Times New Roman" w:eastAsia="Times New Roman" w:hAnsi="Times New Roman"/>
                <w:sz w:val="20"/>
                <w:szCs w:val="20"/>
                <w:b w:val="1"/>
                <w:bCs w:val="1"/>
                <w:color w:val="231F20"/>
                <w:w w:val="99"/>
              </w:rPr>
              <w:t>52-0782497</w:t>
            </w:r>
          </w:p>
        </w:tc>
      </w:tr>
      <w:tr>
        <w:trPr>
          <w:trHeight w:val="211"/>
        </w:trPr>
        <w:tc>
          <w:tcPr>
            <w:tcW w:w="1440" w:type="dxa"/>
            <w:vAlign w:val="bottom"/>
          </w:tcPr>
          <w:p>
            <w:pPr>
              <w:spacing w:after="0"/>
              <w:rPr>
                <w:sz w:val="18"/>
                <w:szCs w:val="18"/>
                <w:color w:val="auto"/>
              </w:rPr>
            </w:pPr>
          </w:p>
        </w:tc>
        <w:tc>
          <w:tcPr>
            <w:tcW w:w="2920" w:type="dxa"/>
            <w:vAlign w:val="bottom"/>
            <w:gridSpan w:val="3"/>
          </w:tcPr>
          <w:p>
            <w:pPr>
              <w:jc w:val="center"/>
              <w:ind w:right="970"/>
              <w:spacing w:after="0"/>
              <w:rPr>
                <w:sz w:val="20"/>
                <w:szCs w:val="20"/>
                <w:color w:val="auto"/>
              </w:rPr>
            </w:pPr>
            <w:r>
              <w:rPr>
                <w:rFonts w:ascii="Times New Roman" w:cs="Times New Roman" w:eastAsia="Times New Roman" w:hAnsi="Times New Roman"/>
                <w:sz w:val="16"/>
                <w:szCs w:val="16"/>
                <w:b w:val="1"/>
                <w:bCs w:val="1"/>
                <w:color w:val="231F20"/>
              </w:rPr>
              <w:t>(State of Organization)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ind w:right="1052"/>
              <w:spacing w:after="0"/>
              <w:rPr>
                <w:sz w:val="20"/>
                <w:szCs w:val="20"/>
                <w:color w:val="auto"/>
              </w:rPr>
            </w:pPr>
            <w:r>
              <w:rPr>
                <w:rFonts w:ascii="Times New Roman" w:cs="Times New Roman" w:eastAsia="Times New Roman" w:hAnsi="Times New Roman"/>
                <w:sz w:val="16"/>
                <w:szCs w:val="16"/>
                <w:b w:val="1"/>
                <w:bCs w:val="1"/>
                <w:color w:val="231F20"/>
                <w:w w:val="99"/>
              </w:rPr>
              <w:t>(IRS Employer Identification No.)</w:t>
            </w:r>
          </w:p>
        </w:tc>
      </w:tr>
      <w:tr>
        <w:trPr>
          <w:trHeight w:val="278"/>
        </w:trPr>
        <w:tc>
          <w:tcPr>
            <w:tcW w:w="1440" w:type="dxa"/>
            <w:vAlign w:val="bottom"/>
          </w:tcPr>
          <w:p>
            <w:pPr>
              <w:spacing w:after="0"/>
              <w:rPr>
                <w:sz w:val="24"/>
                <w:szCs w:val="24"/>
                <w:color w:val="auto"/>
              </w:rPr>
            </w:pPr>
          </w:p>
        </w:tc>
        <w:tc>
          <w:tcPr>
            <w:tcW w:w="8620" w:type="dxa"/>
            <w:vAlign w:val="bottom"/>
            <w:gridSpan w:val="9"/>
          </w:tcPr>
          <w:p>
            <w:pPr>
              <w:jc w:val="center"/>
              <w:ind w:right="972"/>
              <w:spacing w:after="0"/>
              <w:rPr>
                <w:sz w:val="20"/>
                <w:szCs w:val="20"/>
                <w:color w:val="auto"/>
              </w:rPr>
            </w:pPr>
            <w:r>
              <w:rPr>
                <w:rFonts w:ascii="Times New Roman" w:cs="Times New Roman" w:eastAsia="Times New Roman" w:hAnsi="Times New Roman"/>
                <w:sz w:val="18"/>
                <w:szCs w:val="18"/>
                <w:b w:val="1"/>
                <w:bCs w:val="1"/>
                <w:color w:val="231F20"/>
              </w:rPr>
              <w:t>909 Rose Avenue, Suite 200, North Bethesda, Maryland 20852</w:t>
            </w:r>
          </w:p>
        </w:tc>
      </w:tr>
      <w:tr>
        <w:trPr>
          <w:trHeight w:val="211"/>
        </w:trPr>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231F20"/>
              </w:rPr>
              <w:t>(Address of Principal Executive Offices)</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231F20"/>
              </w:rPr>
              <w:t>(Zip Code)</w:t>
            </w:r>
          </w:p>
        </w:tc>
      </w:tr>
      <w:tr>
        <w:trPr>
          <w:trHeight w:val="300"/>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231F20"/>
                <w:w w:val="99"/>
              </w:rPr>
              <w:t>(301) 998-8100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1"/>
        </w:trPr>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60" w:type="dxa"/>
            <w:vAlign w:val="bottom"/>
            <w:gridSpan w:val="8"/>
          </w:tcPr>
          <w:p>
            <w:pPr>
              <w:jc w:val="center"/>
              <w:ind w:right="2472"/>
              <w:spacing w:after="0"/>
              <w:rPr>
                <w:sz w:val="20"/>
                <w:szCs w:val="20"/>
                <w:color w:val="auto"/>
              </w:rPr>
            </w:pPr>
            <w:r>
              <w:rPr>
                <w:rFonts w:ascii="Times New Roman" w:cs="Times New Roman" w:eastAsia="Times New Roman" w:hAnsi="Times New Roman"/>
                <w:sz w:val="16"/>
                <w:szCs w:val="16"/>
                <w:b w:val="1"/>
                <w:bCs w:val="1"/>
                <w:color w:val="231F20"/>
                <w:w w:val="99"/>
              </w:rPr>
              <w:t>(Registrant’s Telephone Number, Including Area Code)</w:t>
            </w:r>
          </w:p>
        </w:tc>
      </w:tr>
      <w:tr>
        <w:trPr>
          <w:trHeight w:val="312"/>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Securities registered pursuant to Section 12(b) of the Act: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3"/>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tcBorders>
              <w:bottom w:val="single" w:sz="8" w:color="231F20"/>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231F20"/>
              </w:rPr>
              <w:t>Federal Realty Investment Trust</w:t>
            </w:r>
          </w:p>
        </w:tc>
        <w:tc>
          <w:tcPr>
            <w:tcW w:w="3580" w:type="dxa"/>
            <w:vAlign w:val="bottom"/>
          </w:tcPr>
          <w:p>
            <w:pPr>
              <w:spacing w:after="0"/>
              <w:rPr>
                <w:sz w:val="24"/>
                <w:szCs w:val="24"/>
                <w:color w:val="auto"/>
              </w:rPr>
            </w:pPr>
          </w:p>
        </w:tc>
      </w:tr>
      <w:tr>
        <w:trPr>
          <w:trHeight w:val="325"/>
        </w:trPr>
        <w:tc>
          <w:tcPr>
            <w:tcW w:w="14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Title of Each Class</w:t>
            </w:r>
          </w:p>
        </w:tc>
        <w:tc>
          <w:tcPr>
            <w:tcW w:w="14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231F20"/>
              </w:rPr>
              <w:t>Trading Symbol</w:t>
            </w: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460" w:type="dxa"/>
            <w:vAlign w:val="bottom"/>
            <w:tcBorders>
              <w:right w:val="single" w:sz="8" w:color="231F20"/>
            </w:tcBorders>
            <w:shd w:val="clear" w:color="auto" w:fill="231F2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shd w:val="clear" w:color="auto" w:fill="231F20"/>
          </w:tcPr>
          <w:p>
            <w:pPr>
              <w:spacing w:after="0" w:line="20" w:lineRule="exact"/>
              <w:rPr>
                <w:sz w:val="1"/>
                <w:szCs w:val="1"/>
                <w:color w:val="auto"/>
              </w:rPr>
            </w:pPr>
          </w:p>
        </w:tc>
      </w:tr>
      <w:tr>
        <w:trPr>
          <w:trHeight w:val="250"/>
        </w:trPr>
        <w:tc>
          <w:tcPr>
            <w:tcW w:w="4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231F20"/>
                <w:w w:val="99"/>
              </w:rPr>
              <w:t>Common Shares of Beneficial Interest</w:t>
            </w:r>
          </w:p>
        </w:tc>
        <w:tc>
          <w:tcPr>
            <w:tcW w:w="220" w:type="dxa"/>
            <w:vAlign w:val="bottom"/>
          </w:tcPr>
          <w:p>
            <w:pPr>
              <w:spacing w:after="0"/>
              <w:rPr>
                <w:sz w:val="21"/>
                <w:szCs w:val="21"/>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231F20"/>
              </w:rPr>
              <w:t>FRT</w:t>
            </w:r>
          </w:p>
        </w:tc>
        <w:tc>
          <w:tcPr>
            <w:tcW w:w="22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New York Stock Exchange</w:t>
            </w:r>
          </w:p>
        </w:tc>
      </w:tr>
      <w:tr>
        <w:trPr>
          <w:trHeight w:val="180"/>
        </w:trPr>
        <w:tc>
          <w:tcPr>
            <w:tcW w:w="436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8"/>
                <w:szCs w:val="18"/>
                <w:color w:val="231F20"/>
                <w:w w:val="99"/>
              </w:rPr>
              <w:t>$.01 par value per share, with associated Common Share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34"/>
        </w:trPr>
        <w:tc>
          <w:tcPr>
            <w:tcW w:w="1440" w:type="dxa"/>
            <w:vAlign w:val="bottom"/>
          </w:tcPr>
          <w:p>
            <w:pPr>
              <w:spacing w:after="0"/>
              <w:rPr>
                <w:sz w:val="20"/>
                <w:szCs w:val="20"/>
                <w:color w:val="auto"/>
              </w:rPr>
            </w:pPr>
          </w:p>
        </w:tc>
        <w:tc>
          <w:tcPr>
            <w:tcW w:w="2920" w:type="dxa"/>
            <w:vAlign w:val="bottom"/>
            <w:gridSpan w:val="3"/>
          </w:tcPr>
          <w:p>
            <w:pPr>
              <w:jc w:val="center"/>
              <w:ind w:right="1390"/>
              <w:spacing w:after="0"/>
              <w:rPr>
                <w:sz w:val="20"/>
                <w:szCs w:val="20"/>
                <w:color w:val="auto"/>
              </w:rPr>
            </w:pPr>
            <w:r>
              <w:rPr>
                <w:rFonts w:ascii="Times New Roman" w:cs="Times New Roman" w:eastAsia="Times New Roman" w:hAnsi="Times New Roman"/>
                <w:sz w:val="18"/>
                <w:szCs w:val="18"/>
                <w:color w:val="231F20"/>
                <w:w w:val="99"/>
              </w:rPr>
              <w:t>Purchase Rights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305"/>
        </w:trPr>
        <w:tc>
          <w:tcPr>
            <w:tcW w:w="4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231F20"/>
              </w:rPr>
              <w:t>Depositary Shares, each representing 1/1000 of a share</w:t>
            </w:r>
          </w:p>
        </w:tc>
        <w:tc>
          <w:tcPr>
            <w:tcW w:w="220" w:type="dxa"/>
            <w:vAlign w:val="bottom"/>
          </w:tcPr>
          <w:p>
            <w:pPr>
              <w:spacing w:after="0"/>
              <w:rPr>
                <w:sz w:val="24"/>
                <w:szCs w:val="24"/>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231F20"/>
              </w:rPr>
              <w:t>FRT-C</w:t>
            </w: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New York Stock Exchange</w:t>
            </w:r>
          </w:p>
        </w:tc>
      </w:tr>
      <w:tr>
        <w:trPr>
          <w:trHeight w:val="180"/>
        </w:trPr>
        <w:tc>
          <w:tcPr>
            <w:tcW w:w="436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8"/>
                <w:szCs w:val="18"/>
                <w:color w:val="231F20"/>
                <w:w w:val="99"/>
              </w:rPr>
              <w:t>of 5.00% Series C Cumulative Redeemable Preferred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34"/>
        </w:trPr>
        <w:tc>
          <w:tcPr>
            <w:tcW w:w="4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231F20"/>
              </w:rPr>
              <w:t>Stock, $.01 par value per share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01"/>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rPr>
              <w:t>Federal Realty OP LP</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5"/>
        </w:trPr>
        <w:tc>
          <w:tcPr>
            <w:tcW w:w="1440" w:type="dxa"/>
            <w:vAlign w:val="bottom"/>
          </w:tcPr>
          <w:p>
            <w:pPr>
              <w:spacing w:after="0"/>
              <w:rPr>
                <w:sz w:val="24"/>
                <w:szCs w:val="24"/>
                <w:color w:val="auto"/>
              </w:rPr>
            </w:pPr>
          </w:p>
        </w:tc>
        <w:tc>
          <w:tcPr>
            <w:tcW w:w="2920" w:type="dxa"/>
            <w:vAlign w:val="bottom"/>
            <w:gridSpan w:val="3"/>
          </w:tcPr>
          <w:p>
            <w:pPr>
              <w:jc w:val="center"/>
              <w:ind w:right="1390"/>
              <w:spacing w:after="0"/>
              <w:rPr>
                <w:sz w:val="20"/>
                <w:szCs w:val="20"/>
                <w:color w:val="auto"/>
              </w:rPr>
            </w:pPr>
            <w:r>
              <w:rPr>
                <w:rFonts w:ascii="Times New Roman" w:cs="Times New Roman" w:eastAsia="Times New Roman" w:hAnsi="Times New Roman"/>
                <w:sz w:val="18"/>
                <w:szCs w:val="18"/>
                <w:b w:val="1"/>
                <w:bCs w:val="1"/>
                <w:color w:val="231F20"/>
                <w:w w:val="99"/>
              </w:rPr>
              <w:t>Title of Each Class</w:t>
            </w:r>
          </w:p>
        </w:tc>
        <w:tc>
          <w:tcPr>
            <w:tcW w:w="220" w:type="dxa"/>
            <w:vAlign w:val="bottom"/>
          </w:tcPr>
          <w:p>
            <w:pPr>
              <w:spacing w:after="0"/>
              <w:rPr>
                <w:sz w:val="24"/>
                <w:szCs w:val="24"/>
                <w:color w:val="auto"/>
              </w:rPr>
            </w:pPr>
          </w:p>
        </w:tc>
        <w:tc>
          <w:tcPr>
            <w:tcW w:w="16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231F20"/>
              </w:rPr>
              <w:t>Trading Symbol</w:t>
            </w: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Name of Each Exchange On Which Registered</w:t>
            </w:r>
          </w:p>
        </w:tc>
      </w:tr>
      <w:tr>
        <w:trPr>
          <w:trHeight w:val="285"/>
        </w:trPr>
        <w:tc>
          <w:tcPr>
            <w:tcW w:w="1440" w:type="dxa"/>
            <w:vAlign w:val="bottom"/>
          </w:tcPr>
          <w:p>
            <w:pPr>
              <w:spacing w:after="0"/>
              <w:rPr>
                <w:sz w:val="24"/>
                <w:szCs w:val="24"/>
                <w:color w:val="auto"/>
              </w:rPr>
            </w:pPr>
          </w:p>
        </w:tc>
        <w:tc>
          <w:tcPr>
            <w:tcW w:w="14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None</w:t>
            </w:r>
          </w:p>
        </w:tc>
        <w:tc>
          <w:tcPr>
            <w:tcW w:w="14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N/A</w:t>
            </w:r>
          </w:p>
        </w:tc>
        <w:tc>
          <w:tcPr>
            <w:tcW w:w="4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6"/>
              </w:rPr>
              <w:t>N/A</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Securities registered pursuant to Section 12(g) of the Act: None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Indicate by check mark if the registrant is a well-known seasoned issuer, as defined in Rule 405 of the Securities Act.</w:t>
      </w:r>
    </w:p>
    <w:p>
      <w:pPr>
        <w:sectPr>
          <w:pgSz w:w="12240" w:h="15840" w:orient="portrait"/>
          <w:cols w:equalWidth="0" w:num="1">
            <w:col w:w="10380"/>
          </w:cols>
          <w:pgMar w:left="900" w:top="1050" w:right="960" w:bottom="485" w:gutter="0" w:footer="0" w:header="0"/>
        </w:sectPr>
      </w:pP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Federal Realty Investment Trust Federal Realty OP LP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231F20"/>
        </w:rPr>
        <w:t>☒</w:t>
      </w:r>
    </w:p>
    <w:p>
      <w:pPr>
        <w:spacing w:after="0" w:line="242" w:lineRule="exact"/>
        <w:rPr>
          <w:sz w:val="20"/>
          <w:szCs w:val="20"/>
          <w:color w:val="auto"/>
        </w:rPr>
      </w:pPr>
      <w:r>
        <w:rPr>
          <w:rFonts w:ascii="Arial Unicode MS" w:cs="Arial Unicode MS" w:eastAsia="Arial Unicode MS" w:hAnsi="Arial Unicode MS"/>
          <w:sz w:val="18"/>
          <w:szCs w:val="18"/>
          <w:color w:val="231F20"/>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231F20"/>
        </w:rPr>
        <w:t>Yes Yes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231F20"/>
        </w:rPr>
        <w:t>☐</w:t>
      </w:r>
    </w:p>
    <w:p>
      <w:pPr>
        <w:spacing w:after="0" w:line="2"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231F20"/>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w:t>
      </w:r>
    </w:p>
    <w:p>
      <w:pPr>
        <w:spacing w:after="0" w:line="44" w:lineRule="exact"/>
        <w:rPr>
          <w:sz w:val="20"/>
          <w:szCs w:val="20"/>
          <w:color w:val="auto"/>
        </w:rPr>
      </w:pPr>
    </w:p>
    <w:p>
      <w:pPr>
        <w:sectPr>
          <w:pgSz w:w="12240" w:h="15840" w:orient="portrait"/>
          <w:cols w:equalWidth="0" w:num="5">
            <w:col w:w="2320" w:space="600"/>
            <w:col w:w="140" w:space="100"/>
            <w:col w:w="280" w:space="180"/>
            <w:col w:w="120" w:space="100"/>
            <w:col w:w="6540"/>
          </w:cols>
          <w:pgMar w:left="900" w:top="1050" w:right="960" w:bottom="485"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231F20"/>
        </w:rPr>
        <w:t>Indicate by check mark if the registrant is not required to file reports pursuant to Section 13 or Section 15(d) of the Act.</w:t>
      </w:r>
    </w:p>
    <w:p>
      <w:pPr>
        <w:sectPr>
          <w:pgSz w:w="12240" w:h="15840" w:orient="portrait"/>
          <w:cols w:equalWidth="0" w:num="1">
            <w:col w:w="10380"/>
          </w:cols>
          <w:pgMar w:left="900" w:top="1050" w:right="960" w:bottom="485" w:gutter="0" w:footer="0" w:header="0"/>
          <w:type w:val="continuous"/>
        </w:sectPr>
      </w:pP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Federal Realty Investment Trust Federal Realty OP LP</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Yes</w:t>
      </w:r>
    </w:p>
    <w:p>
      <w:pPr>
        <w:spacing w:after="0" w:line="225"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Yes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No</w:t>
      </w:r>
    </w:p>
    <w:p>
      <w:pPr>
        <w:spacing w:after="0" w:line="242"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No</w:t>
      </w:r>
    </w:p>
    <w:p>
      <w:pPr>
        <w:spacing w:after="0" w:line="40" w:lineRule="exact"/>
        <w:rPr>
          <w:sz w:val="20"/>
          <w:szCs w:val="20"/>
          <w:color w:val="auto"/>
        </w:rPr>
      </w:pPr>
    </w:p>
    <w:p>
      <w:pPr>
        <w:sectPr>
          <w:pgSz w:w="12240" w:h="15840" w:orient="portrait"/>
          <w:cols w:equalWidth="0" w:num="3">
            <w:col w:w="2320" w:space="600"/>
            <w:col w:w="520" w:space="180"/>
            <w:col w:w="6760"/>
          </w:cols>
          <w:pgMar w:left="900" w:top="1050" w:right="960" w:bottom="485"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2240" w:h="15840" w:orient="portrait"/>
          <w:cols w:equalWidth="0" w:num="1">
            <w:col w:w="10380"/>
          </w:cols>
          <w:pgMar w:left="900" w:top="1050" w:right="960" w:bottom="485" w:gutter="0" w:footer="0" w:header="0"/>
          <w:type w:val="continuous"/>
        </w:sectPr>
      </w:pPr>
    </w:p>
    <w:p>
      <w:pPr>
        <w:spacing w:after="0" w:line="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Federal Realty Investment Trust Federal Realty OP LP</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Yes</w:t>
      </w:r>
    </w:p>
    <w:p>
      <w:pPr>
        <w:spacing w:after="0" w:line="225"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Yes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No</w:t>
      </w:r>
    </w:p>
    <w:p>
      <w:pPr>
        <w:spacing w:after="0" w:line="242" w:lineRule="exact"/>
        <w:rPr>
          <w:sz w:val="20"/>
          <w:szCs w:val="20"/>
          <w:color w:val="auto"/>
        </w:rPr>
      </w:pPr>
      <w:r>
        <w:rPr>
          <w:rFonts w:ascii="Arial Unicode MS" w:cs="Arial Unicode MS" w:eastAsia="Arial Unicode MS" w:hAnsi="Arial Unicode MS"/>
          <w:sz w:val="18"/>
          <w:szCs w:val="18"/>
          <w:color w:val="231F20"/>
        </w:rPr>
        <w:t>☐</w:t>
      </w:r>
      <w:r>
        <w:rPr>
          <w:rFonts w:ascii="Times New Roman" w:cs="Times New Roman" w:eastAsia="Times New Roman" w:hAnsi="Times New Roman"/>
          <w:sz w:val="18"/>
          <w:szCs w:val="18"/>
          <w:color w:val="231F20"/>
        </w:rPr>
        <w:t xml:space="preserve"> No</w:t>
      </w:r>
    </w:p>
    <w:p>
      <w:pPr>
        <w:sectPr>
          <w:pgSz w:w="12240" w:h="15840" w:orient="portrait"/>
          <w:cols w:equalWidth="0" w:num="3">
            <w:col w:w="2320" w:space="560"/>
            <w:col w:w="520" w:space="180"/>
            <w:col w:w="6800"/>
          </w:cols>
          <w:pgMar w:left="900" w:top="1050" w:right="960" w:bottom="485" w:gutter="0" w:footer="0" w:header="0"/>
          <w:type w:val="continuous"/>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231F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31" w:lineRule="exact"/>
        <w:tabs>
          <w:tab w:leader="none" w:pos="2860" w:val="left"/>
        </w:tabs>
        <w:rPr>
          <w:sz w:val="20"/>
          <w:szCs w:val="20"/>
          <w:color w:val="auto"/>
        </w:rPr>
      </w:pPr>
      <w:r>
        <w:rPr>
          <w:rFonts w:ascii="Times New Roman" w:cs="Times New Roman" w:eastAsia="Times New Roman" w:hAnsi="Times New Roman"/>
          <w:sz w:val="18"/>
          <w:szCs w:val="18"/>
          <w:color w:val="231F20"/>
        </w:rPr>
        <w:t>Federal Realty Investment Trust</w:t>
      </w:r>
      <w:r>
        <w:rPr>
          <w:sz w:val="20"/>
          <w:szCs w:val="20"/>
          <w:color w:val="auto"/>
        </w:rPr>
        <w:tab/>
      </w:r>
      <w:r>
        <w:rPr>
          <w:rFonts w:ascii="Arial Unicode MS" w:cs="Arial Unicode MS" w:eastAsia="Arial Unicode MS" w:hAnsi="Arial Unicode MS"/>
          <w:sz w:val="18"/>
          <w:szCs w:val="18"/>
          <w:color w:val="231F20"/>
        </w:rPr>
        <w:t xml:space="preserve">☒ </w:t>
      </w:r>
      <w:r>
        <w:rPr>
          <w:rFonts w:ascii="Times New Roman" w:cs="Times New Roman" w:eastAsia="Times New Roman" w:hAnsi="Times New Roman"/>
          <w:sz w:val="18"/>
          <w:szCs w:val="18"/>
          <w:color w:val="231F20"/>
        </w:rPr>
        <w:t>Yes</w:t>
      </w:r>
      <w:r>
        <w:rPr>
          <w:rFonts w:ascii="Arial Unicode MS" w:cs="Arial Unicode MS" w:eastAsia="Arial Unicode MS" w:hAnsi="Arial Unicode MS"/>
          <w:sz w:val="18"/>
          <w:szCs w:val="18"/>
          <w:color w:val="231F20"/>
        </w:rPr>
        <w:t xml:space="preserve">  ☐ </w:t>
      </w:r>
      <w:r>
        <w:rPr>
          <w:rFonts w:ascii="Times New Roman" w:cs="Times New Roman" w:eastAsia="Times New Roman" w:hAnsi="Times New Roman"/>
          <w:sz w:val="18"/>
          <w:szCs w:val="18"/>
          <w:color w:val="231F20"/>
        </w:rPr>
        <w:t>No</w:t>
      </w:r>
    </w:p>
    <w:p>
      <w:pPr>
        <w:spacing w:after="0" w:line="242" w:lineRule="exact"/>
        <w:tabs>
          <w:tab w:leader="none" w:pos="2860" w:val="left"/>
        </w:tabs>
        <w:rPr>
          <w:sz w:val="20"/>
          <w:szCs w:val="20"/>
          <w:color w:val="auto"/>
        </w:rPr>
      </w:pPr>
      <w:r>
        <w:rPr>
          <w:rFonts w:ascii="Times New Roman" w:cs="Times New Roman" w:eastAsia="Times New Roman" w:hAnsi="Times New Roman"/>
          <w:sz w:val="18"/>
          <w:szCs w:val="18"/>
          <w:color w:val="231F20"/>
        </w:rPr>
        <w:t>Federal Realty OP LP</w:t>
      </w:r>
      <w:r>
        <w:rPr>
          <w:sz w:val="20"/>
          <w:szCs w:val="20"/>
          <w:color w:val="auto"/>
        </w:rPr>
        <w:tab/>
      </w:r>
      <w:r>
        <w:rPr>
          <w:rFonts w:ascii="Arial Unicode MS" w:cs="Arial Unicode MS" w:eastAsia="Arial Unicode MS" w:hAnsi="Arial Unicode MS"/>
          <w:sz w:val="18"/>
          <w:szCs w:val="18"/>
          <w:color w:val="231F20"/>
        </w:rPr>
        <w:t xml:space="preserve">☒ </w:t>
      </w:r>
      <w:r>
        <w:rPr>
          <w:rFonts w:ascii="Times New Roman" w:cs="Times New Roman" w:eastAsia="Times New Roman" w:hAnsi="Times New Roman"/>
          <w:sz w:val="18"/>
          <w:szCs w:val="18"/>
          <w:color w:val="231F20"/>
        </w:rPr>
        <w:t>Yes</w:t>
      </w:r>
      <w:r>
        <w:rPr>
          <w:rFonts w:ascii="Arial Unicode MS" w:cs="Arial Unicode MS" w:eastAsia="Arial Unicode MS" w:hAnsi="Arial Unicode MS"/>
          <w:sz w:val="18"/>
          <w:szCs w:val="18"/>
          <w:color w:val="231F20"/>
        </w:rPr>
        <w:t xml:space="preserve">  ☐ </w:t>
      </w:r>
      <w:r>
        <w:rPr>
          <w:rFonts w:ascii="Times New Roman" w:cs="Times New Roman" w:eastAsia="Times New Roman" w:hAnsi="Times New Roman"/>
          <w:sz w:val="18"/>
          <w:szCs w:val="18"/>
          <w:color w:val="231F20"/>
        </w:rPr>
        <w:t>No</w:t>
      </w:r>
    </w:p>
    <w:p>
      <w:pPr>
        <w:sectPr>
          <w:pgSz w:w="12240" w:h="15840" w:orient="portrait"/>
          <w:cols w:equalWidth="0" w:num="1">
            <w:col w:w="10360"/>
          </w:cols>
          <w:pgMar w:left="900" w:top="754" w:right="980" w:bottom="1440" w:gutter="0" w:footer="0" w:header="0"/>
        </w:sectPr>
      </w:pP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32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8"/>
                <w:szCs w:val="18"/>
                <w:color w:val="231F20"/>
                <w:w w:val="98"/>
              </w:rPr>
              <w:t>Federal Realty Investment Trust</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79"/>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Large 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231F20"/>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231F20"/>
              </w:rPr>
              <w:t>Accelerated filer</w:t>
            </w:r>
          </w:p>
        </w:tc>
      </w:tr>
      <w:tr>
        <w:trPr>
          <w:trHeight w:val="330"/>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Non-accelerated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231F20"/>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231F20"/>
                <w:w w:val="98"/>
              </w:rPr>
              <w:t>Smaller reporting company</w:t>
            </w:r>
          </w:p>
        </w:tc>
      </w:tr>
      <w:tr>
        <w:trPr>
          <w:trHeight w:val="316"/>
        </w:trPr>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231F20"/>
                <w:w w:val="98"/>
              </w:rPr>
              <w:t>Emerging growth company</w:t>
            </w:r>
          </w:p>
        </w:tc>
      </w:tr>
      <w:tr>
        <w:trPr>
          <w:trHeight w:val="225"/>
        </w:trPr>
        <w:tc>
          <w:tcPr>
            <w:tcW w:w="15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color w:val="231F20"/>
                <w:w w:val="98"/>
              </w:rPr>
              <w:t>Federal Realty OP LP</w:t>
            </w:r>
          </w:p>
        </w:tc>
        <w:tc>
          <w:tcPr>
            <w:tcW w:w="800" w:type="dxa"/>
            <w:vAlign w:val="bottom"/>
            <w:gridSpan w:val="2"/>
          </w:tcPr>
          <w:p>
            <w:pPr>
              <w:spacing w:after="0"/>
              <w:rPr>
                <w:sz w:val="19"/>
                <w:szCs w:val="19"/>
                <w:color w:val="auto"/>
              </w:rPr>
            </w:pPr>
          </w:p>
        </w:tc>
        <w:tc>
          <w:tcPr>
            <w:tcW w:w="136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Large 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231F20"/>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231F20"/>
              </w:rPr>
              <w:t>Accelerated filer</w:t>
            </w:r>
          </w:p>
        </w:tc>
      </w:tr>
      <w:tr>
        <w:trPr>
          <w:trHeight w:val="315"/>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Non-accelerated filer</w:t>
            </w:r>
          </w:p>
        </w:tc>
        <w:tc>
          <w:tcPr>
            <w:tcW w:w="13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231F20"/>
              </w:rPr>
              <w:t>☒</w:t>
            </w: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231F20"/>
                <w:w w:val="98"/>
              </w:rPr>
              <w:t>Smaller reporting company</w:t>
            </w:r>
          </w:p>
        </w:tc>
      </w:tr>
      <w:tr>
        <w:trPr>
          <w:trHeight w:val="301"/>
        </w:trPr>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color w:val="231F20"/>
                <w:w w:val="98"/>
              </w:rPr>
              <w:t>Emerging growth company</w:t>
            </w:r>
          </w:p>
        </w:tc>
      </w:tr>
    </w:tbl>
    <w:p>
      <w:pPr>
        <w:spacing w:after="0" w:line="134" w:lineRule="exact"/>
        <w:rPr>
          <w:sz w:val="20"/>
          <w:szCs w:val="20"/>
          <w:color w:val="auto"/>
        </w:rPr>
      </w:pPr>
    </w:p>
    <w:p>
      <w:pPr>
        <w:ind w:left="60" w:right="260"/>
        <w:spacing w:after="0"/>
        <w:rPr>
          <w:sz w:val="20"/>
          <w:szCs w:val="20"/>
          <w:color w:val="auto"/>
        </w:rPr>
      </w:pPr>
      <w:r>
        <w:rPr>
          <w:rFonts w:ascii="Times New Roman" w:cs="Times New Roman" w:eastAsia="Times New Roman" w:hAnsi="Times New Roman"/>
          <w:sz w:val="18"/>
          <w:szCs w:val="18"/>
          <w:color w:val="231F20"/>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2" w:lineRule="exact"/>
        <w:rPr>
          <w:sz w:val="20"/>
          <w:szCs w:val="20"/>
          <w:color w:val="auto"/>
        </w:rPr>
      </w:pPr>
    </w:p>
    <w:p>
      <w:pPr>
        <w:ind w:left="60" w:right="60"/>
        <w:spacing w:after="0" w:line="229" w:lineRule="auto"/>
        <w:rPr>
          <w:sz w:val="20"/>
          <w:szCs w:val="20"/>
          <w:color w:val="auto"/>
        </w:rPr>
      </w:pPr>
      <w:r>
        <w:rPr>
          <w:rFonts w:ascii="Times New Roman" w:cs="Times New Roman" w:eastAsia="Times New Roman" w:hAnsi="Times New Roman"/>
          <w:sz w:val="18"/>
          <w:szCs w:val="18"/>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p>
    <w:p>
      <w:pPr>
        <w:spacing w:after="0" w:line="6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p>
    <w:p>
      <w:pPr>
        <w:spacing w:after="0" w:line="7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p>
    <w:p>
      <w:pPr>
        <w:spacing w:after="0" w:line="22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p>
    <w:p>
      <w:pPr>
        <w:spacing w:after="0" w:line="4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p>
    <w:p>
      <w:pPr>
        <w:spacing w:after="0" w:line="6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p>
    <w:p>
      <w:pPr>
        <w:spacing w:after="0" w:line="6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p>
    <w:p>
      <w:pPr>
        <w:spacing w:after="0" w:line="802" w:lineRule="exact"/>
        <w:rPr>
          <w:sz w:val="20"/>
          <w:szCs w:val="20"/>
          <w:color w:val="auto"/>
        </w:rPr>
      </w:pPr>
    </w:p>
    <w:p>
      <w:pPr>
        <w:sectPr>
          <w:pgSz w:w="12240" w:h="15840" w:orient="portrait"/>
          <w:cols w:equalWidth="0" w:num="2">
            <w:col w:w="10160" w:space="40"/>
            <w:col w:w="160"/>
          </w:cols>
          <w:pgMar w:left="900" w:top="754" w:right="980" w:bottom="1440" w:gutter="0" w:footer="0" w:header="0"/>
          <w:type w:val="continuous"/>
        </w:sectPr>
      </w:pPr>
    </w:p>
    <w:tbl>
      <w:tblPr>
        <w:tblLayout w:type="fixed"/>
        <w:tblInd w:w="60" w:type="dxa"/>
        <w:tblCellMar>
          <w:top w:w="0" w:type="dxa"/>
          <w:left w:w="0" w:type="dxa"/>
          <w:bottom w:w="0" w:type="dxa"/>
          <w:right w:w="0" w:type="dxa"/>
        </w:tblCellMar>
      </w:tblPr>
      <w:tr>
        <w:trPr>
          <w:trHeight w:val="26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231F20"/>
              </w:rPr>
              <w:t>Federal Realty Investment Trust</w:t>
            </w:r>
          </w:p>
        </w:tc>
        <w:tc>
          <w:tcPr>
            <w:tcW w:w="220" w:type="dxa"/>
            <w:vAlign w:val="bottom"/>
          </w:tcPr>
          <w:p>
            <w:pPr>
              <w:ind w:left="80"/>
              <w:spacing w:after="0" w:line="263" w:lineRule="exact"/>
              <w:rPr>
                <w:sz w:val="20"/>
                <w:szCs w:val="20"/>
                <w:color w:val="auto"/>
              </w:rPr>
            </w:pPr>
            <w:r>
              <w:rPr>
                <w:rFonts w:ascii="Arial Unicode MS" w:cs="Arial Unicode MS" w:eastAsia="Arial Unicode MS" w:hAnsi="Arial Unicode MS"/>
                <w:sz w:val="20"/>
                <w:szCs w:val="20"/>
                <w:color w:val="231F20"/>
                <w:w w:val="81"/>
              </w:rPr>
              <w:t>☒</w:t>
            </w:r>
          </w:p>
        </w:tc>
      </w:tr>
      <w:tr>
        <w:trPr>
          <w:trHeight w:val="28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231F20"/>
              </w:rPr>
              <w:t>Federal Realty OP LP</w:t>
            </w:r>
          </w:p>
        </w:tc>
        <w:tc>
          <w:tcPr>
            <w:tcW w:w="220" w:type="dxa"/>
            <w:vAlign w:val="bottom"/>
          </w:tcPr>
          <w:p>
            <w:pPr>
              <w:ind w:left="80"/>
              <w:spacing w:after="0" w:line="268" w:lineRule="exact"/>
              <w:rPr>
                <w:sz w:val="20"/>
                <w:szCs w:val="20"/>
                <w:color w:val="auto"/>
              </w:rPr>
            </w:pPr>
            <w:r>
              <w:rPr>
                <w:rFonts w:ascii="Arial Unicode MS" w:cs="Arial Unicode MS" w:eastAsia="Arial Unicode MS" w:hAnsi="Arial Unicode MS"/>
                <w:sz w:val="20"/>
                <w:szCs w:val="20"/>
                <w:color w:val="231F20"/>
                <w:w w:val="81"/>
              </w:rPr>
              <w:t>☒</w:t>
            </w:r>
          </w:p>
        </w:tc>
      </w:tr>
    </w:tbl>
    <w:p>
      <w:pPr>
        <w:spacing w:after="0" w:line="65" w:lineRule="exact"/>
        <w:rPr>
          <w:sz w:val="20"/>
          <w:szCs w:val="20"/>
          <w:color w:val="auto"/>
        </w:rPr>
      </w:pPr>
    </w:p>
    <w:p>
      <w:pPr>
        <w:ind w:left="60" w:right="480"/>
        <w:spacing w:after="0"/>
        <w:rPr>
          <w:sz w:val="20"/>
          <w:szCs w:val="20"/>
          <w:color w:val="auto"/>
        </w:rPr>
      </w:pPr>
      <w:r>
        <w:rPr>
          <w:rFonts w:ascii="Times New Roman" w:cs="Times New Roman" w:eastAsia="Times New Roman" w:hAnsi="Times New Roman"/>
          <w:sz w:val="18"/>
          <w:szCs w:val="18"/>
          <w:color w:val="231F20"/>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49" w:lineRule="exact"/>
        <w:rPr>
          <w:sz w:val="20"/>
          <w:szCs w:val="20"/>
          <w:color w:val="auto"/>
        </w:rPr>
      </w:pPr>
    </w:p>
    <w:p>
      <w:pPr>
        <w:ind w:left="60"/>
        <w:spacing w:after="0" w:line="242" w:lineRule="exact"/>
        <w:rPr>
          <w:sz w:val="20"/>
          <w:szCs w:val="20"/>
          <w:color w:val="auto"/>
        </w:rPr>
      </w:pPr>
      <w:r>
        <w:rPr>
          <w:rFonts w:ascii="Times New Roman" w:cs="Times New Roman" w:eastAsia="Times New Roman" w:hAnsi="Times New Roman"/>
          <w:sz w:val="18"/>
          <w:szCs w:val="18"/>
          <w:color w:val="231F20"/>
        </w:rPr>
        <w:t xml:space="preserve">Federal Realty Investment Trust  </w:t>
      </w:r>
      <w:r>
        <w:rPr>
          <w:rFonts w:ascii="Arial Unicode MS" w:cs="Arial Unicode MS" w:eastAsia="Arial Unicode MS" w:hAnsi="Arial Unicode MS"/>
          <w:sz w:val="18"/>
          <w:szCs w:val="18"/>
          <w:color w:val="231F20"/>
        </w:rPr>
        <w:t>☐</w:t>
      </w:r>
    </w:p>
    <w:p>
      <w:pPr>
        <w:spacing w:after="0" w:line="14" w:lineRule="exact"/>
        <w:rPr>
          <w:sz w:val="20"/>
          <w:szCs w:val="20"/>
          <w:color w:val="auto"/>
        </w:rPr>
      </w:pPr>
    </w:p>
    <w:p>
      <w:pPr>
        <w:ind w:left="60"/>
        <w:spacing w:after="0" w:line="215" w:lineRule="exact"/>
        <w:tabs>
          <w:tab w:leader="none" w:pos="2500" w:val="left"/>
        </w:tabs>
        <w:rPr>
          <w:sz w:val="20"/>
          <w:szCs w:val="20"/>
          <w:color w:val="auto"/>
        </w:rPr>
      </w:pPr>
      <w:r>
        <w:rPr>
          <w:rFonts w:ascii="Times New Roman" w:cs="Times New Roman" w:eastAsia="Times New Roman" w:hAnsi="Times New Roman"/>
          <w:sz w:val="18"/>
          <w:szCs w:val="18"/>
          <w:color w:val="231F20"/>
        </w:rPr>
        <w:t>Federal Realty OP LP</w:t>
      </w:r>
      <w:r>
        <w:rPr>
          <w:sz w:val="20"/>
          <w:szCs w:val="20"/>
          <w:color w:val="auto"/>
        </w:rPr>
        <w:tab/>
      </w:r>
      <w:r>
        <w:rPr>
          <w:rFonts w:ascii="Arial Unicode MS" w:cs="Arial Unicode MS" w:eastAsia="Arial Unicode MS" w:hAnsi="Arial Unicode MS"/>
          <w:sz w:val="16"/>
          <w:szCs w:val="16"/>
          <w:color w:val="231F20"/>
        </w:rPr>
        <w:t>☐</w:t>
      </w:r>
    </w:p>
    <w:p>
      <w:pPr>
        <w:spacing w:after="0" w:line="118" w:lineRule="exact"/>
        <w:rPr>
          <w:sz w:val="20"/>
          <w:szCs w:val="20"/>
          <w:color w:val="auto"/>
        </w:rPr>
      </w:pPr>
    </w:p>
    <w:p>
      <w:pPr>
        <w:jc w:val="both"/>
        <w:ind w:left="60" w:right="840"/>
        <w:spacing w:after="0" w:line="268" w:lineRule="auto"/>
        <w:rPr>
          <w:sz w:val="20"/>
          <w:szCs w:val="20"/>
          <w:color w:val="auto"/>
        </w:rPr>
      </w:pPr>
      <w:r>
        <w:rPr>
          <w:rFonts w:ascii="Times New Roman" w:cs="Times New Roman" w:eastAsia="Times New Roman" w:hAnsi="Times New Roman"/>
          <w:sz w:val="17"/>
          <w:szCs w:val="17"/>
          <w:color w:val="231F20"/>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26" w:lineRule="exact"/>
        <w:rPr>
          <w:sz w:val="20"/>
          <w:szCs w:val="20"/>
          <w:color w:val="auto"/>
        </w:rPr>
      </w:pPr>
    </w:p>
    <w:p>
      <w:pPr>
        <w:ind w:left="60"/>
        <w:spacing w:after="0" w:line="242" w:lineRule="exact"/>
        <w:rPr>
          <w:sz w:val="20"/>
          <w:szCs w:val="20"/>
          <w:color w:val="auto"/>
        </w:rPr>
      </w:pPr>
      <w:r>
        <w:rPr>
          <w:rFonts w:ascii="Times New Roman" w:cs="Times New Roman" w:eastAsia="Times New Roman" w:hAnsi="Times New Roman"/>
          <w:sz w:val="18"/>
          <w:szCs w:val="18"/>
          <w:color w:val="231F20"/>
        </w:rPr>
        <w:t xml:space="preserve">Federal Realty Investment Trust  </w:t>
      </w:r>
      <w:r>
        <w:rPr>
          <w:rFonts w:ascii="Arial Unicode MS" w:cs="Arial Unicode MS" w:eastAsia="Arial Unicode MS" w:hAnsi="Arial Unicode MS"/>
          <w:sz w:val="18"/>
          <w:szCs w:val="18"/>
          <w:color w:val="231F20"/>
        </w:rPr>
        <w:t>☐</w:t>
      </w:r>
    </w:p>
    <w:p>
      <w:pPr>
        <w:spacing w:after="0" w:line="14" w:lineRule="exact"/>
        <w:rPr>
          <w:sz w:val="20"/>
          <w:szCs w:val="20"/>
          <w:color w:val="auto"/>
        </w:rPr>
      </w:pPr>
    </w:p>
    <w:p>
      <w:pPr>
        <w:ind w:left="60"/>
        <w:spacing w:after="0" w:line="215" w:lineRule="exact"/>
        <w:tabs>
          <w:tab w:leader="none" w:pos="2500" w:val="left"/>
        </w:tabs>
        <w:rPr>
          <w:sz w:val="20"/>
          <w:szCs w:val="20"/>
          <w:color w:val="auto"/>
        </w:rPr>
      </w:pPr>
      <w:r>
        <w:rPr>
          <w:rFonts w:ascii="Times New Roman" w:cs="Times New Roman" w:eastAsia="Times New Roman" w:hAnsi="Times New Roman"/>
          <w:sz w:val="18"/>
          <w:szCs w:val="18"/>
          <w:color w:val="231F20"/>
        </w:rPr>
        <w:t>Federal Realty OP LP</w:t>
      </w:r>
      <w:r>
        <w:rPr>
          <w:sz w:val="20"/>
          <w:szCs w:val="20"/>
          <w:color w:val="auto"/>
        </w:rPr>
        <w:tab/>
      </w:r>
      <w:r>
        <w:rPr>
          <w:rFonts w:ascii="Arial Unicode MS" w:cs="Arial Unicode MS" w:eastAsia="Arial Unicode MS" w:hAnsi="Arial Unicode MS"/>
          <w:sz w:val="16"/>
          <w:szCs w:val="16"/>
          <w:color w:val="231F20"/>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Indicate by check mark whether the registrant is a shell company (as defined in Rule 12b-2 of the Act).</w:t>
      </w:r>
    </w:p>
    <w:p>
      <w:pPr>
        <w:spacing w:after="0" w:line="38" w:lineRule="exact"/>
        <w:rPr>
          <w:sz w:val="20"/>
          <w:szCs w:val="20"/>
          <w:color w:val="auto"/>
        </w:rPr>
      </w:pPr>
    </w:p>
    <w:p>
      <w:pPr>
        <w:spacing w:after="0" w:line="242" w:lineRule="exact"/>
        <w:tabs>
          <w:tab w:leader="none" w:pos="2860" w:val="left"/>
        </w:tabs>
        <w:rPr>
          <w:sz w:val="20"/>
          <w:szCs w:val="20"/>
          <w:color w:val="auto"/>
        </w:rPr>
      </w:pPr>
      <w:r>
        <w:rPr>
          <w:rFonts w:ascii="Times New Roman" w:cs="Times New Roman" w:eastAsia="Times New Roman" w:hAnsi="Times New Roman"/>
          <w:sz w:val="18"/>
          <w:szCs w:val="18"/>
          <w:color w:val="231F20"/>
        </w:rPr>
        <w:t>Federal Realty Investment Trust</w:t>
      </w:r>
      <w:r>
        <w:rPr>
          <w:sz w:val="20"/>
          <w:szCs w:val="20"/>
          <w:color w:val="auto"/>
        </w:rPr>
        <w:tab/>
      </w:r>
      <w:r>
        <w:rPr>
          <w:rFonts w:ascii="Arial Unicode MS" w:cs="Arial Unicode MS" w:eastAsia="Arial Unicode MS" w:hAnsi="Arial Unicode MS"/>
          <w:sz w:val="18"/>
          <w:szCs w:val="18"/>
          <w:color w:val="231F20"/>
        </w:rPr>
        <w:t xml:space="preserve">☐ </w:t>
      </w:r>
      <w:r>
        <w:rPr>
          <w:rFonts w:ascii="Times New Roman" w:cs="Times New Roman" w:eastAsia="Times New Roman" w:hAnsi="Times New Roman"/>
          <w:sz w:val="18"/>
          <w:szCs w:val="18"/>
          <w:color w:val="231F20"/>
        </w:rPr>
        <w:t>Yes</w:t>
      </w:r>
      <w:r>
        <w:rPr>
          <w:rFonts w:ascii="Arial Unicode MS" w:cs="Arial Unicode MS" w:eastAsia="Arial Unicode MS" w:hAnsi="Arial Unicode MS"/>
          <w:sz w:val="18"/>
          <w:szCs w:val="18"/>
          <w:color w:val="231F20"/>
        </w:rPr>
        <w:t xml:space="preserve">  ☒ </w:t>
      </w:r>
      <w:r>
        <w:rPr>
          <w:rFonts w:ascii="Times New Roman" w:cs="Times New Roman" w:eastAsia="Times New Roman" w:hAnsi="Times New Roman"/>
          <w:sz w:val="18"/>
          <w:szCs w:val="18"/>
          <w:color w:val="231F20"/>
        </w:rPr>
        <w:t>No</w:t>
      </w:r>
    </w:p>
    <w:p>
      <w:pPr>
        <w:spacing w:after="0" w:line="242" w:lineRule="exact"/>
        <w:tabs>
          <w:tab w:leader="none" w:pos="2860" w:val="left"/>
        </w:tabs>
        <w:rPr>
          <w:sz w:val="20"/>
          <w:szCs w:val="20"/>
          <w:color w:val="auto"/>
        </w:rPr>
      </w:pPr>
      <w:r>
        <w:rPr>
          <w:rFonts w:ascii="Times New Roman" w:cs="Times New Roman" w:eastAsia="Times New Roman" w:hAnsi="Times New Roman"/>
          <w:sz w:val="18"/>
          <w:szCs w:val="18"/>
          <w:color w:val="231F20"/>
        </w:rPr>
        <w:t>Federal Realty OP LP</w:t>
      </w:r>
      <w:r>
        <w:rPr>
          <w:sz w:val="20"/>
          <w:szCs w:val="20"/>
          <w:color w:val="auto"/>
        </w:rPr>
        <w:tab/>
      </w:r>
      <w:r>
        <w:rPr>
          <w:rFonts w:ascii="Arial Unicode MS" w:cs="Arial Unicode MS" w:eastAsia="Arial Unicode MS" w:hAnsi="Arial Unicode MS"/>
          <w:sz w:val="18"/>
          <w:szCs w:val="18"/>
          <w:color w:val="231F20"/>
        </w:rPr>
        <w:t xml:space="preserve">☐ </w:t>
      </w:r>
      <w:r>
        <w:rPr>
          <w:rFonts w:ascii="Times New Roman" w:cs="Times New Roman" w:eastAsia="Times New Roman" w:hAnsi="Times New Roman"/>
          <w:sz w:val="18"/>
          <w:szCs w:val="18"/>
          <w:color w:val="231F20"/>
        </w:rPr>
        <w:t>Yes</w:t>
      </w:r>
      <w:r>
        <w:rPr>
          <w:rFonts w:ascii="Arial Unicode MS" w:cs="Arial Unicode MS" w:eastAsia="Arial Unicode MS" w:hAnsi="Arial Unicode MS"/>
          <w:sz w:val="18"/>
          <w:szCs w:val="18"/>
          <w:color w:val="231F20"/>
        </w:rPr>
        <w:t xml:space="preserve">  ☒ </w:t>
      </w:r>
      <w:r>
        <w:rPr>
          <w:rFonts w:ascii="Times New Roman" w:cs="Times New Roman" w:eastAsia="Times New Roman" w:hAnsi="Times New Roman"/>
          <w:sz w:val="18"/>
          <w:szCs w:val="18"/>
          <w:color w:val="231F20"/>
        </w:rPr>
        <w:t>No</w:t>
      </w:r>
    </w:p>
    <w:p>
      <w:pPr>
        <w:spacing w:after="0" w:line="27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231F20"/>
        </w:rPr>
        <w:t>The aggregate market value of the registrant's common shares held by non-affiliates of the registrant, based upon the closing sales price of the registrant's common shares on June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Realty Investment Trust: $7.9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Realty OP LP: 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of Federal Realty Investment Trust's common shares outstanding on February 7, 2024 was 82,989,879.</w:t>
      </w:r>
    </w:p>
    <w:p>
      <w:pPr>
        <w:sectPr>
          <w:pgSz w:w="12240" w:h="15840" w:orient="portrait"/>
          <w:cols w:equalWidth="0" w:num="1">
            <w:col w:w="10360"/>
          </w:cols>
          <w:pgMar w:left="900" w:top="754" w:right="98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231F20"/>
        </w:rPr>
        <w:t>DOCUMENTS INCORPORATED BY REFERENCE</w:t>
      </w:r>
    </w:p>
    <w:p>
      <w:pPr>
        <w:spacing w:after="0" w:line="117" w:lineRule="exact"/>
        <w:rPr>
          <w:sz w:val="20"/>
          <w:szCs w:val="20"/>
          <w:color w:val="auto"/>
        </w:rPr>
      </w:pPr>
    </w:p>
    <w:p>
      <w:pPr>
        <w:ind w:right="220"/>
        <w:spacing w:after="0" w:line="309" w:lineRule="auto"/>
        <w:rPr>
          <w:sz w:val="20"/>
          <w:szCs w:val="20"/>
          <w:color w:val="auto"/>
        </w:rPr>
      </w:pPr>
      <w:r>
        <w:rPr>
          <w:rFonts w:ascii="Times New Roman" w:cs="Times New Roman" w:eastAsia="Times New Roman" w:hAnsi="Times New Roman"/>
          <w:sz w:val="19"/>
          <w:szCs w:val="19"/>
          <w:color w:val="231F20"/>
        </w:rPr>
        <w:t>Portions of Federal Realty Investment Trust’s Proxy Statement to be filed with the Securities and Exchange Commission (the "SEC") for its annual meeting of shareholders to be held in May 2024 will be incorporated by reference into Part III hereof.</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EXPLANATORY NOTE</w:t>
      </w:r>
    </w:p>
    <w:p>
      <w:pPr>
        <w:spacing w:after="0" w:line="11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9"/>
          <w:szCs w:val="19"/>
          <w:color w:val="231F20"/>
        </w:rPr>
        <w:t>This report combines the annual reports on Form 10-K for the year ended December 31, 2023,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5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December 31, 2023, the Parent Company owned 100% of the outstanding partnership units (the "OP Units") in the Operating Partnership.</w:t>
      </w:r>
    </w:p>
    <w:p>
      <w:pPr>
        <w:spacing w:after="0" w:line="6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231F20"/>
        </w:rPr>
        <w:t>The Company believes combining the annual reports on Form 10-K of the Parent Company and the Operating Partnership into this single report provides the following benefits:</w:t>
      </w:r>
    </w:p>
    <w:p>
      <w:pPr>
        <w:spacing w:after="0" w:line="41" w:lineRule="exact"/>
        <w:rPr>
          <w:sz w:val="20"/>
          <w:szCs w:val="20"/>
          <w:color w:val="auto"/>
        </w:rPr>
      </w:pPr>
    </w:p>
    <w:p>
      <w:pPr>
        <w:ind w:left="720" w:right="20" w:hanging="370"/>
        <w:spacing w:after="0" w:line="281"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Enhances investors' understanding of the Parent Company and the Operating Partnership by enabling investors to view the businesses as a whole in the same manner as management views and operates the business;</w:t>
      </w:r>
    </w:p>
    <w:p>
      <w:pPr>
        <w:spacing w:after="0" w:line="4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Eliminates duplicate disclosure and provides a more streamlined and readable presentation; and</w:t>
      </w:r>
    </w:p>
    <w:p>
      <w:pPr>
        <w:spacing w:after="0" w:line="1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Creates time and cost efficiencies through the preparation of one combined report instead of two separate reports.</w:t>
      </w:r>
    </w:p>
    <w:p>
      <w:pPr>
        <w:spacing w:after="0" w:line="110"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231F20"/>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Shareholders' equity, partner capital, and non-controlling interests are the primary areas of difference between the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ectPr>
          <w:pgSz w:w="12240" w:h="15840" w:orient="portrait"/>
          <w:cols w:equalWidth="0" w:num="1">
            <w:col w:w="10240"/>
          </w:cols>
          <w:pgMar w:left="1000" w:top="786" w:right="1000" w:bottom="1440" w:gutter="0" w:footer="0" w:header="0"/>
        </w:sectPr>
      </w:pPr>
    </w:p>
    <w:bookmarkStart w:id="9" w:name="page10"/>
    <w:bookmarkEnd w:id="9"/>
    <w:p>
      <w:pPr>
        <w:ind w:left="3080"/>
        <w:spacing w:after="0"/>
        <w:rPr>
          <w:sz w:val="20"/>
          <w:szCs w:val="20"/>
          <w:color w:val="auto"/>
        </w:rPr>
      </w:pPr>
      <w:r>
        <w:rPr>
          <w:rFonts w:ascii="Times New Roman" w:cs="Times New Roman" w:eastAsia="Times New Roman" w:hAnsi="Times New Roman"/>
          <w:sz w:val="20"/>
          <w:szCs w:val="20"/>
          <w:b w:val="1"/>
          <w:bCs w:val="1"/>
          <w:color w:val="231F20"/>
        </w:rPr>
        <w:t>FEDERAL REALTY INVESTMENT TRUST</w:t>
      </w:r>
    </w:p>
    <w:p>
      <w:pPr>
        <w:spacing w:after="0" w:line="3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231F20"/>
        </w:rPr>
        <w:t>FEDERAL REALTY OP LP</w:t>
      </w:r>
    </w:p>
    <w:p>
      <w:pPr>
        <w:spacing w:after="0" w:line="16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231F20"/>
        </w:rPr>
        <w:t>ANNUAL REPORT ON FORM 10-K</w:t>
      </w:r>
    </w:p>
    <w:p>
      <w:pPr>
        <w:spacing w:after="0" w:line="3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231F20"/>
        </w:rPr>
        <w:t>FISCAL YEAR ENDED DECEMBER 31, 2023</w:t>
      </w:r>
    </w:p>
    <w:p>
      <w:pPr>
        <w:spacing w:after="0" w:line="8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w:t>
      </w:r>
      <w:r>
        <w:rPr>
          <w:sz w:val="20"/>
          <w:szCs w:val="20"/>
          <w:color w:val="auto"/>
        </w:rPr>
        <w:tab/>
      </w:r>
      <w:r>
        <w:rPr>
          <w:rFonts w:ascii="Times New Roman" w:cs="Times New Roman" w:eastAsia="Times New Roman" w:hAnsi="Times New Roman"/>
          <w:sz w:val="20"/>
          <w:szCs w:val="20"/>
          <w:color w:val="231F20"/>
        </w:rPr>
        <w:t>3</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1A.</w:t>
      </w:r>
      <w:r>
        <w:rPr>
          <w:sz w:val="20"/>
          <w:szCs w:val="20"/>
          <w:color w:val="auto"/>
        </w:rPr>
        <w:tab/>
      </w:r>
      <w:r>
        <w:rPr>
          <w:rFonts w:ascii="Times New Roman" w:cs="Times New Roman" w:eastAsia="Times New Roman" w:hAnsi="Times New Roman"/>
          <w:sz w:val="20"/>
          <w:szCs w:val="20"/>
          <w:color w:val="231F20"/>
        </w:rPr>
        <w:t>Risk Factors</w:t>
      </w:r>
      <w:r>
        <w:rPr>
          <w:sz w:val="20"/>
          <w:szCs w:val="20"/>
          <w:color w:val="auto"/>
        </w:rPr>
        <w:tab/>
      </w:r>
      <w:r>
        <w:rPr>
          <w:rFonts w:ascii="Times New Roman" w:cs="Times New Roman" w:eastAsia="Times New Roman" w:hAnsi="Times New Roman"/>
          <w:sz w:val="20"/>
          <w:szCs w:val="20"/>
          <w:color w:val="231F20"/>
        </w:rPr>
        <w:t>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1B.</w:t>
      </w:r>
      <w:r>
        <w:rPr>
          <w:sz w:val="20"/>
          <w:szCs w:val="20"/>
          <w:color w:val="auto"/>
        </w:rPr>
        <w:tab/>
      </w:r>
      <w:r>
        <w:rPr>
          <w:rFonts w:ascii="Times New Roman" w:cs="Times New Roman" w:eastAsia="Times New Roman" w:hAnsi="Times New Roman"/>
          <w:sz w:val="20"/>
          <w:szCs w:val="20"/>
          <w:color w:val="231F20"/>
        </w:rPr>
        <w:t>Unresolved Staff Comments</w:t>
      </w:r>
      <w:r>
        <w:rPr>
          <w:sz w:val="20"/>
          <w:szCs w:val="20"/>
          <w:color w:val="auto"/>
        </w:rPr>
        <w:tab/>
      </w:r>
      <w:r>
        <w:rPr>
          <w:rFonts w:ascii="Times New Roman" w:cs="Times New Roman" w:eastAsia="Times New Roman" w:hAnsi="Times New Roman"/>
          <w:sz w:val="20"/>
          <w:szCs w:val="20"/>
          <w:color w:val="231F20"/>
        </w:rPr>
        <w:t>19</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1C.</w:t>
      </w:r>
      <w:r>
        <w:rPr>
          <w:sz w:val="20"/>
          <w:szCs w:val="20"/>
          <w:color w:val="auto"/>
        </w:rPr>
        <w:tab/>
      </w:r>
      <w:r>
        <w:rPr>
          <w:rFonts w:ascii="Times New Roman" w:cs="Times New Roman" w:eastAsia="Times New Roman" w:hAnsi="Times New Roman"/>
          <w:sz w:val="20"/>
          <w:szCs w:val="20"/>
          <w:color w:val="231F20"/>
        </w:rPr>
        <w:t>Cyber Security</w:t>
      </w:r>
      <w:r>
        <w:rPr>
          <w:sz w:val="20"/>
          <w:szCs w:val="20"/>
          <w:color w:val="auto"/>
        </w:rPr>
        <w:tab/>
      </w:r>
      <w:r>
        <w:rPr>
          <w:rFonts w:ascii="Times New Roman" w:cs="Times New Roman" w:eastAsia="Times New Roman" w:hAnsi="Times New Roman"/>
          <w:sz w:val="20"/>
          <w:szCs w:val="20"/>
          <w:color w:val="231F20"/>
        </w:rPr>
        <w:t>19</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w:t>
      </w:r>
      <w:r>
        <w:rPr>
          <w:sz w:val="20"/>
          <w:szCs w:val="20"/>
          <w:color w:val="auto"/>
        </w:rPr>
        <w:tab/>
      </w:r>
      <w:r>
        <w:rPr>
          <w:rFonts w:ascii="Times New Roman" w:cs="Times New Roman" w:eastAsia="Times New Roman" w:hAnsi="Times New Roman"/>
          <w:sz w:val="20"/>
          <w:szCs w:val="20"/>
          <w:color w:val="231F20"/>
        </w:rPr>
        <w:t>19</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color w:val="231F20"/>
        </w:rPr>
        <w:t>Legal Proceedings</w:t>
      </w:r>
      <w:r>
        <w:rPr>
          <w:sz w:val="20"/>
          <w:szCs w:val="20"/>
          <w:color w:val="auto"/>
        </w:rPr>
        <w:tab/>
      </w:r>
      <w:r>
        <w:rPr>
          <w:rFonts w:ascii="Times New Roman" w:cs="Times New Roman" w:eastAsia="Times New Roman" w:hAnsi="Times New Roman"/>
          <w:sz w:val="20"/>
          <w:szCs w:val="20"/>
          <w:color w:val="231F20"/>
        </w:rPr>
        <w:t>28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w:t>
      </w:r>
      <w:r>
        <w:rPr>
          <w:sz w:val="20"/>
          <w:szCs w:val="20"/>
          <w:color w:val="auto"/>
        </w:rPr>
        <w:tab/>
      </w:r>
      <w:r>
        <w:rPr>
          <w:rFonts w:ascii="Times New Roman" w:cs="Times New Roman" w:eastAsia="Times New Roman" w:hAnsi="Times New Roman"/>
          <w:sz w:val="20"/>
          <w:szCs w:val="20"/>
          <w:color w:val="231F20"/>
        </w:rPr>
        <w:t>28</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II</w:t>
      </w:r>
    </w:p>
    <w:p>
      <w:pPr>
        <w:spacing w:after="0" w:line="3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19"/>
          <w:szCs w:val="19"/>
          <w:color w:val="231F20"/>
        </w:rPr>
        <w:t>Market for Our Common Equity and Related Shareholder Matters and Issuer Purchases of Equity</w:t>
      </w:r>
    </w:p>
    <w:p>
      <w:pPr>
        <w:spacing w:after="0" w:line="23"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20"/>
          <w:szCs w:val="20"/>
          <w:color w:val="231F20"/>
        </w:rPr>
        <w:t>Securities</w:t>
      </w:r>
      <w:r>
        <w:rPr>
          <w:sz w:val="20"/>
          <w:szCs w:val="20"/>
          <w:color w:val="auto"/>
        </w:rPr>
        <w:tab/>
      </w:r>
      <w:r>
        <w:rPr>
          <w:rFonts w:ascii="Times New Roman" w:cs="Times New Roman" w:eastAsia="Times New Roman" w:hAnsi="Times New Roman"/>
          <w:sz w:val="20"/>
          <w:szCs w:val="20"/>
          <w:color w:val="231F20"/>
        </w:rPr>
        <w:t>29</w:t>
      </w:r>
    </w:p>
    <w:p>
      <w:pPr>
        <w:spacing w:after="0" w:line="33"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w:t>
      </w:r>
      <w:r>
        <w:rPr>
          <w:sz w:val="20"/>
          <w:szCs w:val="20"/>
          <w:color w:val="auto"/>
        </w:rPr>
        <w:tab/>
      </w:r>
      <w:r>
        <w:rPr>
          <w:rFonts w:ascii="Times New Roman" w:cs="Times New Roman" w:eastAsia="Times New Roman" w:hAnsi="Times New Roman"/>
          <w:sz w:val="20"/>
          <w:szCs w:val="20"/>
          <w:color w:val="231F20"/>
        </w:rPr>
        <w:t>31</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231F20"/>
        </w:rPr>
        <w:t>31</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7A.</w:t>
      </w:r>
      <w:r>
        <w:rPr>
          <w:sz w:val="20"/>
          <w:szCs w:val="20"/>
          <w:color w:val="auto"/>
        </w:rPr>
        <w:tab/>
      </w:r>
      <w:r>
        <w:rPr>
          <w:rFonts w:ascii="Times New Roman" w:cs="Times New Roman" w:eastAsia="Times New Roman" w:hAnsi="Times New Roman"/>
          <w:sz w:val="20"/>
          <w:szCs w:val="20"/>
          <w:color w:val="231F20"/>
        </w:rPr>
        <w:t>Quantitative and Qualitative Disclosures About Market Risk</w:t>
      </w:r>
      <w:r>
        <w:rPr>
          <w:sz w:val="20"/>
          <w:szCs w:val="20"/>
          <w:color w:val="auto"/>
        </w:rPr>
        <w:tab/>
      </w:r>
      <w:r>
        <w:rPr>
          <w:rFonts w:ascii="Times New Roman" w:cs="Times New Roman" w:eastAsia="Times New Roman" w:hAnsi="Times New Roman"/>
          <w:sz w:val="20"/>
          <w:szCs w:val="20"/>
          <w:color w:val="231F20"/>
        </w:rPr>
        <w:t>47</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Financial Statements and Supplementary Data</w:t>
      </w:r>
      <w:r>
        <w:rPr>
          <w:sz w:val="20"/>
          <w:szCs w:val="20"/>
          <w:color w:val="auto"/>
        </w:rPr>
        <w:tab/>
      </w:r>
      <w:r>
        <w:rPr>
          <w:rFonts w:ascii="Times New Roman" w:cs="Times New Roman" w:eastAsia="Times New Roman" w:hAnsi="Times New Roman"/>
          <w:sz w:val="20"/>
          <w:szCs w:val="20"/>
          <w:color w:val="231F20"/>
        </w:rPr>
        <w:t>48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231F20"/>
        </w:rPr>
        <w:t>48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9A.</w:t>
      </w:r>
      <w:r>
        <w:rPr>
          <w:sz w:val="20"/>
          <w:szCs w:val="20"/>
          <w:color w:val="auto"/>
        </w:rPr>
        <w:tab/>
      </w:r>
      <w:r>
        <w:rPr>
          <w:rFonts w:ascii="Times New Roman" w:cs="Times New Roman" w:eastAsia="Times New Roman" w:hAnsi="Times New Roman"/>
          <w:sz w:val="20"/>
          <w:szCs w:val="20"/>
          <w:color w:val="231F20"/>
        </w:rPr>
        <w:t>Controls and Procedures</w:t>
      </w:r>
      <w:r>
        <w:rPr>
          <w:sz w:val="20"/>
          <w:szCs w:val="20"/>
          <w:color w:val="auto"/>
        </w:rPr>
        <w:tab/>
      </w:r>
      <w:r>
        <w:rPr>
          <w:rFonts w:ascii="Times New Roman" w:cs="Times New Roman" w:eastAsia="Times New Roman" w:hAnsi="Times New Roman"/>
          <w:sz w:val="20"/>
          <w:szCs w:val="20"/>
          <w:color w:val="231F20"/>
        </w:rPr>
        <w:t>48</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9B.</w:t>
      </w:r>
      <w:r>
        <w:rPr>
          <w:sz w:val="20"/>
          <w:szCs w:val="20"/>
          <w:color w:val="auto"/>
        </w:rPr>
        <w:tab/>
      </w:r>
      <w:r>
        <w:rPr>
          <w:rFonts w:ascii="Times New Roman" w:cs="Times New Roman" w:eastAsia="Times New Roman" w:hAnsi="Times New Roman"/>
          <w:sz w:val="20"/>
          <w:szCs w:val="20"/>
          <w:color w:val="231F20"/>
        </w:rPr>
        <w:t>Other Information</w:t>
      </w:r>
      <w:r>
        <w:rPr>
          <w:sz w:val="20"/>
          <w:szCs w:val="20"/>
          <w:color w:val="auto"/>
        </w:rPr>
        <w:tab/>
      </w:r>
      <w:r>
        <w:rPr>
          <w:rFonts w:ascii="Times New Roman" w:cs="Times New Roman" w:eastAsia="Times New Roman" w:hAnsi="Times New Roman"/>
          <w:sz w:val="20"/>
          <w:szCs w:val="20"/>
          <w:color w:val="231F20"/>
        </w:rPr>
        <w:t>49</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III</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10.</w:t>
      </w:r>
      <w:r>
        <w:rPr>
          <w:sz w:val="20"/>
          <w:szCs w:val="20"/>
          <w:color w:val="auto"/>
        </w:rPr>
        <w:tab/>
      </w:r>
      <w:r>
        <w:rPr>
          <w:rFonts w:ascii="Times New Roman" w:cs="Times New Roman" w:eastAsia="Times New Roman" w:hAnsi="Times New Roman"/>
          <w:sz w:val="20"/>
          <w:szCs w:val="20"/>
          <w:color w:val="231F20"/>
        </w:rPr>
        <w:t>Trustees, Executive Officers and Corporate Governance</w:t>
      </w:r>
      <w:r>
        <w:rPr>
          <w:sz w:val="20"/>
          <w:szCs w:val="20"/>
          <w:color w:val="auto"/>
        </w:rPr>
        <w:tab/>
      </w:r>
      <w:r>
        <w:rPr>
          <w:rFonts w:ascii="Times New Roman" w:cs="Times New Roman" w:eastAsia="Times New Roman" w:hAnsi="Times New Roman"/>
          <w:sz w:val="20"/>
          <w:szCs w:val="20"/>
          <w:color w:val="231F20"/>
        </w:rPr>
        <w:t>50</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color w:val="231F20"/>
        </w:rPr>
        <w:t>Executive Compensation</w:t>
      </w:r>
      <w:r>
        <w:rPr>
          <w:sz w:val="20"/>
          <w:szCs w:val="20"/>
          <w:color w:val="auto"/>
        </w:rPr>
        <w:tab/>
      </w:r>
      <w:r>
        <w:rPr>
          <w:rFonts w:ascii="Times New Roman" w:cs="Times New Roman" w:eastAsia="Times New Roman" w:hAnsi="Times New Roman"/>
          <w:sz w:val="20"/>
          <w:szCs w:val="20"/>
          <w:color w:val="231F20"/>
        </w:rPr>
        <w:t>50</w:t>
      </w:r>
    </w:p>
    <w:p>
      <w:pPr>
        <w:spacing w:after="0" w:line="34"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20"/>
          <w:szCs w:val="20"/>
          <w:color w:val="231F20"/>
        </w:rPr>
        <w:t>Security Ownership of Certain Beneficial Owners and Management and Related Shareholder Matters</w:t>
      </w:r>
      <w:r>
        <w:rPr>
          <w:sz w:val="20"/>
          <w:szCs w:val="20"/>
          <w:color w:val="auto"/>
        </w:rPr>
        <w:tab/>
      </w:r>
      <w:r>
        <w:rPr>
          <w:rFonts w:ascii="Times New Roman" w:cs="Times New Roman" w:eastAsia="Times New Roman" w:hAnsi="Times New Roman"/>
          <w:sz w:val="20"/>
          <w:szCs w:val="20"/>
          <w:color w:val="231F20"/>
        </w:rPr>
        <w:t>50</w:t>
      </w:r>
    </w:p>
    <w:p>
      <w:pPr>
        <w:spacing w:after="0" w:line="76"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color w:val="231F20"/>
        </w:rPr>
        <w:t>Certain Relationships and Related Transactions, and Trustee Independence</w:t>
      </w:r>
      <w:r>
        <w:rPr>
          <w:sz w:val="20"/>
          <w:szCs w:val="20"/>
          <w:color w:val="auto"/>
        </w:rPr>
        <w:tab/>
      </w:r>
      <w:r>
        <w:rPr>
          <w:rFonts w:ascii="Times New Roman" w:cs="Times New Roman" w:eastAsia="Times New Roman" w:hAnsi="Times New Roman"/>
          <w:sz w:val="20"/>
          <w:szCs w:val="20"/>
          <w:color w:val="231F20"/>
        </w:rPr>
        <w:t>50</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color w:val="231F20"/>
        </w:rPr>
        <w:t>Principal Accountant Fees and Services</w:t>
      </w:r>
      <w:r>
        <w:rPr>
          <w:sz w:val="20"/>
          <w:szCs w:val="20"/>
          <w:color w:val="auto"/>
        </w:rPr>
        <w:tab/>
      </w:r>
      <w:r>
        <w:rPr>
          <w:rFonts w:ascii="Times New Roman" w:cs="Times New Roman" w:eastAsia="Times New Roman" w:hAnsi="Times New Roman"/>
          <w:sz w:val="20"/>
          <w:szCs w:val="20"/>
          <w:color w:val="231F20"/>
        </w:rPr>
        <w:t>50</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IV</w:t>
      </w:r>
    </w:p>
    <w:p>
      <w:pPr>
        <w:spacing w:after="0" w:line="55" w:lineRule="exact"/>
        <w:rPr>
          <w:sz w:val="20"/>
          <w:szCs w:val="20"/>
          <w:color w:val="auto"/>
        </w:rPr>
      </w:pPr>
    </w:p>
    <w:p>
      <w:pPr>
        <w:spacing w:after="0"/>
        <w:tabs>
          <w:tab w:leader="none" w:pos="1220" w:val="left"/>
          <w:tab w:leader="dot" w:pos="9820" w:val="left"/>
        </w:tabs>
        <w:rPr>
          <w:sz w:val="20"/>
          <w:szCs w:val="20"/>
          <w:color w:val="auto"/>
        </w:rPr>
      </w:pPr>
      <w:r>
        <w:rPr>
          <w:rFonts w:ascii="Times New Roman" w:cs="Times New Roman" w:eastAsia="Times New Roman" w:hAnsi="Times New Roman"/>
          <w:sz w:val="20"/>
          <w:szCs w:val="20"/>
          <w:color w:val="231F20"/>
        </w:rPr>
        <w:t>Item 15.</w:t>
      </w:r>
      <w:r>
        <w:rPr>
          <w:sz w:val="20"/>
          <w:szCs w:val="20"/>
          <w:color w:val="auto"/>
        </w:rPr>
        <w:tab/>
      </w:r>
      <w:r>
        <w:rPr>
          <w:rFonts w:ascii="Times New Roman" w:cs="Times New Roman" w:eastAsia="Times New Roman" w:hAnsi="Times New Roman"/>
          <w:sz w:val="20"/>
          <w:szCs w:val="20"/>
          <w:color w:val="231F20"/>
        </w:rPr>
        <w:t>Exhibits and Financial Statement Schedules</w:t>
      </w:r>
      <w:r>
        <w:rPr>
          <w:sz w:val="20"/>
          <w:szCs w:val="20"/>
          <w:color w:val="auto"/>
        </w:rPr>
        <w:tab/>
      </w:r>
      <w:r>
        <w:rPr>
          <w:rFonts w:ascii="Times New Roman" w:cs="Times New Roman" w:eastAsia="Times New Roman" w:hAnsi="Times New Roman"/>
          <w:sz w:val="20"/>
          <w:szCs w:val="20"/>
          <w:color w:val="231F20"/>
        </w:rPr>
        <w:t>50</w:t>
      </w:r>
    </w:p>
    <w:p>
      <w:pPr>
        <w:spacing w:after="0" w:line="70" w:lineRule="exact"/>
        <w:rPr>
          <w:sz w:val="20"/>
          <w:szCs w:val="20"/>
          <w:color w:val="auto"/>
        </w:rPr>
      </w:pPr>
    </w:p>
    <w:p>
      <w:pPr>
        <w:spacing w:after="0"/>
        <w:tabs>
          <w:tab w:leader="none" w:pos="1220" w:val="left"/>
          <w:tab w:leader="none" w:pos="9820" w:val="left"/>
        </w:tabs>
        <w:rPr>
          <w:sz w:val="20"/>
          <w:szCs w:val="20"/>
          <w:color w:val="auto"/>
        </w:rPr>
      </w:pPr>
      <w:r>
        <w:rPr>
          <w:rFonts w:ascii="Times New Roman" w:cs="Times New Roman" w:eastAsia="Times New Roman" w:hAnsi="Times New Roman"/>
          <w:sz w:val="20"/>
          <w:szCs w:val="20"/>
          <w:color w:val="231F20"/>
        </w:rPr>
        <w:t>Item 16.</w:t>
      </w:r>
      <w:r>
        <w:rPr>
          <w:sz w:val="20"/>
          <w:szCs w:val="20"/>
          <w:color w:val="auto"/>
        </w:rPr>
        <w:tab/>
      </w:r>
      <w:r>
        <w:rPr>
          <w:rFonts w:ascii="Times New Roman" w:cs="Times New Roman" w:eastAsia="Times New Roman" w:hAnsi="Times New Roman"/>
          <w:sz w:val="20"/>
          <w:szCs w:val="20"/>
          <w:color w:val="231F20"/>
        </w:rPr>
        <w:t>Form 10-K Summary</w:t>
      </w:r>
      <w:r>
        <w:rPr>
          <w:sz w:val="20"/>
          <w:szCs w:val="20"/>
          <w:color w:val="auto"/>
        </w:rPr>
        <w:tab/>
      </w:r>
      <w:r>
        <w:rPr>
          <w:rFonts w:ascii="Times New Roman" w:cs="Times New Roman" w:eastAsia="Times New Roman" w:hAnsi="Times New Roman"/>
          <w:sz w:val="20"/>
          <w:szCs w:val="20"/>
          <w:color w:val="231F20"/>
        </w:rPr>
        <w:t>54</w:t>
      </w:r>
    </w:p>
    <w:p>
      <w:pPr>
        <w:spacing w:after="0" w:line="355" w:lineRule="exact"/>
        <w:rPr>
          <w:sz w:val="20"/>
          <w:szCs w:val="20"/>
          <w:color w:val="auto"/>
        </w:rPr>
      </w:pPr>
    </w:p>
    <w:p>
      <w:pPr>
        <w:spacing w:after="0"/>
        <w:tabs>
          <w:tab w:leader="dot" w:pos="9820" w:val="left"/>
        </w:tabs>
        <w:rPr>
          <w:sz w:val="20"/>
          <w:szCs w:val="20"/>
          <w:color w:val="auto"/>
        </w:rPr>
      </w:pPr>
      <w:r>
        <w:rPr>
          <w:rFonts w:ascii="Times New Roman" w:cs="Times New Roman" w:eastAsia="Times New Roman" w:hAnsi="Times New Roman"/>
          <w:sz w:val="20"/>
          <w:szCs w:val="20"/>
          <w:color w:val="231F20"/>
        </w:rPr>
        <w:t>SIGNATURES</w:t>
      </w:r>
      <w:r>
        <w:rPr>
          <w:sz w:val="20"/>
          <w:szCs w:val="20"/>
          <w:color w:val="auto"/>
        </w:rPr>
        <w:tab/>
      </w:r>
      <w:r>
        <w:rPr>
          <w:rFonts w:ascii="Times New Roman" w:cs="Times New Roman" w:eastAsia="Times New Roman" w:hAnsi="Times New Roman"/>
          <w:sz w:val="20"/>
          <w:szCs w:val="20"/>
          <w:color w:val="231F20"/>
        </w:rPr>
        <w:t>55</w:t>
      </w:r>
    </w:p>
    <w:p>
      <w:pPr>
        <w:sectPr>
          <w:pgSz w:w="12240" w:h="15840" w:orient="portrait"/>
          <w:cols w:equalWidth="0" w:num="1">
            <w:col w:w="10040"/>
          </w:cols>
          <w:pgMar w:left="1060" w:top="626"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2</w:t>
      </w:r>
    </w:p>
    <w:p>
      <w:pPr>
        <w:sectPr>
          <w:pgSz w:w="12240" w:h="15840" w:orient="portrait"/>
          <w:cols w:equalWidth="0" w:num="1">
            <w:col w:w="10040"/>
          </w:cols>
          <w:pgMar w:left="1060" w:top="626" w:right="1140" w:bottom="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31F20"/>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The following are some of the risks and uncertainties, although not all risks and uncertainties, that could cause our actual results to differ materially from those presented in our forward-looking statements:</w:t>
      </w:r>
    </w:p>
    <w:p>
      <w:pPr>
        <w:spacing w:after="0" w:line="181" w:lineRule="exact"/>
        <w:rPr>
          <w:sz w:val="20"/>
          <w:szCs w:val="20"/>
          <w:color w:val="auto"/>
        </w:rPr>
      </w:pPr>
    </w:p>
    <w:p>
      <w:pPr>
        <w:ind w:left="720" w:right="20" w:hanging="370"/>
        <w:spacing w:after="0" w:line="260"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that our tenants will not pay rent, may vacate early or may file for bankruptcy or that we may be unable to renew leases or re-let space at favorable rents as leases expire or to fill existing vacancy;</w:t>
      </w:r>
    </w:p>
    <w:p>
      <w:pPr>
        <w:spacing w:after="0" w:line="1" w:lineRule="exact"/>
        <w:rPr>
          <w:rFonts w:ascii="Times New Roman" w:cs="Times New Roman" w:eastAsia="Times New Roman" w:hAnsi="Times New Roman"/>
          <w:sz w:val="20"/>
          <w:szCs w:val="20"/>
          <w:color w:val="231F20"/>
        </w:rPr>
      </w:pPr>
    </w:p>
    <w:p>
      <w:pPr>
        <w:jc w:val="both"/>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20"/>
          <w:szCs w:val="20"/>
          <w:color w:val="231F20"/>
        </w:rPr>
      </w:pPr>
    </w:p>
    <w:p>
      <w:pPr>
        <w:jc w:val="both"/>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Times New Roman" w:cs="Times New Roman" w:eastAsia="Times New Roman" w:hAnsi="Times New Roman"/>
          <w:sz w:val="20"/>
          <w:szCs w:val="20"/>
          <w:color w:val="231F20"/>
        </w:rPr>
      </w:pPr>
    </w:p>
    <w:p>
      <w:pPr>
        <w:ind w:left="720" w:right="20" w:hanging="370"/>
        <w:spacing w:after="0" w:line="250"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that our growth will be limited if we cannot obtain additional capital, or if the costs of capital we obtain are significantly higher than historical levels;</w:t>
      </w:r>
    </w:p>
    <w:p>
      <w:pPr>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associated with general economic conditions, including inflation and local economic conditions in our geographic markets;</w:t>
      </w:r>
    </w:p>
    <w:p>
      <w:pPr>
        <w:jc w:val="both"/>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Times New Roman" w:cs="Times New Roman" w:eastAsia="Times New Roman" w:hAnsi="Times New Roman"/>
          <w:sz w:val="20"/>
          <w:szCs w:val="20"/>
          <w:color w:val="231F20"/>
        </w:rPr>
      </w:pPr>
    </w:p>
    <w:p>
      <w:pPr>
        <w:jc w:val="both"/>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20"/>
          <w:szCs w:val="20"/>
          <w:color w:val="231F20"/>
        </w:rPr>
      </w:pPr>
    </w:p>
    <w:p>
      <w:pPr>
        <w:jc w:val="both"/>
        <w:ind w:left="720" w:hanging="370"/>
        <w:spacing w:after="0" w:line="253" w:lineRule="auto"/>
        <w:tabs>
          <w:tab w:leader="none" w:pos="72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risks related to natural disasters, climate change and public health crises (such as the outbreak and worldwide spread of COVID-19), and the measures that international, federal, state and local governments, agencies, law enforcement and/ 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addition, we describe risks and uncertainties that could cause actual results and events to differ materially in “Risk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Factors” (Part I, Item 1A of this Annual Report on Form 10-K), “Quantitative and Qualitative Disclosures about Market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Risk” (Part II, Item 7A), and “Management’s Discussion and Analysis of Financial Conditions and Results of Operations” (Part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II, Item 7).</w:t>
      </w:r>
    </w:p>
    <w:p>
      <w:pPr>
        <w:spacing w:after="0" w:line="1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1.</w:t>
      </w:r>
      <w:r>
        <w:rPr>
          <w:sz w:val="20"/>
          <w:szCs w:val="20"/>
          <w:color w:val="auto"/>
        </w:rPr>
        <w:tab/>
      </w:r>
      <w:r>
        <w:rPr>
          <w:rFonts w:ascii="Times New Roman" w:cs="Times New Roman" w:eastAsia="Times New Roman" w:hAnsi="Times New Roman"/>
          <w:sz w:val="19"/>
          <w:szCs w:val="19"/>
          <w:b w:val="1"/>
          <w:bCs w:val="1"/>
          <w:color w:val="231F20"/>
        </w:rPr>
        <w:t>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9"/>
          <w:szCs w:val="19"/>
          <w:color w:val="231F20"/>
        </w:rPr>
        <w:t>Federal Realty Investment Trust (the "Parent Company" or the "Trust") is an equity real estate investment trust ("REIT"). Federal Realty OP LP (the "Operating Partnership") is the entity through which the Trust conducts substantially all of its operations and owns substantially off of its assets. The Trust owns 100% of the limited liability company interest of, is sole</w:t>
      </w:r>
    </w:p>
    <w:p>
      <w:pPr>
        <w:sectPr>
          <w:pgSz w:w="12240" w:h="15840" w:orient="portrait"/>
          <w:cols w:equalWidth="0" w:num="1">
            <w:col w:w="10260"/>
          </w:cols>
          <w:pgMar w:left="1000" w:top="1106" w:right="980" w:bottom="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w:t>
      </w:r>
    </w:p>
    <w:p>
      <w:pPr>
        <w:sectPr>
          <w:pgSz w:w="12240" w:h="15840" w:orient="portrait"/>
          <w:cols w:equalWidth="0" w:num="1">
            <w:col w:w="10260"/>
          </w:cols>
          <w:pgMar w:left="1000" w:top="1106" w:right="980" w:bottom="0" w:gutter="0" w:footer="0" w:header="0"/>
          <w:type w:val="continuous"/>
        </w:sectPr>
      </w:pPr>
    </w:p>
    <w:bookmarkStart w:id="11" w:name="page12"/>
    <w:bookmarkEnd w:id="11"/>
    <w:p>
      <w:pPr>
        <w:ind w:right="80"/>
        <w:spacing w:after="0" w:line="253" w:lineRule="auto"/>
        <w:rPr>
          <w:sz w:val="20"/>
          <w:szCs w:val="20"/>
          <w:color w:val="auto"/>
        </w:rPr>
      </w:pPr>
      <w:r>
        <w:rPr>
          <w:rFonts w:ascii="Times New Roman" w:cs="Times New Roman" w:eastAsia="Times New Roman" w:hAnsi="Times New Roman"/>
          <w:sz w:val="20"/>
          <w:szCs w:val="20"/>
          <w:color w:val="231F20"/>
        </w:rPr>
        <w:t>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located primarily in communities where we believe retail demand exceeds supply, in strategically selected metropolitan markets in the Mid-Atlantic and Northeast regions of the United States, California, and South Florida. As of December 31, 2023, we owned or had a majority interest in community and neighborhood shopping centers and mixed-use properties which are operated as 102 predominantly retail real estate projects comprising approximately 26.0</w:t>
      </w:r>
    </w:p>
    <w:p>
      <w:pPr>
        <w:spacing w:after="0" w:line="1"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9"/>
          <w:szCs w:val="19"/>
          <w:color w:val="231F20"/>
        </w:rPr>
        <w:t>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Times New Roman" w:cs="Times New Roman" w:eastAsia="Times New Roman" w:hAnsi="Times New Roman"/>
          <w:sz w:val="20"/>
          <w:szCs w:val="20"/>
          <w:i w:val="1"/>
          <w:iCs w:val="1"/>
          <w:color w:val="231F20"/>
        </w:rPr>
        <w:t>www.federalrealty.com</w:t>
      </w:r>
      <w:r>
        <w:rPr>
          <w:rFonts w:ascii="Times New Roman" w:cs="Times New Roman" w:eastAsia="Times New Roman" w:hAnsi="Times New Roman"/>
          <w:sz w:val="20"/>
          <w:szCs w:val="20"/>
          <w:color w:val="231F20"/>
        </w:rPr>
        <w:t>. The information contained on our website is not a part of this report and is not incorporated herein by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reference.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Objectives and Strategies</w:t>
      </w:r>
    </w:p>
    <w:p>
      <w:pPr>
        <w:spacing w:after="0" w:line="11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231F20"/>
        </w:rPr>
        <w:t>Our primary business objective is to own, manage, acquire and redevelop a portfolio of high quality retail focused properties that will:</w:t>
      </w:r>
    </w:p>
    <w:p>
      <w:pPr>
        <w:spacing w:after="0" w:line="2" w:lineRule="exact"/>
        <w:rPr>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increasing cash flow for distribution to shareholders;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generate higher internal growth than the shopping center industry over the long term;</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potential for capital appreciation;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protect investor capital.</w:t>
      </w:r>
    </w:p>
    <w:p>
      <w:pPr>
        <w:spacing w:after="0" w:line="17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231F20"/>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residential, office, and/or hotel components.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Operating Strategies</w:t>
      </w:r>
    </w:p>
    <w:p>
      <w:pPr>
        <w:spacing w:after="0" w:line="11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231F20"/>
        </w:rPr>
        <w:t>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spacing w:after="0" w:line="3" w:lineRule="exact"/>
        <w:rPr>
          <w:sz w:val="20"/>
          <w:szCs w:val="20"/>
          <w:color w:val="auto"/>
        </w:rPr>
      </w:pPr>
    </w:p>
    <w:p>
      <w:pPr>
        <w:jc w:val="both"/>
        <w:ind w:left="720" w:right="120" w:hanging="370"/>
        <w:spacing w:after="0" w:line="263" w:lineRule="auto"/>
        <w:tabs>
          <w:tab w:leader="none" w:pos="720" w:val="left"/>
        </w:tabs>
        <w:numPr>
          <w:ilvl w:val="0"/>
          <w:numId w:val="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increasing rental rates through the negotiation of contractual rental increases during the term of the lease, the renewal of expiring leases or the leasing of space to new tenants at higher rental rates while limiting vacancy and down-time;</w:t>
      </w:r>
    </w:p>
    <w:p>
      <w:pPr>
        <w:spacing w:after="0" w:line="1" w:lineRule="exact"/>
        <w:rPr>
          <w:rFonts w:ascii="Times New Roman" w:cs="Times New Roman" w:eastAsia="Times New Roman" w:hAnsi="Times New Roman"/>
          <w:sz w:val="19"/>
          <w:szCs w:val="19"/>
          <w:color w:val="231F20"/>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maintaining a diversified tenant base, thereby limiting exposure to any one tenant’s financial or operating difficulties;</w:t>
      </w:r>
    </w:p>
    <w:p>
      <w:pPr>
        <w:spacing w:after="0" w:line="10" w:lineRule="exact"/>
        <w:rPr>
          <w:rFonts w:ascii="Times New Roman" w:cs="Times New Roman" w:eastAsia="Times New Roman" w:hAnsi="Times New Roman"/>
          <w:sz w:val="20"/>
          <w:szCs w:val="20"/>
          <w:color w:val="231F20"/>
        </w:rPr>
      </w:pPr>
    </w:p>
    <w:p>
      <w:pPr>
        <w:ind w:left="720" w:right="60" w:hanging="370"/>
        <w:spacing w:after="0" w:line="250"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monitoring the merchandising mix of our tenant base to achieve a balance of strong national and regional tenants with local specialty tenants;</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minimizing overhead and operating costs;</w:t>
      </w:r>
    </w:p>
    <w:p>
      <w:pPr>
        <w:spacing w:after="0" w:line="10" w:lineRule="exact"/>
        <w:rPr>
          <w:rFonts w:ascii="Times New Roman" w:cs="Times New Roman" w:eastAsia="Times New Roman" w:hAnsi="Times New Roman"/>
          <w:sz w:val="20"/>
          <w:szCs w:val="20"/>
          <w:color w:val="231F20"/>
        </w:rPr>
      </w:pPr>
    </w:p>
    <w:p>
      <w:pPr>
        <w:ind w:left="720" w:right="180" w:hanging="370"/>
        <w:spacing w:after="0" w:line="250"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Times New Roman" w:cs="Times New Roman" w:eastAsia="Times New Roman" w:hAnsi="Times New Roman"/>
          <w:sz w:val="20"/>
          <w:szCs w:val="20"/>
          <w:color w:val="231F20"/>
        </w:rPr>
      </w:pPr>
    </w:p>
    <w:p>
      <w:pPr>
        <w:ind w:left="720" w:right="100" w:hanging="370"/>
        <w:spacing w:after="0" w:line="250"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managing our properties to take into account their impact on climate change and their resilience in the face of climate change;</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developing local and regional market expertise in order to capitalize on market and retailing trends;</w:t>
      </w:r>
    </w:p>
    <w:p>
      <w:pPr>
        <w:spacing w:after="0" w:line="10" w:lineRule="exact"/>
        <w:rPr>
          <w:rFonts w:ascii="Times New Roman" w:cs="Times New Roman" w:eastAsia="Times New Roman" w:hAnsi="Times New Roman"/>
          <w:sz w:val="20"/>
          <w:szCs w:val="20"/>
          <w:color w:val="231F20"/>
        </w:rPr>
      </w:pPr>
    </w:p>
    <w:p>
      <w:pPr>
        <w:ind w:left="720" w:right="280" w:hanging="370"/>
        <w:spacing w:after="0" w:line="250"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leveraging the contacts and experience of our management team to build and maintain long-term relationships with tenants;</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providing exceptional customer service; and</w:t>
      </w:r>
    </w:p>
    <w:p>
      <w:pPr>
        <w:spacing w:after="0" w:line="10" w:lineRule="exact"/>
        <w:rPr>
          <w:rFonts w:ascii="Times New Roman" w:cs="Times New Roman" w:eastAsia="Times New Roman" w:hAnsi="Times New Roman"/>
          <w:sz w:val="20"/>
          <w:szCs w:val="20"/>
          <w:color w:val="231F20"/>
        </w:rPr>
      </w:pPr>
    </w:p>
    <w:p>
      <w:pPr>
        <w:ind w:left="720" w:hanging="370"/>
        <w:spacing w:after="0" w:line="260" w:lineRule="auto"/>
        <w:tabs>
          <w:tab w:leader="none" w:pos="72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creating an experience at many of our properties that is identifiable, unique and serves the surrounding communities to help insulate these properties and the tenants at these properties from the impact of on-line retailing.</w:t>
      </w:r>
    </w:p>
    <w:p>
      <w:pPr>
        <w:sectPr>
          <w:pgSz w:w="12240" w:h="15840" w:orient="portrait"/>
          <w:cols w:equalWidth="0" w:num="1">
            <w:col w:w="10200"/>
          </w:cols>
          <w:pgMar w:left="1000" w:top="63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4</w:t>
      </w:r>
    </w:p>
    <w:p>
      <w:pPr>
        <w:sectPr>
          <w:pgSz w:w="12240" w:h="15840" w:orient="portrait"/>
          <w:cols w:equalWidth="0" w:num="1">
            <w:col w:w="10200"/>
          </w:cols>
          <w:pgMar w:left="1000" w:top="633" w:right="10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231F20"/>
        </w:rPr>
        <w:t>Investing Strategies</w:t>
      </w:r>
    </w:p>
    <w:p>
      <w:pPr>
        <w:spacing w:after="0" w:line="114"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20"/>
          <w:szCs w:val="20"/>
          <w:color w:val="231F20"/>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720" w:right="380" w:hanging="370"/>
        <w:spacing w:after="0" w:line="250" w:lineRule="auto"/>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renovating, expanding, reconfiguring and/or retenanting our existing properties to take advantage of under-utilized land or existing square footage to increase revenue;</w:t>
      </w:r>
    </w:p>
    <w:p>
      <w:pPr>
        <w:ind w:left="720" w:right="480" w:hanging="370"/>
        <w:spacing w:after="0" w:line="250" w:lineRule="auto"/>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renovating or expanding tenant spaces for tenants capable of producing higher sales, and therefore, paying higher rents;</w:t>
      </w:r>
    </w:p>
    <w:p>
      <w:pPr>
        <w:jc w:val="both"/>
        <w:ind w:left="720" w:right="240" w:hanging="370"/>
        <w:spacing w:after="0" w:line="250" w:lineRule="auto"/>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 w:lineRule="exact"/>
        <w:rPr>
          <w:rFonts w:ascii="Times New Roman" w:cs="Times New Roman" w:eastAsia="Times New Roman" w:hAnsi="Times New Roman"/>
          <w:sz w:val="20"/>
          <w:szCs w:val="20"/>
          <w:color w:val="231F20"/>
        </w:rPr>
      </w:pPr>
    </w:p>
    <w:p>
      <w:pPr>
        <w:ind w:left="720" w:right="200" w:hanging="370"/>
        <w:spacing w:after="0" w:line="260" w:lineRule="auto"/>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developing the retail portions of mixed-use properties and developing or otherwise investing in non-retail portions of mixed-use properties we already own in order to capitalize on the overall value created in these properties.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Investment Criteria</w:t>
      </w:r>
    </w:p>
    <w:p>
      <w:pPr>
        <w:spacing w:after="0" w:line="114"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231F20"/>
        </w:rPr>
        <w:t>When we evaluate potential redevelopment, retenanting, expansion, acquisition and development opportunities, we consider such factors as:</w:t>
      </w:r>
    </w:p>
    <w:p>
      <w:pPr>
        <w:spacing w:after="0" w:line="2" w:lineRule="exact"/>
        <w:rPr>
          <w:sz w:val="20"/>
          <w:szCs w:val="20"/>
          <w:color w:val="auto"/>
        </w:rPr>
      </w:pPr>
    </w:p>
    <w:p>
      <w:pPr>
        <w:ind w:left="720" w:right="120" w:hanging="370"/>
        <w:spacing w:after="0" w:line="25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expected returns in relation to our short and long-term cost of capital as well as the anticipated risk we will face in achieving the expected returns;</w:t>
      </w:r>
    </w:p>
    <w:p>
      <w:pPr>
        <w:ind w:left="720" w:hanging="370"/>
        <w:spacing w:after="0"/>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anticipated growth rate of operating income generated by the property;</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ability to increase the long-term value of the property through redevelopment and retenanting;</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tenant mix at the property, tenant sales performance and the creditworthiness of those tenants;</w:t>
      </w:r>
    </w:p>
    <w:p>
      <w:pPr>
        <w:spacing w:after="0" w:line="10" w:lineRule="exact"/>
        <w:rPr>
          <w:rFonts w:ascii="Times New Roman" w:cs="Times New Roman" w:eastAsia="Times New Roman" w:hAnsi="Times New Roman"/>
          <w:sz w:val="20"/>
          <w:szCs w:val="20"/>
          <w:color w:val="231F20"/>
        </w:rPr>
      </w:pPr>
    </w:p>
    <w:p>
      <w:pPr>
        <w:ind w:left="720" w:right="220" w:hanging="370"/>
        <w:spacing w:after="0" w:line="25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geographic area in which the property is located, including the population density, household incomes, education levels, as well as the population and income trends in that geographic area. This may from time to time include the evaluation of new markets;</w:t>
      </w:r>
    </w:p>
    <w:p>
      <w:pPr>
        <w:spacing w:after="0" w:line="1" w:lineRule="exact"/>
        <w:rPr>
          <w:rFonts w:ascii="Times New Roman" w:cs="Times New Roman" w:eastAsia="Times New Roman" w:hAnsi="Times New Roman"/>
          <w:sz w:val="20"/>
          <w:szCs w:val="20"/>
          <w:color w:val="231F20"/>
        </w:rPr>
      </w:pPr>
    </w:p>
    <w:p>
      <w:pPr>
        <w:ind w:left="720" w:right="160" w:hanging="370"/>
        <w:spacing w:after="0" w:line="25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competitive conditions in the vicinity of the property, including gross leasable area (GLA) per capita, competition for tenants and the ability of others to create competing properties through redevelopment, new construction or renovation;</w:t>
      </w:r>
    </w:p>
    <w:p>
      <w:pPr>
        <w:spacing w:after="0" w:line="1" w:lineRule="exact"/>
        <w:rPr>
          <w:rFonts w:ascii="Times New Roman" w:cs="Times New Roman" w:eastAsia="Times New Roman" w:hAnsi="Times New Roman"/>
          <w:sz w:val="20"/>
          <w:szCs w:val="20"/>
          <w:color w:val="231F20"/>
        </w:rPr>
      </w:pPr>
    </w:p>
    <w:p>
      <w:pPr>
        <w:ind w:left="720" w:right="680" w:hanging="370"/>
        <w:spacing w:after="0" w:line="263" w:lineRule="auto"/>
        <w:tabs>
          <w:tab w:leader="none" w:pos="720" w:val="left"/>
        </w:tabs>
        <w:numPr>
          <w:ilvl w:val="0"/>
          <w:numId w:val="1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access to and visibility of the property from existing roadways and the potential for new, widened or realigned, roadways within the property’s trade area, which may affect access and commuting and shopping patterns;</w:t>
      </w:r>
    </w:p>
    <w:p>
      <w:pPr>
        <w:spacing w:after="0" w:line="1" w:lineRule="exact"/>
        <w:rPr>
          <w:rFonts w:ascii="Times New Roman" w:cs="Times New Roman" w:eastAsia="Times New Roman" w:hAnsi="Times New Roman"/>
          <w:sz w:val="19"/>
          <w:szCs w:val="19"/>
          <w:color w:val="231F20"/>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level and success of our existing investments in the market area;</w:t>
      </w:r>
    </w:p>
    <w:p>
      <w:pPr>
        <w:spacing w:after="0" w:line="10" w:lineRule="exact"/>
        <w:rPr>
          <w:rFonts w:ascii="Times New Roman" w:cs="Times New Roman" w:eastAsia="Times New Roman" w:hAnsi="Times New Roman"/>
          <w:sz w:val="20"/>
          <w:szCs w:val="20"/>
          <w:color w:val="231F20"/>
        </w:rPr>
      </w:pPr>
    </w:p>
    <w:p>
      <w:pPr>
        <w:ind w:left="720" w:right="240" w:hanging="370"/>
        <w:spacing w:after="0" w:line="25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current market value of the land, buildings and other improvements and the potential for increasing those market values; and</w:t>
      </w:r>
    </w:p>
    <w:p>
      <w:pPr>
        <w:ind w:left="720" w:right="540" w:hanging="370"/>
        <w:spacing w:after="0" w:line="26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physical condition of the land, buildings and other improvements, including the structural and environmental condition.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Financing Strategies</w:t>
      </w:r>
    </w:p>
    <w:p>
      <w:pPr>
        <w:spacing w:after="0" w:line="114"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20"/>
          <w:szCs w:val="20"/>
          <w:color w:val="231F20"/>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720" w:right="40" w:hanging="370"/>
        <w:spacing w:after="0" w:line="250"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maintaining a prudent level of overall leverage and an appropriate pool of unencumbered properties that is sufficient to support our unsecured borrowings;</w:t>
      </w:r>
    </w:p>
    <w:p>
      <w:pPr>
        <w:ind w:left="720" w:hanging="370"/>
        <w:spacing w:after="0"/>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managing our exposure to variable-rate debt;</w:t>
      </w:r>
    </w:p>
    <w:p>
      <w:pPr>
        <w:spacing w:after="0" w:line="10" w:lineRule="exact"/>
        <w:rPr>
          <w:rFonts w:ascii="Times New Roman" w:cs="Times New Roman" w:eastAsia="Times New Roman" w:hAnsi="Times New Roman"/>
          <w:sz w:val="20"/>
          <w:szCs w:val="20"/>
          <w:color w:val="231F20"/>
        </w:rPr>
      </w:pPr>
    </w:p>
    <w:p>
      <w:pPr>
        <w:ind w:left="720" w:right="140" w:hanging="370"/>
        <w:spacing w:after="0" w:line="250"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maintaining sufficient levels of cash and available line of credit to fund operating and investing needs on a short-term basis;</w:t>
      </w:r>
    </w:p>
    <w:p>
      <w:pPr>
        <w:ind w:left="720" w:right="20" w:hanging="370"/>
        <w:spacing w:after="0" w:line="250"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taking advantage of market opportunities to refinance existing debt, reduce interest costs and manage our debt maturity schedule so that a significant portion of our debt relative to our size does not mature in any one year;</w:t>
      </w:r>
    </w:p>
    <w:p>
      <w:pPr>
        <w:ind w:left="720" w:hanging="370"/>
        <w:spacing w:after="0" w:line="250"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1" w:lineRule="exact"/>
        <w:rPr>
          <w:rFonts w:ascii="Times New Roman" w:cs="Times New Roman" w:eastAsia="Times New Roman" w:hAnsi="Times New Roman"/>
          <w:sz w:val="20"/>
          <w:szCs w:val="20"/>
          <w:color w:val="231F20"/>
        </w:rPr>
      </w:pPr>
    </w:p>
    <w:p>
      <w:pPr>
        <w:ind w:left="720" w:right="260" w:hanging="370"/>
        <w:spacing w:after="0" w:line="250"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utilizing the most advantageous long-term source of capital available to us to finance redevelopment and acquisition opportunities, which may include:</w:t>
      </w:r>
    </w:p>
    <w:p>
      <w:pPr>
        <w:ind w:left="1440" w:right="100" w:hanging="370"/>
        <w:spacing w:after="0" w:line="250" w:lineRule="auto"/>
        <w:tabs>
          <w:tab w:leader="none" w:pos="1440" w:val="left"/>
        </w:tabs>
        <w:numPr>
          <w:ilvl w:val="1"/>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sale of our equity or debt securities through public offerings, including our at-the-market ("ATM") equity program in which we may from time to time offer and sell common shares including through forward sales contracts, or private placements,</w:t>
      </w:r>
    </w:p>
    <w:p>
      <w:pPr>
        <w:spacing w:after="0" w:line="1" w:lineRule="exact"/>
        <w:rPr>
          <w:rFonts w:ascii="Times New Roman" w:cs="Times New Roman" w:eastAsia="Times New Roman" w:hAnsi="Times New Roman"/>
          <w:sz w:val="20"/>
          <w:szCs w:val="20"/>
          <w:color w:val="231F20"/>
        </w:rPr>
      </w:pPr>
    </w:p>
    <w:p>
      <w:pPr>
        <w:ind w:left="1440" w:hanging="370"/>
        <w:spacing w:after="0"/>
        <w:tabs>
          <w:tab w:leader="none" w:pos="1440" w:val="left"/>
        </w:tabs>
        <w:numPr>
          <w:ilvl w:val="1"/>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incurrence of indebtedness through unsecured or secured borrowings including exchangeable debt,</w:t>
      </w:r>
    </w:p>
    <w:p>
      <w:pPr>
        <w:sectPr>
          <w:pgSz w:w="12240" w:h="15840" w:orient="portrait"/>
          <w:cols w:equalWidth="0" w:num="1">
            <w:col w:w="10260"/>
          </w:cols>
          <w:pgMar w:left="1000" w:top="62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w:t>
      </w:r>
    </w:p>
    <w:p>
      <w:pPr>
        <w:sectPr>
          <w:pgSz w:w="12240" w:h="15840" w:orient="portrait"/>
          <w:cols w:equalWidth="0" w:num="1">
            <w:col w:w="10260"/>
          </w:cols>
          <w:pgMar w:left="1000" w:top="629" w:right="980" w:bottom="0" w:gutter="0" w:footer="0" w:header="0"/>
          <w:type w:val="continuous"/>
        </w:sectPr>
      </w:pPr>
    </w:p>
    <w:bookmarkStart w:id="13" w:name="page14"/>
    <w:bookmarkEnd w:id="13"/>
    <w:p>
      <w:pPr>
        <w:ind w:left="1440" w:right="40" w:hanging="370"/>
        <w:spacing w:after="0" w:line="257" w:lineRule="auto"/>
        <w:tabs>
          <w:tab w:leader="none" w:pos="144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1" w:lineRule="exact"/>
        <w:rPr>
          <w:rFonts w:ascii="Times New Roman" w:cs="Times New Roman" w:eastAsia="Times New Roman" w:hAnsi="Times New Roman"/>
          <w:sz w:val="20"/>
          <w:szCs w:val="20"/>
          <w:color w:val="231F20"/>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use of joint venture arrangements.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231F20"/>
        </w:rPr>
        <w:t>At February 7, 2024, we had 297 full-time employees and 7 part-time employees. None of our employees are represented by a collective bargaining unit. We believe that our relationship with our employees is good.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Diversity and Inclusion</w:t>
      </w:r>
    </w:p>
    <w:p>
      <w:pPr>
        <w:spacing w:after="0" w:line="11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231F20"/>
        </w:rPr>
        <w:t>We are an Equal Opportunity/Affirmative action employer, and strive to maintain a workplace that is free from discrimination on the basis of race, color, religion, sex, sexual orientation, nationality, disability, or protected Veteran status.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Health, Safety, and Wellness</w:t>
      </w:r>
    </w:p>
    <w:p>
      <w:pPr>
        <w:spacing w:after="0" w:line="1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231F20"/>
        </w:rPr>
        <w:t>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We have also transitioned to a hybrid work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Compensation and Benefits</w:t>
      </w:r>
    </w:p>
    <w:p>
      <w:pPr>
        <w:spacing w:after="0" w:line="1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offer a quarterly recognition program, as well as rewarding employees with spot bonuses for stellar performance or going above and beyond the base requirements of their job description.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Talent Development</w:t>
      </w:r>
    </w:p>
    <w:p>
      <w:pPr>
        <w:spacing w:after="0" w:line="11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20"/>
          <w:szCs w:val="20"/>
          <w:color w:val="231F20"/>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Community Involvement</w:t>
      </w:r>
    </w:p>
    <w:p>
      <w:pPr>
        <w:spacing w:after="0" w:line="1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231F20"/>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Tax Status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Economic Conditions</w:t>
      </w:r>
    </w:p>
    <w:p>
      <w:pPr>
        <w:spacing w:after="0" w:line="11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0"/>
          <w:szCs w:val="20"/>
          <w:color w:val="231F20"/>
        </w:rPr>
        <w:t>The heightened levels of inflation, higher interest rates, and the potentially worsening of economic conditions presents risks for our business and our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2240" w:h="15840" w:orient="portrait"/>
          <w:cols w:equalWidth="0" w:num="1">
            <w:col w:w="10240"/>
          </w:cols>
          <w:pgMar w:left="1000" w:top="633" w:right="100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231F20"/>
        </w:rPr>
        <w:t>Governmental Regulations Affecting Our Properties</w:t>
      </w:r>
    </w:p>
    <w:p>
      <w:pPr>
        <w:spacing w:after="0" w:line="117"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20"/>
          <w:szCs w:val="20"/>
          <w:color w:val="231F20"/>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be held liable for property damage and for investigation and clean up costs incurred in connection with the contamination, and we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4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231F20"/>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Energy and Emissions Regulations Affecting Our Properties</w:t>
      </w:r>
    </w:p>
    <w:p>
      <w:pPr>
        <w:spacing w:after="0" w:line="10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231F20"/>
        </w:rPr>
        <w:t>Some jurisdictions in which we own property have enacted or may enact legislation that requires use of only certain types of energy sources, limits energy usage on site, or limits allowable emissions from buildings with fines or other costs being</w:t>
      </w:r>
    </w:p>
    <w:p>
      <w:pPr>
        <w:spacing w:after="0" w:line="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20"/>
          <w:szCs w:val="20"/>
          <w:color w:val="231F20"/>
        </w:rPr>
        <w:t>imposed for exceeding those limits. This type of legislation typically includes an extended period of time from adoption to implementation to allow property owners ample opportunity to make investments and take other actions to comply with the legislation. Any investments we believe we will need to make to comply with laws that have been passed to date are being included as part of our ordinary capital improvement planning process for our properties. We also address the potential effects of these types of laws in our energy reduction and energy efficient efforts that are described in more detail in Item 7. "Management's Discussion and Analysis of Financial Condition and Results of Operations - Corporate Responsibility." These types of laws have not had a material adverse effect on our financial condition or results of operations and management does not believe they will have a material adverse effect in the future. We cannot, however, predict the impact of new or changed laws or regulations on properties we currently own or may acquire in the future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3" w:lineRule="exact"/>
        <w:rPr>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reduce the number of properties available for acquisition;</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 the cost of properties available for acquisition;</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interfere with our ability to attract and retain tenants, leading to increased vacancy rates and/or reduced rents;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adversely affect our ability to minimize expenses of operation.</w:t>
      </w:r>
    </w:p>
    <w:p>
      <w:pPr>
        <w:spacing w:after="0" w:line="170"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20"/>
          <w:szCs w:val="20"/>
          <w:color w:val="231F20"/>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Times New Roman" w:cs="Times New Roman" w:eastAsia="Times New Roman" w:hAnsi="Times New Roman"/>
          <w:sz w:val="20"/>
          <w:szCs w:val="20"/>
          <w:i w:val="1"/>
          <w:iCs w:val="1"/>
          <w:color w:val="231F20"/>
        </w:rPr>
        <w:t>www.federalrealty.com</w:t>
      </w:r>
      <w:r>
        <w:rPr>
          <w:rFonts w:ascii="Times New Roman" w:cs="Times New Roman" w:eastAsia="Times New Roman" w:hAnsi="Times New Roman"/>
          <w:sz w:val="20"/>
          <w:szCs w:val="20"/>
          <w:color w:val="231F20"/>
        </w:rPr>
        <w:t xml:space="preserve"> as soon as reasonably practicable after we electronically file the material with, or furnish the material to, the Securities and Exchange Commission, or the SEC.</w:t>
      </w:r>
    </w:p>
    <w:p>
      <w:pPr>
        <w:sectPr>
          <w:pgSz w:w="12240" w:h="15840" w:orient="portrait"/>
          <w:cols w:equalWidth="0" w:num="1">
            <w:col w:w="10200"/>
          </w:cols>
          <w:pgMar w:left="1000" w:top="626" w:right="104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w:t>
      </w:r>
    </w:p>
    <w:p>
      <w:pPr>
        <w:sectPr>
          <w:pgSz w:w="12240" w:h="15840" w:orient="portrait"/>
          <w:cols w:equalWidth="0" w:num="1">
            <w:col w:w="10200"/>
          </w:cols>
          <w:pgMar w:left="1000" w:top="626" w:right="1040" w:bottom="0" w:gutter="0" w:footer="0" w:header="0"/>
          <w:type w:val="continuous"/>
        </w:sectPr>
      </w:pPr>
    </w:p>
    <w:bookmarkStart w:id="15" w:name="page16"/>
    <w:bookmarkEnd w:id="15"/>
    <w:p>
      <w:pPr>
        <w:ind w:right="280"/>
        <w:spacing w:after="0" w:line="260" w:lineRule="auto"/>
        <w:rPr>
          <w:sz w:val="20"/>
          <w:szCs w:val="20"/>
          <w:color w:val="auto"/>
        </w:rPr>
      </w:pPr>
      <w:r>
        <w:rPr>
          <w:rFonts w:ascii="Times New Roman" w:cs="Times New Roman" w:eastAsia="Times New Roman" w:hAnsi="Times New Roman"/>
          <w:sz w:val="20"/>
          <w:szCs w:val="20"/>
          <w:color w:val="231F20"/>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spacing w:after="0" w:line="14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231F20"/>
        </w:rPr>
        <w:t>Amendments to the Code of Ethics or Code of Business Conduct or waivers that apply to any of our executive officers or our senior financial officers will be disclosed in the Corporate Governance section of our website as well.</w:t>
      </w:r>
    </w:p>
    <w:p>
      <w:pPr>
        <w:spacing w:after="0" w:line="200" w:lineRule="exact"/>
        <w:rPr>
          <w:sz w:val="20"/>
          <w:szCs w:val="20"/>
          <w:color w:val="auto"/>
        </w:rPr>
      </w:pPr>
    </w:p>
    <w:p>
      <w:pPr>
        <w:spacing w:after="0" w:line="2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1A.</w:t>
        <w:tab/>
        <w:t>RISK FACTORS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 Factors Related to our Real Estate Investments and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Revenue from our properties may be reduced or limited if the retail operations of our tenants are not successful.</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as well as public health concerns,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net income depends on the success and continued presence of our “anchor” tenants.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Over the past several years, we have seen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2023, our anchor tenant space is 96.0% leased and 93.9% occupied.</w:t>
      </w:r>
    </w:p>
    <w:p>
      <w:pPr>
        <w:spacing w:after="0" w:line="20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20"/>
          <w:szCs w:val="20"/>
          <w:b w:val="1"/>
          <w:bCs w:val="1"/>
          <w:color w:val="231F20"/>
        </w:rPr>
        <w:t>A shift in retail shopping from brick and mortar stores to online shopping may have an adverse impact on our cash flow, financial condition and results of operations.</w:t>
      </w:r>
    </w:p>
    <w:p>
      <w:pPr>
        <w:spacing w:after="0" w:line="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2240" w:h="15840" w:orient="portrait"/>
          <w:cols w:equalWidth="0" w:num="1">
            <w:col w:w="10240"/>
          </w:cols>
          <w:pgMar w:left="1000" w:top="633" w:right="1000" w:bottom="0" w:gutter="0" w:footer="0" w:header="0"/>
          <w:type w:val="continuous"/>
        </w:sectPr>
      </w:pPr>
    </w:p>
    <w:bookmarkStart w:id="16" w:name="page17"/>
    <w:bookmarkEnd w:id="16"/>
    <w:p>
      <w:pPr>
        <w:ind w:right="160"/>
        <w:spacing w:after="0" w:line="286" w:lineRule="auto"/>
        <w:rPr>
          <w:sz w:val="20"/>
          <w:szCs w:val="20"/>
          <w:color w:val="auto"/>
        </w:rPr>
      </w:pPr>
      <w:r>
        <w:rPr>
          <w:rFonts w:ascii="Times New Roman" w:cs="Times New Roman" w:eastAsia="Times New Roman" w:hAnsi="Times New Roman"/>
          <w:sz w:val="20"/>
          <w:szCs w:val="20"/>
          <w:b w:val="1"/>
          <w:bCs w:val="1"/>
          <w:color w:val="231F20"/>
        </w:rPr>
        <w:t>We have properties that are geographically concentrated, and adverse economic or real estate market declines in these areas could have a material adverse effect on us.</w:t>
      </w:r>
    </w:p>
    <w:p>
      <w:pPr>
        <w:spacing w:after="0" w:line="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As of December 31, 2023, our tenants operated in 12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spacing w:after="0" w:line="14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Declines in the economy or a decline in the real estate market in these states could hurt our financial performance and the value of our properties. Factors that may negatively affect economic conditions in these states include:</w:t>
      </w:r>
    </w:p>
    <w:p>
      <w:pPr>
        <w:spacing w:after="0" w:line="181"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business layoffs or downsizing;</w:t>
      </w:r>
    </w:p>
    <w:p>
      <w:pPr>
        <w:spacing w:after="0" w:line="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industry slowdowns;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elevated levels of inflation over an extended period of time;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increasing interest rates;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business restrictions due to health crises;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relocations of businesses;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changing demographics;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telecommuting and use of alternative work places;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infrastructure quality;</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oversupply of, or reduced demand for, real estate;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concessions or reduced rental rates under new leases for properties where tenants defaulted;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operating costs including insurance premiums and real estate taxes.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may be unable to collect balances due from tenants that file for bankruptcy protection.</w:t>
      </w:r>
    </w:p>
    <w:p>
      <w:pPr>
        <w:spacing w:after="0" w:line="1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may experience difficulty or delay in renewing leases or re-leasing space.</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development activities have inherent risks.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5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In addition to the risks associated with real estate investment in general, as described elsewhere and the specific risks above, the risks associated with our remaining development activities include:</w:t>
      </w:r>
    </w:p>
    <w:p>
      <w:pPr>
        <w:spacing w:after="0" w:line="2"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contractor changes may delay the completion of development projects and increase overall costs;</w:t>
      </w:r>
    </w:p>
    <w:p>
      <w:pPr>
        <w:spacing w:after="0" w:line="10" w:lineRule="exact"/>
        <w:rPr>
          <w:rFonts w:ascii="Times New Roman" w:cs="Times New Roman" w:eastAsia="Times New Roman" w:hAnsi="Times New Roman"/>
          <w:sz w:val="20"/>
          <w:szCs w:val="20"/>
          <w:color w:val="231F20"/>
        </w:rPr>
      </w:pPr>
    </w:p>
    <w:p>
      <w:pPr>
        <w:ind w:left="720" w:right="400" w:hanging="370"/>
        <w:spacing w:after="0" w:line="250"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significant time lag between commencement and stabilization subjects us to greater risks due to fluctuations in the general economy;</w:t>
      </w:r>
    </w:p>
    <w:p>
      <w:pPr>
        <w:ind w:left="720" w:right="80" w:hanging="370"/>
        <w:spacing w:after="0" w:line="250"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delivery of residential product into uncertain residential environments may result in lower rents or longer time periods to reach economic stabilization;</w:t>
      </w:r>
    </w:p>
    <w:p>
      <w:pPr>
        <w:ind w:left="720" w:right="100" w:hanging="370"/>
        <w:spacing w:after="0" w:line="250"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substantial amount of our investment is related to infrastructure and the overall value of the project may be negatively impacted if we do not complete subsequent phases;</w:t>
      </w:r>
    </w:p>
    <w:p>
      <w:pPr>
        <w:ind w:left="720" w:hanging="370"/>
        <w:spacing w:after="0"/>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or inability to obtain construction or permanent financing on favorable terms;</w:t>
      </w: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2240" w:h="15840" w:orient="portrait"/>
          <w:cols w:equalWidth="0" w:num="1">
            <w:col w:w="10240"/>
          </w:cols>
          <w:pgMar w:left="1000" w:top="626" w:right="1000" w:bottom="0" w:gutter="0" w:footer="0" w:header="0"/>
          <w:type w:val="continuous"/>
        </w:sectPr>
      </w:pPr>
    </w:p>
    <w:bookmarkStart w:id="17" w:name="page18"/>
    <w:bookmarkEnd w:id="17"/>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expenditure of money and time on projects that may never be completed;</w:t>
      </w:r>
    </w:p>
    <w:p>
      <w:pPr>
        <w:spacing w:after="0" w:line="3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difficulty securing key anchor or other tenants may impact occupancy rates and projected revenue;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inability to achieve projected rental rates or anticipated pace of lease-up;</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higher than estimated construction or operating costs, including labor and material costs; and</w:t>
      </w:r>
    </w:p>
    <w:p>
      <w:pPr>
        <w:spacing w:after="0" w:line="10" w:lineRule="exact"/>
        <w:rPr>
          <w:rFonts w:ascii="Times New Roman" w:cs="Times New Roman" w:eastAsia="Times New Roman" w:hAnsi="Times New Roman"/>
          <w:sz w:val="20"/>
          <w:szCs w:val="20"/>
          <w:color w:val="231F20"/>
        </w:rPr>
      </w:pPr>
    </w:p>
    <w:p>
      <w:pPr>
        <w:ind w:left="720" w:right="20" w:hanging="370"/>
        <w:spacing w:after="0" w:line="275" w:lineRule="auto"/>
        <w:tabs>
          <w:tab w:leader="none" w:pos="72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possible delay in completion of a project because of a number of factors, including COVID-19, supply chain disruptions and shortages, inflation, weather, labor disruptions, construction delays or delays in receipt of zoning or other regulatory approvals, acts of terror or other acts of violence, or acts of God (such as fires, earthquakes or floods).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Redevelopments and acquisitions may fail to perform as expected.</w:t>
      </w:r>
    </w:p>
    <w:p>
      <w:pPr>
        <w:spacing w:after="0" w:line="11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color w:val="231F20"/>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3" w:lineRule="exact"/>
        <w:rPr>
          <w:sz w:val="20"/>
          <w:szCs w:val="20"/>
          <w:color w:val="auto"/>
        </w:rPr>
      </w:pPr>
    </w:p>
    <w:p>
      <w:pPr>
        <w:ind w:left="720" w:right="40" w:hanging="370"/>
        <w:spacing w:after="0" w:line="250"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spacing w:after="0" w:line="1" w:lineRule="exact"/>
        <w:rPr>
          <w:rFonts w:ascii="Times New Roman" w:cs="Times New Roman" w:eastAsia="Times New Roman" w:hAnsi="Times New Roman"/>
          <w:sz w:val="20"/>
          <w:szCs w:val="20"/>
          <w:color w:val="231F20"/>
        </w:rPr>
      </w:pPr>
    </w:p>
    <w:p>
      <w:pPr>
        <w:ind w:left="720" w:right="560" w:hanging="370"/>
        <w:spacing w:after="0" w:line="250"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may not be able to identify suitable properties to acquire or may be unable to complete the acquisition of the properties we identify;</w:t>
      </w:r>
    </w:p>
    <w:p>
      <w:pPr>
        <w:ind w:left="720" w:hanging="370"/>
        <w:spacing w:after="0"/>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may not be able to integrate an acquisition into our existing operations successfully;</w:t>
      </w:r>
    </w:p>
    <w:p>
      <w:pPr>
        <w:spacing w:after="0" w:line="10" w:lineRule="exact"/>
        <w:rPr>
          <w:rFonts w:ascii="Times New Roman" w:cs="Times New Roman" w:eastAsia="Times New Roman" w:hAnsi="Times New Roman"/>
          <w:sz w:val="20"/>
          <w:szCs w:val="20"/>
          <w:color w:val="231F20"/>
        </w:rPr>
      </w:pPr>
    </w:p>
    <w:p>
      <w:pPr>
        <w:jc w:val="both"/>
        <w:ind w:left="720" w:hanging="370"/>
        <w:spacing w:after="0" w:line="250"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properties we redevelop or acquire may fail to achieve the occupancy or rental rates we project, within the time frames we project, at the time we make the decision to invest, which may result in the properties’ failure to achieve the returns we projected;</w:t>
      </w:r>
    </w:p>
    <w:p>
      <w:pPr>
        <w:spacing w:after="0" w:line="1" w:lineRule="exact"/>
        <w:rPr>
          <w:rFonts w:ascii="Times New Roman" w:cs="Times New Roman" w:eastAsia="Times New Roman" w:hAnsi="Times New Roman"/>
          <w:sz w:val="20"/>
          <w:szCs w:val="20"/>
          <w:color w:val="231F20"/>
        </w:rPr>
      </w:pPr>
    </w:p>
    <w:p>
      <w:pPr>
        <w:ind w:left="720" w:right="200" w:hanging="370"/>
        <w:spacing w:after="0" w:line="250"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Times New Roman" w:cs="Times New Roman" w:eastAsia="Times New Roman" w:hAnsi="Times New Roman"/>
          <w:sz w:val="20"/>
          <w:szCs w:val="20"/>
          <w:color w:val="231F20"/>
        </w:rPr>
      </w:pPr>
    </w:p>
    <w:p>
      <w:pPr>
        <w:ind w:left="720" w:right="240" w:hanging="370"/>
        <w:spacing w:after="0" w:line="255"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performance and value are subject to general risks associated with the real estate industry.</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3" w:lineRule="exact"/>
        <w:rPr>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economic downturns in general, or in the areas where our properties are located;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 changes in local real estate market conditions, such as an oversupply or reduction in demand;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tenant preferences that reduce the attractiveness of our properties to tenants;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zoning or regulatory restrictions;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decreases in market rental rates;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weather conditions that may increase or decrease energy costs and other weather-related expenses;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costs associated with the need to periodically repair, renovate and re-lease space; and</w:t>
      </w:r>
    </w:p>
    <w:p>
      <w:pPr>
        <w:spacing w:after="0" w:line="10" w:lineRule="exact"/>
        <w:rPr>
          <w:rFonts w:ascii="Times New Roman" w:cs="Times New Roman" w:eastAsia="Times New Roman" w:hAnsi="Times New Roman"/>
          <w:sz w:val="20"/>
          <w:szCs w:val="20"/>
          <w:color w:val="231F20"/>
        </w:rPr>
      </w:pPr>
    </w:p>
    <w:p>
      <w:pPr>
        <w:ind w:left="720" w:right="440" w:hanging="370"/>
        <w:spacing w:after="0" w:line="253" w:lineRule="auto"/>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5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231F20"/>
        </w:rPr>
        <w:t>Each of these risks could result in decreases in market rental rates and increases in vacancy rates, which could adversely affect our financial condition and results of operation.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Many real estate costs are fixed, even if income from our properties decreases.</w:t>
      </w:r>
    </w:p>
    <w:p>
      <w:pPr>
        <w:spacing w:after="0" w:line="11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9"/>
          <w:szCs w:val="19"/>
          <w:color w:val="231F20"/>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w:t>
      </w:r>
    </w:p>
    <w:p>
      <w:pPr>
        <w:sectPr>
          <w:pgSz w:w="12240" w:h="15840" w:orient="portrait"/>
          <w:cols w:equalWidth="0" w:num="1">
            <w:col w:w="10220"/>
          </w:cols>
          <w:pgMar w:left="1000" w:top="63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w:t>
      </w:r>
    </w:p>
    <w:p>
      <w:pPr>
        <w:sectPr>
          <w:pgSz w:w="12240" w:h="15840" w:orient="portrait"/>
          <w:cols w:equalWidth="0" w:num="1">
            <w:col w:w="10220"/>
          </w:cols>
          <w:pgMar w:left="1000" w:top="633" w:right="1020" w:bottom="0" w:gutter="0" w:footer="0" w:header="0"/>
          <w:type w:val="continuous"/>
        </w:sectPr>
      </w:pPr>
    </w:p>
    <w:bookmarkStart w:id="18" w:name="page19"/>
    <w:bookmarkEnd w:id="18"/>
    <w:p>
      <w:pPr>
        <w:ind w:right="600"/>
        <w:spacing w:after="0" w:line="281" w:lineRule="auto"/>
        <w:rPr>
          <w:sz w:val="20"/>
          <w:szCs w:val="20"/>
          <w:color w:val="auto"/>
        </w:rPr>
      </w:pPr>
      <w:r>
        <w:rPr>
          <w:rFonts w:ascii="Times New Roman" w:cs="Times New Roman" w:eastAsia="Times New Roman" w:hAnsi="Times New Roman"/>
          <w:sz w:val="20"/>
          <w:szCs w:val="20"/>
          <w:color w:val="231F20"/>
        </w:rPr>
        <w:t>any significant revenue immediately, and the cash flow from existing operations may be insufficient to pay the operating expenses and debt service associated with such new properties until they are fully occupied.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 may limit our ability to purchase new properties and generate sufficient income from tenants.</w:t>
      </w:r>
    </w:p>
    <w:p>
      <w:pPr>
        <w:spacing w:after="0" w:line="1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Numerous commercial developers and real estate companies compete with us in seeking tenants for our existing properties and properties for acquisition. This competition may:</w:t>
      </w:r>
    </w:p>
    <w:p>
      <w:pPr>
        <w:spacing w:after="0" w:line="2"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reduce properties available for acquisition;</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 the cost of properties available for acquisition;</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reduce rents payable to us;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interfere with our ability to attract and retain tenants;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lead to increased vacancy rates at our properties;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adversely affect our ability to minimize expenses of operation.</w:t>
      </w:r>
    </w:p>
    <w:p>
      <w:pPr>
        <w:spacing w:after="0" w:line="17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231F20"/>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may be unable to sell properties when appropriate because real estate investments are illiquid.</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may have limited flexibility in dealing with our jointly owned investments.</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Our organizational documents do not limit the amount of funds that we may invest in properties and assets owned jointly with other persons or entities. As of December 31, 2023, we held 19 predominantly retail real estate projects jointly with other persons in addition to properties owned in a “downREIT” structure. Additionally, as of December 31, 2023,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2023, we held the controlling interests in all of our existing co-investments (except the hotel investment discussed above, the investment in the La Alameda shopping center acquired in 2017, and the investment in the Chandler Festival and Chandler Gateway shopping centers acquired in 2022),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insurance coverage on our properties may be inadequate.</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 offered, the expense of obtaining these types of insurance may not be justified. We therefore may cease to have insurance coverage against certain types of losses and/or there may be decreases in the limits of insurance available. If an uninsured loss</w:t>
      </w:r>
    </w:p>
    <w:p>
      <w:pPr>
        <w:sectPr>
          <w:pgSz w:w="12240" w:h="15840" w:orient="portrait"/>
          <w:cols w:equalWidth="0" w:num="1">
            <w:col w:w="10240"/>
          </w:cols>
          <w:pgMar w:left="1000" w:top="633" w:right="100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2240" w:h="15840" w:orient="portrait"/>
          <w:cols w:equalWidth="0" w:num="1">
            <w:col w:w="10240"/>
          </w:cols>
          <w:pgMar w:left="1000" w:top="633" w:right="1000" w:bottom="0" w:gutter="0" w:footer="0" w:header="0"/>
          <w:type w:val="continuous"/>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20"/>
          <w:szCs w:val="20"/>
          <w:color w:val="231F20"/>
        </w:rPr>
        <w:t>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4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231F20"/>
        </w:rPr>
        <w:t>Natural disasters, climate change and health crises, could have an adverse impact on our cash flow and operating results.</w:t>
      </w:r>
    </w:p>
    <w:p>
      <w:pPr>
        <w:spacing w:after="0" w:line="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Climate change may add to the unpredictability and frequency of natural disasters and severe weather conditions, impact the availability of natural resources,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impact the availability of water and other natural resources,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14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In addition, our business is subject to risks related to the effects of public health crises, epidemics, and pandemics. Such events could:</w:t>
      </w:r>
    </w:p>
    <w:p>
      <w:pPr>
        <w:spacing w:after="0" w:line="2"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inhibit global, national and local economic activity;</w:t>
      </w:r>
    </w:p>
    <w:p>
      <w:pPr>
        <w:spacing w:after="0" w:line="10" w:lineRule="exact"/>
        <w:rPr>
          <w:rFonts w:ascii="Times New Roman" w:cs="Times New Roman" w:eastAsia="Times New Roman" w:hAnsi="Times New Roman"/>
          <w:sz w:val="20"/>
          <w:szCs w:val="20"/>
          <w:color w:val="231F20"/>
        </w:rPr>
      </w:pPr>
    </w:p>
    <w:p>
      <w:pPr>
        <w:ind w:left="720" w:right="60" w:hanging="370"/>
        <w:spacing w:after="0" w:line="263" w:lineRule="auto"/>
        <w:tabs>
          <w:tab w:leader="none" w:pos="72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drive inflation, adversely affect trading activity in securities markets, which could negatively impact the trading prices of our common shares and debt securities and our ability to access the securities markets as a source of liquidity;</w:t>
      </w:r>
    </w:p>
    <w:p>
      <w:pPr>
        <w:spacing w:after="0" w:line="1" w:lineRule="exact"/>
        <w:rPr>
          <w:rFonts w:ascii="Times New Roman" w:cs="Times New Roman" w:eastAsia="Times New Roman" w:hAnsi="Times New Roman"/>
          <w:sz w:val="19"/>
          <w:szCs w:val="19"/>
          <w:color w:val="231F20"/>
        </w:rPr>
      </w:pPr>
    </w:p>
    <w:p>
      <w:pPr>
        <w:ind w:left="720" w:right="280" w:hanging="370"/>
        <w:spacing w:after="0" w:line="250"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adversely affect our tenants’ financial condition by limiting foot traffic and staffing at their businesses, which could affect their ability to pay rent and willingness to make new leasing commitments;</w:t>
      </w:r>
    </w:p>
    <w:p>
      <w:pPr>
        <w:ind w:left="720" w:right="40" w:hanging="370"/>
        <w:spacing w:after="0" w:line="250"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reduce our cash flow, which could impact our ability to pay dividends at the current rate and in the current format or at all or to service our debt;</w:t>
      </w: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temporarily or permanently reduce the demand for retail or office space;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interfere with our business operations by requiring our personnel to work remotely;</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 the frequency of cyber-attacks;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disrupt supply chains that could be important in our development and redevelopment activities;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result in labor shortages;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interfere with potential purchases and sales of properties;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impact our ability to pay dividends at the current rate and in the current format or at all;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have other direct and indirect effects that are difficult to predict.</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a public health concern, which may vary by jurisdiction, or a public health concerns' short and long term economic effects, each of which could have a material adverse effect on our business.</w:t>
      </w:r>
    </w:p>
    <w:p>
      <w:pPr>
        <w:spacing w:after="0" w:line="1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231F20"/>
        </w:rPr>
        <w:t>An increased focus on metrics and reporting related to corporate responsibility, specifically related to environmental, social and governance ("ESG") factors, may impose additional costs and expose us to new risks.</w:t>
      </w:r>
    </w:p>
    <w:p>
      <w:pPr>
        <w:spacing w:after="0" w:line="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Investors and other stakeholders have become more focused on understanding how companies address a variety of ESG factors. Many of those investors and shareholders look to ESG rating systems, or disclosure frameworks that have been developed by third party groups to allow comparisons between companies on ESG factors as they evaluate investment decisions as well as to company disclosures.</w:t>
      </w:r>
    </w:p>
    <w:p>
      <w:pPr>
        <w:spacing w:after="0" w:line="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Although we participate in many of these ratings systems, or disclosure frameworks, and generally score relatively well in those in which we do participate, we do not participate in, and would not necessarily score well in, all of the available ratings systems. Further, the criteria used in these ratings systems change frequently, and we cannot guaranty that we will be able to score well as criteria change. We supplement our participation in ratings systems with corporate disclosures of our ESG activities but many investors and stakeholders may look for specific disclosures that we do not provide. Failure to participate in certain of the third party ratings systems, failure to score well in those ratings systems or failure to provide certain ESG</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2240" w:h="15840" w:orient="portrait"/>
          <w:cols w:equalWidth="0" w:num="1">
            <w:col w:w="10240"/>
          </w:cols>
          <w:pgMar w:left="1000" w:top="633" w:right="1000" w:bottom="0" w:gutter="0" w:footer="0" w:header="0"/>
          <w:type w:val="continuous"/>
        </w:sectPr>
      </w:pPr>
    </w:p>
    <w:bookmarkStart w:id="20" w:name="page21"/>
    <w:bookmarkEnd w:id="20"/>
    <w:p>
      <w:pPr>
        <w:ind w:right="40"/>
        <w:spacing w:after="0" w:line="309" w:lineRule="auto"/>
        <w:rPr>
          <w:sz w:val="20"/>
          <w:szCs w:val="20"/>
          <w:color w:val="auto"/>
        </w:rPr>
      </w:pPr>
      <w:r>
        <w:rPr>
          <w:rFonts w:ascii="Times New Roman" w:cs="Times New Roman" w:eastAsia="Times New Roman" w:hAnsi="Times New Roman"/>
          <w:sz w:val="19"/>
          <w:szCs w:val="19"/>
          <w:color w:val="231F20"/>
        </w:rPr>
        <w:t>disclosures could result in reputational harm when investors or others compare us against similar companies in our industry and could cause certain investors to be unwilling to invest in our stock which could adversely impact our ability to raise capital.</w:t>
      </w:r>
    </w:p>
    <w:p>
      <w:pPr>
        <w:spacing w:after="0" w:line="17"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20"/>
          <w:szCs w:val="20"/>
          <w:color w:val="231F20"/>
        </w:rPr>
        <w:t>For more information about the Trust's Corporate Responsibility initiatives, see Item 7. "Management's Discussion and Analysis of Financial Condition and Results of Operations - Corporate Responsibility."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 Factors Related to our Funding Strategies and Capital Structure</w:t>
      </w:r>
    </w:p>
    <w:p>
      <w:pPr>
        <w:spacing w:after="0" w:line="2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20"/>
          <w:szCs w:val="20"/>
          <w:b w:val="1"/>
          <w:bCs w:val="1"/>
          <w:color w:val="231F20"/>
        </w:rPr>
        <w:t>The amount of debt we have and the restrictions imposed by that debt could adversely affect our business and financial condition.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2023, we had approximately $4.6 billion of debt outstanding. Of that outstanding debt, approximately</w:t>
      </w:r>
    </w:p>
    <w:p>
      <w:pPr>
        <w:spacing w:after="0" w:line="3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231F20"/>
        </w:rPr>
        <w:t>$519.1 million was secured by all or a portion of 8 of our real estate projects. As of December 31, 2023, approximately 87.0% of our debt is fixed rate or is fixed via interest rate swap agreements, which includes all of our property secured debt and our unsecured senior notes. Our organizational documents do not limit the level or amount of debt that we may incur. The amount of our debt outstanding from time to time could have important consequences to our shareholders. For example, it could:</w:t>
      </w:r>
    </w:p>
    <w:p>
      <w:pPr>
        <w:spacing w:after="0" w:line="2" w:lineRule="exact"/>
        <w:rPr>
          <w:sz w:val="20"/>
          <w:szCs w:val="20"/>
          <w:color w:val="auto"/>
        </w:rPr>
      </w:pPr>
    </w:p>
    <w:p>
      <w:pPr>
        <w:jc w:val="both"/>
        <w:ind w:left="720" w:right="40" w:hanging="370"/>
        <w:spacing w:after="0" w:line="250"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 our ability to make distributions on our outstanding common shares and preferred shares;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make it difficult to satisfy our debt service requirements;</w:t>
      </w:r>
    </w:p>
    <w:p>
      <w:pPr>
        <w:spacing w:after="0" w:line="10" w:lineRule="exact"/>
        <w:rPr>
          <w:rFonts w:ascii="Times New Roman" w:cs="Times New Roman" w:eastAsia="Times New Roman" w:hAnsi="Times New Roman"/>
          <w:sz w:val="20"/>
          <w:szCs w:val="20"/>
          <w:color w:val="231F20"/>
        </w:rPr>
      </w:pPr>
    </w:p>
    <w:p>
      <w:pPr>
        <w:ind w:left="720" w:right="60" w:hanging="370"/>
        <w:spacing w:after="0" w:line="250"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require us to dedicate increased amounts of our cash flow from operations to payments on debt upon refinancing or on our variable rate, unhedged debt, if interest rates rise;</w:t>
      </w:r>
    </w:p>
    <w:p>
      <w:pPr>
        <w:ind w:left="720" w:hanging="370"/>
        <w:spacing w:after="0" w:line="250"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 our flexibility in planning for, or reacting to, changes in our business and the factors that affect the profitability of our business;</w:t>
      </w:r>
    </w:p>
    <w:p>
      <w:pPr>
        <w:jc w:val="both"/>
        <w:ind w:left="720" w:right="220" w:hanging="370"/>
        <w:spacing w:after="0" w:line="250"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Times New Roman" w:cs="Times New Roman" w:eastAsia="Times New Roman" w:hAnsi="Times New Roman"/>
          <w:sz w:val="20"/>
          <w:szCs w:val="20"/>
          <w:color w:val="231F20"/>
        </w:rPr>
      </w:pPr>
    </w:p>
    <w:p>
      <w:pPr>
        <w:ind w:left="720" w:right="260" w:hanging="370"/>
        <w:spacing w:after="0" w:line="260"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 our flexibility in conducting our business, which may place us at a disadvantage compared to competitors with less debt or debt with less restrictive terms.</w:t>
      </w:r>
    </w:p>
    <w:p>
      <w:pPr>
        <w:spacing w:after="0" w:line="14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24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b w:val="1"/>
          <w:bCs w:val="1"/>
          <w:color w:val="231F20"/>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57"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20"/>
          <w:szCs w:val="20"/>
          <w:color w:val="231F20"/>
        </w:rPr>
        <w:t>Our revolving credit facility, unsecured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relating to the maintenance of property securing a mortgage;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restricting our ability to pledge assets or create liens;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restricting our ability to incur additional debt;</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restricting our ability to amend or modify existing leases at properties securing a mortgage;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restricting our ability to enter into transactions with affiliates;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restricting our ability to consolidate, merge or sell all or substantially all of our assets.</w:t>
      </w:r>
    </w:p>
    <w:p>
      <w:pPr>
        <w:spacing w:after="0" w:line="1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As of December 31, 2023,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w:t>
      </w:r>
    </w:p>
    <w:p>
      <w:pPr>
        <w:sectPr>
          <w:pgSz w:w="12240" w:h="15840" w:orient="portrait"/>
          <w:cols w:equalWidth="0" w:num="1">
            <w:col w:w="10240"/>
          </w:cols>
          <w:pgMar w:left="1000" w:top="633" w:right="1000"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2240" w:h="15840" w:orient="portrait"/>
          <w:cols w:equalWidth="0" w:num="1">
            <w:col w:w="10240"/>
          </w:cols>
          <w:pgMar w:left="1000" w:top="633" w:right="1000" w:bottom="0" w:gutter="0" w:footer="0" w:header="0"/>
          <w:type w:val="continuous"/>
        </w:sectPr>
      </w:pPr>
    </w:p>
    <w:bookmarkStart w:id="21" w:name="page22"/>
    <w:bookmarkEnd w:id="21"/>
    <w:p>
      <w:pPr>
        <w:ind w:right="540"/>
        <w:spacing w:after="0" w:line="281" w:lineRule="auto"/>
        <w:rPr>
          <w:sz w:val="20"/>
          <w:szCs w:val="20"/>
          <w:color w:val="auto"/>
        </w:rPr>
      </w:pPr>
      <w:r>
        <w:rPr>
          <w:rFonts w:ascii="Times New Roman" w:cs="Times New Roman" w:eastAsia="Times New Roman" w:hAnsi="Times New Roman"/>
          <w:sz w:val="20"/>
          <w:szCs w:val="20"/>
          <w:color w:val="231F20"/>
        </w:rPr>
        <w:t>obligations. As a result, any default under our debt covenants could have an adverse effect on our financial condition, our results of operations, our ability to meet our obligations and the market value of our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Adverse changes in our credit rating could affect our borrowing capacity and borrowing terms.</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ability to grow will be limited if we cannot obtain additional capital.</w:t>
      </w:r>
    </w:p>
    <w:p>
      <w:pPr>
        <w:spacing w:after="0" w:line="11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231F20"/>
        </w:rPr>
        <w:t>Our growth strategy is focused on the development and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4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20"/>
          <w:szCs w:val="20"/>
          <w:b w:val="1"/>
          <w:bCs w:val="1"/>
          <w:color w:val="231F20"/>
        </w:rPr>
        <w:t>Rising interest rates could adversely affect our cash flow and the market price of our outstanding debt and preferred shares.</w:t>
      </w:r>
    </w:p>
    <w:p>
      <w:pPr>
        <w:spacing w:after="0" w:line="3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231F20"/>
        </w:rPr>
        <w:t>Of our $4.6 billion of debt outstanding as of December 31, 2023, approximately $853.6 million bears interest at a variable rate, of which, $600.0 million is our unsecured term loan that bears interest at a variable rate of SOFR plus 85 basis points plus</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231F20"/>
        </w:rPr>
        <w:t>0.10%. The remaining $253.6 million is comprised of a $200.0 million mortgage payable that bears interest at a variable rate of SOFR plus 95 basis points, which is effectively fixed by three interest rate swap agreements through the initial maturity date, and $53.6 million in mortgages payable that bear interest at a variable rate of SOFR plus 195 basis points and are effectively fixed by two interest rate swap agreements. We also have a $1.25 billion revolving credit facility, on which no balance was outstanding at December 31, 2023, that bears interest at SOFR plus 77.5 basis points, plus 0.10%.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0"/>
          <w:szCs w:val="20"/>
          <w:b w:val="1"/>
          <w:bCs w:val="1"/>
          <w:color w:val="231F20"/>
        </w:rPr>
        <w:t>Hedging activity may expose us to risks, including the risks that a counterparty will not perform and that the hedge will not yield the economic benefits we anticipate, which may adversely affect us.</w:t>
      </w:r>
    </w:p>
    <w:p>
      <w:pPr>
        <w:spacing w:after="0" w:line="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These and similar hedging arrangements involve risks, including the risks that counterparties may fail to honor their obligations under these arrangements, that these arrangements may not be effective in reducing our exposure to interest rate changes, that the amount of income we earn from hedging transactions may be limited by federal tax provisions governing REITs, and that these arrangements may reduce the benefits to us if interest rates decline. Developing and implementing an interest rate risk strategy is complex, and there can be no assurance that our hedging activities will be completely effective at insulating us from risks associated with interest rate fluctuations.</w:t>
      </w:r>
    </w:p>
    <w:p>
      <w:pPr>
        <w:spacing w:after="0" w:line="73"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9"/>
          <w:szCs w:val="19"/>
          <w:color w:val="231F20"/>
        </w:rPr>
        <w:t>Additionally, in connection with our offering in January 2024 of 3.25% Exchangeable Senior Notes due 2029, we have entered into capped call transactions with certain option counterparties. The capped call transactions cover, subject to customary</w:t>
      </w:r>
    </w:p>
    <w:p>
      <w:pPr>
        <w:sectPr>
          <w:pgSz w:w="12240" w:h="15840" w:orient="portrait"/>
          <w:cols w:equalWidth="0" w:num="1">
            <w:col w:w="10240"/>
          </w:cols>
          <w:pgMar w:left="1000" w:top="633" w:right="1000" w:bottom="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2240" w:h="15840" w:orient="portrait"/>
          <w:cols w:equalWidth="0" w:num="1">
            <w:col w:w="10240"/>
          </w:cols>
          <w:pgMar w:left="1000" w:top="633" w:right="1000" w:bottom="0" w:gutter="0" w:footer="0" w:header="0"/>
          <w:type w:val="continuous"/>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20"/>
          <w:szCs w:val="20"/>
          <w:color w:val="231F20"/>
        </w:rPr>
        <w:t>adjustments, the number of common shares initially underlying the notes. The capped call transactions are expected generally to reduce the potential dilution to our common shares upon any exchange of notes and/or offset any cash payments we are required to make in excess of the principal amount of exchanged notes, as the case may be, with such reduction and/or offset subject to a cap. The option counterparties are financial institutions, and we are subject to the risk that any or all of them might default under the capped call transactions. Our exposure to the credit risk of the option counterparties is not secured by any collateral. Global economic conditions have resulted in the actual or perceived failure or financial difficulties of certain financial institutions and could adversely impact the option counterparties’ performance under the capped call transactions. If an option counterparty becomes subject to insolvency proceedings, we will become an unsecured creditor in those proceedings with a claim equal to the termination amount at that time as determined pursuant to the capped call documentation with such option counterparty. Our exposure will depend on many factors but, generally, an increase in our exposure will be correlated to an increase in the market price and in the volatility of the common shares. In addition, upon a default by an option counterparty, we may suffer adverse tax consequences and more dilution than we currently anticipate with respect to the common shares. We can provide no assurances as to the financial stability or viability of the option counterparties.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 Factors Related to our REIT Status and Other Laws and Regulations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laws and regulations could reduce the value or profitability of our properties.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w:t>
      </w:r>
    </w:p>
    <w:p>
      <w:pPr>
        <w:spacing w:after="0" w:line="21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spacing w:after="0" w:line="23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20"/>
          <w:szCs w:val="20"/>
          <w:b w:val="1"/>
          <w:bCs w:val="1"/>
          <w:color w:val="231F20"/>
        </w:rPr>
        <w:t>The Americans with Disabilities Act of 1990 could require us to take remedial steps with respect to existing or newly acquired properties.</w:t>
      </w:r>
    </w:p>
    <w:p>
      <w:pPr>
        <w:spacing w:after="0" w:line="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231F20"/>
        </w:rPr>
        <w:t>The revenues generated by our tenants could be negatively affected by various federal, state and local laws to which they are subject.</w:t>
      </w:r>
    </w:p>
    <w:p>
      <w:pPr>
        <w:spacing w:after="0" w:line="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4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20"/>
          <w:szCs w:val="20"/>
          <w:b w:val="1"/>
          <w:bCs w:val="1"/>
          <w:color w:val="231F20"/>
        </w:rPr>
        <w:t>Failure to qualify as a REIT for federal income tax purposes would cause the Parent Company to be taxed as a corporation, which would substantially reduce funds available for payment of distributions.</w:t>
      </w:r>
    </w:p>
    <w:p>
      <w:pPr>
        <w:spacing w:after="0" w:line="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2240" w:h="15840" w:orient="portrait"/>
          <w:cols w:equalWidth="0" w:num="1">
            <w:col w:w="10240"/>
          </w:cols>
          <w:pgMar w:left="1000" w:top="633" w:right="1000" w:bottom="0" w:gutter="0" w:footer="0" w:header="0"/>
          <w:type w:val="continuous"/>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20"/>
          <w:szCs w:val="20"/>
          <w:color w:val="231F20"/>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If we fail to qualify as a REIT:</w:t>
      </w:r>
    </w:p>
    <w:p>
      <w:pPr>
        <w:spacing w:after="0" w:line="30"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would not be allowed a deduction for distributions to shareholders in computing taxable income;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would be subject to federal income tax at regular corporate rates;</w:t>
      </w:r>
    </w:p>
    <w:p>
      <w:pPr>
        <w:spacing w:after="0" w:line="10" w:lineRule="exact"/>
        <w:rPr>
          <w:rFonts w:ascii="Times New Roman" w:cs="Times New Roman" w:eastAsia="Times New Roman" w:hAnsi="Times New Roman"/>
          <w:sz w:val="20"/>
          <w:szCs w:val="20"/>
          <w:color w:val="231F20"/>
        </w:rPr>
      </w:pPr>
    </w:p>
    <w:p>
      <w:pPr>
        <w:ind w:left="720" w:right="320" w:hanging="370"/>
        <w:spacing w:after="0" w:line="250"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unless we are entitled to relief under specific statutory provisions, we could not elect to be taxed as a REIT for four taxable years following the year during which we were disqualified;</w:t>
      </w:r>
    </w:p>
    <w:p>
      <w:pPr>
        <w:ind w:left="720" w:right="320" w:hanging="370"/>
        <w:spacing w:after="0" w:line="250" w:lineRule="auto"/>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could be required to pay significant income taxes, which would substantially reduce the funds available for investment or for distribution to our shareholders for each year in which we failed or were not permitted to qualify; and</w:t>
      </w:r>
    </w:p>
    <w:p>
      <w:pPr>
        <w:spacing w:after="0" w:line="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would no longer be required by law to make any distributions to our shareholders.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To maintain our status as a REIT, we limit the amount of shares any one shareholder of the Parent Company can own.</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231F20"/>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happens, either the transfer of ownership would be void or the shares would be transferred to a charitable trust and then sold to someone who can own those shares without violating the 9.8% ownership limit.</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Board of Trustees may waive these restrictions on a case-by-case basis. In addition, the Board of Trustees and two-thirds of our shareholders eligible to vote at a shareholder meeting may remove these restrictions if they determine it is no longer in our 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3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20"/>
          <w:szCs w:val="20"/>
          <w:b w:val="1"/>
          <w:bCs w:val="1"/>
          <w:color w:val="231F20"/>
        </w:rPr>
        <w:t>Legislative, administrative, regulatory or other actions affecting REITs, including positions taken by the IRS, could have a material adverse effect on us and our investors.</w:t>
      </w:r>
    </w:p>
    <w:p>
      <w:pPr>
        <w:spacing w:after="0" w:line="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spacing w:after="0" w:line="24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20"/>
          <w:szCs w:val="20"/>
          <w:b w:val="1"/>
          <w:bCs w:val="1"/>
          <w:color w:val="231F20"/>
        </w:rPr>
        <w:t>Certain tax and anti-takeover provisions of the Parent Company's declaration of trust and bylaws, and certain restrictions in the Partnership's limited partnership agreement, may inhibit a change of our control.</w:t>
      </w:r>
    </w:p>
    <w:p>
      <w:pPr>
        <w:spacing w:after="0" w:line="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3"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REIT ownership limit described above;</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2240" w:h="15840" w:orient="portrait"/>
          <w:cols w:equalWidth="0" w:num="1">
            <w:col w:w="10240"/>
          </w:cols>
          <w:pgMar w:left="1000" w:top="633" w:right="1000" w:bottom="0" w:gutter="0" w:footer="0" w:header="0"/>
          <w:type w:val="continuous"/>
        </w:sectPr>
      </w:pPr>
    </w:p>
    <w:bookmarkStart w:id="24" w:name="page25"/>
    <w:bookmarkEnd w:id="24"/>
    <w:p>
      <w:pPr>
        <w:ind w:left="720" w:right="100" w:hanging="370"/>
        <w:spacing w:after="0" w:line="260" w:lineRule="auto"/>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authorization of the issuance of our preferred shares with powers, preferences or rights to be determined by the Board of Trustees;</w:t>
      </w:r>
    </w:p>
    <w:p>
      <w:pPr>
        <w:spacing w:after="0" w:line="1" w:lineRule="exact"/>
        <w:rPr>
          <w:rFonts w:ascii="Times New Roman" w:cs="Times New Roman" w:eastAsia="Times New Roman" w:hAnsi="Times New Roman"/>
          <w:sz w:val="20"/>
          <w:szCs w:val="20"/>
          <w:color w:val="231F20"/>
        </w:rPr>
      </w:pPr>
    </w:p>
    <w:p>
      <w:pPr>
        <w:ind w:left="720" w:hanging="370"/>
        <w:spacing w:after="0" w:line="250" w:lineRule="auto"/>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1" w:lineRule="exact"/>
        <w:rPr>
          <w:rFonts w:ascii="Times New Roman" w:cs="Times New Roman" w:eastAsia="Times New Roman" w:hAnsi="Times New Roman"/>
          <w:sz w:val="20"/>
          <w:szCs w:val="20"/>
          <w:color w:val="231F20"/>
        </w:rPr>
      </w:pPr>
    </w:p>
    <w:p>
      <w:pPr>
        <w:ind w:left="720" w:right="440" w:hanging="370"/>
        <w:spacing w:after="0" w:line="250" w:lineRule="auto"/>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Board of Trustees, without a shareholder vote, can classify or reclassify unissued shares of beneficial interest, including the reclassification of common shares into preferred shares and vice-versa;</w:t>
      </w:r>
    </w:p>
    <w:p>
      <w:pPr>
        <w:ind w:left="720" w:hanging="370"/>
        <w:spacing w:after="0"/>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two-thirds shareholder vote is required to approve some amendments to the declaration of trust;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advance-notice requirements for proposals to be presented at shareholder meetings.</w:t>
      </w:r>
    </w:p>
    <w:p>
      <w:pPr>
        <w:spacing w:after="0" w:line="17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9"/>
          <w:szCs w:val="19"/>
          <w:color w:val="231F20"/>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3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43"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0"/>
          <w:szCs w:val="20"/>
          <w:color w:val="231F20"/>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spacing w:after="0" w:line="3"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redemption rights of limited partners and certain assignees of units of limited partnership interest ("OP Units");</w:t>
      </w:r>
    </w:p>
    <w:p>
      <w:pPr>
        <w:spacing w:after="0" w:line="8"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transfer restrictions on OP Units and restrictions on admissions of partners;</w:t>
      </w:r>
    </w:p>
    <w:p>
      <w:pPr>
        <w:spacing w:after="0" w:line="10" w:lineRule="exact"/>
        <w:rPr>
          <w:rFonts w:ascii="Times New Roman" w:cs="Times New Roman" w:eastAsia="Times New Roman" w:hAnsi="Times New Roman"/>
          <w:sz w:val="20"/>
          <w:szCs w:val="20"/>
          <w:color w:val="231F20"/>
        </w:rPr>
      </w:pPr>
    </w:p>
    <w:p>
      <w:pPr>
        <w:ind w:left="720" w:right="640" w:hanging="370"/>
        <w:spacing w:after="0" w:line="250"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requirement that the General Partner may not be removed as the general partner of the Partnership without its consent;</w:t>
      </w:r>
    </w:p>
    <w:p>
      <w:pPr>
        <w:ind w:left="720" w:right="520" w:hanging="370"/>
        <w:spacing w:after="0" w:line="250"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ability of the General Partner to issue preferred partnership interests in the Partnership with terms that it may determine, without the approval or consent of any Limited Partner; and</w:t>
      </w:r>
    </w:p>
    <w:p>
      <w:pPr>
        <w:ind w:left="720" w:right="180" w:hanging="370"/>
        <w:spacing w:after="0" w:line="255"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may be required to incur additional debt to qualify as a REIT.</w:t>
      </w:r>
    </w:p>
    <w:p>
      <w:pPr>
        <w:spacing w:after="0" w:line="10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6" w:lineRule="exact"/>
        <w:rPr>
          <w:sz w:val="20"/>
          <w:szCs w:val="20"/>
          <w:color w:val="auto"/>
        </w:rPr>
      </w:pPr>
    </w:p>
    <w:p>
      <w:pPr>
        <w:ind w:left="720" w:right="100" w:hanging="370"/>
        <w:spacing w:after="0" w:line="250" w:lineRule="auto"/>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income may not be matched by our related expenses at the time the income is considered received for purposes of determining taxable income; and</w:t>
      </w:r>
    </w:p>
    <w:p>
      <w:pPr>
        <w:ind w:left="720" w:right="160" w:hanging="370"/>
        <w:spacing w:after="0" w:line="260" w:lineRule="auto"/>
        <w:tabs>
          <w:tab w:leader="none" w:pos="720"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non-deductible capital expenditures, creation of reserves, or debt service requirements may reduce available cash but not taxable income.</w:t>
      </w:r>
    </w:p>
    <w:p>
      <w:pPr>
        <w:spacing w:after="0" w:line="14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ectPr>
          <w:pgSz w:w="12240" w:h="15840" w:orient="portrait"/>
          <w:cols w:equalWidth="0" w:num="1">
            <w:col w:w="10220"/>
          </w:cols>
          <w:pgMar w:left="1000" w:top="63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w:t>
      </w:r>
    </w:p>
    <w:p>
      <w:pPr>
        <w:sectPr>
          <w:pgSz w:w="12240" w:h="15840" w:orient="portrait"/>
          <w:cols w:equalWidth="0" w:num="1">
            <w:col w:w="10220"/>
          </w:cols>
          <w:pgMar w:left="1000" w:top="633" w:right="102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u w:val="single" w:color="auto"/>
          <w:color w:val="231F20"/>
        </w:rPr>
        <w:t>General Risk Factors</w:t>
      </w:r>
    </w:p>
    <w:p>
      <w:pPr>
        <w:spacing w:after="0" w:line="2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b w:val="1"/>
          <w:bCs w:val="1"/>
          <w:color w:val="231F20"/>
        </w:rPr>
        <w:t>The market value of our debt and equity securities is subject to various factors that may cause significant fluctuations or volatility.</w:t>
      </w:r>
    </w:p>
    <w:p>
      <w:pPr>
        <w:spacing w:after="0" w:line="3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231F20"/>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1"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general economic and financial market conditions;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and trend of interest rates;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access the capital markets to raise additional capital;</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issuance of additional equity or debt securities;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our funds from operations (“FFO”) or earnings estimates;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our credit or analyst ratings;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financial condition and performance;</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market perception of our business compared to other REITs;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market perception of REITs, in general, compared to other investment alternatives.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cannot assure you we will continue to pay dividends in the current composition or at historical rates.</w:t>
      </w:r>
    </w:p>
    <w:p>
      <w:pPr>
        <w:spacing w:after="0" w:line="117"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0"/>
          <w:szCs w:val="20"/>
          <w:color w:val="231F20"/>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financial condition and results of future operations;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performance by our tenants under their contractual lease agreements;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terms of our loan covenants;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acquire, finance, develop or redevelop and lease additional properties at attractive rates.</w:t>
      </w:r>
    </w:p>
    <w:p>
      <w:pPr>
        <w:spacing w:after="0" w:line="17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color w:val="231F20"/>
        </w:rPr>
        <w:t>The Parent Company is a holding company with no direct operations, and it will rely on funds received from the Partnership to pay its obligations and make distributions to its shareholders.</w:t>
      </w:r>
    </w:p>
    <w:p>
      <w:pPr>
        <w:spacing w:after="0" w:line="1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spacing w:after="0" w:line="1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231F20"/>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Loss of our key management could adversely affect performance and the value of our common shares.</w:t>
      </w:r>
    </w:p>
    <w:p>
      <w:pPr>
        <w:spacing w:after="0" w:line="10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231F20"/>
        </w:rPr>
        <w:t>We are dependent on the efforts of our key management. Although we believe qualified replacements could be found for any departures of key executives, the loss of their services could adversely affect our performance and the value of our common shares.</w:t>
      </w:r>
    </w:p>
    <w:p>
      <w:pPr>
        <w:sectPr>
          <w:pgSz w:w="12240" w:h="15840" w:orient="portrait"/>
          <w:cols w:equalWidth="0" w:num="1">
            <w:col w:w="10260"/>
          </w:cols>
          <w:pgMar w:left="100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18</w:t>
      </w:r>
    </w:p>
    <w:p>
      <w:pPr>
        <w:sectPr>
          <w:pgSz w:w="12240" w:h="15840" w:orient="portrait"/>
          <w:cols w:equalWidth="0" w:num="1">
            <w:col w:w="10260"/>
          </w:cols>
          <w:pgMar w:left="1000" w:top="626" w:right="9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231F20"/>
        </w:rPr>
        <w:t>We may adjust our business policies without shareholder approval.</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231F20"/>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3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We face risks relating to cyber threats that could cause loss of confidential information and other business disruptions.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rely extensively on information technology systems to process transactions and manage our business, and our business is at risk from and may be impacted by cybersecurity incidents. These could include attempts to gain unauthorized access to our data and computer systems as well as attacks on third party's information technology systems that we rely on to provide important information technology services relating to key business functions, such as payroll. Cyber attacks can be both individual and/or highly organized attempts by very sophisticated hacking organizations. A cyber attack could compromise the confidential information of our employees, tenants, and vendors. A successful attack could adversely affect our business operations, results of operations, or financial condition by, among other things, disrupting our collection of revenue, interfering with our ability to satisfy our financial obligations by restricting access to our assets, or causing inaccuracies in our financial reporting.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material cybersecurity incident.</w:t>
      </w:r>
    </w:p>
    <w:p>
      <w:pPr>
        <w:spacing w:after="0" w:line="30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1B.</w:t>
      </w:r>
      <w:r>
        <w:rPr>
          <w:sz w:val="20"/>
          <w:szCs w:val="20"/>
          <w:color w:val="auto"/>
        </w:rPr>
        <w:tab/>
      </w:r>
      <w:r>
        <w:rPr>
          <w:rFonts w:ascii="Times New Roman" w:cs="Times New Roman" w:eastAsia="Times New Roman" w:hAnsi="Times New Roman"/>
          <w:sz w:val="19"/>
          <w:szCs w:val="19"/>
          <w:b w:val="1"/>
          <w:bCs w:val="1"/>
          <w:color w:val="231F20"/>
        </w:rPr>
        <w:t>UNRESOLVED STAFF COMMENTS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34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1C.</w:t>
      </w:r>
      <w:r>
        <w:rPr>
          <w:sz w:val="20"/>
          <w:szCs w:val="20"/>
          <w:color w:val="auto"/>
        </w:rPr>
        <w:tab/>
      </w:r>
      <w:r>
        <w:rPr>
          <w:rFonts w:ascii="Times New Roman" w:cs="Times New Roman" w:eastAsia="Times New Roman" w:hAnsi="Times New Roman"/>
          <w:sz w:val="19"/>
          <w:szCs w:val="19"/>
          <w:b w:val="1"/>
          <w:bCs w:val="1"/>
          <w:color w:val="231F20"/>
        </w:rPr>
        <w:t>CYBER SECURITY</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Please see Item 7. "Managements's Discussion and Analysis of Financial Condition and Results of Operations - Cyber Security" for discussion regarding the cyber security policies of the Company.</w:t>
      </w:r>
    </w:p>
    <w:p>
      <w:pPr>
        <w:spacing w:after="0" w:line="1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2.</w:t>
        <w:tab/>
        <w:t>PROPERTIES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As of December 31, 2023, we owned or had a majority ownership interest in community and neighborhood shopping centers and mixed-used properties which are operated as 102 predominantly retail real estate projects comprising approximately 26.0 million commercial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2023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Tenant Diversification</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As of December 31, 2023, we had approximately 3,300 commercial leases and 3,100 residential leases, with tenants ranging from sole proprietors to major national and international retailers. No one tenant or affiliated group of tenants accounted for more than 2.7% of our annualized base rent as of December 31, 2023. As a result of our tenant diversification, we believe our exposure to any one bankruptcy filing has not been and will not be significant, however, multiple filings by a number of tenants could have a significant impact.</w:t>
      </w: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2240" w:h="15840" w:orient="portrait"/>
          <w:cols w:equalWidth="0" w:num="1">
            <w:col w:w="10240"/>
          </w:cols>
          <w:pgMar w:left="1000" w:top="626" w:right="100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231F20"/>
        </w:rPr>
        <w:t>Geographic Diversification</w:t>
      </w:r>
    </w:p>
    <w:p>
      <w:pPr>
        <w:spacing w:after="0" w:line="11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0"/>
          <w:szCs w:val="20"/>
          <w:color w:val="231F20"/>
        </w:rPr>
        <w:t>Our 102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2023.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231F20"/>
                <w:w w:val="97"/>
              </w:rPr>
              <w:t>Percentage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8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Gross Leasable</w:t>
            </w:r>
          </w:p>
        </w:tc>
        <w:tc>
          <w:tcPr>
            <w:tcW w:w="80" w:type="dxa"/>
            <w:vAlign w:val="bottom"/>
          </w:tcPr>
          <w:p>
            <w:pPr>
              <w:spacing w:after="0"/>
              <w:rPr>
                <w:sz w:val="13"/>
                <w:szCs w:val="13"/>
                <w:color w:val="auto"/>
              </w:rPr>
            </w:pPr>
          </w:p>
        </w:tc>
        <w:tc>
          <w:tcPr>
            <w:tcW w:w="1160" w:type="dxa"/>
            <w:vAlign w:val="bottom"/>
          </w:tcPr>
          <w:p>
            <w:pPr>
              <w:jc w:val="center"/>
              <w:ind w:left="136"/>
              <w:spacing w:after="0" w:line="160" w:lineRule="exact"/>
              <w:rPr>
                <w:sz w:val="20"/>
                <w:szCs w:val="20"/>
                <w:color w:val="auto"/>
              </w:rPr>
            </w:pPr>
            <w:r>
              <w:rPr>
                <w:rFonts w:ascii="Times New Roman" w:cs="Times New Roman" w:eastAsia="Times New Roman" w:hAnsi="Times New Roman"/>
                <w:sz w:val="16"/>
                <w:szCs w:val="16"/>
                <w:b w:val="1"/>
                <w:bCs w:val="1"/>
                <w:color w:val="231F20"/>
              </w:rPr>
              <w:t>of Gross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State</w:t>
            </w:r>
          </w:p>
        </w:tc>
        <w:tc>
          <w:tcPr>
            <w:tcW w:w="8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left="116"/>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Leasable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0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231F20"/>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231F20"/>
              </w:rPr>
              <w:t>Projects</w:t>
            </w:r>
          </w:p>
        </w:tc>
        <w:tc>
          <w:tcPr>
            <w:tcW w:w="80" w:type="dxa"/>
            <w:vAlign w:val="bottom"/>
          </w:tcPr>
          <w:p>
            <w:pPr>
              <w:spacing w:after="0"/>
              <w:rPr>
                <w:sz w:val="18"/>
                <w:szCs w:val="18"/>
                <w:color w:val="auto"/>
              </w:rPr>
            </w:pPr>
          </w:p>
        </w:tc>
        <w:tc>
          <w:tcPr>
            <w:tcW w:w="1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Area</w:t>
            </w:r>
          </w:p>
        </w:tc>
        <w:tc>
          <w:tcPr>
            <w:tcW w:w="80" w:type="dxa"/>
            <w:vAlign w:val="bottom"/>
          </w:tcPr>
          <w:p>
            <w:pPr>
              <w:spacing w:after="0"/>
              <w:rPr>
                <w:sz w:val="18"/>
                <w:szCs w:val="18"/>
                <w:color w:val="auto"/>
              </w:rPr>
            </w:pPr>
          </w:p>
        </w:tc>
        <w:tc>
          <w:tcPr>
            <w:tcW w:w="1160" w:type="dxa"/>
            <w:vAlign w:val="bottom"/>
            <w:tcBorders>
              <w:bottom w:val="single" w:sz="8" w:color="231F20"/>
            </w:tcBorders>
          </w:tcPr>
          <w:p>
            <w:pPr>
              <w:jc w:val="center"/>
              <w:ind w:left="136"/>
              <w:spacing w:after="0"/>
              <w:rPr>
                <w:sz w:val="20"/>
                <w:szCs w:val="20"/>
                <w:color w:val="auto"/>
              </w:rPr>
            </w:pPr>
            <w:r>
              <w:rPr>
                <w:rFonts w:ascii="Times New Roman" w:cs="Times New Roman" w:eastAsia="Times New Roman" w:hAnsi="Times New Roman"/>
                <w:sz w:val="16"/>
                <w:szCs w:val="16"/>
                <w:b w:val="1"/>
                <w:bCs w:val="1"/>
                <w:color w:val="231F20"/>
              </w:rPr>
              <w:t>Area</w:t>
            </w:r>
          </w:p>
        </w:tc>
        <w:tc>
          <w:tcPr>
            <w:tcW w:w="2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 square feet)</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California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6,376,000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Maryland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4,471,000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Virginia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4,092,000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Pennsylvania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1,853,000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Massachusetts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2,230,000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New Jersey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New York</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1,426,000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Florida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1,287,000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Illinois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799,000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Arizona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947,000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Connecticut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398,000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Michigan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216,000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8"/>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District of Columbia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15"/>
        </w:trPr>
        <w:tc>
          <w:tcPr>
            <w:tcW w:w="5800" w:type="dxa"/>
            <w:vAlign w:val="bottom"/>
          </w:tcPr>
          <w:p>
            <w:pPr>
              <w:ind w:left="40"/>
              <w:spacing w:after="0" w:line="215" w:lineRule="exact"/>
              <w:rPr>
                <w:sz w:val="20"/>
                <w:szCs w:val="20"/>
                <w:color w:val="auto"/>
              </w:rPr>
            </w:pPr>
            <w:r>
              <w:rPr>
                <w:rFonts w:ascii="Times New Roman" w:cs="Times New Roman" w:eastAsia="Times New Roman" w:hAnsi="Times New Roman"/>
                <w:sz w:val="20"/>
                <w:szCs w:val="20"/>
                <w:b w:val="1"/>
                <w:bCs w:val="1"/>
                <w:color w:val="231F20"/>
              </w:rPr>
              <w:t>Total</w:t>
            </w:r>
          </w:p>
        </w:tc>
        <w:tc>
          <w:tcPr>
            <w:tcW w:w="80" w:type="dxa"/>
            <w:vAlign w:val="bottom"/>
          </w:tcPr>
          <w:p>
            <w:pPr>
              <w:spacing w:after="0"/>
              <w:rPr>
                <w:sz w:val="18"/>
                <w:szCs w:val="18"/>
                <w:color w:val="auto"/>
              </w:rPr>
            </w:pPr>
          </w:p>
        </w:tc>
        <w:tc>
          <w:tcPr>
            <w:tcW w:w="1380" w:type="dxa"/>
            <w:vAlign w:val="bottom"/>
            <w:tcBorders>
              <w:top w:val="single" w:sz="8" w:color="231F20"/>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231F20"/>
              </w:rPr>
              <w:t>102</w:t>
            </w:r>
          </w:p>
        </w:tc>
        <w:tc>
          <w:tcPr>
            <w:tcW w:w="80" w:type="dxa"/>
            <w:vAlign w:val="bottom"/>
          </w:tcPr>
          <w:p>
            <w:pPr>
              <w:spacing w:after="0"/>
              <w:rPr>
                <w:sz w:val="18"/>
                <w:szCs w:val="18"/>
                <w:color w:val="auto"/>
              </w:rPr>
            </w:pPr>
          </w:p>
        </w:tc>
        <w:tc>
          <w:tcPr>
            <w:tcW w:w="1400" w:type="dxa"/>
            <w:vAlign w:val="bottom"/>
            <w:tcBorders>
              <w:top w:val="single" w:sz="8" w:color="231F20"/>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231F20"/>
              </w:rPr>
              <w:t>26,039,000</w:t>
            </w:r>
          </w:p>
        </w:tc>
        <w:tc>
          <w:tcPr>
            <w:tcW w:w="80" w:type="dxa"/>
            <w:vAlign w:val="bottom"/>
          </w:tcPr>
          <w:p>
            <w:pPr>
              <w:spacing w:after="0"/>
              <w:rPr>
                <w:sz w:val="18"/>
                <w:szCs w:val="18"/>
                <w:color w:val="auto"/>
              </w:rPr>
            </w:pPr>
          </w:p>
        </w:tc>
        <w:tc>
          <w:tcPr>
            <w:tcW w:w="1380" w:type="dxa"/>
            <w:vAlign w:val="bottom"/>
            <w:tcBorders>
              <w:top w:val="single" w:sz="8" w:color="231F20"/>
              <w:bottom w:val="single" w:sz="8" w:color="231F20"/>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231F20"/>
              </w:rPr>
              <w:t>100.0 %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Leases, Lease Terms and Lease Expirations</w:t>
      </w:r>
    </w:p>
    <w:p>
      <w:pPr>
        <w:spacing w:after="0" w:line="11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231F20"/>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2023, represented approximately 9.7% of total rental income.</w:t>
      </w: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2240" w:h="15840" w:orient="portrait"/>
          <w:cols w:equalWidth="0" w:num="1">
            <w:col w:w="10240"/>
          </w:cols>
          <w:pgMar w:left="1000" w:top="626" w:right="1000" w:bottom="0" w:gutter="0" w:footer="0" w:header="0"/>
          <w:type w:val="continuous"/>
        </w:sectPr>
      </w:pPr>
    </w:p>
    <w:bookmarkStart w:id="28" w:name="page29"/>
    <w:bookmarkEnd w:id="28"/>
    <w:p>
      <w:pPr>
        <w:ind w:right="200"/>
        <w:spacing w:after="0" w:line="266" w:lineRule="auto"/>
        <w:rPr>
          <w:sz w:val="20"/>
          <w:szCs w:val="20"/>
          <w:color w:val="auto"/>
        </w:rPr>
      </w:pPr>
      <w:r>
        <w:rPr>
          <w:rFonts w:ascii="Times New Roman" w:cs="Times New Roman" w:eastAsia="Times New Roman" w:hAnsi="Times New Roman"/>
          <w:sz w:val="20"/>
          <w:szCs w:val="20"/>
          <w:color w:val="231F20"/>
        </w:rPr>
        <w:t>The following table sets forth the schedule of lease expirations for our commercial leases in place as of December 31, 2023 for each of the 10 years beginning with 2024 and after 2033 in the aggregate assuming that none of the tenants exercise future renewal options. Annualized base rents reflect in-place contractual rents as of December 31, 2023.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8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231F20"/>
                <w:w w:val="99"/>
              </w:rPr>
              <w:t>Annualized</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 of</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Annualized</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Square</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Leased Square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64"/>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Base Rent</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Base Rent</w:t>
            </w:r>
          </w:p>
        </w:tc>
        <w:tc>
          <w:tcPr>
            <w:tcW w:w="0" w:type="dxa"/>
            <w:vAlign w:val="bottom"/>
          </w:tcPr>
          <w:p>
            <w:pPr>
              <w:spacing w:after="0"/>
              <w:rPr>
                <w:sz w:val="1"/>
                <w:szCs w:val="1"/>
                <w:color w:val="auto"/>
              </w:rPr>
            </w:pPr>
          </w:p>
        </w:tc>
      </w:tr>
      <w:tr>
        <w:trPr>
          <w:trHeight w:val="160"/>
        </w:trPr>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Year of Lease Expiration</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Footage</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Footage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Represented by</w:t>
            </w:r>
          </w:p>
        </w:tc>
        <w:tc>
          <w:tcPr>
            <w:tcW w:w="8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Represented by</w:t>
            </w:r>
          </w:p>
        </w:tc>
        <w:tc>
          <w:tcPr>
            <w:tcW w:w="0" w:type="dxa"/>
            <w:vAlign w:val="bottom"/>
          </w:tcPr>
          <w:p>
            <w:pPr>
              <w:spacing w:after="0"/>
              <w:rPr>
                <w:sz w:val="1"/>
                <w:szCs w:val="1"/>
                <w:color w:val="auto"/>
              </w:rPr>
            </w:pPr>
          </w:p>
        </w:tc>
      </w:tr>
      <w:tr>
        <w:trPr>
          <w:trHeight w:val="214"/>
        </w:trPr>
        <w:tc>
          <w:tcPr>
            <w:tcW w:w="432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Expiring</w:t>
            </w:r>
          </w:p>
        </w:tc>
        <w:tc>
          <w:tcPr>
            <w:tcW w:w="80" w:type="dxa"/>
            <w:vAlign w:val="bottom"/>
          </w:tcPr>
          <w:p>
            <w:pPr>
              <w:spacing w:after="0"/>
              <w:rPr>
                <w:sz w:val="18"/>
                <w:szCs w:val="18"/>
                <w:color w:val="auto"/>
              </w:rPr>
            </w:pPr>
          </w:p>
        </w:tc>
        <w:tc>
          <w:tcPr>
            <w:tcW w:w="1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Expiring</w:t>
            </w:r>
          </w:p>
        </w:tc>
        <w:tc>
          <w:tcPr>
            <w:tcW w:w="60" w:type="dxa"/>
            <w:vAlign w:val="bottom"/>
          </w:tcPr>
          <w:p>
            <w:pPr>
              <w:spacing w:after="0"/>
              <w:rPr>
                <w:sz w:val="18"/>
                <w:szCs w:val="18"/>
                <w:color w:val="auto"/>
              </w:rPr>
            </w:pPr>
          </w:p>
        </w:tc>
        <w:tc>
          <w:tcPr>
            <w:tcW w:w="140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Expiring Leases</w:t>
            </w:r>
          </w:p>
        </w:tc>
        <w:tc>
          <w:tcPr>
            <w:tcW w:w="80" w:type="dxa"/>
            <w:vAlign w:val="bottom"/>
          </w:tcPr>
          <w:p>
            <w:pPr>
              <w:spacing w:after="0"/>
              <w:rPr>
                <w:sz w:val="18"/>
                <w:szCs w:val="18"/>
                <w:color w:val="auto"/>
              </w:rPr>
            </w:pPr>
          </w:p>
        </w:tc>
        <w:tc>
          <w:tcPr>
            <w:tcW w:w="1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Expiring Leases</w:t>
            </w:r>
          </w:p>
        </w:tc>
        <w:tc>
          <w:tcPr>
            <w:tcW w:w="0" w:type="dxa"/>
            <w:vAlign w:val="bottom"/>
          </w:tcPr>
          <w:p>
            <w:pPr>
              <w:spacing w:after="0"/>
              <w:rPr>
                <w:sz w:val="1"/>
                <w:szCs w:val="1"/>
                <w:color w:val="auto"/>
              </w:rPr>
            </w:pPr>
          </w:p>
        </w:tc>
      </w:tr>
      <w:tr>
        <w:trPr>
          <w:trHeight w:val="262"/>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1,881,000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54,591,000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3,400,000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90,760,000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2,118,000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73,469,000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3,003,000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103,735,000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2,689,000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88,072,000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2,942,000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93,294,000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2030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1,165,000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35,242,000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1,165,000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38,993,000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2,228,000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75,410,000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0" w:type="dxa"/>
            <w:vAlign w:val="bottom"/>
          </w:tcPr>
          <w:p>
            <w:pPr>
              <w:spacing w:after="0"/>
              <w:rPr>
                <w:sz w:val="1"/>
                <w:szCs w:val="1"/>
                <w:color w:val="auto"/>
              </w:rPr>
            </w:pPr>
          </w:p>
        </w:tc>
      </w:tr>
      <w:tr>
        <w:trPr>
          <w:trHeight w:val="28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2033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1,374,000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44,473,000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6 %</w:t>
            </w:r>
          </w:p>
        </w:tc>
        <w:tc>
          <w:tcPr>
            <w:tcW w:w="0" w:type="dxa"/>
            <w:vAlign w:val="bottom"/>
          </w:tcPr>
          <w:p>
            <w:pPr>
              <w:spacing w:after="0"/>
              <w:rPr>
                <w:sz w:val="1"/>
                <w:szCs w:val="1"/>
                <w:color w:val="auto"/>
              </w:rPr>
            </w:pPr>
          </w:p>
        </w:tc>
      </w:tr>
      <w:tr>
        <w:trPr>
          <w:trHeight w:val="288"/>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Thereafter</w:t>
            </w:r>
          </w:p>
        </w:tc>
        <w:tc>
          <w:tcPr>
            <w:tcW w:w="60" w:type="dxa"/>
            <w:vAlign w:val="bottom"/>
          </w:tcPr>
          <w:p>
            <w:pPr>
              <w:spacing w:after="0"/>
              <w:rPr>
                <w:sz w:val="24"/>
                <w:szCs w:val="24"/>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2,049,000</w:t>
            </w:r>
          </w:p>
        </w:tc>
        <w:tc>
          <w:tcPr>
            <w:tcW w:w="80" w:type="dxa"/>
            <w:vAlign w:val="bottom"/>
          </w:tcPr>
          <w:p>
            <w:pPr>
              <w:spacing w:after="0"/>
              <w:rPr>
                <w:sz w:val="24"/>
                <w:szCs w:val="24"/>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9 %</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60,832,000</w:t>
            </w:r>
          </w:p>
        </w:tc>
        <w:tc>
          <w:tcPr>
            <w:tcW w:w="80" w:type="dxa"/>
            <w:vAlign w:val="bottom"/>
          </w:tcPr>
          <w:p>
            <w:pPr>
              <w:spacing w:after="0"/>
              <w:rPr>
                <w:sz w:val="24"/>
                <w:szCs w:val="24"/>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8 %</w:t>
            </w:r>
          </w:p>
        </w:tc>
        <w:tc>
          <w:tcPr>
            <w:tcW w:w="0" w:type="dxa"/>
            <w:vAlign w:val="bottom"/>
          </w:tcPr>
          <w:p>
            <w:pPr>
              <w:spacing w:after="0"/>
              <w:rPr>
                <w:sz w:val="1"/>
                <w:szCs w:val="1"/>
                <w:color w:val="auto"/>
              </w:rPr>
            </w:pPr>
          </w:p>
        </w:tc>
      </w:tr>
      <w:tr>
        <w:trPr>
          <w:trHeight w:val="245"/>
        </w:trPr>
        <w:tc>
          <w:tcPr>
            <w:tcW w:w="43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24,014,000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758,871,000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During 2023, we signed leases for a total of 2,091,000 square feet of retail space including 2,027,000 square feet of comparable space leases (leases for which there was a prior tenant) at an average rental increase of 10% on a cash basis. New leases for comparable spaces were signed for 1,016,000 square feet at an average rental increase of 13% on a cash basis. Renewals for comparable spaces were signed for 1,011,000 square feet at an average rental increase of 8% on a cash basis. Tenant improvements and incentives for comparable spaces were $29.84 per square foot, of which, $56.95 per square foot was for new leases and $2.60 per square foot was for renewals in 2023.</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During 2022, we signed leases for a total of 2,048,000 square feet of retail space including 1,985,000 square feet of comparable space leases (leases for which there was a prior tenant) at an average rental increase of 6% on a cash basis. New leases for comparable spaces were signed for 757,000 square feet at an average rental increase of 8% on a cash basis. Renewals for comparable spaces were signed for 1,228,000 square feet at an average rental increase of 4% on a cash basis. Tenant improvements and incentives for comparable spaces were $31.65 per square foot, of which, $75.12 per square foot was for new leases and $4.86 per square foot was for renewals in 2022.</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231F20"/>
        </w:rPr>
        <w:t>Historically, we have executed comparable space leases for 1.4 to 2.0 million square feet of retail space each year and expect the volume for 2024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The current economic conditions could adversely impact our volume of leasing activity and the amount of rent we are able to charge to new or renewing tenants.</w:t>
      </w:r>
    </w:p>
    <w:p>
      <w:pPr>
        <w:spacing w:after="0" w:line="14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231F20"/>
        </w:rPr>
        <w:t>The leases signed in 2023 generally become effective over the following two years though some may not become effective until 2026 and beyond. Further, there is risk that some new tenants will not ultimately take possession of their space and that tenants for both new and renewal leases may not pay all of their contractual rent due to operating, financing or other matters. However,</w:t>
      </w:r>
    </w:p>
    <w:p>
      <w:pPr>
        <w:sectPr>
          <w:pgSz w:w="12240" w:h="15840" w:orient="portrait"/>
          <w:cols w:equalWidth="0" w:num="1">
            <w:col w:w="10260"/>
          </w:cols>
          <w:pgMar w:left="1000" w:top="633" w:right="980" w:bottom="0" w:gutter="0" w:footer="0" w:header="0"/>
        </w:sect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21</w:t>
      </w:r>
    </w:p>
    <w:p>
      <w:pPr>
        <w:sectPr>
          <w:pgSz w:w="12240" w:h="15840" w:orient="portrait"/>
          <w:cols w:equalWidth="0" w:num="1">
            <w:col w:w="10260"/>
          </w:cols>
          <w:pgMar w:left="1000" w:top="633" w:right="980" w:bottom="0" w:gutter="0" w:footer="0" w:header="0"/>
          <w:type w:val="continuous"/>
        </w:sectPr>
      </w:pPr>
    </w:p>
    <w:bookmarkStart w:id="29" w:name="page30"/>
    <w:bookmarkEnd w:id="29"/>
    <w:p>
      <w:pPr>
        <w:ind w:right="200"/>
        <w:spacing w:after="0" w:line="281" w:lineRule="auto"/>
        <w:rPr>
          <w:sz w:val="20"/>
          <w:szCs w:val="20"/>
          <w:color w:val="auto"/>
        </w:rPr>
      </w:pPr>
      <w:r>
        <w:rPr>
          <w:rFonts w:ascii="Times New Roman" w:cs="Times New Roman" w:eastAsia="Times New Roman" w:hAnsi="Times New Roman"/>
          <w:sz w:val="20"/>
          <w:szCs w:val="20"/>
          <w:color w:val="231F20"/>
        </w:rPr>
        <w:t>our historical increases in rental rates do provide information about the tenant/landlord relationship and the potential increase we may achieve in rental income over time.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Retail and Residential Properties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The following table sets forth information concerning all real estate projects in which we owned an equity interest, had a leasehold interest, or otherwise controlled and are consolidated as of December 31, 2023. Except as otherwise noted, we are the sole owner of our real estate projects. Principal tenants are the largest tenants in the project based on square feet leased or are tenants important to a project’s success due to their ability to attract retail customers.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231F20"/>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231F20"/>
            </w:tcBorders>
          </w:tcPr>
          <w:p>
            <w:pPr>
              <w:spacing w:after="0"/>
              <w:rPr>
                <w:sz w:val="18"/>
                <w:szCs w:val="18"/>
                <w:color w:val="auto"/>
              </w:rPr>
            </w:pPr>
          </w:p>
        </w:tc>
        <w:tc>
          <w:tcPr>
            <w:tcW w:w="2780" w:type="dxa"/>
            <w:vAlign w:val="bottom"/>
            <w:tcBorders>
              <w:bottom w:val="single" w:sz="8" w:color="231F20"/>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Completed</w:t>
            </w:r>
          </w:p>
        </w:tc>
        <w:tc>
          <w:tcPr>
            <w:tcW w:w="80" w:type="dxa"/>
            <w:vAlign w:val="bottom"/>
          </w:tcPr>
          <w:p>
            <w:pPr>
              <w:spacing w:after="0"/>
              <w:rPr>
                <w:sz w:val="18"/>
                <w:szCs w:val="18"/>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Acquired</w:t>
            </w:r>
          </w:p>
        </w:tc>
        <w:tc>
          <w:tcPr>
            <w:tcW w:w="60" w:type="dxa"/>
            <w:vAlign w:val="bottom"/>
          </w:tcPr>
          <w:p>
            <w:pPr>
              <w:spacing w:after="0"/>
              <w:rPr>
                <w:sz w:val="18"/>
                <w:szCs w:val="18"/>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Units</w:t>
            </w:r>
          </w:p>
        </w:tc>
        <w:tc>
          <w:tcPr>
            <w:tcW w:w="80" w:type="dxa"/>
            <w:vAlign w:val="bottom"/>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Foot(2)</w:t>
            </w:r>
          </w:p>
        </w:tc>
        <w:tc>
          <w:tcPr>
            <w:tcW w:w="80" w:type="dxa"/>
            <w:vAlign w:val="bottom"/>
          </w:tcPr>
          <w:p>
            <w:pPr>
              <w:spacing w:after="0"/>
              <w:rPr>
                <w:sz w:val="18"/>
                <w:szCs w:val="18"/>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Leased(3)</w:t>
            </w:r>
          </w:p>
        </w:tc>
        <w:tc>
          <w:tcPr>
            <w:tcW w:w="80" w:type="dxa"/>
            <w:vAlign w:val="bottom"/>
          </w:tcPr>
          <w:p>
            <w:pPr>
              <w:spacing w:after="0"/>
              <w:rPr>
                <w:sz w:val="18"/>
                <w:szCs w:val="18"/>
                <w:color w:val="auto"/>
              </w:rPr>
            </w:pPr>
          </w:p>
        </w:tc>
        <w:tc>
          <w:tcPr>
            <w:tcW w:w="21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560" w:type="dxa"/>
            <w:vAlign w:val="bottom"/>
            <w:tcBorders>
              <w:bottom w:val="single" w:sz="8" w:color="231F20"/>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231F20"/>
                <w:w w:val="97"/>
              </w:rPr>
              <w:t>Arizona</w:t>
            </w:r>
          </w:p>
        </w:tc>
        <w:tc>
          <w:tcPr>
            <w:tcW w:w="2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Camelback Colonnade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1977, 2019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642,000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$18.47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Fry's Food &amp; Drug</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Phoenix, AZ 85016(4)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Nordstrom Last Chance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Best Buy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Floor &amp; Décor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Chandler Festival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2022</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355,000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$18.20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89%</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Chandler, AZ 85224(5)(6)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231F20"/>
              </w:rPr>
              <w:t>Chandler Gateway</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2001</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2022</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262,000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$11.15</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Walmart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Chandler, AZ 85226(5)(6)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Hobby Lobby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Petco</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Hilton Village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1982, 1989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2021/2022</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305,000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231F20"/>
              </w:rPr>
              <w:t>33.92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Scottsdale, AZ 85250(4)(7)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Houston's</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6"/>
                <w:szCs w:val="16"/>
                <w:color w:val="231F20"/>
              </w:rPr>
              <w:t>Azalea</w:t>
            </w:r>
          </w:p>
        </w:tc>
        <w:tc>
          <w:tcPr>
            <w:tcW w:w="2080" w:type="dxa"/>
            <w:vAlign w:val="bottom"/>
          </w:tcPr>
          <w:p>
            <w:pPr>
              <w:spacing w:after="0"/>
              <w:rPr>
                <w:sz w:val="16"/>
                <w:szCs w:val="16"/>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2014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226,000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$30.13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South Gate, CA 90280(4)(6)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231F20"/>
              </w:rPr>
              <w:t>Bell Gardens</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1990, 2003,</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2017/2018</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330,000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$23.74</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Food 4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Bell Gardens, CA 90201(4)(6)(7)</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Bob's Discount Furniture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231F20"/>
              </w:rPr>
              <w:t>Colorado Blvd</w:t>
            </w:r>
          </w:p>
        </w:tc>
        <w:tc>
          <w:tcPr>
            <w:tcW w:w="9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rPr>
              <w:t>1905-1988</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1998</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42,000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$59.98</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73%</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Banana Republic</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Pasadena, CA 91103(7)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True Food Kitchen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Crow Canyon Commons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1980, 1998,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2005/2007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239,000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$35.49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85%</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Sprouts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San Ramon, CA 94583</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Total Wine &amp; More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Alamo Ace Hardware</w:t>
            </w:r>
          </w:p>
        </w:tc>
        <w:tc>
          <w:tcPr>
            <w:tcW w:w="0" w:type="dxa"/>
            <w:vAlign w:val="bottom"/>
          </w:tcPr>
          <w:p>
            <w:pPr>
              <w:spacing w:after="0"/>
              <w:rPr>
                <w:sz w:val="1"/>
                <w:szCs w:val="1"/>
                <w:color w:val="auto"/>
              </w:rPr>
            </w:pPr>
          </w:p>
        </w:tc>
      </w:tr>
      <w:tr>
        <w:trPr>
          <w:trHeight w:val="336"/>
        </w:trPr>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East Bay Bridge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1994-2001,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2012</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440,000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$20.45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24"/>
                <w:szCs w:val="2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Pak-N-Save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Emeryville &amp; Oakland, CA 94608</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2011, 2012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 Depot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Escondido Promenade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1996/2010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298,000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$30.47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Escondido, CA 92029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Dick's Sporting 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Bob's Discount Furniture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231F20"/>
              </w:rPr>
              <w:t>Fourth Street</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1948, 1975</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2017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71,000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$33.57</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81%</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CB2</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Berkeley, CA 94710(4)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Ingram Book Group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Bellwether Coffee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231F20"/>
              </w:rPr>
              <w:t>Freedom Plaza</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2020</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2018</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114,000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$31.21</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Smart &amp; Final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Los Angeles, CA 90002(4)(7)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Nike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Blink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Grossmont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1961, 1963,</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877,000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$14.75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La Mesa, CA 91942(4)</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1982-1983,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Walmart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Barnes &amp; Noble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Macy's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Hastings Ranch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1958, 1984,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273,000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$9.15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Pasadena, CA 91107(7)</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2006, 2007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231F20"/>
              </w:rPr>
              <w:t>Hollywood Blvd</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1929, 1991</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231F20"/>
                <w:w w:val="99"/>
              </w:rPr>
              <w:t>1999</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181,000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231F20"/>
                <w:w w:val="99"/>
              </w:rPr>
              <w:t>$36.58</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231F20"/>
                <w:w w:val="95"/>
              </w:rPr>
              <w:t>86%</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231F20"/>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Hollywood, CA 90028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231F20"/>
              </w:rPr>
              <w:t>Kings Court</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1960</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1998</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81,000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$44.45</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Lunardi's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Los Gatos, CA 95032(7)(8)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00" w:top="633" w:right="104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22</w:t>
      </w:r>
    </w:p>
    <w:p>
      <w:pPr>
        <w:sectPr>
          <w:pgSz w:w="12240" w:h="15840" w:orient="portrait"/>
          <w:cols w:equalWidth="0" w:num="1">
            <w:col w:w="10200"/>
          </w:cols>
          <w:pgMar w:left="1000" w:top="633" w:right="1040"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231F20"/>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231F20"/>
            </w:tcBorders>
          </w:tcPr>
          <w:p>
            <w:pPr>
              <w:spacing w:after="0"/>
              <w:rPr>
                <w:sz w:val="18"/>
                <w:szCs w:val="18"/>
                <w:color w:val="auto"/>
              </w:rPr>
            </w:pPr>
          </w:p>
        </w:tc>
        <w:tc>
          <w:tcPr>
            <w:tcW w:w="2780" w:type="dxa"/>
            <w:vAlign w:val="bottom"/>
            <w:tcBorders>
              <w:bottom w:val="single" w:sz="8" w:color="231F20"/>
            </w:tcBorders>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Completed</w:t>
            </w:r>
          </w:p>
        </w:tc>
        <w:tc>
          <w:tcPr>
            <w:tcW w:w="80" w:type="dxa"/>
            <w:vAlign w:val="bottom"/>
          </w:tcPr>
          <w:p>
            <w:pPr>
              <w:spacing w:after="0"/>
              <w:rPr>
                <w:sz w:val="18"/>
                <w:szCs w:val="18"/>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Acquired</w:t>
            </w:r>
          </w:p>
        </w:tc>
        <w:tc>
          <w:tcPr>
            <w:tcW w:w="60" w:type="dxa"/>
            <w:vAlign w:val="bottom"/>
          </w:tcPr>
          <w:p>
            <w:pPr>
              <w:spacing w:after="0"/>
              <w:rPr>
                <w:sz w:val="18"/>
                <w:szCs w:val="18"/>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Units</w:t>
            </w:r>
          </w:p>
        </w:tc>
        <w:tc>
          <w:tcPr>
            <w:tcW w:w="80" w:type="dxa"/>
            <w:vAlign w:val="bottom"/>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Foot(2)</w:t>
            </w:r>
          </w:p>
        </w:tc>
        <w:tc>
          <w:tcPr>
            <w:tcW w:w="80" w:type="dxa"/>
            <w:vAlign w:val="bottom"/>
          </w:tcPr>
          <w:p>
            <w:pPr>
              <w:spacing w:after="0"/>
              <w:rPr>
                <w:sz w:val="18"/>
                <w:szCs w:val="18"/>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Leased(3)</w:t>
            </w:r>
          </w:p>
        </w:tc>
        <w:tc>
          <w:tcPr>
            <w:tcW w:w="80" w:type="dxa"/>
            <w:vAlign w:val="bottom"/>
          </w:tcPr>
          <w:p>
            <w:pPr>
              <w:spacing w:after="0"/>
              <w:rPr>
                <w:sz w:val="18"/>
                <w:szCs w:val="18"/>
                <w:color w:val="auto"/>
              </w:rPr>
            </w:pPr>
          </w:p>
        </w:tc>
        <w:tc>
          <w:tcPr>
            <w:tcW w:w="21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780" w:type="dxa"/>
            <w:vAlign w:val="bottom"/>
            <w:gridSpan w:val="4"/>
          </w:tcPr>
          <w:p>
            <w:pPr>
              <w:spacing w:after="0" w:line="154" w:lineRule="exact"/>
              <w:rPr>
                <w:sz w:val="20"/>
                <w:szCs w:val="20"/>
                <w:color w:val="auto"/>
              </w:rPr>
            </w:pPr>
            <w:r>
              <w:rPr>
                <w:rFonts w:ascii="Times New Roman" w:cs="Times New Roman" w:eastAsia="Times New Roman" w:hAnsi="Times New Roman"/>
                <w:sz w:val="16"/>
                <w:szCs w:val="16"/>
                <w:color w:val="231F20"/>
              </w:rPr>
              <w:t>La Alameda</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2008</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2017</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245,000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$27.86</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5"/>
              </w:rPr>
              <w:t>95%</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Walnut Park, CA 90255(5)(6)(7)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Petco</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231F20"/>
              </w:rPr>
              <w:t>Old Town Center</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1962, 1998</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1997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98,000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$45.15</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85%</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Anthropologie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Los Gatos, CA 95030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Sephora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Arhaus Furniture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Teleferic Barcelona</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Olivo at Mission Hills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2018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156,000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$34.13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Mission Hills, CA 91345(4)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24 Hour Fitness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231F20"/>
              </w:rPr>
              <w:t>Plaza Del Sol</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2009</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2017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48,000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$24.07</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South El Monte, CA 91733(4)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231F20"/>
              </w:rPr>
              <w:t>Plaza El Segundo / The Point</w:t>
            </w:r>
          </w:p>
        </w:tc>
        <w:tc>
          <w:tcPr>
            <w:tcW w:w="9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rPr>
              <w:t>2006-2007,</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w w:val="99"/>
              </w:rPr>
              <w:t>2011/2013</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502,000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231F20"/>
                <w:w w:val="99"/>
              </w:rPr>
              <w:t>$48.97</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231F20"/>
              </w:rPr>
              <w:t>Whole Foods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El Segundo, CA 90245 (6)</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2016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Dick's Sporting Goods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San Antonio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2015/2019</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213,000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$17.46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Mountain View, CA 94040(7)(8)</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1964-1965,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Walmart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1974-1975,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24 Hour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1995-1997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231F20"/>
              </w:rPr>
              <w:t>Santana Row</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2002, 2009,</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1997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1,206,000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$57.98</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Crate &amp; Barrel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San Jose, CA 95128(7)(10)</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2016, 2020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Container Store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H&amp;M</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Best Buy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Splunk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Net App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231F20"/>
              </w:rPr>
              <w:t>Santana Row Residential</w:t>
            </w:r>
          </w:p>
        </w:tc>
        <w:tc>
          <w:tcPr>
            <w:tcW w:w="9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rPr>
              <w:t>2003-2006,</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1997/2012</w:t>
            </w:r>
          </w:p>
        </w:tc>
        <w:tc>
          <w:tcPr>
            <w:tcW w:w="60" w:type="dxa"/>
            <w:vAlign w:val="bottom"/>
          </w:tcPr>
          <w:p>
            <w:pPr>
              <w:spacing w:after="0"/>
              <w:rPr>
                <w:sz w:val="15"/>
                <w:szCs w:val="15"/>
                <w:color w:val="auto"/>
              </w:rPr>
            </w:pPr>
          </w:p>
        </w:tc>
        <w:tc>
          <w:tcPr>
            <w:tcW w:w="108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231F20"/>
              </w:rPr>
              <w:t>662 units</w:t>
            </w:r>
          </w:p>
        </w:tc>
        <w:tc>
          <w:tcPr>
            <w:tcW w:w="80" w:type="dxa"/>
            <w:vAlign w:val="bottom"/>
          </w:tcPr>
          <w:p>
            <w:pPr>
              <w:spacing w:after="0"/>
              <w:rPr>
                <w:sz w:val="15"/>
                <w:szCs w:val="15"/>
                <w:color w:val="auto"/>
              </w:rPr>
            </w:pPr>
          </w:p>
        </w:tc>
        <w:tc>
          <w:tcPr>
            <w:tcW w:w="1060" w:type="dxa"/>
            <w:vAlign w:val="bottom"/>
          </w:tcPr>
          <w:p>
            <w:pPr>
              <w:ind w:left="440"/>
              <w:spacing w:after="0" w:line="177" w:lineRule="exact"/>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San Jose, CA 95128</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2011, 2014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231F20"/>
              </w:rPr>
              <w:t>Sylmar Towne Center</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1973</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w w:val="99"/>
              </w:rPr>
              <w:t>2017</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148,000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231F20"/>
                <w:w w:val="99"/>
              </w:rPr>
              <w:t>$17.89</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231F20"/>
                <w:w w:val="95"/>
              </w:rPr>
              <w:t>93%</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231F20"/>
              </w:rPr>
              <w:t>Food 4 Less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Sylmar, CA 91342(4)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Third Street Promenade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1888-2000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8"/>
              </w:rPr>
              <w:t>1996-2000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185,000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$81.93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69%</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adidas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Santa Monica, CA 90401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John Reed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Westgate Center</w:t>
            </w:r>
          </w:p>
        </w:tc>
        <w:tc>
          <w:tcPr>
            <w:tcW w:w="98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rPr>
              <w:t>1960-1966</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2004</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648,000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$20.26</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91%</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San Jose, CA 95129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Nike Factory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rPr>
              <w:t>Connecticut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Bristol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264,000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$15.20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88%</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Stop &amp; Shop</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Bristol, CT 06010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Burlington</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Darien Commons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1920-2009,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2013/2018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99,000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$46.87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92%</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Equinox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Darien, CT 06820</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2023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Walgreens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Darien Commons Residential</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2022</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2013/2018</w:t>
            </w:r>
          </w:p>
        </w:tc>
        <w:tc>
          <w:tcPr>
            <w:tcW w:w="60" w:type="dxa"/>
            <w:vAlign w:val="bottom"/>
          </w:tcPr>
          <w:p>
            <w:pPr>
              <w:spacing w:after="0"/>
              <w:rPr>
                <w:sz w:val="14"/>
                <w:szCs w:val="14"/>
                <w:color w:val="auto"/>
              </w:rPr>
            </w:pP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231F20"/>
              </w:rPr>
              <w:t>124 units</w:t>
            </w:r>
          </w:p>
        </w:tc>
        <w:tc>
          <w:tcPr>
            <w:tcW w:w="80" w:type="dxa"/>
            <w:vAlign w:val="bottom"/>
          </w:tcPr>
          <w:p>
            <w:pPr>
              <w:spacing w:after="0"/>
              <w:rPr>
                <w:sz w:val="14"/>
                <w:szCs w:val="14"/>
                <w:color w:val="auto"/>
              </w:rPr>
            </w:pPr>
          </w:p>
        </w:tc>
        <w:tc>
          <w:tcPr>
            <w:tcW w:w="1060" w:type="dxa"/>
            <w:vAlign w:val="bottom"/>
          </w:tcPr>
          <w:p>
            <w:pPr>
              <w:ind w:left="440"/>
              <w:spacing w:after="0" w:line="171" w:lineRule="exact"/>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Darien, CT 06820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231F20"/>
              </w:rPr>
              <w:t>Greenwich Avenue</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1968</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231F20"/>
                <w:w w:val="99"/>
              </w:rPr>
              <w:t>1995</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35,000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231F20"/>
                <w:w w:val="99"/>
              </w:rPr>
              <w:t>$96.19</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231F20"/>
              </w:rPr>
              <w:t>Saks Fifth Avenue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Greenwich Avenue, CT 06830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rPr>
              <w:t>District of Columbia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400" w:type="dxa"/>
            <w:vAlign w:val="bottom"/>
            <w:tcBorders>
              <w:top w:val="single" w:sz="8" w:color="231F20"/>
            </w:tcBorders>
            <w:gridSpan w:val="3"/>
          </w:tcPr>
          <w:p>
            <w:pPr>
              <w:spacing w:after="0"/>
              <w:rPr>
                <w:sz w:val="20"/>
                <w:szCs w:val="20"/>
                <w:color w:val="auto"/>
              </w:rPr>
            </w:pPr>
            <w:r>
              <w:rPr>
                <w:rFonts w:ascii="Times New Roman" w:cs="Times New Roman" w:eastAsia="Times New Roman" w:hAnsi="Times New Roman"/>
                <w:sz w:val="16"/>
                <w:szCs w:val="16"/>
                <w:color w:val="231F20"/>
              </w:rPr>
              <w:t>Friendship Center</w:t>
            </w:r>
          </w:p>
        </w:tc>
        <w:tc>
          <w:tcPr>
            <w:tcW w:w="1380" w:type="dxa"/>
            <w:vAlign w:val="bottom"/>
          </w:tcPr>
          <w:p>
            <w:pPr>
              <w:spacing w:after="0"/>
              <w:rPr>
                <w:sz w:val="19"/>
                <w:szCs w:val="19"/>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1998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54,000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$28.43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Washington, DC 20015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Maggiano's</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rPr>
              <w:t>Florida</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CocoWalk</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1990/1994,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8"/>
              </w:rPr>
              <w:t>2015-2017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277,000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$46.70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Cinepolis Theaters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Coconut Grove, FL 33133(4)(11)</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1922-1973,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Youfit Health Club</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2018-2021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Del Mar Village</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1982, 1994</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2008/2014</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187,000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$24.35</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Winn Dixie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Boca Raton, FL 33433</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&amp; 2007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Shops at Pembroke Gardens</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2007</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2022</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392,000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$32.43</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Nike Factory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Pembroke Pines, FL 33027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DSW</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Barnes &amp; Noble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231F20"/>
              </w:rPr>
              <w:t>Tower Shops</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1989, 2017</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2011/2014</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431,000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$28.08</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Davie, FL 33324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Best Buy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00" w:top="671" w:right="1040" w:bottom="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23</w:t>
      </w:r>
    </w:p>
    <w:p>
      <w:pPr>
        <w:sectPr>
          <w:pgSz w:w="12240" w:h="15840" w:orient="portrait"/>
          <w:cols w:equalWidth="0" w:num="1">
            <w:col w:w="10200"/>
          </w:cols>
          <w:pgMar w:left="1000" w:top="671" w:right="1040"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60" w:type="dxa"/>
            <w:vAlign w:val="bottom"/>
          </w:tcPr>
          <w:p>
            <w:pPr>
              <w:spacing w:after="0"/>
              <w:rPr>
                <w:sz w:val="13"/>
                <w:szCs w:val="13"/>
                <w:color w:val="auto"/>
              </w:rPr>
            </w:pPr>
          </w:p>
        </w:tc>
        <w:tc>
          <w:tcPr>
            <w:tcW w:w="108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231F20"/>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231F20"/>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231F20"/>
            </w:tcBorders>
          </w:tcPr>
          <w:p>
            <w:pPr>
              <w:spacing w:after="0"/>
              <w:rPr>
                <w:sz w:val="18"/>
                <w:szCs w:val="18"/>
                <w:color w:val="auto"/>
              </w:rPr>
            </w:pPr>
          </w:p>
        </w:tc>
        <w:tc>
          <w:tcPr>
            <w:tcW w:w="2780" w:type="dxa"/>
            <w:vAlign w:val="bottom"/>
            <w:tcBorders>
              <w:bottom w:val="single" w:sz="8" w:color="231F20"/>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Completed</w:t>
            </w:r>
          </w:p>
        </w:tc>
        <w:tc>
          <w:tcPr>
            <w:tcW w:w="80" w:type="dxa"/>
            <w:vAlign w:val="bottom"/>
          </w:tcPr>
          <w:p>
            <w:pPr>
              <w:spacing w:after="0"/>
              <w:rPr>
                <w:sz w:val="18"/>
                <w:szCs w:val="18"/>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Acquired</w:t>
            </w:r>
          </w:p>
        </w:tc>
        <w:tc>
          <w:tcPr>
            <w:tcW w:w="60" w:type="dxa"/>
            <w:vAlign w:val="bottom"/>
          </w:tcPr>
          <w:p>
            <w:pPr>
              <w:spacing w:after="0"/>
              <w:rPr>
                <w:sz w:val="18"/>
                <w:szCs w:val="18"/>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Units</w:t>
            </w:r>
          </w:p>
        </w:tc>
        <w:tc>
          <w:tcPr>
            <w:tcW w:w="80" w:type="dxa"/>
            <w:vAlign w:val="bottom"/>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Foot(2)</w:t>
            </w:r>
          </w:p>
        </w:tc>
        <w:tc>
          <w:tcPr>
            <w:tcW w:w="80" w:type="dxa"/>
            <w:vAlign w:val="bottom"/>
          </w:tcPr>
          <w:p>
            <w:pPr>
              <w:spacing w:after="0"/>
              <w:rPr>
                <w:sz w:val="18"/>
                <w:szCs w:val="18"/>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Leased(3)</w:t>
            </w:r>
          </w:p>
        </w:tc>
        <w:tc>
          <w:tcPr>
            <w:tcW w:w="80" w:type="dxa"/>
            <w:vAlign w:val="bottom"/>
          </w:tcPr>
          <w:p>
            <w:pPr>
              <w:spacing w:after="0"/>
              <w:rPr>
                <w:sz w:val="18"/>
                <w:szCs w:val="18"/>
                <w:color w:val="auto"/>
              </w:rPr>
            </w:pPr>
          </w:p>
        </w:tc>
        <w:tc>
          <w:tcPr>
            <w:tcW w:w="21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80" w:type="dxa"/>
            <w:vAlign w:val="bottom"/>
            <w:tcBorders>
              <w:bottom w:val="single" w:sz="8" w:color="231F20"/>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231F20"/>
                <w:w w:val="97"/>
              </w:rPr>
              <w:t>Illinois</w:t>
            </w:r>
          </w:p>
        </w:tc>
        <w:tc>
          <w:tcPr>
            <w:tcW w:w="23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Crossroads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168,000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$23.72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Highland Park, IL 60035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Binny's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Ferguson's Bath, Kitchen, &amp;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Lighting Gallery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Finley Square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281,000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$20.35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53%</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Downers Grove, IL 60515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Portillo's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231F20"/>
              </w:rPr>
              <w:t>Garden Market</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1958</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1994</w:t>
            </w:r>
          </w:p>
        </w:tc>
        <w:tc>
          <w:tcPr>
            <w:tcW w:w="11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231F20"/>
              </w:rPr>
              <w:t>139,000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$14.92</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Mariano's Fresh Market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Western Springs, IL 60558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Walgreens</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Riverpoint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1989, 2012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211,000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$22.14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95%</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Jewel Osco</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Chicago, IL 60614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7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Maryland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231F2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Bethesda Row</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1945-1991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1993-2006/</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529,000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$58.78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92%</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Bethesda, MD 20814(6)(7)</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2001, 2008</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2008/2010</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Apple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Equinox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Anthropologie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Nike Live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231F20"/>
              </w:rPr>
              <w:t>Bethesda Row Residential</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2008</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1993</w:t>
            </w:r>
          </w:p>
        </w:tc>
        <w:tc>
          <w:tcPr>
            <w:tcW w:w="60" w:type="dxa"/>
            <w:vAlign w:val="bottom"/>
          </w:tcPr>
          <w:p>
            <w:pPr>
              <w:spacing w:after="0"/>
              <w:rPr>
                <w:sz w:val="14"/>
                <w:szCs w:val="14"/>
                <w:color w:val="auto"/>
              </w:rPr>
            </w:pP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231F20"/>
              </w:rPr>
              <w:t>180 units</w:t>
            </w:r>
          </w:p>
        </w:tc>
        <w:tc>
          <w:tcPr>
            <w:tcW w:w="80" w:type="dxa"/>
            <w:vAlign w:val="bottom"/>
          </w:tcPr>
          <w:p>
            <w:pPr>
              <w:spacing w:after="0"/>
              <w:rPr>
                <w:sz w:val="14"/>
                <w:szCs w:val="14"/>
                <w:color w:val="auto"/>
              </w:rPr>
            </w:pPr>
          </w:p>
        </w:tc>
        <w:tc>
          <w:tcPr>
            <w:tcW w:w="1060" w:type="dxa"/>
            <w:vAlign w:val="bottom"/>
          </w:tcPr>
          <w:p>
            <w:pPr>
              <w:ind w:left="440"/>
              <w:spacing w:after="0" w:line="171" w:lineRule="exact"/>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95%</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Bethesda, MD 20814 (6)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Congressional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1965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325,000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$42.82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89%</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 Fresh Market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Rockville, MD 20852(4)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Barnes &amp; Noble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Container Store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Buy Buy Baby</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color w:val="231F20"/>
              </w:rPr>
              <w:t>Congressional Plaza Residential</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2003, 2016</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w w:val="99"/>
              </w:rPr>
              <w:t>1965</w:t>
            </w:r>
          </w:p>
        </w:tc>
        <w:tc>
          <w:tcPr>
            <w:tcW w:w="60" w:type="dxa"/>
            <w:vAlign w:val="bottom"/>
          </w:tcPr>
          <w:p>
            <w:pPr>
              <w:spacing w:after="0"/>
              <w:rPr>
                <w:sz w:val="14"/>
                <w:szCs w:val="14"/>
                <w:color w:val="auto"/>
              </w:rPr>
            </w:pPr>
          </w:p>
        </w:tc>
        <w:tc>
          <w:tcPr>
            <w:tcW w:w="10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231F20"/>
              </w:rPr>
              <w:t>194 units</w:t>
            </w:r>
          </w:p>
        </w:tc>
        <w:tc>
          <w:tcPr>
            <w:tcW w:w="80" w:type="dxa"/>
            <w:vAlign w:val="bottom"/>
          </w:tcPr>
          <w:p>
            <w:pPr>
              <w:spacing w:after="0"/>
              <w:rPr>
                <w:sz w:val="14"/>
                <w:szCs w:val="14"/>
                <w:color w:val="auto"/>
              </w:rPr>
            </w:pPr>
          </w:p>
        </w:tc>
        <w:tc>
          <w:tcPr>
            <w:tcW w:w="1060" w:type="dxa"/>
            <w:vAlign w:val="bottom"/>
          </w:tcPr>
          <w:p>
            <w:pPr>
              <w:ind w:left="440"/>
              <w:spacing w:after="0" w:line="167" w:lineRule="exact"/>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Rockville, MD 20852(4)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Courthouse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37,000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$26.15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73%</w:t>
            </w: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Rockville, MD 20852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Federal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1989</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249,000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$37.26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93%</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Rockville, MD 20852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Micro Center</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231F20"/>
              </w:rPr>
              <w:t>Gaithersburg Square</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1966</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1993</w:t>
            </w:r>
          </w:p>
        </w:tc>
        <w:tc>
          <w:tcPr>
            <w:tcW w:w="114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231F20"/>
              </w:rPr>
              <w:t>207,000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$31.06</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Gaithersburg, MD 20878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Ashley Furniture HomeStore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231F20"/>
              </w:rPr>
              <w:t>Governor Plaza</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1963</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1985</w:t>
            </w:r>
          </w:p>
        </w:tc>
        <w:tc>
          <w:tcPr>
            <w:tcW w:w="114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6"/>
                <w:szCs w:val="16"/>
                <w:color w:val="231F20"/>
              </w:rPr>
              <w:t>243,000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$20.42</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Aldi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Glen Burnie, MD 21961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Dick's Sporting 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Petco</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Bob's Discount Furniture</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Laurel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1986</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364,000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$24.36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Laurel, MD 20707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Montrose Crossing</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1960-1979,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2011/2013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369,000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$34.33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Rockville, MD 20852</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1996, 2011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 Depot Design Center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Burlington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color w:val="231F20"/>
              </w:rPr>
              <w:t>Perring Plaza</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1963</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w w:val="99"/>
              </w:rPr>
              <w:t>1985</w:t>
            </w:r>
          </w:p>
        </w:tc>
        <w:tc>
          <w:tcPr>
            <w:tcW w:w="1140" w:type="dxa"/>
            <w:vAlign w:val="bottom"/>
            <w:gridSpan w:val="2"/>
          </w:tcPr>
          <w:p>
            <w:pPr>
              <w:jc w:val="right"/>
              <w:ind w:right="180"/>
              <w:spacing w:after="0" w:line="167" w:lineRule="exact"/>
              <w:rPr>
                <w:sz w:val="20"/>
                <w:szCs w:val="20"/>
                <w:color w:val="auto"/>
              </w:rPr>
            </w:pPr>
            <w:r>
              <w:rPr>
                <w:rFonts w:ascii="Times New Roman" w:cs="Times New Roman" w:eastAsia="Times New Roman" w:hAnsi="Times New Roman"/>
                <w:sz w:val="16"/>
                <w:szCs w:val="16"/>
                <w:color w:val="231F20"/>
              </w:rPr>
              <w:t>397,000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231F20"/>
                <w:w w:val="99"/>
              </w:rPr>
              <w:t>$17.29</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231F20"/>
                <w:w w:val="95"/>
              </w:rPr>
              <w:t>88%</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231F20"/>
              </w:rPr>
              <w:t>Home Depot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Baltimore, MD 21134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Dick's Sporting Goods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Micro Center</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Pike &amp; Rose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1963, 2014,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8"/>
              </w:rPr>
              <w:t>1982/2007/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792,000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$45.07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Porsche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North Bethesda, MD 20852(10)</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2018, 2020</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2012</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Uniqlo</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REI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H&amp;M</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L.L. Bean</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Choice Hotels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Pike &amp; Rose Residential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2014, 2016,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1982/2007</w:t>
            </w:r>
          </w:p>
        </w:tc>
        <w:tc>
          <w:tcPr>
            <w:tcW w:w="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765 units</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95%</w:t>
            </w: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231F20"/>
              </w:rPr>
              <w:t>North Bethesda, MD 20852</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2018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Plaza Del Mercado</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2004</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116,000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$33.97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93%</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Aldi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Silver Spring, MD 20906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231F20"/>
              </w:rPr>
              <w:t>Quince Orchard</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1975</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1993</w:t>
            </w:r>
          </w:p>
        </w:tc>
        <w:tc>
          <w:tcPr>
            <w:tcW w:w="11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231F20"/>
              </w:rPr>
              <w:t>271,000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$26.22</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81%</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Aldi</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color w:val="231F20"/>
              </w:rPr>
              <w:t>Gaithersburg, MD 20877(7)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Staples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00" w:top="671" w:right="1040" w:bottom="0" w:gutter="0" w:footer="0" w:header="0"/>
        </w:sect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24</w:t>
      </w:r>
    </w:p>
    <w:p>
      <w:pPr>
        <w:sectPr>
          <w:pgSz w:w="12240" w:h="15840" w:orient="portrait"/>
          <w:cols w:equalWidth="0" w:num="1">
            <w:col w:w="10200"/>
          </w:cols>
          <w:pgMar w:left="1000" w:top="671" w:right="1040"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231F20"/>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231F20"/>
            </w:tcBorders>
          </w:tcPr>
          <w:p>
            <w:pPr>
              <w:spacing w:after="0"/>
              <w:rPr>
                <w:sz w:val="18"/>
                <w:szCs w:val="18"/>
                <w:color w:val="auto"/>
              </w:rPr>
            </w:pPr>
          </w:p>
        </w:tc>
        <w:tc>
          <w:tcPr>
            <w:tcW w:w="2780" w:type="dxa"/>
            <w:vAlign w:val="bottom"/>
            <w:tcBorders>
              <w:bottom w:val="single" w:sz="8" w:color="231F20"/>
            </w:tcBorders>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Completed</w:t>
            </w:r>
          </w:p>
        </w:tc>
        <w:tc>
          <w:tcPr>
            <w:tcW w:w="80" w:type="dxa"/>
            <w:vAlign w:val="bottom"/>
          </w:tcPr>
          <w:p>
            <w:pPr>
              <w:spacing w:after="0"/>
              <w:rPr>
                <w:sz w:val="18"/>
                <w:szCs w:val="18"/>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Acquired</w:t>
            </w:r>
          </w:p>
        </w:tc>
        <w:tc>
          <w:tcPr>
            <w:tcW w:w="60" w:type="dxa"/>
            <w:vAlign w:val="bottom"/>
          </w:tcPr>
          <w:p>
            <w:pPr>
              <w:spacing w:after="0"/>
              <w:rPr>
                <w:sz w:val="18"/>
                <w:szCs w:val="18"/>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Units</w:t>
            </w:r>
          </w:p>
        </w:tc>
        <w:tc>
          <w:tcPr>
            <w:tcW w:w="80" w:type="dxa"/>
            <w:vAlign w:val="bottom"/>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Foot(2)</w:t>
            </w:r>
          </w:p>
        </w:tc>
        <w:tc>
          <w:tcPr>
            <w:tcW w:w="80" w:type="dxa"/>
            <w:vAlign w:val="bottom"/>
          </w:tcPr>
          <w:p>
            <w:pPr>
              <w:spacing w:after="0"/>
              <w:rPr>
                <w:sz w:val="18"/>
                <w:szCs w:val="18"/>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Leased(3)</w:t>
            </w:r>
          </w:p>
        </w:tc>
        <w:tc>
          <w:tcPr>
            <w:tcW w:w="80" w:type="dxa"/>
            <w:vAlign w:val="bottom"/>
          </w:tcPr>
          <w:p>
            <w:pPr>
              <w:spacing w:after="0"/>
              <w:rPr>
                <w:sz w:val="18"/>
                <w:szCs w:val="18"/>
                <w:color w:val="auto"/>
              </w:rPr>
            </w:pPr>
          </w:p>
        </w:tc>
        <w:tc>
          <w:tcPr>
            <w:tcW w:w="21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780" w:type="dxa"/>
            <w:vAlign w:val="bottom"/>
            <w:gridSpan w:val="4"/>
          </w:tcPr>
          <w:p>
            <w:pPr>
              <w:spacing w:after="0" w:line="154" w:lineRule="exact"/>
              <w:rPr>
                <w:sz w:val="20"/>
                <w:szCs w:val="20"/>
                <w:color w:val="auto"/>
              </w:rPr>
            </w:pPr>
            <w:r>
              <w:rPr>
                <w:rFonts w:ascii="Times New Roman" w:cs="Times New Roman" w:eastAsia="Times New Roman" w:hAnsi="Times New Roman"/>
                <w:sz w:val="16"/>
                <w:szCs w:val="16"/>
                <w:color w:val="231F20"/>
              </w:rPr>
              <w:t>THE AVENUE at White Marsh</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1997</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2007</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315,000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$29.08</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231F20"/>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Baltimore, MD 21236(8)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Nike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231F20"/>
              </w:rPr>
              <w:t>The Shoppes at Nottingham Square</w:t>
            </w:r>
          </w:p>
        </w:tc>
        <w:tc>
          <w:tcPr>
            <w:tcW w:w="9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rPr>
              <w:t>2005-2006</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2007</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33,000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$54.10</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Baltimore, MD 21236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White Marsh Other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56,000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$36.87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87%</w:t>
            </w: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Baltimore, MD 21236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White Marsh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80,000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$24.09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Baltimore, MD 21236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Wildwood</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1969</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88,000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$106.73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Balducci's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Bethesda, MD 20814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rPr>
              <w:t>Massachusetts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Assembly Row/</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2005, 2014,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2005-2011/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1,212,000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$39.63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spacing w:after="0" w:line="160" w:lineRule="exact"/>
              <w:rPr>
                <w:sz w:val="20"/>
                <w:szCs w:val="20"/>
                <w:color w:val="auto"/>
              </w:rPr>
            </w:pPr>
            <w:r>
              <w:rPr>
                <w:rFonts w:ascii="Times New Roman" w:cs="Times New Roman" w:eastAsia="Times New Roman" w:hAnsi="Times New Roman"/>
                <w:sz w:val="16"/>
                <w:szCs w:val="16"/>
                <w:color w:val="231F20"/>
              </w:rPr>
              <w:t>Assembly Square Marketplace</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2018, 2021</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2013</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Somerville, MA 02145(10)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Nike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PUMA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Assembly Row Residential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2018, 2021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8"/>
              </w:rPr>
              <w:t>2005-2011</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947 units</w:t>
            </w:r>
          </w:p>
        </w:tc>
        <w:tc>
          <w:tcPr>
            <w:tcW w:w="80" w:type="dxa"/>
            <w:vAlign w:val="bottom"/>
          </w:tcPr>
          <w:p>
            <w:pPr>
              <w:spacing w:after="0"/>
              <w:rPr>
                <w:sz w:val="16"/>
                <w:szCs w:val="16"/>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95%</w:t>
            </w: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Somerville, MA 02145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Campus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2004</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114,000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$17.94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Roche Bros.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Bridgewater, MA 02324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Burlington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Chelsea Commons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1962,1969,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8"/>
              </w:rPr>
              <w:t>2006-2008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230,000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$14.79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Home Depot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Chelsea, MA 02150(6)</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Planet Fitness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Burlington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78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231F20"/>
              </w:rPr>
              <w:t>Dedham Plaza</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1959</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8"/>
              </w:rPr>
              <w:t>1993/2016/</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253,000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$22.39</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91%</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Star Market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Dedham, MA 02026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2019</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Planet Fitness</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Linden Square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1960, 2008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2006</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224,000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$50.81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Roche Bros.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Wellesley, MA 02481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F20"/>
              </w:rPr>
              <w:t>7 units</w:t>
            </w:r>
          </w:p>
        </w:tc>
        <w:tc>
          <w:tcPr>
            <w:tcW w:w="80" w:type="dxa"/>
            <w:vAlign w:val="bottom"/>
          </w:tcPr>
          <w:p>
            <w:pPr>
              <w:spacing w:after="0"/>
              <w:rPr>
                <w:sz w:val="13"/>
                <w:szCs w:val="13"/>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231F20"/>
                <w:w w:val="95"/>
              </w:rPr>
              <w:t>86%</w:t>
            </w: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North Dartmouth</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2004</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2006</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48,000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$17.22</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Stop &amp; Shop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North Dartmouth, MA 02747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Queen Anne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1994</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149,000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$20.55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Big Y Foods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Norwell, MA 02061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60" w:type="dxa"/>
            <w:vAlign w:val="bottom"/>
            <w:tcBorders>
              <w:bottom w:val="single" w:sz="8" w:color="231F20"/>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Michigan</w:t>
            </w:r>
          </w:p>
        </w:tc>
        <w:tc>
          <w:tcPr>
            <w:tcW w:w="21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Gratiot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1973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216,000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$13.43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78%</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Kroger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Roseville, MI 48066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Best Buy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DSW</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rPr>
              <w:t>New Jersey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8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6"/>
                <w:szCs w:val="16"/>
                <w:color w:val="231F20"/>
              </w:rPr>
              <w:t>Brick Plaza</w:t>
            </w:r>
          </w:p>
        </w:tc>
        <w:tc>
          <w:tcPr>
            <w:tcW w:w="2000" w:type="dxa"/>
            <w:vAlign w:val="bottom"/>
            <w:gridSpan w:val="2"/>
          </w:tcPr>
          <w:p>
            <w:pPr>
              <w:spacing w:after="0"/>
              <w:rPr>
                <w:sz w:val="18"/>
                <w:szCs w:val="18"/>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1989</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407,000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$22.39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Trader Joe's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Brick Township, NJ 08723(7)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Burlington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231F20"/>
              </w:rPr>
              <w:t>Brook 35</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1986, 2004</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w w:val="99"/>
              </w:rPr>
              <w:t>2014</w:t>
            </w:r>
          </w:p>
        </w:tc>
        <w:tc>
          <w:tcPr>
            <w:tcW w:w="114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98,000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231F20"/>
                <w:w w:val="99"/>
              </w:rPr>
              <w:t>$39.97</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231F20"/>
                <w:w w:val="95"/>
              </w:rPr>
              <w:t>89%</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231F20"/>
              </w:rPr>
              <w:t>Banana Republic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Sea Grit, NJ 08750(4)(6)(8)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Gap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Williams-Sonoma</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Ellisburg</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1959</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1992</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260,000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$17.83</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Whole Foods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Cherry Hill, NJ 08034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RH Outlet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Buy Buy Baby</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Hoboken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1887-2006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8"/>
              </w:rPr>
              <w:t>2019/2020/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171,000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$58.81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Nike Live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Hoboken, NJ 07030(4)(6)(12)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2022</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F20"/>
              </w:rPr>
              <w:t>129 units</w:t>
            </w:r>
          </w:p>
        </w:tc>
        <w:tc>
          <w:tcPr>
            <w:tcW w:w="80" w:type="dxa"/>
            <w:vAlign w:val="bottom"/>
          </w:tcPr>
          <w:p>
            <w:pPr>
              <w:spacing w:after="0"/>
              <w:rPr>
                <w:sz w:val="13"/>
                <w:szCs w:val="13"/>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New York Sports Club</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vMerge w:val="restart"/>
          </w:tcPr>
          <w:p>
            <w:pPr>
              <w:ind w:left="60"/>
              <w:spacing w:after="0" w:line="160" w:lineRule="exact"/>
              <w:rPr>
                <w:sz w:val="20"/>
                <w:szCs w:val="20"/>
                <w:color w:val="auto"/>
              </w:rPr>
            </w:pPr>
            <w:r>
              <w:rPr>
                <w:rFonts w:ascii="Times New Roman" w:cs="Times New Roman" w:eastAsia="Times New Roman" w:hAnsi="Times New Roman"/>
                <w:sz w:val="16"/>
                <w:szCs w:val="16"/>
                <w:color w:val="231F20"/>
              </w:rPr>
              <w:t>Sephora</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Mercer on One (formerly Mercer Mall)</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8"/>
              </w:rPr>
              <w:t>2003/2017/</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551,000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$27.13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Shop Rite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Lawrenceville, NJ 08648(7)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2023</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Nike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Nordstrom Rack</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REI</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Tesla</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The Grove at Shrewsbury</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1988, 1993</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2014</w:t>
            </w:r>
          </w:p>
        </w:tc>
        <w:tc>
          <w:tcPr>
            <w:tcW w:w="114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193,000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$50.98</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95%</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Lululemon</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Shrewsbury, NJ 07702(4)(6)(8)</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&amp; 2007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Anthropologie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Pottery Barn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Williams-Sonoma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00" w:top="671" w:right="1040" w:bottom="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25</w:t>
      </w:r>
    </w:p>
    <w:p>
      <w:pPr>
        <w:sectPr>
          <w:pgSz w:w="12240" w:h="15840" w:orient="portrait"/>
          <w:cols w:equalWidth="0" w:num="1">
            <w:col w:w="10200"/>
          </w:cols>
          <w:pgMar w:left="1000" w:top="671" w:right="104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60" w:type="dxa"/>
            <w:vAlign w:val="bottom"/>
          </w:tcPr>
          <w:p>
            <w:pPr>
              <w:spacing w:after="0"/>
              <w:rPr>
                <w:sz w:val="13"/>
                <w:szCs w:val="13"/>
                <w:color w:val="auto"/>
              </w:rPr>
            </w:pPr>
          </w:p>
        </w:tc>
        <w:tc>
          <w:tcPr>
            <w:tcW w:w="108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231F20"/>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231F20"/>
              </w:rPr>
              <w:t>Principal Tenant(s)</w:t>
            </w:r>
          </w:p>
        </w:tc>
        <w:tc>
          <w:tcPr>
            <w:tcW w:w="0" w:type="dxa"/>
            <w:vAlign w:val="bottom"/>
          </w:tcPr>
          <w:p>
            <w:pPr>
              <w:spacing w:after="0"/>
              <w:rPr>
                <w:sz w:val="1"/>
                <w:szCs w:val="1"/>
                <w:color w:val="auto"/>
              </w:rPr>
            </w:pPr>
          </w:p>
        </w:tc>
      </w:tr>
      <w:tr>
        <w:trPr>
          <w:trHeight w:val="214"/>
        </w:trPr>
        <w:tc>
          <w:tcPr>
            <w:tcW w:w="40" w:type="dxa"/>
            <w:vAlign w:val="bottom"/>
            <w:tcBorders>
              <w:bottom w:val="single" w:sz="8" w:color="231F20"/>
            </w:tcBorders>
          </w:tcPr>
          <w:p>
            <w:pPr>
              <w:spacing w:after="0"/>
              <w:rPr>
                <w:sz w:val="18"/>
                <w:szCs w:val="18"/>
                <w:color w:val="auto"/>
              </w:rPr>
            </w:pPr>
          </w:p>
        </w:tc>
        <w:tc>
          <w:tcPr>
            <w:tcW w:w="2780" w:type="dxa"/>
            <w:vAlign w:val="bottom"/>
            <w:tcBorders>
              <w:bottom w:val="single" w:sz="8" w:color="231F20"/>
            </w:tcBorders>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Completed</w:t>
            </w:r>
          </w:p>
        </w:tc>
        <w:tc>
          <w:tcPr>
            <w:tcW w:w="80" w:type="dxa"/>
            <w:vAlign w:val="bottom"/>
          </w:tcPr>
          <w:p>
            <w:pPr>
              <w:spacing w:after="0"/>
              <w:rPr>
                <w:sz w:val="18"/>
                <w:szCs w:val="18"/>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Acquired</w:t>
            </w:r>
          </w:p>
        </w:tc>
        <w:tc>
          <w:tcPr>
            <w:tcW w:w="60" w:type="dxa"/>
            <w:vAlign w:val="bottom"/>
          </w:tcPr>
          <w:p>
            <w:pPr>
              <w:spacing w:after="0"/>
              <w:rPr>
                <w:sz w:val="18"/>
                <w:szCs w:val="18"/>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Units</w:t>
            </w:r>
          </w:p>
        </w:tc>
        <w:tc>
          <w:tcPr>
            <w:tcW w:w="80" w:type="dxa"/>
            <w:vAlign w:val="bottom"/>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Foot(2)</w:t>
            </w:r>
          </w:p>
        </w:tc>
        <w:tc>
          <w:tcPr>
            <w:tcW w:w="80" w:type="dxa"/>
            <w:vAlign w:val="bottom"/>
          </w:tcPr>
          <w:p>
            <w:pPr>
              <w:spacing w:after="0"/>
              <w:rPr>
                <w:sz w:val="18"/>
                <w:szCs w:val="18"/>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Leased(3)</w:t>
            </w:r>
          </w:p>
        </w:tc>
        <w:tc>
          <w:tcPr>
            <w:tcW w:w="80" w:type="dxa"/>
            <w:vAlign w:val="bottom"/>
          </w:tcPr>
          <w:p>
            <w:pPr>
              <w:spacing w:after="0"/>
              <w:rPr>
                <w:sz w:val="18"/>
                <w:szCs w:val="18"/>
                <w:color w:val="auto"/>
              </w:rPr>
            </w:pPr>
          </w:p>
        </w:tc>
        <w:tc>
          <w:tcPr>
            <w:tcW w:w="21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780" w:type="dxa"/>
            <w:vAlign w:val="bottom"/>
            <w:gridSpan w:val="4"/>
          </w:tcPr>
          <w:p>
            <w:pPr>
              <w:spacing w:after="0" w:line="154" w:lineRule="exact"/>
              <w:rPr>
                <w:sz w:val="20"/>
                <w:szCs w:val="20"/>
                <w:color w:val="auto"/>
              </w:rPr>
            </w:pPr>
            <w:r>
              <w:rPr>
                <w:rFonts w:ascii="Times New Roman" w:cs="Times New Roman" w:eastAsia="Times New Roman" w:hAnsi="Times New Roman"/>
                <w:sz w:val="16"/>
                <w:szCs w:val="16"/>
                <w:color w:val="231F20"/>
              </w:rPr>
              <w:t>Troy Hills</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1966</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1980</w:t>
            </w:r>
          </w:p>
        </w:tc>
        <w:tc>
          <w:tcPr>
            <w:tcW w:w="60" w:type="dxa"/>
            <w:vAlign w:val="bottom"/>
          </w:tcPr>
          <w:p>
            <w:pPr>
              <w:spacing w:after="0"/>
              <w:rPr>
                <w:sz w:val="13"/>
                <w:szCs w:val="13"/>
                <w:color w:val="auto"/>
              </w:rPr>
            </w:pPr>
          </w:p>
        </w:tc>
        <w:tc>
          <w:tcPr>
            <w:tcW w:w="1080" w:type="dxa"/>
            <w:vAlign w:val="bottom"/>
          </w:tcPr>
          <w:p>
            <w:pPr>
              <w:jc w:val="right"/>
              <w:ind w:right="180"/>
              <w:spacing w:after="0" w:line="154" w:lineRule="exact"/>
              <w:rPr>
                <w:sz w:val="20"/>
                <w:szCs w:val="20"/>
                <w:color w:val="auto"/>
              </w:rPr>
            </w:pPr>
            <w:r>
              <w:rPr>
                <w:rFonts w:ascii="Times New Roman" w:cs="Times New Roman" w:eastAsia="Times New Roman" w:hAnsi="Times New Roman"/>
                <w:sz w:val="16"/>
                <w:szCs w:val="16"/>
                <w:color w:val="231F20"/>
              </w:rPr>
              <w:t>210,000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$23.07</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231F20"/>
              </w:rPr>
              <w:t>Target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Parsippany-Troy, NJ 07054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780" w:type="dxa"/>
            <w:vAlign w:val="bottom"/>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New York</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Fresh Meadows</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1949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408,000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$39.96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Island of Gold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Queens, NY 11365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AMC</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Kohl's</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Planet Fitness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7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231F20"/>
              </w:rPr>
              <w:t>Georgetowne Shopping Center</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1969, 2006,</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231F20"/>
                <w:w w:val="99"/>
              </w:rPr>
              <w:t>2019</w:t>
            </w:r>
          </w:p>
        </w:tc>
        <w:tc>
          <w:tcPr>
            <w:tcW w:w="1140" w:type="dxa"/>
            <w:vAlign w:val="bottom"/>
            <w:gridSpan w:val="2"/>
          </w:tcPr>
          <w:p>
            <w:pPr>
              <w:jc w:val="right"/>
              <w:ind w:right="180"/>
              <w:spacing w:after="0" w:line="161" w:lineRule="exact"/>
              <w:rPr>
                <w:sz w:val="20"/>
                <w:szCs w:val="20"/>
                <w:color w:val="auto"/>
              </w:rPr>
            </w:pPr>
            <w:r>
              <w:rPr>
                <w:rFonts w:ascii="Times New Roman" w:cs="Times New Roman" w:eastAsia="Times New Roman" w:hAnsi="Times New Roman"/>
                <w:sz w:val="16"/>
                <w:szCs w:val="16"/>
                <w:color w:val="231F20"/>
              </w:rPr>
              <w:t>147,000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231F20"/>
                <w:w w:val="99"/>
              </w:rPr>
              <w:t>$42.72</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231F20"/>
                <w:w w:val="95"/>
              </w:rPr>
              <w:t>91%</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231F20"/>
              </w:rPr>
              <w:t>Foodway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Brooklyn, NY 11234</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2015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IHOP</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Greenlawn Plaza</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1975, 2004</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2006</w:t>
            </w:r>
          </w:p>
        </w:tc>
        <w:tc>
          <w:tcPr>
            <w:tcW w:w="11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231F20"/>
              </w:rPr>
              <w:t>103,000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$19.14</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79%</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Greenlawn Farms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Greenlawn, NY 11743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Planet Fitness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Hauppauge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1963</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1998</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134,000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$26.83</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Shop Rite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Hauppauge, NY 11788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Huntington</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1962</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8"/>
              </w:rPr>
              <w:t>1988/2007/</w:t>
            </w:r>
          </w:p>
        </w:tc>
        <w:tc>
          <w:tcPr>
            <w:tcW w:w="11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231F20"/>
              </w:rPr>
              <w:t>138,000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$34.47</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91%</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Petsmart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Huntington, NY 11746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2015</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REI</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Huntington Square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1980, 2007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2010/2023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243,000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$22.82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Barnes &amp; Noble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East Northport, NY 11731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At Home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AMC</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Melville Mall</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1974</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2006</w:t>
            </w:r>
          </w:p>
        </w:tc>
        <w:tc>
          <w:tcPr>
            <w:tcW w:w="11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231F20"/>
              </w:rPr>
              <w:t>253,000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$29.83</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Uncle Giuseppe's Marketplace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Huntington, NY 11747(7)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Dick's Sporting 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Macy's Backstage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Public Lands</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78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b w:val="1"/>
                <w:bCs w:val="1"/>
                <w:color w:val="231F20"/>
              </w:rPr>
              <w:t>Pennsylvania</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tcBorders>
              <w:top w:val="single" w:sz="8" w:color="231F20"/>
            </w:tcBorders>
            <w:gridSpan w:val="3"/>
          </w:tcPr>
          <w:p>
            <w:pPr>
              <w:spacing w:after="0"/>
              <w:rPr>
                <w:sz w:val="20"/>
                <w:szCs w:val="20"/>
                <w:color w:val="auto"/>
              </w:rPr>
            </w:pPr>
            <w:r>
              <w:rPr>
                <w:rFonts w:ascii="Times New Roman" w:cs="Times New Roman" w:eastAsia="Times New Roman" w:hAnsi="Times New Roman"/>
                <w:sz w:val="16"/>
                <w:szCs w:val="16"/>
                <w:color w:val="231F20"/>
              </w:rPr>
              <w:t>Andorra</w:t>
            </w:r>
          </w:p>
        </w:tc>
        <w:tc>
          <w:tcPr>
            <w:tcW w:w="1880" w:type="dxa"/>
            <w:vAlign w:val="bottom"/>
          </w:tcPr>
          <w:p>
            <w:pPr>
              <w:spacing w:after="0"/>
              <w:rPr>
                <w:sz w:val="18"/>
                <w:szCs w:val="18"/>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1953</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1988</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270,000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$14.99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87%</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Acme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Philadelphia, PA 19128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Kohl's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Bala Cynwyd</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174,000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$37.04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Acme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Bala Cynwyd, PA 19004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231F20"/>
              </w:rPr>
              <w:t>Bala Cynwyd Residential</w:t>
            </w:r>
          </w:p>
        </w:tc>
        <w:tc>
          <w:tcPr>
            <w:tcW w:w="98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2020</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9"/>
              </w:rPr>
              <w:t>1993</w:t>
            </w: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F20"/>
              </w:rPr>
              <w:t>87 units</w:t>
            </w:r>
          </w:p>
        </w:tc>
        <w:tc>
          <w:tcPr>
            <w:tcW w:w="80" w:type="dxa"/>
            <w:vAlign w:val="bottom"/>
          </w:tcPr>
          <w:p>
            <w:pPr>
              <w:spacing w:after="0"/>
              <w:rPr>
                <w:sz w:val="18"/>
                <w:szCs w:val="18"/>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 Fitness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780" w:type="dxa"/>
            <w:vAlign w:val="bottom"/>
            <w:gridSpan w:val="4"/>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Bala Cynwyd, PA 19004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Flourtown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1980</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158,000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$22.42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19"/>
                <w:szCs w:val="19"/>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Flourtown, PA 19031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Movie Tavern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Lancaster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1980</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126,000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$19.28</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Lancaster, PA 17601(7)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AutoZone</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Langhorne Square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223,000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$18.89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Redner's Warehouse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Levittown, PA 19056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Planet Fitness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Lawrence Park</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1972</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9"/>
              </w:rPr>
              <w:t>1980/2017</w:t>
            </w:r>
          </w:p>
        </w:tc>
        <w:tc>
          <w:tcPr>
            <w:tcW w:w="11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231F20"/>
              </w:rPr>
              <w:t>357,000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$24.39</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Acme Markets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Broomall, PA 19008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Barnes &amp; Noble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Lankenau Medical Center</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231F20"/>
              </w:rPr>
              <w:t>Northeast</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1959</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w w:val="99"/>
              </w:rPr>
              <w:t>1983</w:t>
            </w:r>
          </w:p>
        </w:tc>
        <w:tc>
          <w:tcPr>
            <w:tcW w:w="1140" w:type="dxa"/>
            <w:vAlign w:val="bottom"/>
            <w:gridSpan w:val="2"/>
          </w:tcPr>
          <w:p>
            <w:pPr>
              <w:jc w:val="right"/>
              <w:ind w:right="180"/>
              <w:spacing w:after="0" w:line="167" w:lineRule="exact"/>
              <w:rPr>
                <w:sz w:val="20"/>
                <w:szCs w:val="20"/>
                <w:color w:val="auto"/>
              </w:rPr>
            </w:pPr>
            <w:r>
              <w:rPr>
                <w:rFonts w:ascii="Times New Roman" w:cs="Times New Roman" w:eastAsia="Times New Roman" w:hAnsi="Times New Roman"/>
                <w:sz w:val="16"/>
                <w:szCs w:val="16"/>
                <w:color w:val="231F20"/>
              </w:rPr>
              <w:t>214,000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231F20"/>
                <w:w w:val="99"/>
              </w:rPr>
              <w:t>$22.61</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231F20"/>
                <w:w w:val="95"/>
              </w:rPr>
              <w:t>81%</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Philadelphia, PA 19114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Skechers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Crunch Fitness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Willow Grove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1953</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1984</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85,000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$24.20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Marshalls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231F20"/>
              </w:rPr>
              <w:t>Willow Grove, PA 19090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7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231F20"/>
              </w:rPr>
              <w:t>Wynnewood</w:t>
            </w:r>
          </w:p>
        </w:tc>
        <w:tc>
          <w:tcPr>
            <w:tcW w:w="980" w:type="dxa"/>
            <w:vAlign w:val="bottom"/>
            <w:gridSpan w:val="2"/>
          </w:tcPr>
          <w:p>
            <w:pPr>
              <w:jc w:val="center"/>
              <w:ind w:left="20"/>
              <w:spacing w:after="0" w:line="167" w:lineRule="exact"/>
              <w:rPr>
                <w:sz w:val="20"/>
                <w:szCs w:val="20"/>
                <w:color w:val="auto"/>
              </w:rPr>
            </w:pPr>
            <w:r>
              <w:rPr>
                <w:rFonts w:ascii="Times New Roman" w:cs="Times New Roman" w:eastAsia="Times New Roman" w:hAnsi="Times New Roman"/>
                <w:sz w:val="16"/>
                <w:szCs w:val="16"/>
                <w:color w:val="231F20"/>
                <w:w w:val="99"/>
              </w:rPr>
              <w:t>1948</w:t>
            </w:r>
          </w:p>
        </w:tc>
        <w:tc>
          <w:tcPr>
            <w:tcW w:w="94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color w:val="231F20"/>
                <w:w w:val="99"/>
              </w:rPr>
              <w:t>1996</w:t>
            </w:r>
          </w:p>
        </w:tc>
        <w:tc>
          <w:tcPr>
            <w:tcW w:w="1140" w:type="dxa"/>
            <w:vAlign w:val="bottom"/>
            <w:gridSpan w:val="2"/>
          </w:tcPr>
          <w:p>
            <w:pPr>
              <w:jc w:val="right"/>
              <w:ind w:right="180"/>
              <w:spacing w:after="0" w:line="167" w:lineRule="exact"/>
              <w:rPr>
                <w:sz w:val="20"/>
                <w:szCs w:val="20"/>
                <w:color w:val="auto"/>
              </w:rPr>
            </w:pPr>
            <w:r>
              <w:rPr>
                <w:rFonts w:ascii="Times New Roman" w:cs="Times New Roman" w:eastAsia="Times New Roman" w:hAnsi="Times New Roman"/>
                <w:sz w:val="16"/>
                <w:szCs w:val="16"/>
                <w:color w:val="231F20"/>
              </w:rPr>
              <w:t>246,000</w:t>
            </w:r>
          </w:p>
        </w:tc>
        <w:tc>
          <w:tcPr>
            <w:tcW w:w="1140" w:type="dxa"/>
            <w:vAlign w:val="bottom"/>
            <w:gridSpan w:val="2"/>
          </w:tcPr>
          <w:p>
            <w:pPr>
              <w:jc w:val="center"/>
              <w:ind w:left="60"/>
              <w:spacing w:after="0" w:line="167" w:lineRule="exact"/>
              <w:rPr>
                <w:sz w:val="20"/>
                <w:szCs w:val="20"/>
                <w:color w:val="auto"/>
              </w:rPr>
            </w:pPr>
            <w:r>
              <w:rPr>
                <w:rFonts w:ascii="Times New Roman" w:cs="Times New Roman" w:eastAsia="Times New Roman" w:hAnsi="Times New Roman"/>
                <w:sz w:val="16"/>
                <w:szCs w:val="16"/>
                <w:color w:val="231F20"/>
                <w:w w:val="99"/>
              </w:rPr>
              <w:t>$32.09</w:t>
            </w:r>
          </w:p>
        </w:tc>
        <w:tc>
          <w:tcPr>
            <w:tcW w:w="960" w:type="dxa"/>
            <w:vAlign w:val="bottom"/>
            <w:gridSpan w:val="2"/>
          </w:tcPr>
          <w:p>
            <w:pPr>
              <w:jc w:val="center"/>
              <w:ind w:left="40"/>
              <w:spacing w:after="0" w:line="167" w:lineRule="exact"/>
              <w:rPr>
                <w:sz w:val="20"/>
                <w:szCs w:val="20"/>
                <w:color w:val="auto"/>
              </w:rPr>
            </w:pPr>
            <w:r>
              <w:rPr>
                <w:rFonts w:ascii="Times New Roman" w:cs="Times New Roman" w:eastAsia="Times New Roman" w:hAnsi="Times New Roman"/>
                <w:sz w:val="16"/>
                <w:szCs w:val="16"/>
                <w:color w:val="231F20"/>
                <w:w w:val="95"/>
              </w:rPr>
              <w:t>76%</w:t>
            </w:r>
          </w:p>
        </w:tc>
        <w:tc>
          <w:tcPr>
            <w:tcW w:w="80" w:type="dxa"/>
            <w:vAlign w:val="bottom"/>
          </w:tcPr>
          <w:p>
            <w:pPr>
              <w:spacing w:after="0"/>
              <w:rPr>
                <w:sz w:val="14"/>
                <w:szCs w:val="14"/>
                <w:color w:val="auto"/>
              </w:rPr>
            </w:pPr>
          </w:p>
        </w:tc>
        <w:tc>
          <w:tcPr>
            <w:tcW w:w="2140" w:type="dxa"/>
            <w:vAlign w:val="bottom"/>
          </w:tcPr>
          <w:p>
            <w:pPr>
              <w:ind w:left="60"/>
              <w:spacing w:after="0" w:line="167" w:lineRule="exact"/>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Wynnewood, PA 19096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F20"/>
              </w:rPr>
              <w:t>9 units</w:t>
            </w:r>
          </w:p>
        </w:tc>
        <w:tc>
          <w:tcPr>
            <w:tcW w:w="8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F20"/>
              </w:rPr>
              <w:t>N/A</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DSW</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w w:val="98"/>
              </w:rPr>
              <w:t>Virginia</w:t>
            </w:r>
          </w:p>
        </w:tc>
        <w:tc>
          <w:tcPr>
            <w:tcW w:w="22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29th Place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1975-2001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2007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168,000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$20.61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Charlottesville, VA 22091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DSW</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Staples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231F20"/>
              </w:rPr>
              <w:t>Barcroft Plaza</w:t>
            </w:r>
          </w:p>
        </w:tc>
        <w:tc>
          <w:tcPr>
            <w:tcW w:w="980" w:type="dxa"/>
            <w:vAlign w:val="bottom"/>
            <w:gridSpan w:val="2"/>
          </w:tcPr>
          <w:p>
            <w:pPr>
              <w:jc w:val="center"/>
              <w:ind w:left="20"/>
              <w:spacing w:after="0" w:line="171" w:lineRule="exact"/>
              <w:rPr>
                <w:sz w:val="20"/>
                <w:szCs w:val="20"/>
                <w:color w:val="auto"/>
              </w:rPr>
            </w:pPr>
            <w:r>
              <w:rPr>
                <w:rFonts w:ascii="Times New Roman" w:cs="Times New Roman" w:eastAsia="Times New Roman" w:hAnsi="Times New Roman"/>
                <w:sz w:val="16"/>
                <w:szCs w:val="16"/>
                <w:color w:val="231F20"/>
                <w:w w:val="99"/>
              </w:rPr>
              <w:t>1963, 1972,</w:t>
            </w:r>
          </w:p>
        </w:tc>
        <w:tc>
          <w:tcPr>
            <w:tcW w:w="9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231F20"/>
                <w:w w:val="98"/>
              </w:rPr>
              <w:t>2006/2007/</w:t>
            </w:r>
          </w:p>
        </w:tc>
        <w:tc>
          <w:tcPr>
            <w:tcW w:w="11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6"/>
                <w:szCs w:val="16"/>
                <w:color w:val="231F20"/>
              </w:rPr>
              <w:t>113,000</w:t>
            </w:r>
          </w:p>
        </w:tc>
        <w:tc>
          <w:tcPr>
            <w:tcW w:w="1140" w:type="dxa"/>
            <w:vAlign w:val="bottom"/>
            <w:gridSpan w:val="2"/>
          </w:tcPr>
          <w:p>
            <w:pPr>
              <w:jc w:val="center"/>
              <w:ind w:left="60"/>
              <w:spacing w:after="0" w:line="171" w:lineRule="exact"/>
              <w:rPr>
                <w:sz w:val="20"/>
                <w:szCs w:val="20"/>
                <w:color w:val="auto"/>
              </w:rPr>
            </w:pPr>
            <w:r>
              <w:rPr>
                <w:rFonts w:ascii="Times New Roman" w:cs="Times New Roman" w:eastAsia="Times New Roman" w:hAnsi="Times New Roman"/>
                <w:sz w:val="16"/>
                <w:szCs w:val="16"/>
                <w:color w:val="231F20"/>
                <w:w w:val="99"/>
              </w:rPr>
              <w:t>$29.25</w:t>
            </w:r>
          </w:p>
        </w:tc>
        <w:tc>
          <w:tcPr>
            <w:tcW w:w="960" w:type="dxa"/>
            <w:vAlign w:val="bottom"/>
            <w:gridSpan w:val="2"/>
          </w:tcPr>
          <w:p>
            <w:pPr>
              <w:jc w:val="center"/>
              <w:ind w:left="40"/>
              <w:spacing w:after="0" w:line="171"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4"/>
                <w:szCs w:val="14"/>
                <w:color w:val="auto"/>
              </w:rPr>
            </w:pPr>
          </w:p>
        </w:tc>
        <w:tc>
          <w:tcPr>
            <w:tcW w:w="214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231F20"/>
              </w:rPr>
              <w:t>Harris Teeter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Falls Church, VA 22041</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1990, &amp;</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2016</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231F20"/>
              </w:rPr>
              <w:t>Barracks Road</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495,000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$28.55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88%</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Harris Teeter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78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6"/>
                <w:szCs w:val="16"/>
                <w:color w:val="231F20"/>
              </w:rPr>
              <w:t>Charlottesville, VA 22905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Kroger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Anthropologie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00" w:top="671" w:right="1040" w:bottom="0" w:gutter="0" w:footer="0" w:header="0"/>
        </w:sectPr>
      </w:pP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26</w:t>
      </w:r>
    </w:p>
    <w:p>
      <w:pPr>
        <w:sectPr>
          <w:pgSz w:w="12240" w:h="15840" w:orient="portrait"/>
          <w:cols w:equalWidth="0" w:num="1">
            <w:col w:w="10200"/>
          </w:cols>
          <w:pgMar w:left="1000" w:top="671" w:right="1040" w:bottom="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Square</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 Base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Year</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Feet(1) /</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Rent Per</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Property, City, State, Zip Code</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Apartment</w:t>
            </w: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Square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231F20"/>
              </w:rPr>
              <w:t>Principal Tenant(s)</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Completed</w:t>
            </w:r>
          </w:p>
        </w:tc>
        <w:tc>
          <w:tcPr>
            <w:tcW w:w="80" w:type="dxa"/>
            <w:vAlign w:val="bottom"/>
          </w:tcPr>
          <w:p>
            <w:pPr>
              <w:spacing w:after="0"/>
              <w:rPr>
                <w:sz w:val="18"/>
                <w:szCs w:val="18"/>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Acquired</w:t>
            </w:r>
          </w:p>
        </w:tc>
        <w:tc>
          <w:tcPr>
            <w:tcW w:w="60" w:type="dxa"/>
            <w:vAlign w:val="bottom"/>
          </w:tcPr>
          <w:p>
            <w:pPr>
              <w:spacing w:after="0"/>
              <w:rPr>
                <w:sz w:val="18"/>
                <w:szCs w:val="18"/>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Units</w:t>
            </w:r>
          </w:p>
        </w:tc>
        <w:tc>
          <w:tcPr>
            <w:tcW w:w="80" w:type="dxa"/>
            <w:vAlign w:val="bottom"/>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Foot(2)</w:t>
            </w:r>
          </w:p>
        </w:tc>
        <w:tc>
          <w:tcPr>
            <w:tcW w:w="80" w:type="dxa"/>
            <w:vAlign w:val="bottom"/>
          </w:tcPr>
          <w:p>
            <w:pPr>
              <w:spacing w:after="0"/>
              <w:rPr>
                <w:sz w:val="18"/>
                <w:szCs w:val="18"/>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Leased(3)</w:t>
            </w:r>
          </w:p>
        </w:tc>
        <w:tc>
          <w:tcPr>
            <w:tcW w:w="80" w:type="dxa"/>
            <w:vAlign w:val="bottom"/>
          </w:tcPr>
          <w:p>
            <w:pPr>
              <w:spacing w:after="0"/>
              <w:rPr>
                <w:sz w:val="18"/>
                <w:szCs w:val="18"/>
                <w:color w:val="auto"/>
              </w:rPr>
            </w:pPr>
          </w:p>
        </w:tc>
        <w:tc>
          <w:tcPr>
            <w:tcW w:w="21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231F20"/>
              </w:rPr>
              <w:t>Birch &amp; Broad</w:t>
            </w:r>
          </w:p>
        </w:tc>
        <w:tc>
          <w:tcPr>
            <w:tcW w:w="80" w:type="dxa"/>
            <w:vAlign w:val="bottom"/>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rPr>
              <w:t>1960/1962</w:t>
            </w:r>
          </w:p>
        </w:tc>
        <w:tc>
          <w:tcPr>
            <w:tcW w:w="8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1967/1972</w:t>
            </w:r>
          </w:p>
        </w:tc>
        <w:tc>
          <w:tcPr>
            <w:tcW w:w="60" w:type="dxa"/>
            <w:vAlign w:val="bottom"/>
          </w:tcPr>
          <w:p>
            <w:pPr>
              <w:spacing w:after="0"/>
              <w:rPr>
                <w:sz w:val="13"/>
                <w:szCs w:val="13"/>
                <w:color w:val="auto"/>
              </w:rPr>
            </w:pPr>
          </w:p>
        </w:tc>
        <w:tc>
          <w:tcPr>
            <w:tcW w:w="10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144,000</w:t>
            </w:r>
          </w:p>
        </w:tc>
        <w:tc>
          <w:tcPr>
            <w:tcW w:w="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9"/>
              </w:rPr>
              <w:t>$38.63</w:t>
            </w:r>
          </w:p>
        </w:tc>
        <w:tc>
          <w:tcPr>
            <w:tcW w:w="8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231F20"/>
                <w:w w:val="96"/>
              </w:rPr>
              <w:t>100%</w:t>
            </w:r>
          </w:p>
        </w:tc>
        <w:tc>
          <w:tcPr>
            <w:tcW w:w="80" w:type="dxa"/>
            <w:vAlign w:val="bottom"/>
          </w:tcPr>
          <w:p>
            <w:pPr>
              <w:spacing w:after="0"/>
              <w:rPr>
                <w:sz w:val="13"/>
                <w:szCs w:val="13"/>
                <w:color w:val="auto"/>
              </w:rPr>
            </w:pPr>
          </w:p>
        </w:tc>
        <w:tc>
          <w:tcPr>
            <w:tcW w:w="214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Falls Church, VA 22046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Staples</w:t>
            </w:r>
          </w:p>
        </w:tc>
        <w:tc>
          <w:tcPr>
            <w:tcW w:w="0" w:type="dxa"/>
            <w:vAlign w:val="bottom"/>
          </w:tcPr>
          <w:p>
            <w:pPr>
              <w:spacing w:after="0"/>
              <w:rPr>
                <w:sz w:val="1"/>
                <w:szCs w:val="1"/>
                <w:color w:val="auto"/>
              </w:rPr>
            </w:pPr>
          </w:p>
        </w:tc>
      </w:tr>
      <w:tr>
        <w:trPr>
          <w:trHeight w:val="18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Chesterbrook</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89,000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$27.01</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81%</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Safeway</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McLean, VA 22101(4)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Starbucks</w:t>
            </w:r>
          </w:p>
        </w:tc>
        <w:tc>
          <w:tcPr>
            <w:tcW w:w="0" w:type="dxa"/>
            <w:vAlign w:val="bottom"/>
          </w:tcPr>
          <w:p>
            <w:pPr>
              <w:spacing w:after="0"/>
              <w:rPr>
                <w:sz w:val="1"/>
                <w:szCs w:val="1"/>
                <w:color w:val="auto"/>
              </w:rPr>
            </w:pPr>
          </w:p>
        </w:tc>
      </w:tr>
      <w:tr>
        <w:trPr>
          <w:trHeight w:val="19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Fairfax Junction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1981, 1986,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2019/2020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124,000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$25.80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Aldi</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Fairfax, VA 22030(8)</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Planet Fitness</w:t>
            </w:r>
          </w:p>
        </w:tc>
        <w:tc>
          <w:tcPr>
            <w:tcW w:w="0" w:type="dxa"/>
            <w:vAlign w:val="bottom"/>
          </w:tcPr>
          <w:p>
            <w:pPr>
              <w:spacing w:after="0"/>
              <w:rPr>
                <w:sz w:val="1"/>
                <w:szCs w:val="1"/>
                <w:color w:val="auto"/>
              </w:rPr>
            </w:pPr>
          </w:p>
        </w:tc>
      </w:tr>
      <w:tr>
        <w:trPr>
          <w:trHeight w:val="18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Graham Park Plaza</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133,000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$38.92</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90%</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19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Falls Church, VA 22042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color w:val="231F20"/>
              </w:rPr>
              <w:t>Idylwood Plaza</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1991</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231F20"/>
                <w:w w:val="99"/>
              </w:rPr>
              <w:t>1994</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73,000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231F20"/>
                <w:w w:val="99"/>
              </w:rPr>
              <w:t>$48.18</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231F20"/>
              </w:rPr>
              <w:t>Whole Foods</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Falls Church, VA 22030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Kingstowne Towne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1996, 2001,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2022</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410,000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$27.67</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Giant Food</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Kingstowne, VA 22315</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2006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Safeway</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HomeGoods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Five Below</w:t>
            </w: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1"/>
        </w:trPr>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color w:val="231F20"/>
              </w:rPr>
              <w:t>Mount Vernon/South Valley/</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1966,</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231F20"/>
                <w:w w:val="98"/>
              </w:rPr>
              <w:t>2003/2006/</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565,000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231F20"/>
                <w:w w:val="99"/>
              </w:rPr>
              <w:t>$20.79</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231F20"/>
                <w:w w:val="95"/>
              </w:rPr>
              <w:t>98%</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231F20"/>
              </w:rPr>
              <w:t>Shoppers Food Warehouse</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7770 Richmond Hwy</w:t>
            </w:r>
          </w:p>
        </w:tc>
        <w:tc>
          <w:tcPr>
            <w:tcW w:w="98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6"/>
                <w:szCs w:val="16"/>
                <w:color w:val="231F20"/>
                <w:w w:val="99"/>
              </w:rPr>
              <w:t>1972,1987</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w w:val="99"/>
              </w:rPr>
              <w:t>2021</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Alexandria, VA 22306(8)</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&amp; 2001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Home Depot</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199"/>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Petsmart</w:t>
            </w:r>
          </w:p>
        </w:tc>
        <w:tc>
          <w:tcPr>
            <w:tcW w:w="0" w:type="dxa"/>
            <w:vAlign w:val="bottom"/>
          </w:tcPr>
          <w:p>
            <w:pPr>
              <w:spacing w:after="0"/>
              <w:rPr>
                <w:sz w:val="1"/>
                <w:szCs w:val="1"/>
                <w:color w:val="auto"/>
              </w:rPr>
            </w:pPr>
          </w:p>
        </w:tc>
      </w:tr>
      <w:tr>
        <w:trPr>
          <w:trHeight w:val="161"/>
        </w:trPr>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color w:val="231F20"/>
              </w:rPr>
              <w:t>Old Keene Mill</w:t>
            </w:r>
          </w:p>
        </w:tc>
        <w:tc>
          <w:tcPr>
            <w:tcW w:w="98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1968</w:t>
            </w:r>
          </w:p>
        </w:tc>
        <w:tc>
          <w:tcPr>
            <w:tcW w:w="9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231F20"/>
                <w:w w:val="99"/>
              </w:rPr>
              <w:t>1976</w:t>
            </w:r>
          </w:p>
        </w:tc>
        <w:tc>
          <w:tcPr>
            <w:tcW w:w="1140" w:type="dxa"/>
            <w:vAlign w:val="bottom"/>
            <w:gridSpan w:val="2"/>
          </w:tcPr>
          <w:p>
            <w:pPr>
              <w:jc w:val="center"/>
              <w:ind w:left="20"/>
              <w:spacing w:after="0" w:line="161" w:lineRule="exact"/>
              <w:rPr>
                <w:sz w:val="20"/>
                <w:szCs w:val="20"/>
                <w:color w:val="auto"/>
              </w:rPr>
            </w:pPr>
            <w:r>
              <w:rPr>
                <w:rFonts w:ascii="Times New Roman" w:cs="Times New Roman" w:eastAsia="Times New Roman" w:hAnsi="Times New Roman"/>
                <w:sz w:val="16"/>
                <w:szCs w:val="16"/>
                <w:color w:val="231F20"/>
                <w:w w:val="99"/>
              </w:rPr>
              <w:t>90,000</w:t>
            </w:r>
          </w:p>
        </w:tc>
        <w:tc>
          <w:tcPr>
            <w:tcW w:w="1140" w:type="dxa"/>
            <w:vAlign w:val="bottom"/>
            <w:gridSpan w:val="2"/>
          </w:tcPr>
          <w:p>
            <w:pPr>
              <w:jc w:val="center"/>
              <w:ind w:left="60"/>
              <w:spacing w:after="0" w:line="161" w:lineRule="exact"/>
              <w:rPr>
                <w:sz w:val="20"/>
                <w:szCs w:val="20"/>
                <w:color w:val="auto"/>
              </w:rPr>
            </w:pPr>
            <w:r>
              <w:rPr>
                <w:rFonts w:ascii="Times New Roman" w:cs="Times New Roman" w:eastAsia="Times New Roman" w:hAnsi="Times New Roman"/>
                <w:sz w:val="16"/>
                <w:szCs w:val="16"/>
                <w:color w:val="231F20"/>
                <w:w w:val="99"/>
              </w:rPr>
              <w:t>$45.90</w:t>
            </w:r>
          </w:p>
        </w:tc>
        <w:tc>
          <w:tcPr>
            <w:tcW w:w="960" w:type="dxa"/>
            <w:vAlign w:val="bottom"/>
            <w:gridSpan w:val="2"/>
          </w:tcPr>
          <w:p>
            <w:pPr>
              <w:jc w:val="center"/>
              <w:ind w:left="40"/>
              <w:spacing w:after="0" w:line="161" w:lineRule="exact"/>
              <w:rPr>
                <w:sz w:val="20"/>
                <w:szCs w:val="20"/>
                <w:color w:val="auto"/>
              </w:rPr>
            </w:pPr>
            <w:r>
              <w:rPr>
                <w:rFonts w:ascii="Times New Roman" w:cs="Times New Roman" w:eastAsia="Times New Roman" w:hAnsi="Times New Roman"/>
                <w:sz w:val="16"/>
                <w:szCs w:val="16"/>
                <w:color w:val="231F20"/>
                <w:w w:val="95"/>
              </w:rPr>
              <w:t>95%</w:t>
            </w:r>
          </w:p>
        </w:tc>
        <w:tc>
          <w:tcPr>
            <w:tcW w:w="80" w:type="dxa"/>
            <w:vAlign w:val="bottom"/>
          </w:tcPr>
          <w:p>
            <w:pPr>
              <w:spacing w:after="0"/>
              <w:rPr>
                <w:sz w:val="13"/>
                <w:szCs w:val="13"/>
                <w:color w:val="auto"/>
              </w:rPr>
            </w:pPr>
          </w:p>
        </w:tc>
        <w:tc>
          <w:tcPr>
            <w:tcW w:w="214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231F20"/>
              </w:rPr>
              <w:t>Walgreens</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Springfield, VA 22152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Planet Fitness</w:t>
            </w:r>
          </w:p>
        </w:tc>
        <w:tc>
          <w:tcPr>
            <w:tcW w:w="0" w:type="dxa"/>
            <w:vAlign w:val="bottom"/>
          </w:tcPr>
          <w:p>
            <w:pPr>
              <w:spacing w:after="0"/>
              <w:rPr>
                <w:sz w:val="1"/>
                <w:szCs w:val="1"/>
                <w:color w:val="auto"/>
              </w:rPr>
            </w:pPr>
          </w:p>
        </w:tc>
      </w:tr>
      <w:tr>
        <w:trPr>
          <w:trHeight w:val="19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Pan Am</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228,000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$24.49</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91%</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Safeway</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Fairfax, VA 22031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Micro Center</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Michaels</w:t>
            </w:r>
          </w:p>
        </w:tc>
        <w:tc>
          <w:tcPr>
            <w:tcW w:w="0" w:type="dxa"/>
            <w:vAlign w:val="bottom"/>
          </w:tcPr>
          <w:p>
            <w:pPr>
              <w:spacing w:after="0"/>
              <w:rPr>
                <w:sz w:val="1"/>
                <w:szCs w:val="1"/>
                <w:color w:val="auto"/>
              </w:rPr>
            </w:pPr>
          </w:p>
        </w:tc>
      </w:tr>
      <w:tr>
        <w:trPr>
          <w:trHeight w:val="176"/>
        </w:trPr>
        <w:tc>
          <w:tcPr>
            <w:tcW w:w="2820" w:type="dxa"/>
            <w:vAlign w:val="bottom"/>
          </w:tcPr>
          <w:p>
            <w:pPr>
              <w:ind w:left="40"/>
              <w:spacing w:after="0" w:line="177" w:lineRule="exact"/>
              <w:rPr>
                <w:sz w:val="20"/>
                <w:szCs w:val="20"/>
                <w:color w:val="auto"/>
              </w:rPr>
            </w:pPr>
            <w:r>
              <w:rPr>
                <w:rFonts w:ascii="Times New Roman" w:cs="Times New Roman" w:eastAsia="Times New Roman" w:hAnsi="Times New Roman"/>
                <w:sz w:val="16"/>
                <w:szCs w:val="16"/>
                <w:color w:val="231F20"/>
              </w:rPr>
              <w:t>Pike 7 Plaza</w:t>
            </w:r>
          </w:p>
        </w:tc>
        <w:tc>
          <w:tcPr>
            <w:tcW w:w="98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1968</w:t>
            </w:r>
          </w:p>
        </w:tc>
        <w:tc>
          <w:tcPr>
            <w:tcW w:w="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231F20"/>
                <w:w w:val="99"/>
              </w:rPr>
              <w:t>1997/2015</w:t>
            </w:r>
          </w:p>
        </w:tc>
        <w:tc>
          <w:tcPr>
            <w:tcW w:w="1140" w:type="dxa"/>
            <w:vAlign w:val="bottom"/>
            <w:gridSpan w:val="2"/>
          </w:tcPr>
          <w:p>
            <w:pPr>
              <w:jc w:val="center"/>
              <w:ind w:left="20"/>
              <w:spacing w:after="0" w:line="177" w:lineRule="exact"/>
              <w:rPr>
                <w:sz w:val="20"/>
                <w:szCs w:val="20"/>
                <w:color w:val="auto"/>
              </w:rPr>
            </w:pPr>
            <w:r>
              <w:rPr>
                <w:rFonts w:ascii="Times New Roman" w:cs="Times New Roman" w:eastAsia="Times New Roman" w:hAnsi="Times New Roman"/>
                <w:sz w:val="16"/>
                <w:szCs w:val="16"/>
                <w:color w:val="231F20"/>
                <w:w w:val="99"/>
              </w:rPr>
              <w:t>172,000</w:t>
            </w:r>
          </w:p>
        </w:tc>
        <w:tc>
          <w:tcPr>
            <w:tcW w:w="1140" w:type="dxa"/>
            <w:vAlign w:val="bottom"/>
            <w:gridSpan w:val="2"/>
          </w:tcPr>
          <w:p>
            <w:pPr>
              <w:jc w:val="center"/>
              <w:ind w:left="60"/>
              <w:spacing w:after="0" w:line="177" w:lineRule="exact"/>
              <w:rPr>
                <w:sz w:val="20"/>
                <w:szCs w:val="20"/>
                <w:color w:val="auto"/>
              </w:rPr>
            </w:pPr>
            <w:r>
              <w:rPr>
                <w:rFonts w:ascii="Times New Roman" w:cs="Times New Roman" w:eastAsia="Times New Roman" w:hAnsi="Times New Roman"/>
                <w:sz w:val="16"/>
                <w:szCs w:val="16"/>
                <w:color w:val="231F20"/>
                <w:w w:val="99"/>
              </w:rPr>
              <w:t>$48.28</w:t>
            </w:r>
          </w:p>
        </w:tc>
        <w:tc>
          <w:tcPr>
            <w:tcW w:w="960" w:type="dxa"/>
            <w:vAlign w:val="bottom"/>
            <w:gridSpan w:val="2"/>
          </w:tcPr>
          <w:p>
            <w:pPr>
              <w:jc w:val="center"/>
              <w:ind w:left="40"/>
              <w:spacing w:after="0" w:line="177" w:lineRule="exact"/>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5"/>
                <w:szCs w:val="15"/>
                <w:color w:val="auto"/>
              </w:rPr>
            </w:pPr>
          </w:p>
        </w:tc>
        <w:tc>
          <w:tcPr>
            <w:tcW w:w="21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231F20"/>
              </w:rPr>
              <w:t>Lidl</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Vienna, VA 22180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DSW</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91"/>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Tower Shopping Center</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1960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112,000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$28.45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97%</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 Mart</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Springfield, VA 22150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Total Wine &amp; More</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Talbots</w:t>
            </w:r>
          </w:p>
        </w:tc>
        <w:tc>
          <w:tcPr>
            <w:tcW w:w="0" w:type="dxa"/>
            <w:vAlign w:val="bottom"/>
          </w:tcPr>
          <w:p>
            <w:pPr>
              <w:spacing w:after="0"/>
              <w:rPr>
                <w:sz w:val="1"/>
                <w:szCs w:val="1"/>
                <w:color w:val="auto"/>
              </w:rPr>
            </w:pPr>
          </w:p>
        </w:tc>
      </w:tr>
      <w:tr>
        <w:trPr>
          <w:trHeight w:val="21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Twinbrooke Shopping Centre</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1977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2021</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101,000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$27.40</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93%</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Safeway</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Fairfax, VA 22032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Walgreens</w:t>
            </w:r>
          </w:p>
        </w:tc>
        <w:tc>
          <w:tcPr>
            <w:tcW w:w="0" w:type="dxa"/>
            <w:vAlign w:val="bottom"/>
          </w:tcPr>
          <w:p>
            <w:pPr>
              <w:spacing w:after="0"/>
              <w:rPr>
                <w:sz w:val="1"/>
                <w:szCs w:val="1"/>
                <w:color w:val="auto"/>
              </w:rPr>
            </w:pPr>
          </w:p>
        </w:tc>
      </w:tr>
      <w:tr>
        <w:trPr>
          <w:trHeight w:val="19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Tyson's Station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1978</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48,000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$51.36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88%</w:t>
            </w:r>
          </w:p>
        </w:tc>
        <w:tc>
          <w:tcPr>
            <w:tcW w:w="8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Trader Joe's</w:t>
            </w:r>
          </w:p>
        </w:tc>
        <w:tc>
          <w:tcPr>
            <w:tcW w:w="0" w:type="dxa"/>
            <w:vAlign w:val="bottom"/>
          </w:tcPr>
          <w:p>
            <w:pPr>
              <w:spacing w:after="0"/>
              <w:rPr>
                <w:sz w:val="1"/>
                <w:szCs w:val="1"/>
                <w:color w:val="auto"/>
              </w:rPr>
            </w:pPr>
          </w:p>
        </w:tc>
      </w:tr>
      <w:tr>
        <w:trPr>
          <w:trHeight w:val="20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231F20"/>
              </w:rPr>
              <w:t>Falls Church, VA 22043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Village at Shirlington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1940,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1995</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267,000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$40.95</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88%</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Harris Teeter</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Arlington, VA 22206(7)</w:t>
            </w: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231F20"/>
              </w:rPr>
              <w:t>2006-2009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CVS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AMC</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Multiple Restaurants</w:t>
            </w:r>
          </w:p>
        </w:tc>
        <w:tc>
          <w:tcPr>
            <w:tcW w:w="0" w:type="dxa"/>
            <w:vAlign w:val="bottom"/>
          </w:tcPr>
          <w:p>
            <w:pPr>
              <w:spacing w:after="0"/>
              <w:rPr>
                <w:sz w:val="1"/>
                <w:szCs w:val="1"/>
                <w:color w:val="auto"/>
              </w:rPr>
            </w:pPr>
          </w:p>
        </w:tc>
      </w:tr>
      <w:tr>
        <w:trPr>
          <w:trHeight w:val="191"/>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Westpost</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2001-2002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1998/2010</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298,000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$32.74</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Harris Teeter</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Arlington, VA 22202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Target</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TJ Maxx</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Walgreens</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DSW</w:t>
            </w:r>
          </w:p>
        </w:tc>
        <w:tc>
          <w:tcPr>
            <w:tcW w:w="0" w:type="dxa"/>
            <w:vAlign w:val="bottom"/>
          </w:tcPr>
          <w:p>
            <w:pPr>
              <w:spacing w:after="0"/>
              <w:rPr>
                <w:sz w:val="1"/>
                <w:szCs w:val="1"/>
                <w:color w:val="auto"/>
              </w:rPr>
            </w:pPr>
          </w:p>
        </w:tc>
      </w:tr>
      <w:tr>
        <w:trPr>
          <w:trHeight w:val="21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Willow Lawn</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1957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9"/>
              </w:rPr>
              <w:t>1983</w:t>
            </w:r>
          </w:p>
        </w:tc>
        <w:tc>
          <w:tcPr>
            <w:tcW w:w="11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231F20"/>
                <w:w w:val="99"/>
              </w:rPr>
              <w:t>462,000</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$22.46</w:t>
            </w: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99%</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Kroger</w:t>
            </w:r>
          </w:p>
        </w:tc>
        <w:tc>
          <w:tcPr>
            <w:tcW w:w="0" w:type="dxa"/>
            <w:vAlign w:val="bottom"/>
          </w:tcPr>
          <w:p>
            <w:pPr>
              <w:spacing w:after="0"/>
              <w:rPr>
                <w:sz w:val="1"/>
                <w:szCs w:val="1"/>
                <w:color w:val="auto"/>
              </w:rPr>
            </w:pPr>
          </w:p>
        </w:tc>
      </w:tr>
      <w:tr>
        <w:trPr>
          <w:trHeight w:val="160"/>
        </w:trPr>
        <w:tc>
          <w:tcPr>
            <w:tcW w:w="2820" w:type="dxa"/>
            <w:vAlign w:val="bottom"/>
          </w:tcPr>
          <w:p>
            <w:pPr>
              <w:ind w:left="160"/>
              <w:spacing w:after="0" w:line="160" w:lineRule="exact"/>
              <w:rPr>
                <w:sz w:val="20"/>
                <w:szCs w:val="20"/>
                <w:color w:val="auto"/>
              </w:rPr>
            </w:pPr>
            <w:r>
              <w:rPr>
                <w:rFonts w:ascii="Times New Roman" w:cs="Times New Roman" w:eastAsia="Times New Roman" w:hAnsi="Times New Roman"/>
                <w:sz w:val="16"/>
                <w:szCs w:val="16"/>
                <w:color w:val="231F20"/>
              </w:rPr>
              <w:t>Richmond, VA 23230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Old Navy</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Ross Dress for Less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Gold's Gym</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Dick's Sporting Goods</w:t>
            </w:r>
          </w:p>
        </w:tc>
        <w:tc>
          <w:tcPr>
            <w:tcW w:w="0" w:type="dxa"/>
            <w:vAlign w:val="bottom"/>
          </w:tcPr>
          <w:p>
            <w:pPr>
              <w:spacing w:after="0"/>
              <w:rPr>
                <w:sz w:val="1"/>
                <w:szCs w:val="1"/>
                <w:color w:val="auto"/>
              </w:rPr>
            </w:pPr>
          </w:p>
        </w:tc>
      </w:tr>
      <w:tr>
        <w:trPr>
          <w:trHeight w:val="209"/>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Total — Commercial (9)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6"/>
                <w:szCs w:val="16"/>
                <w:b w:val="1"/>
                <w:bCs w:val="1"/>
                <w:color w:val="231F20"/>
                <w:w w:val="99"/>
              </w:rPr>
              <w:t>26,039,000</w:t>
            </w:r>
          </w:p>
        </w:tc>
        <w:tc>
          <w:tcPr>
            <w:tcW w:w="114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16"/>
                <w:szCs w:val="16"/>
                <w:b w:val="1"/>
                <w:bCs w:val="1"/>
                <w:color w:val="231F20"/>
                <w:w w:val="99"/>
              </w:rPr>
              <w:t>$31.60</w:t>
            </w:r>
          </w:p>
        </w:tc>
        <w:tc>
          <w:tcPr>
            <w:tcW w:w="9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6"/>
                <w:szCs w:val="16"/>
                <w:color w:val="231F20"/>
                <w:w w:val="95"/>
              </w:rPr>
              <w:t>94%</w:t>
            </w:r>
          </w:p>
        </w:tc>
        <w:tc>
          <w:tcPr>
            <w:tcW w:w="8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Ulta</w:t>
            </w:r>
          </w:p>
        </w:tc>
        <w:tc>
          <w:tcPr>
            <w:tcW w:w="0" w:type="dxa"/>
            <w:vAlign w:val="bottom"/>
          </w:tcPr>
          <w:p>
            <w:pPr>
              <w:spacing w:after="0"/>
              <w:rPr>
                <w:sz w:val="1"/>
                <w:szCs w:val="1"/>
                <w:color w:val="auto"/>
              </w:rPr>
            </w:pPr>
          </w:p>
        </w:tc>
      </w:tr>
      <w:tr>
        <w:trPr>
          <w:trHeight w:val="204"/>
        </w:trPr>
        <w:tc>
          <w:tcPr>
            <w:tcW w:w="2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Total —Residential</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3,104 units</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231F20"/>
                <w:w w:val="95"/>
              </w:rPr>
              <w:t>96%</w:t>
            </w:r>
          </w:p>
        </w:tc>
        <w:tc>
          <w:tcPr>
            <w:tcW w:w="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_____________________</w:t>
      </w:r>
    </w:p>
    <w:p>
      <w:pPr>
        <w:spacing w:after="0" w:line="122" w:lineRule="exact"/>
        <w:rPr>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GLA of the commercial portion of the property. Some of our properties include office space which is included in this square footage.</w:t>
      </w:r>
    </w:p>
    <w:p>
      <w:pPr>
        <w:spacing w:after="0" w:line="36" w:lineRule="exact"/>
        <w:rPr>
          <w:rFonts w:ascii="Times New Roman" w:cs="Times New Roman" w:eastAsia="Times New Roman" w:hAnsi="Times New Roman"/>
          <w:sz w:val="15"/>
          <w:szCs w:val="15"/>
          <w:color w:val="231F20"/>
        </w:rPr>
      </w:pPr>
    </w:p>
    <w:p>
      <w:pPr>
        <w:ind w:left="720" w:right="140" w:hanging="370"/>
        <w:spacing w:after="0" w:line="267" w:lineRule="auto"/>
        <w:tabs>
          <w:tab w:leader="none" w:pos="72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ind w:left="720" w:right="220" w:hanging="370"/>
        <w:spacing w:after="0" w:line="250" w:lineRule="auto"/>
        <w:tabs>
          <w:tab w:leader="none" w:pos="720"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Percentage leased is expressed as a percentage of rentable commercial square feet occupied or subject to a lease. Residential percentage leased is expressed as a percentage of units occupied or subject to a lease.</w:t>
      </w:r>
    </w:p>
    <w:p>
      <w:pPr>
        <w:ind w:left="720" w:hanging="370"/>
        <w:spacing w:after="0"/>
        <w:tabs>
          <w:tab w:leader="none" w:pos="720"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own the controlling interest in this property.</w:t>
      </w:r>
    </w:p>
    <w:p>
      <w:pPr>
        <w:spacing w:after="0" w:line="8" w:lineRule="exact"/>
        <w:rPr>
          <w:rFonts w:ascii="Times New Roman" w:cs="Times New Roman" w:eastAsia="Times New Roman" w:hAnsi="Times New Roman"/>
          <w:sz w:val="16"/>
          <w:szCs w:val="16"/>
          <w:color w:val="231F20"/>
        </w:rPr>
      </w:pPr>
    </w:p>
    <w:p>
      <w:pPr>
        <w:ind w:left="720" w:hanging="370"/>
        <w:spacing w:after="0"/>
        <w:tabs>
          <w:tab w:leader="none" w:pos="720"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own a noncontrolling interest in this property.</w:t>
      </w:r>
    </w:p>
    <w:p>
      <w:pPr>
        <w:spacing w:after="0" w:line="8" w:lineRule="exact"/>
        <w:rPr>
          <w:rFonts w:ascii="Times New Roman" w:cs="Times New Roman" w:eastAsia="Times New Roman" w:hAnsi="Times New Roman"/>
          <w:sz w:val="16"/>
          <w:szCs w:val="16"/>
          <w:color w:val="231F20"/>
        </w:rPr>
      </w:pPr>
    </w:p>
    <w:p>
      <w:pPr>
        <w:ind w:left="720" w:hanging="370"/>
        <w:spacing w:after="0"/>
        <w:tabs>
          <w:tab w:leader="none" w:pos="720"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or a portion of this property is encumbered by a mortgage loan.</w:t>
      </w:r>
    </w:p>
    <w:p>
      <w:pPr>
        <w:spacing w:after="0" w:line="8" w:lineRule="exact"/>
        <w:rPr>
          <w:rFonts w:ascii="Times New Roman" w:cs="Times New Roman" w:eastAsia="Times New Roman" w:hAnsi="Times New Roman"/>
          <w:sz w:val="16"/>
          <w:szCs w:val="16"/>
          <w:color w:val="231F20"/>
        </w:rPr>
      </w:pPr>
    </w:p>
    <w:p>
      <w:pPr>
        <w:ind w:left="720" w:hanging="370"/>
        <w:spacing w:after="0"/>
        <w:tabs>
          <w:tab w:leader="none" w:pos="720"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or a portion of this property is owned pursuant to a ground lease.</w:t>
      </w:r>
    </w:p>
    <w:p>
      <w:pPr>
        <w:spacing w:after="0" w:line="8" w:lineRule="exact"/>
        <w:rPr>
          <w:rFonts w:ascii="Times New Roman" w:cs="Times New Roman" w:eastAsia="Times New Roman" w:hAnsi="Times New Roman"/>
          <w:sz w:val="16"/>
          <w:szCs w:val="16"/>
          <w:color w:val="231F20"/>
        </w:rPr>
      </w:pPr>
    </w:p>
    <w:p>
      <w:pPr>
        <w:ind w:left="720" w:right="100" w:hanging="370"/>
        <w:spacing w:after="0" w:line="260" w:lineRule="auto"/>
        <w:tabs>
          <w:tab w:leader="none" w:pos="720"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own all or a portion of this property in a “downREIT” partnership, of which a wholly owned subsidiary of the Trust is the sole general partner, with third party partners holding operating partnership units.</w:t>
      </w:r>
    </w:p>
    <w:p>
      <w:pPr>
        <w:sectPr>
          <w:pgSz w:w="12240" w:h="15840" w:orient="portrait"/>
          <w:cols w:equalWidth="0" w:num="1">
            <w:col w:w="10200"/>
          </w:cols>
          <w:pgMar w:left="1000" w:top="671" w:right="104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27</w:t>
      </w:r>
    </w:p>
    <w:p>
      <w:pPr>
        <w:sectPr>
          <w:pgSz w:w="12240" w:h="15840" w:orient="portrait"/>
          <w:cols w:equalWidth="0" w:num="1">
            <w:col w:w="10200"/>
          </w:cols>
          <w:pgMar w:left="1000" w:top="671" w:right="1040" w:bottom="0" w:gutter="0" w:footer="0" w:header="0"/>
          <w:type w:val="continuous"/>
        </w:sectPr>
      </w:pPr>
    </w:p>
    <w:bookmarkStart w:id="35" w:name="page36"/>
    <w:bookmarkEnd w:id="35"/>
    <w:p>
      <w:pPr>
        <w:ind w:left="720" w:hanging="370"/>
        <w:spacing w:after="0" w:line="261" w:lineRule="auto"/>
        <w:tabs>
          <w:tab w:leader="none" w:pos="720" w:val="left"/>
        </w:tabs>
        <w:numPr>
          <w:ilvl w:val="0"/>
          <w:numId w:val="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Aggregate information is calculated on a GLA weighted-average basis, excluding Chandler Festival, Chandler Gateway, and La Alameda, which are all unconsolidated properties at December 31, 2023.</w:t>
      </w:r>
    </w:p>
    <w:p>
      <w:pPr>
        <w:ind w:left="720" w:right="20" w:hanging="370"/>
        <w:spacing w:after="0" w:line="250" w:lineRule="auto"/>
        <w:tabs>
          <w:tab w:leader="none" w:pos="720" w:val="left"/>
        </w:tabs>
        <w:numPr>
          <w:ilvl w:val="0"/>
          <w:numId w:val="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Portion of property is currently under development. See further discussion in Item 7. Management's Discussion and Analysis of Financial Condition and Results of Operations.</w:t>
      </w:r>
    </w:p>
    <w:p>
      <w:pPr>
        <w:ind w:left="720" w:hanging="370"/>
        <w:spacing w:after="0"/>
        <w:tabs>
          <w:tab w:leader="none" w:pos="720" w:val="left"/>
        </w:tabs>
        <w:numPr>
          <w:ilvl w:val="0"/>
          <w:numId w:val="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This property includes interests in four nearby buildings.</w:t>
      </w:r>
    </w:p>
    <w:p>
      <w:pPr>
        <w:spacing w:after="0" w:line="8" w:lineRule="exact"/>
        <w:rPr>
          <w:rFonts w:ascii="Times New Roman" w:cs="Times New Roman" w:eastAsia="Times New Roman" w:hAnsi="Times New Roman"/>
          <w:sz w:val="16"/>
          <w:szCs w:val="16"/>
          <w:color w:val="231F20"/>
        </w:rPr>
      </w:pPr>
    </w:p>
    <w:p>
      <w:pPr>
        <w:ind w:left="720" w:hanging="370"/>
        <w:spacing w:after="0"/>
        <w:tabs>
          <w:tab w:leader="none" w:pos="720" w:val="left"/>
        </w:tabs>
        <w:numPr>
          <w:ilvl w:val="0"/>
          <w:numId w:val="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This property includes 40 buildings primarily along Washington Street and 14th Street in Hoboken, New Jersey.</w:t>
      </w:r>
    </w:p>
    <w:p>
      <w:pPr>
        <w:spacing w:after="0" w:line="200" w:lineRule="exact"/>
        <w:rPr>
          <w:sz w:val="20"/>
          <w:szCs w:val="20"/>
          <w:color w:val="auto"/>
        </w:rPr>
      </w:pPr>
    </w:p>
    <w:p>
      <w:pPr>
        <w:spacing w:after="0" w:line="2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3.</w:t>
        <w:tab/>
        <w:t>LEGAL PROCEEDINGS</w:t>
      </w:r>
    </w:p>
    <w:p>
      <w:pPr>
        <w:spacing w:after="0" w:line="19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231F20"/>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spacing w:after="0" w:line="3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4.</w:t>
      </w:r>
      <w:r>
        <w:rPr>
          <w:sz w:val="20"/>
          <w:szCs w:val="20"/>
          <w:color w:val="auto"/>
        </w:rPr>
        <w:tab/>
      </w:r>
      <w:r>
        <w:rPr>
          <w:rFonts w:ascii="Times New Roman" w:cs="Times New Roman" w:eastAsia="Times New Roman" w:hAnsi="Times New Roman"/>
          <w:sz w:val="19"/>
          <w:szCs w:val="19"/>
          <w:b w:val="1"/>
          <w:bCs w:val="1"/>
          <w:color w:val="231F20"/>
        </w:rPr>
        <w:t>MINE SAFETY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10220"/>
          </w:cols>
          <w:pgMar w:left="1000" w:top="64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28</w:t>
      </w:r>
    </w:p>
    <w:p>
      <w:pPr>
        <w:sectPr>
          <w:pgSz w:w="12240" w:h="15840" w:orient="portrait"/>
          <w:cols w:equalWidth="0" w:num="1">
            <w:col w:w="10220"/>
          </w:cols>
          <w:pgMar w:left="1000" w:top="645" w:right="1020" w:bottom="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OUR COMMON EQUITY AND RELATED SHAREHOLDER MATTERS AND ISSUER PURCHASES OF EQUITY SECURITIES</w:t>
      </w:r>
    </w:p>
    <w:p>
      <w:pPr>
        <w:spacing w:after="0" w:line="3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231F20"/>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4"/>
          </w:tcPr>
          <w:p>
            <w:pPr>
              <w:jc w:val="right"/>
              <w:ind w:right="602"/>
              <w:spacing w:after="0"/>
              <w:rPr>
                <w:sz w:val="20"/>
                <w:szCs w:val="20"/>
                <w:color w:val="auto"/>
              </w:rPr>
            </w:pPr>
            <w:r>
              <w:rPr>
                <w:rFonts w:ascii="Times New Roman" w:cs="Times New Roman" w:eastAsia="Times New Roman" w:hAnsi="Times New Roman"/>
                <w:sz w:val="16"/>
                <w:szCs w:val="16"/>
                <w:b w:val="1"/>
                <w:bCs w:val="1"/>
                <w:color w:val="231F20"/>
              </w:rPr>
              <w:t>Price Per Share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231F20"/>
                <w:w w:val="99"/>
              </w:rPr>
              <w:t>Dividends</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300" w:type="dxa"/>
            <w:vAlign w:val="bottom"/>
            <w:tcBorders>
              <w:bottom w:val="single" w:sz="8" w:color="231F20"/>
            </w:tcBorders>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restart"/>
          </w:tcPr>
          <w:p>
            <w:pPr>
              <w:jc w:val="center"/>
              <w:ind w:right="106"/>
              <w:spacing w:after="0" w:line="125" w:lineRule="exact"/>
              <w:rPr>
                <w:sz w:val="20"/>
                <w:szCs w:val="20"/>
                <w:color w:val="auto"/>
              </w:rPr>
            </w:pPr>
            <w:r>
              <w:rPr>
                <w:rFonts w:ascii="Times New Roman" w:cs="Times New Roman" w:eastAsia="Times New Roman" w:hAnsi="Times New Roman"/>
                <w:sz w:val="14"/>
                <w:szCs w:val="14"/>
                <w:b w:val="1"/>
                <w:bCs w:val="1"/>
                <w:color w:val="231F20"/>
              </w:rPr>
              <w:t>Declared</w:t>
            </w:r>
          </w:p>
        </w:tc>
        <w:tc>
          <w:tcPr>
            <w:tcW w:w="0" w:type="dxa"/>
            <w:vAlign w:val="bottom"/>
          </w:tcPr>
          <w:p>
            <w:pPr>
              <w:spacing w:after="0"/>
              <w:rPr>
                <w:sz w:val="1"/>
                <w:szCs w:val="1"/>
                <w:color w:val="auto"/>
              </w:rPr>
            </w:pPr>
          </w:p>
        </w:tc>
      </w:tr>
      <w:tr>
        <w:trPr>
          <w:trHeight w:val="51"/>
        </w:trPr>
        <w:tc>
          <w:tcPr>
            <w:tcW w:w="6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High</w:t>
            </w: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Low</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231F20"/>
                <w:w w:val="99"/>
              </w:rPr>
              <w:t>Per Share</w:t>
            </w:r>
          </w:p>
        </w:tc>
        <w:tc>
          <w:tcPr>
            <w:tcW w:w="0" w:type="dxa"/>
            <w:vAlign w:val="bottom"/>
          </w:tcPr>
          <w:p>
            <w:pPr>
              <w:spacing w:after="0"/>
              <w:rPr>
                <w:sz w:val="1"/>
                <w:szCs w:val="1"/>
                <w:color w:val="auto"/>
              </w:rPr>
            </w:pPr>
          </w:p>
        </w:tc>
      </w:tr>
      <w:tr>
        <w:trPr>
          <w:trHeight w:val="236"/>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w:t>
            </w:r>
            <w:r>
              <w:rPr>
                <w:rFonts w:ascii="Times New Roman" w:cs="Times New Roman" w:eastAsia="Times New Roman" w:hAnsi="Times New Roman"/>
                <w:sz w:val="20"/>
                <w:szCs w:val="20"/>
                <w:b w:val="1"/>
                <w:bCs w:val="1"/>
                <w:color w:val="231F20"/>
              </w:rPr>
              <w:t>2023</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Fourth quarter</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107.61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85.59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Third quarter</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104.58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89.90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Second quarter</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100.67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85.27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w:t>
            </w:r>
          </w:p>
        </w:tc>
        <w:tc>
          <w:tcPr>
            <w:tcW w:w="0" w:type="dxa"/>
            <w:vAlign w:val="bottom"/>
          </w:tcPr>
          <w:p>
            <w:pPr>
              <w:spacing w:after="0"/>
              <w:rPr>
                <w:sz w:val="1"/>
                <w:szCs w:val="1"/>
                <w:color w:val="auto"/>
              </w:rPr>
            </w:pPr>
          </w:p>
        </w:tc>
      </w:tr>
      <w:tr>
        <w:trPr>
          <w:trHeight w:val="282"/>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First quarter </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115.08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90.44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w:t>
            </w:r>
          </w:p>
        </w:tc>
        <w:tc>
          <w:tcPr>
            <w:tcW w:w="0" w:type="dxa"/>
            <w:vAlign w:val="bottom"/>
          </w:tcPr>
          <w:p>
            <w:pPr>
              <w:spacing w:after="0"/>
              <w:rPr>
                <w:sz w:val="1"/>
                <w:szCs w:val="1"/>
                <w:color w:val="auto"/>
              </w:rPr>
            </w:pPr>
          </w:p>
        </w:tc>
      </w:tr>
      <w:tr>
        <w:trPr>
          <w:trHeight w:val="262"/>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xml:space="preserve">2022 </w:t>
            </w:r>
            <w:r>
              <w:rPr>
                <w:rFonts w:ascii="Times New Roman" w:cs="Times New Roman" w:eastAsia="Times New Roman" w:hAnsi="Times New Roman"/>
                <w:sz w:val="20"/>
                <w:szCs w:val="20"/>
                <w:b w:val="1"/>
                <w:bCs w:val="1"/>
                <w:color w:val="B8BABC"/>
                <w:w w:val="99"/>
              </w:rPr>
              <w:t>.......................................................................................................................</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Fourth quarter</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112.34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Third quarter</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113.61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86.43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Second quarter</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128.13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92.02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1.070</w:t>
            </w:r>
          </w:p>
        </w:tc>
        <w:tc>
          <w:tcPr>
            <w:tcW w:w="0" w:type="dxa"/>
            <w:vAlign w:val="bottom"/>
          </w:tcPr>
          <w:p>
            <w:pPr>
              <w:spacing w:after="0"/>
              <w:rPr>
                <w:sz w:val="1"/>
                <w:szCs w:val="1"/>
                <w:color w:val="auto"/>
              </w:rPr>
            </w:pPr>
          </w:p>
        </w:tc>
      </w:tr>
      <w:tr>
        <w:trPr>
          <w:trHeight w:val="28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First quarter </w:t>
            </w:r>
            <w:r>
              <w:rPr>
                <w:rFonts w:ascii="Times New Roman" w:cs="Times New Roman" w:eastAsia="Times New Roman" w:hAnsi="Times New Roman"/>
                <w:sz w:val="20"/>
                <w:szCs w:val="20"/>
                <w:color w:val="B8BABC"/>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140.51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113.10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1.070</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February 7, 2024, there were 2,034 holders of record of our common shares.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231F20"/>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56 consecutive years.</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231F20"/>
        </w:rPr>
        <w:t>Our total annual dividends paid per common share for 2023 and 2022 were $4.33 per share and $4.29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2024 or subsequent years will constitute a return of capital for federal income tax purposes. During a year in which a REIT earns a net long-term capital gain, the REIT can elect under</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Section 857(b)(3) of the Code to designate a portion of dividends paid to shareholders as capital gain dividends. If this election is made, then the capital gain dividends are generally taxable to the shareholder as long-term capital gains.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reflects the income tax status of distributions per share paid to common shareholders:</w:t>
      </w:r>
    </w:p>
    <w:p>
      <w:pPr>
        <w:spacing w:after="0" w:line="200" w:lineRule="exact"/>
        <w:rPr>
          <w:sz w:val="20"/>
          <w:szCs w:val="20"/>
          <w:color w:val="auto"/>
        </w:rPr>
      </w:pPr>
    </w:p>
    <w:p>
      <w:pPr>
        <w:spacing w:after="0" w:line="20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231F20"/>
        </w:rPr>
        <w:t>Year Ended</w:t>
      </w:r>
    </w:p>
    <w:p>
      <w:pPr>
        <w:ind w:left="8520"/>
        <w:spacing w:after="0"/>
        <w:rPr>
          <w:sz w:val="20"/>
          <w:szCs w:val="20"/>
          <w:color w:val="auto"/>
        </w:rPr>
      </w:pPr>
      <w:r>
        <w:rPr>
          <w:rFonts w:ascii="Times New Roman" w:cs="Times New Roman" w:eastAsia="Times New Roman" w:hAnsi="Times New Roman"/>
          <w:sz w:val="16"/>
          <w:szCs w:val="16"/>
          <w:b w:val="1"/>
          <w:bCs w:val="1"/>
          <w:color w:val="231F20"/>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8255</wp:posOffset>
            </wp:positionV>
            <wp:extent cx="157162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1571625" cy="12700"/>
                    </a:xfrm>
                    <a:prstGeom prst="rect">
                      <a:avLst/>
                    </a:prstGeom>
                    <a:noFill/>
                  </pic:spPr>
                </pic:pic>
              </a:graphicData>
            </a:graphic>
          </wp:anchor>
        </w:drawing>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62"/>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Ordinarydividend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3.551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3.518</w:t>
            </w:r>
          </w:p>
        </w:tc>
      </w:tr>
      <w:tr>
        <w:trPr>
          <w:trHeight w:val="285"/>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Capital gain </w:t>
            </w:r>
            <w:r>
              <w:rPr>
                <w:rFonts w:ascii="Times New Roman" w:cs="Times New Roman" w:eastAsia="Times New Roman" w:hAnsi="Times New Roman"/>
                <w:sz w:val="20"/>
                <w:szCs w:val="20"/>
                <w:color w:val="B8BABC"/>
                <w:w w:val="99"/>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0.772</w:t>
            </w:r>
          </w:p>
        </w:tc>
      </w:tr>
      <w:tr>
        <w:trPr>
          <w:trHeight w:val="288"/>
        </w:trPr>
        <w:tc>
          <w:tcPr>
            <w:tcW w:w="7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Return of capital</w:t>
            </w:r>
            <w:r>
              <w:rPr>
                <w:rFonts w:ascii="Times New Roman" w:cs="Times New Roman" w:eastAsia="Times New Roman" w:hAnsi="Times New Roman"/>
                <w:sz w:val="20"/>
                <w:szCs w:val="20"/>
                <w:color w:val="B8BABC"/>
                <w:w w:val="99"/>
              </w:rPr>
              <w:t>..............................................................................................................................</w:t>
            </w: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0.649</w:t>
            </w:r>
          </w:p>
        </w:tc>
        <w:tc>
          <w:tcPr>
            <w:tcW w:w="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5"/>
        </w:trPr>
        <w:tc>
          <w:tcPr>
            <w:tcW w:w="7700" w:type="dxa"/>
            <w:vAlign w:val="bottom"/>
          </w:tcPr>
          <w:p>
            <w:pPr>
              <w:spacing w:after="0"/>
              <w:rPr>
                <w:sz w:val="21"/>
                <w:szCs w:val="21"/>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4.330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4.290</w:t>
            </w:r>
          </w:p>
        </w:tc>
      </w:tr>
      <w:tr>
        <w:trPr>
          <w:trHeight w:val="20"/>
        </w:trPr>
        <w:tc>
          <w:tcPr>
            <w:tcW w:w="770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88" w:lineRule="exact"/>
        <w:rPr>
          <w:sz w:val="20"/>
          <w:szCs w:val="20"/>
          <w:color w:val="auto"/>
        </w:rPr>
      </w:pPr>
    </w:p>
    <w:p>
      <w:pPr>
        <w:ind w:right="360"/>
        <w:spacing w:after="0" w:line="309" w:lineRule="auto"/>
        <w:rPr>
          <w:sz w:val="20"/>
          <w:szCs w:val="20"/>
          <w:color w:val="auto"/>
        </w:rPr>
      </w:pPr>
      <w:r>
        <w:rPr>
          <w:rFonts w:ascii="Times New Roman" w:cs="Times New Roman" w:eastAsia="Times New Roman" w:hAnsi="Times New Roman"/>
          <w:sz w:val="19"/>
          <w:szCs w:val="19"/>
          <w:color w:val="231F20"/>
        </w:rPr>
        <w:t>Distributions on our 5.417% Series 1 Cumulative Convertible Preferred Shares were paid at the rate of $1.354 per share per annum commencing on the issuance date of March 8, 2007. Distributions on our 5.0% Series C Cumulative Redeemable</w:t>
      </w:r>
    </w:p>
    <w:p>
      <w:pPr>
        <w:sectPr>
          <w:pgSz w:w="12240" w:h="15840" w:orient="portrait"/>
          <w:cols w:equalWidth="0" w:num="1">
            <w:col w:w="10240"/>
          </w:cols>
          <w:pgMar w:left="1000" w:top="626" w:right="100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2240" w:h="15840" w:orient="portrait"/>
          <w:cols w:equalWidth="0" w:num="1">
            <w:col w:w="10240"/>
          </w:cols>
          <w:pgMar w:left="1000" w:top="626" w:right="1000" w:bottom="0" w:gutter="0" w:footer="0" w:header="0"/>
          <w:type w:val="continuous"/>
        </w:sectPr>
      </w:pPr>
    </w:p>
    <w:bookmarkStart w:id="37" w:name="page38"/>
    <w:bookmarkEnd w:id="37"/>
    <w:p>
      <w:pPr>
        <w:ind w:right="80"/>
        <w:spacing w:after="0" w:line="258" w:lineRule="auto"/>
        <w:rPr>
          <w:sz w:val="20"/>
          <w:szCs w:val="20"/>
          <w:color w:val="auto"/>
        </w:rPr>
      </w:pPr>
      <w:r>
        <w:rPr>
          <w:rFonts w:ascii="Times New Roman" w:cs="Times New Roman" w:eastAsia="Times New Roman" w:hAnsi="Times New Roman"/>
          <w:sz w:val="20"/>
          <w:szCs w:val="20"/>
          <w:color w:val="231F20"/>
        </w:rPr>
        <w:t>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Total Stockholder Return Performance</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2018, and ending December 31, 2023,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COMPARISON OF 5-YEAR CUMULATIVE TOTAL RETURN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w w:val="94"/>
              </w:rPr>
              <w:t>$225</w:t>
            </w:r>
          </w:p>
        </w:tc>
        <w:tc>
          <w:tcPr>
            <w:tcW w:w="20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631"/>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w w:val="94"/>
              </w:rPr>
              <w:t>$200</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16"/>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w w:val="94"/>
              </w:rPr>
              <w:t>$175</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1"/>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w w:val="94"/>
              </w:rPr>
              <w:t>$150</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1"/>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w w:val="94"/>
              </w:rPr>
              <w:t>$125</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1"/>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w w:val="94"/>
              </w:rPr>
              <w:t>$100</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16"/>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rPr>
              <w:t>$75</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11"/>
        </w:trPr>
        <w:tc>
          <w:tcPr>
            <w:tcW w:w="148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rPr>
              <w:t>$50</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0"/>
        </w:trPr>
        <w:tc>
          <w:tcPr>
            <w:tcW w:w="148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231F20"/>
              </w:rPr>
              <w:t>12/31/18</w:t>
            </w:r>
          </w:p>
        </w:tc>
        <w:tc>
          <w:tcPr>
            <w:tcW w:w="208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231F20"/>
              </w:rPr>
              <w:t>12/31/19</w:t>
            </w:r>
          </w:p>
        </w:tc>
        <w:tc>
          <w:tcPr>
            <w:tcW w:w="172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rPr>
              <w:t>12/31/20</w:t>
            </w: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231F20"/>
              </w:rPr>
              <w:t>12/31/21</w:t>
            </w:r>
          </w:p>
        </w:tc>
        <w:tc>
          <w:tcPr>
            <w:tcW w:w="174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rPr>
              <w:t>12/31/22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12/31/23</w:t>
            </w:r>
          </w:p>
        </w:tc>
      </w:tr>
      <w:tr>
        <w:trPr>
          <w:trHeight w:val="491"/>
        </w:trPr>
        <w:tc>
          <w:tcPr>
            <w:tcW w:w="1480" w:type="dxa"/>
            <w:vAlign w:val="bottom"/>
          </w:tcPr>
          <w:p>
            <w:pPr>
              <w:spacing w:after="0"/>
              <w:rPr>
                <w:sz w:val="24"/>
                <w:szCs w:val="24"/>
                <w:color w:val="auto"/>
              </w:rPr>
            </w:pPr>
          </w:p>
        </w:tc>
        <w:tc>
          <w:tcPr>
            <w:tcW w:w="2080" w:type="dxa"/>
            <w:vAlign w:val="bottom"/>
          </w:tcPr>
          <w:p>
            <w:pPr>
              <w:ind w:left="560"/>
              <w:spacing w:after="0"/>
              <w:rPr>
                <w:sz w:val="20"/>
                <w:szCs w:val="20"/>
                <w:color w:val="auto"/>
              </w:rPr>
            </w:pPr>
            <w:r>
              <w:rPr>
                <w:rFonts w:ascii="Times New Roman" w:cs="Times New Roman" w:eastAsia="Times New Roman" w:hAnsi="Times New Roman"/>
                <w:sz w:val="20"/>
                <w:szCs w:val="20"/>
                <w:color w:val="231F20"/>
              </w:rPr>
              <w:t>Federal Realty</w:t>
            </w:r>
          </w:p>
        </w:tc>
        <w:tc>
          <w:tcPr>
            <w:tcW w:w="17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S&amp;P 500</w:t>
            </w:r>
          </w:p>
        </w:tc>
        <w:tc>
          <w:tcPr>
            <w:tcW w:w="314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231F20"/>
              </w:rPr>
              <w:t>FTSE NAREIT Equity</w:t>
            </w:r>
          </w:p>
        </w:tc>
        <w:tc>
          <w:tcPr>
            <w:tcW w:w="1220" w:type="dxa"/>
            <w:vAlign w:val="bottom"/>
          </w:tcPr>
          <w:p>
            <w:pPr>
              <w:spacing w:after="0"/>
              <w:rPr>
                <w:sz w:val="24"/>
                <w:szCs w:val="24"/>
                <w:color w:val="auto"/>
              </w:rPr>
            </w:pPr>
          </w:p>
        </w:tc>
      </w:tr>
      <w:tr>
        <w:trPr>
          <w:trHeight w:val="260"/>
        </w:trPr>
        <w:tc>
          <w:tcPr>
            <w:tcW w:w="1480" w:type="dxa"/>
            <w:vAlign w:val="bottom"/>
          </w:tcPr>
          <w:p>
            <w:pPr>
              <w:spacing w:after="0"/>
              <w:rPr>
                <w:sz w:val="22"/>
                <w:szCs w:val="22"/>
                <w:color w:val="auto"/>
              </w:rPr>
            </w:pPr>
          </w:p>
        </w:tc>
        <w:tc>
          <w:tcPr>
            <w:tcW w:w="2080" w:type="dxa"/>
            <w:vAlign w:val="bottom"/>
          </w:tcPr>
          <w:p>
            <w:pPr>
              <w:ind w:left="560"/>
              <w:spacing w:after="0"/>
              <w:rPr>
                <w:sz w:val="20"/>
                <w:szCs w:val="20"/>
                <w:color w:val="auto"/>
              </w:rPr>
            </w:pPr>
            <w:r>
              <w:rPr>
                <w:rFonts w:ascii="Times New Roman" w:cs="Times New Roman" w:eastAsia="Times New Roman" w:hAnsi="Times New Roman"/>
                <w:sz w:val="20"/>
                <w:szCs w:val="20"/>
                <w:color w:val="231F20"/>
              </w:rPr>
              <w:t>Investment Trust</w:t>
            </w:r>
          </w:p>
        </w:tc>
        <w:tc>
          <w:tcPr>
            <w:tcW w:w="1720" w:type="dxa"/>
            <w:vAlign w:val="bottom"/>
          </w:tcPr>
          <w:p>
            <w:pPr>
              <w:spacing w:after="0"/>
              <w:rPr>
                <w:sz w:val="22"/>
                <w:szCs w:val="22"/>
                <w:color w:val="auto"/>
              </w:rPr>
            </w:pPr>
          </w:p>
        </w:tc>
        <w:tc>
          <w:tcPr>
            <w:tcW w:w="314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231F20"/>
              </w:rPr>
              <w:t>Total REIT Index</w:t>
            </w:r>
          </w:p>
        </w:tc>
        <w:tc>
          <w:tcPr>
            <w:tcW w:w="12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-3502025</wp:posOffset>
            </wp:positionV>
            <wp:extent cx="5673090" cy="2851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5673090" cy="285178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-297180</wp:posOffset>
            </wp:positionV>
            <wp:extent cx="381635"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381635" cy="1619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2640965</wp:posOffset>
                </wp:positionH>
                <wp:positionV relativeFrom="paragraph">
                  <wp:posOffset>-221615</wp:posOffset>
                </wp:positionV>
                <wp:extent cx="13335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9537">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95pt,-17.4499pt" to="218.45pt,-17.4499pt" o:allowincell="f" strokecolor="#231F20" strokeweight="0.7509pt"/>
            </w:pict>
          </mc:Fallback>
        </mc:AlternateContent>
        <mc:AlternateContent>
          <mc:Choice Requires="wps">
            <w:drawing>
              <wp:anchor simplePos="0" relativeHeight="251657728" behindDoc="1" locked="0" layoutInCell="0" allowOverlap="1">
                <wp:simplePos x="0" y="0"/>
                <wp:positionH relativeFrom="column">
                  <wp:posOffset>2898140</wp:posOffset>
                </wp:positionH>
                <wp:positionV relativeFrom="paragraph">
                  <wp:posOffset>-221615</wp:posOffset>
                </wp:positionV>
                <wp:extent cx="1238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9537">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2pt,-17.4499pt" to="237.95pt,-17.4499pt" o:allowincell="f" strokecolor="#231F20" strokeweight="0.7509pt"/>
            </w:pict>
          </mc:Fallback>
        </mc:AlternateContent>
        <mc:AlternateContent>
          <mc:Choice Requires="wps">
            <w:drawing>
              <wp:anchor simplePos="0" relativeHeight="251657728" behindDoc="1" locked="0" layoutInCell="0" allowOverlap="1">
                <wp:simplePos x="0" y="0"/>
                <wp:positionH relativeFrom="column">
                  <wp:posOffset>2774315</wp:posOffset>
                </wp:positionH>
                <wp:positionV relativeFrom="paragraph">
                  <wp:posOffset>-278765</wp:posOffset>
                </wp:positionV>
                <wp:extent cx="123825" cy="12446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124460"/>
                        </a:xfrm>
                        <a:prstGeom prst="rect">
                          <a:avLst/>
                        </a:prstGeom>
                        <a:solidFill>
                          <a:srgbClr val="231F20"/>
                        </a:solidFill>
                      </wps:spPr>
                      <wps:bodyPr/>
                    </wps:wsp>
                  </a:graphicData>
                </a:graphic>
              </wp:anchor>
            </w:drawing>
          </mc:Choice>
          <mc:Fallback>
            <w:pict>
              <v:rect id="Shape 13" o:spid="_x0000_s1038" style="position:absolute;margin-left:218.45pt;margin-top:-21.9499pt;width:9.75pt;height: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drawing>
          <wp:anchor simplePos="0" relativeHeight="251657728" behindDoc="1" locked="0" layoutInCell="0" allowOverlap="1">
            <wp:simplePos x="0" y="0"/>
            <wp:positionH relativeFrom="column">
              <wp:posOffset>3718560</wp:posOffset>
            </wp:positionH>
            <wp:positionV relativeFrom="paragraph">
              <wp:posOffset>-297180</wp:posOffset>
            </wp:positionV>
            <wp:extent cx="381635"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381635" cy="16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Shares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2023, we did not issue any common shares in connection with the redemption of downREIT operating partnership units. Any equity securities sold by us during 2023 that were not registered have been previously reported in a Quarterly Report on Form 10-Q.</w:t>
      </w:r>
    </w:p>
    <w:p>
      <w:pPr>
        <w:spacing w:after="0" w:line="237" w:lineRule="exact"/>
        <w:rPr>
          <w:sz w:val="20"/>
          <w:szCs w:val="20"/>
          <w:color w:val="auto"/>
        </w:rPr>
      </w:pPr>
    </w:p>
    <w:p>
      <w:pPr>
        <w:ind w:right="3620"/>
        <w:spacing w:after="0" w:line="358" w:lineRule="auto"/>
        <w:rPr>
          <w:sz w:val="20"/>
          <w:szCs w:val="20"/>
          <w:color w:val="auto"/>
        </w:rPr>
      </w:pPr>
      <w:r>
        <w:rPr>
          <w:rFonts w:ascii="Times New Roman" w:cs="Times New Roman" w:eastAsia="Times New Roman" w:hAnsi="Times New Roman"/>
          <w:sz w:val="20"/>
          <w:szCs w:val="20"/>
          <w:b w:val="1"/>
          <w:bCs w:val="1"/>
          <w:color w:val="231F20"/>
        </w:rPr>
        <w:t xml:space="preserve">Purchases of Equity Securities by the Issuer and Affiliated Purchasers </w:t>
      </w:r>
      <w:r>
        <w:rPr>
          <w:rFonts w:ascii="Times New Roman" w:cs="Times New Roman" w:eastAsia="Times New Roman" w:hAnsi="Times New Roman"/>
          <w:sz w:val="20"/>
          <w:szCs w:val="20"/>
          <w:color w:val="231F20"/>
        </w:rPr>
        <w:t>During 2023, 5,930 restricted common shares were forfeited by former employees.</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231F20"/>
        </w:rPr>
        <w:t>From time to time, we could be deemed to have repurchased shares as a result of shares withheld for tax purposes upon a stock compensation related vesting event.</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2240" w:h="15840" w:orient="portrait"/>
          <w:cols w:equalWidth="0" w:num="1">
            <w:col w:w="10240"/>
          </w:cols>
          <w:pgMar w:left="1000" w:top="633" w:right="1000" w:bottom="0" w:gutter="0" w:footer="0" w:header="0"/>
          <w:type w:val="continuous"/>
        </w:sectPr>
      </w:pPr>
    </w:p>
    <w:bookmarkStart w:id="38" w:name="page39"/>
    <w:bookmarkEnd w:id="38"/>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6.</w:t>
        <w:tab/>
        <w:t>RESERVED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231F20"/>
        </w:rPr>
        <w:t>This section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of Operations” in Part II, Item 7 of our Annual Report on Form 10-K for the fiscal year ended December 31, 2022 filed with the Securities and Exchange Commission on February 8,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1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231F20"/>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located primarily in communities where we believe demand exceeds supply, in strategically selected metropolitan markets in the Northeast and Mid-Atlantic regions of the United States, California, and South Florida. 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We have paid quarterly dividends to our shareholders continuously since our founding in 1962 and have increased our dividends per common share for 56 consecutive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Economic Conditions</w:t>
      </w:r>
    </w:p>
    <w:p>
      <w:pPr>
        <w:spacing w:after="0" w:line="1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The heightened levels of inflation, higher interest rates, and the potentially worsening of economic conditions presents risks for our business and our tenants. We continue to monitor and address risks related to the general state of the economy. We believe that the actions we have taken to improve our financial position and maximize our liquidity will continue to mitigate the impact to our cash flow caused by tenants not timely paying contractual rent.</w:t>
      </w:r>
    </w:p>
    <w:p>
      <w:pPr>
        <w:spacing w:after="0" w:line="13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231F20"/>
        </w:rPr>
        <w:t>Additional discussion of the impact of current economic conditions on our results and long-term operations can be found throughout Item 7 and Item 1A. Risk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Responsibility</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 in our ESG Policy and our 2022 Environmental Social and Governance Report, which are provided only for informational purposes on our website and not incorporated by reference herein.</w:t>
      </w:r>
    </w:p>
    <w:p>
      <w:pPr>
        <w:spacing w:after="0" w:line="14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9"/>
          <w:szCs w:val="19"/>
          <w:color w:val="231F20"/>
        </w:rPr>
        <w:t>We are committed to implementing sustainable business practices at our operating properties that focus on energy efficiency, water conservation and waste minimization and have established greenhouse gas (GHG) emissions reduction targets in accordance with the Science-Based Targets initiative as well as energy reduction targets. To achieve these targets, we are actively addressing energy efficiency projects on site such as upgrading to LED lighting, procuring green energy, reducing electric consumption, and increasing our onsite solar generation capacity. We have installed on-site solar systems at 26 of our properties with a capacity of 14 MW with more projects actively in progress. We also installed electric vehicle car charging</w:t>
      </w:r>
    </w:p>
    <w:p>
      <w:pPr>
        <w:sectPr>
          <w:pgSz w:w="12240" w:h="15840" w:orient="portrait"/>
          <w:cols w:equalWidth="0" w:num="1">
            <w:col w:w="10180"/>
          </w:cols>
          <w:pgMar w:left="1000" w:top="62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31</w:t>
      </w:r>
    </w:p>
    <w:p>
      <w:pPr>
        <w:sectPr>
          <w:pgSz w:w="12240" w:h="15840" w:orient="portrait"/>
          <w:cols w:equalWidth="0" w:num="1">
            <w:col w:w="10180"/>
          </w:cols>
          <w:pgMar w:left="1000" w:top="626" w:right="1060" w:bottom="0" w:gutter="0" w:footer="0" w:header="0"/>
          <w:type w:val="continuous"/>
        </w:sectPr>
      </w:pPr>
    </w:p>
    <w:bookmarkStart w:id="39" w:name="page40"/>
    <w:bookmarkEnd w:id="39"/>
    <w:p>
      <w:pPr>
        <w:ind w:right="120"/>
        <w:spacing w:after="0" w:line="281" w:lineRule="auto"/>
        <w:rPr>
          <w:sz w:val="20"/>
          <w:szCs w:val="20"/>
          <w:color w:val="auto"/>
        </w:rPr>
      </w:pPr>
      <w:r>
        <w:rPr>
          <w:rFonts w:ascii="Times New Roman" w:cs="Times New Roman" w:eastAsia="Times New Roman" w:hAnsi="Times New Roman"/>
          <w:sz w:val="20"/>
          <w:szCs w:val="20"/>
          <w:color w:val="231F20"/>
        </w:rPr>
        <w:t>stations in numerous properties throughout our portfolio. We currently have over 400 charging stations in operation with more under construction.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231F20"/>
        </w:rPr>
        <w:t>We also understand that we face risks presented by climate change and are working to evaluate our risk exposure. In our 2022 Sustainability report, we provided a disclosure pursuant to the Task Force on Climate Related Financial Disclosure and we intend to provide that disclosure annually.</w:t>
      </w:r>
    </w:p>
    <w:p>
      <w:pPr>
        <w:spacing w:after="0" w:line="13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21 LEED certified buildings and our Pike &amp; Rose project has achieved LEED for Neighborhood Development Stage 3 Gold certification.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 Security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Our chief information officer, who has over 30 years of experience in managing information systems for real estate companies, heads our internal team of technology professionals who are responsible for managing our cybersecurity risks, which includes identifying our primary areas of risk, establishing processes, procedures, and systems to mitigate those risks and identifying and remediating any breaches that may occur. Cybersecurity risk management falls under our general counsel as part of our overall risk management program, which is ultimately overseen by the Audit Committee of the Board of Trustees. Our team is supported by a third party company that we have retained to act as our chief information security officer based on the third party company's experience in preventing cybersecurity incidents, advising clients about appropriate cybersecurity procedures and processes, and assessing the integrity of those procedures and processes. The assessment and management of our cybersecurity risks covers all of our internal systems as well as the systems of third parties who maintain our data.</w:t>
      </w:r>
    </w:p>
    <w:p>
      <w:pPr>
        <w:spacing w:after="0" w:line="1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We rely on our management team's experience in risk management, in consultation with our third party advisor, to appropriately address cybersecurity threats. As part of our processes to manage risks from cybersecurity threats, we have developed and enforce company-wide policies related to password encryption, strength and expiration, we require multi-factor authentication where appropriate, and we conduct regular employee training about our policies and cybersecurity threats. We make use of firewalls, anti-virus software, backups, redundancies, regular penetration testing, and our systems monitor and flag irregularities in how our information systems are accessed or used. Any known cybersecurity incidents would be reported by our chief information officer to our general counsel and disclosure committee for evaluation and remediation, and for a determination of how we might develop further security systems and procedures to address evolving cybersecurity threats. Management provides written and verbal updates to the Audit Committee at least quarterly identifying our primary areas of risk, actions taken or planned to be taken to mitigate those risks, and specific activities undertaken during the quarter, including employee training and the results of that training. Management would also provide updates to seek oversight from the Audit Committee on an ad hoc basis in connection with any material cybersecurity incident, should one occur.</w:t>
      </w:r>
    </w:p>
    <w:p>
      <w:pPr>
        <w:spacing w:after="0" w:line="1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231F20"/>
        </w:rPr>
        <w:t>We have not experienced any cybersecurity incident that has had a material impact on our business strategy, results of operations, or financial condition. For more information, see Item 1A. Risk Factors ("We face risks relating to cybersecurity threats that could cause loss of confidential information and other business distributions").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ectPr>
          <w:pgSz w:w="12240" w:h="15840" w:orient="portrait"/>
          <w:cols w:equalWidth="0" w:num="1">
            <w:col w:w="10220"/>
          </w:cols>
          <w:pgMar w:left="1000" w:top="63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32</w:t>
      </w:r>
    </w:p>
    <w:p>
      <w:pPr>
        <w:sectPr>
          <w:pgSz w:w="12240" w:h="15840" w:orient="portrait"/>
          <w:cols w:equalWidth="0" w:num="1">
            <w:col w:w="10220"/>
          </w:cols>
          <w:pgMar w:left="1000" w:top="633" w:right="1020" w:bottom="0" w:gutter="0" w:footer="0" w:header="0"/>
          <w:type w:val="continuous"/>
        </w:sectPr>
      </w:pPr>
    </w:p>
    <w:bookmarkStart w:id="40" w:name="page41"/>
    <w:bookmarkEnd w:id="40"/>
    <w:p>
      <w:pPr>
        <w:ind w:right="100"/>
        <w:spacing w:after="0" w:line="260" w:lineRule="auto"/>
        <w:rPr>
          <w:sz w:val="20"/>
          <w:szCs w:val="20"/>
          <w:color w:val="auto"/>
        </w:rPr>
      </w:pPr>
      <w:r>
        <w:rPr>
          <w:rFonts w:ascii="Times New Roman" w:cs="Times New Roman" w:eastAsia="Times New Roman" w:hAnsi="Times New Roman"/>
          <w:sz w:val="20"/>
          <w:szCs w:val="20"/>
          <w:color w:val="231F20"/>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Collectibility of Lease Income</w:t>
      </w:r>
    </w:p>
    <w:p>
      <w:pPr>
        <w:spacing w:after="0" w:line="1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$11.3 million. If leases currently classified as not probable are subsequently changed to probable, any lease receivables (including straight-line rent receivables) are re-instated with a corresponding increase to rental income.</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Our collectibility related adjustments for the years ended December 31, 2023 and 2022 resulted in a decrease to rental income of $0.4 million and an increase to rental income of $4.1 million, respectively. As of December 31, 2023 and 2022, the revenue from approximately 28% and 31% of our tenants (based on total commercial leases), respectively, is being recognized on a cash basis. As of December 31, 2023 and 2022, our straight-line rent receivables balance was $138.4 million and $126.6 million, respectively, and is included in "accounts and notes receivable, net" on our consolidated balance sheet.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Real Estate Acquisitions</w:t>
      </w:r>
    </w:p>
    <w:p>
      <w:pPr>
        <w:spacing w:after="0" w:line="1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During 2022 and 2023, we acquired properties included in our consolidated financial statements with a total purchase price of $509.1 million. $3.4 million, or 1% of the total purchase price was allocated to above market lease assets and $39.9 million, or 8% was allocated to below market lease liabilities. If the amounts allocated in 2022 and 2023 to below market lease liabilities and building assets were each reduced by 5% of the total purchase price, annual below market lease liability amortization increasing rental income would decrease by approximately $2.2 million (using the weighted average life of below market liabilities at each respective acquired property) and annual depreciation expense would decrease by approximately $0.7 million (using a depreciable life of 35 years).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Long-Lived Assets and Impairment</w:t>
      </w:r>
    </w:p>
    <w:p>
      <w:pPr>
        <w:spacing w:after="0" w:line="11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231F20"/>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spacing w:after="0" w:line="153"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19"/>
          <w:szCs w:val="19"/>
          <w:color w:val="231F20"/>
        </w:rPr>
        <w:t>The calculation of both discounted and undiscounted cash flows requires management to make estimates of future cash flows including revenues, operating expenses, required maintenance and development expenditures, market conditions, demand for</w:t>
      </w:r>
    </w:p>
    <w:p>
      <w:pPr>
        <w:sectPr>
          <w:pgSz w:w="12240" w:h="15840" w:orient="portrait"/>
          <w:cols w:equalWidth="0" w:num="1">
            <w:col w:w="10240"/>
          </w:cols>
          <w:pgMar w:left="1000" w:top="633" w:right="1000" w:bottom="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2240" w:h="15840" w:orient="portrait"/>
          <w:cols w:equalWidth="0" w:num="1">
            <w:col w:w="10240"/>
          </w:cols>
          <w:pgMar w:left="1000" w:top="633" w:right="1000" w:bottom="0" w:gutter="0" w:footer="0" w:header="0"/>
          <w:type w:val="continuous"/>
        </w:sectPr>
      </w:pPr>
    </w:p>
    <w:bookmarkStart w:id="41" w:name="page42"/>
    <w:bookmarkEnd w:id="41"/>
    <w:p>
      <w:pPr>
        <w:ind w:right="20"/>
        <w:spacing w:after="0" w:line="256" w:lineRule="auto"/>
        <w:rPr>
          <w:sz w:val="20"/>
          <w:szCs w:val="20"/>
          <w:color w:val="auto"/>
        </w:rPr>
      </w:pPr>
      <w:r>
        <w:rPr>
          <w:rFonts w:ascii="Times New Roman" w:cs="Times New Roman" w:eastAsia="Times New Roman" w:hAnsi="Times New Roman"/>
          <w:sz w:val="20"/>
          <w:szCs w:val="20"/>
          <w:color w:val="231F20"/>
        </w:rPr>
        <w:t>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w:t>
      </w:r>
    </w:p>
    <w:p>
      <w:pPr>
        <w:spacing w:after="0" w:line="241" w:lineRule="exact"/>
        <w:rPr>
          <w:sz w:val="20"/>
          <w:szCs w:val="20"/>
          <w:color w:val="auto"/>
        </w:rPr>
      </w:pPr>
    </w:p>
    <w:p>
      <w:pPr>
        <w:ind w:right="4460"/>
        <w:spacing w:after="0" w:line="393" w:lineRule="auto"/>
        <w:rPr>
          <w:sz w:val="20"/>
          <w:szCs w:val="20"/>
          <w:color w:val="auto"/>
        </w:rPr>
      </w:pPr>
      <w:r>
        <w:rPr>
          <w:rFonts w:ascii="Times New Roman" w:cs="Times New Roman" w:eastAsia="Times New Roman" w:hAnsi="Times New Roman"/>
          <w:sz w:val="20"/>
          <w:szCs w:val="20"/>
          <w:b w:val="1"/>
          <w:bCs w:val="1"/>
          <w:color w:val="231F20"/>
        </w:rPr>
        <w:t xml:space="preserve">Recently Adopted and Recently Issued Accounting Pronouncements </w:t>
      </w:r>
      <w:r>
        <w:rPr>
          <w:rFonts w:ascii="Times New Roman" w:cs="Times New Roman" w:eastAsia="Times New Roman" w:hAnsi="Times New Roman"/>
          <w:sz w:val="20"/>
          <w:szCs w:val="20"/>
          <w:color w:val="231F20"/>
        </w:rPr>
        <w:t>See Note 2 to the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2023 Acquisitions and Dispositions</w:t>
      </w:r>
    </w:p>
    <w:p>
      <w:pPr>
        <w:spacing w:after="0" w:line="19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231F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interest acquired were allocated to other liabilities for "below market leases."</w:t>
      </w:r>
    </w:p>
    <w:p>
      <w:pPr>
        <w:spacing w:after="0" w:line="14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On October 12, 2023, we acquired the fee interest under a portion of our Mercer on One (formerly Mercer Mall) shopping center for $55.0 million pursuant to the purchase option included in the master lease. As a result of this transaction, "finance lease right of use assets, net" of $37.8 million were allocated to "operating real estate" and "finance lease liabilities" decreased by $55.0 million.</w:t>
      </w:r>
    </w:p>
    <w:p>
      <w:pPr>
        <w:spacing w:after="0" w:line="6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231F20"/>
        </w:rPr>
        <w:t>During the year ended December 31, 2023, we sold one retail property and one portion of a property for sales prices totaling $30.4 million, resulting in net gains totaling approximately $9.7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2023 Significant Debt and Equity Transactions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For the three months ended December 31, 2023, we sold 1,220,842 common shares (of which, 62,895 settled on January 2, 2024) at a weighted average price per share of $101.30 for net cash proceeds of $122.4 million including paying $1.2 million in commissions and $0.1 million in additional operating expenses related to the sales of these common shares. For the year ended December 31, 2023, we sold 1,372,889 common shares (of which, 62,895 settled on January 2, 2024) at a weighted average price per share of $101.89 for net cash proceeds of $138.3 million including paying $1.4 million in commissions and $0.2 million in additional offering expenses related to the sales of these common shares. As of December 31, 2023, we had the capacity to issue up to $312.1 million in common shares under our ATM equity program.</w:t>
      </w:r>
    </w:p>
    <w:p>
      <w:pPr>
        <w:spacing w:after="0" w:line="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The net proceeds of these notes, or "green bonds,"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Gold or Platinum certification (or environmentally equivalent successor standards). Net proceeds will be available for repayment of indebtedness, or may be invested in short-term income-producing investments or may be used to temporarily repay current and/or future amounts outstanding under our revolving credit facility.</w:t>
      </w:r>
    </w:p>
    <w:p>
      <w:pPr>
        <w:spacing w:after="0" w:line="76"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231F20"/>
        </w:rPr>
        <w:t>Effective May 4, 2023, our Declaration of Trust was amended to increase the number of authorized common shares of beneficial interest to 200,000,000.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June 1, 2023, we repaid our $275.0 million 2.75% senior unsecured notes at maturity.</w:t>
      </w:r>
    </w:p>
    <w:p>
      <w:pPr>
        <w:spacing w:after="0" w:line="110"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231F20"/>
        </w:rPr>
        <w:t>On December 28, 2023, one of our wholly-owned subsidiaries entered into a $200.0 million mortgage loan, which bears interest at SOFR, plus a 95 basis point spread, matures on December 28, 2025, plus two one-year extensions, at our option, and is</w:t>
      </w:r>
    </w:p>
    <w:p>
      <w:pPr>
        <w:sectPr>
          <w:pgSz w:w="12240" w:h="15840" w:orient="portrait"/>
          <w:cols w:equalWidth="0" w:num="1">
            <w:col w:w="10240"/>
          </w:cols>
          <w:pgMar w:left="1000" w:top="633" w:right="100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2240" w:h="15840" w:orient="portrait"/>
          <w:cols w:equalWidth="0" w:num="1">
            <w:col w:w="10240"/>
          </w:cols>
          <w:pgMar w:left="1000" w:top="633" w:right="1000" w:bottom="0" w:gutter="0" w:footer="0" w:header="0"/>
          <w:type w:val="continuous"/>
        </w:sectPr>
      </w:pPr>
    </w:p>
    <w:bookmarkStart w:id="42" w:name="page43"/>
    <w:bookmarkEnd w:id="42"/>
    <w:p>
      <w:pPr>
        <w:ind w:right="160"/>
        <w:spacing w:after="0" w:line="266" w:lineRule="auto"/>
        <w:rPr>
          <w:sz w:val="20"/>
          <w:szCs w:val="20"/>
          <w:color w:val="auto"/>
        </w:rPr>
      </w:pPr>
      <w:r>
        <w:rPr>
          <w:rFonts w:ascii="Times New Roman" w:cs="Times New Roman" w:eastAsia="Times New Roman" w:hAnsi="Times New Roman"/>
          <w:sz w:val="20"/>
          <w:szCs w:val="20"/>
          <w:color w:val="231F20"/>
        </w:rPr>
        <w:t>secured by our Bethesda Row property. The interest rate is effectively fixed at 5.03% through the initial maturity date, as a result of three interest rate swap agreements. Our net proceeds were $199.1 million, after debt issuance costs. Our subsidiary's obligations under the mortgage loan are guaranteed by the Operating Partnership.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2024 Significant Debt Transactions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On January 11, 2024, our Operating Partnership issued $485.0 million aggregate principal amount of 3.25% Exchangeable Senior Notes (the “Notes”) that mature on January 15, 2029, unless earlier exchanged, purchased or redeemed. On or after July 15, 2028, the Notes will be exchangeable for cash up to the principal amount of the Notes and, if applicable, cash, common shares of the Trust, or a combination thereof at our option, in respect of the remainder, if any, of the exchange obligation in excess of the principal amount. The exchange rate initially equals 8.1436 common shares per $1,000 principal amount of the Notes (equivalent to an exchange price of approximately $122.80 per common share). Net proceeds after the initial purchaser’s discount and estimated offering costs were approximately $471 million.</w:t>
      </w:r>
    </w:p>
    <w:p>
      <w:pPr>
        <w:spacing w:after="0" w:line="7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will be recorded in shareholders' equity for the Trust and capital for the Operating Partnership.</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January 16, 2024, we repaid the $600.0 million 3.95% senior unsecured notes at maturity.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Capitalized Costs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$183 million and $10 million, respectively, for 2023 and $278 million and $11 million, respectively, for 2022. We capitalized external and internal costs related to other property improvements of $91 million and $4 million, respectively, for 2023 and $111 million and $4 million, respectively, for 2022. We capitalized external and internal costs related to leasing activities of $20 million and $3 million, respectively, for 2023 and $18 million and $4 million, respectively, for 2022. The amount of capitalized internal costs for salaries and related benefits for development and redevelopment activities, other property improvements, and leasing activities were $9 million, $4 million, and $3 million, respectively, for 2023 and $10 million, $3 million, and $4 million, respectively, for 2022. Total capitalized costs were $312 million for 2023 and $425 million for 2022,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Outlook</w:t>
      </w:r>
    </w:p>
    <w:p>
      <w:pPr>
        <w:spacing w:after="0" w:line="11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Our long-term growth strategy is focused on growth in earnings, funds from operations, and cash flows primarily through a combination of the following:</w:t>
      </w:r>
    </w:p>
    <w:p>
      <w:pPr>
        <w:spacing w:after="0" w:line="1" w:lineRule="exact"/>
        <w:rPr>
          <w:sz w:val="20"/>
          <w:szCs w:val="20"/>
          <w:color w:val="auto"/>
        </w:rPr>
      </w:pPr>
    </w:p>
    <w:p>
      <w:pPr>
        <w:ind w:left="1880" w:hanging="900"/>
        <w:spacing w:after="0"/>
        <w:tabs>
          <w:tab w:leader="none" w:pos="188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growth in our comparable property portfolio,</w:t>
      </w:r>
    </w:p>
    <w:p>
      <w:pPr>
        <w:spacing w:after="0" w:line="70" w:lineRule="exact"/>
        <w:rPr>
          <w:rFonts w:ascii="Times New Roman" w:cs="Times New Roman" w:eastAsia="Times New Roman" w:hAnsi="Times New Roman"/>
          <w:sz w:val="20"/>
          <w:szCs w:val="20"/>
          <w:color w:val="231F20"/>
        </w:rPr>
      </w:pPr>
    </w:p>
    <w:p>
      <w:pPr>
        <w:ind w:left="1880" w:hanging="900"/>
        <w:spacing w:after="0"/>
        <w:tabs>
          <w:tab w:leader="none" w:pos="188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growth in our portfolio from property redevelopments and expansions, and</w:t>
      </w:r>
    </w:p>
    <w:p>
      <w:pPr>
        <w:spacing w:after="0" w:line="70" w:lineRule="exact"/>
        <w:rPr>
          <w:rFonts w:ascii="Times New Roman" w:cs="Times New Roman" w:eastAsia="Times New Roman" w:hAnsi="Times New Roman"/>
          <w:sz w:val="20"/>
          <w:szCs w:val="20"/>
          <w:color w:val="231F20"/>
        </w:rPr>
      </w:pPr>
    </w:p>
    <w:p>
      <w:pPr>
        <w:ind w:left="1880" w:hanging="900"/>
        <w:spacing w:after="0"/>
        <w:tabs>
          <w:tab w:leader="none" w:pos="188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expansion of our portfolio through property acquisitions.</w:t>
      </w:r>
    </w:p>
    <w:p>
      <w:pPr>
        <w:spacing w:after="0" w:line="19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Although general economic impacts of elevated levels of inflation and rising interest rates are impacting us in the short-term, our long-term focus has not changed.</w:t>
      </w:r>
    </w:p>
    <w:p>
      <w:pPr>
        <w:spacing w:after="0" w:line="1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231F20"/>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2.0 million square feet of comparable space leasing we've completed in 2023, and the 2.0% spread between our leased rate of 94.2% and our occupied rate of 92.2%. During 2023, we have seen an uptick in tenants filing for bankruptcy compared to the prior two years. As a result, approximately 290,000 square feet of anchor space became vacant during the second half of 2023, of which, approximately 38,000 is leased to a replacement tenant. This will negatively impact our occupancy and net income in the short term, however, we expect to be able to re-lease the space at similar or better aggregate rents over the next several quarters, and</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2240" w:h="15840" w:orient="portrait"/>
          <w:cols w:equalWidth="0" w:num="1">
            <w:col w:w="10240"/>
          </w:cols>
          <w:pgMar w:left="1000" w:top="633" w:right="1000" w:bottom="0" w:gutter="0" w:footer="0" w:header="0"/>
          <w:type w:val="continuous"/>
        </w:sectPr>
      </w:pPr>
    </w:p>
    <w:bookmarkStart w:id="43" w:name="page44"/>
    <w:bookmarkEnd w:id="43"/>
    <w:p>
      <w:pPr>
        <w:ind w:right="80"/>
        <w:spacing w:after="0" w:line="254" w:lineRule="auto"/>
        <w:rPr>
          <w:sz w:val="20"/>
          <w:szCs w:val="20"/>
          <w:color w:val="auto"/>
        </w:rPr>
      </w:pPr>
      <w:r>
        <w:rPr>
          <w:rFonts w:ascii="Times New Roman" w:cs="Times New Roman" w:eastAsia="Times New Roman" w:hAnsi="Times New Roman"/>
          <w:sz w:val="20"/>
          <w:szCs w:val="20"/>
          <w:color w:val="231F20"/>
        </w:rPr>
        <w:t>we are actively in negotiations with replacement tenants. Additionally, the effects of high levels of inflation and rising interest rates continue to negatively impact our business with the largest impacts being higher interest costs, increased material costs, and higher operating costs. We continue to see impacts of increased costs for certain construction and other materials that support our development and redevelopment activities. Worsening supply chain disruptions could also result in extended time 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spacing w:after="0" w:line="14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9"/>
          <w:szCs w:val="19"/>
          <w:color w:val="231F20"/>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2023, no single tenant accounted for more than 2.7% of annualized base rent.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continue to have several development projects in process being delivered as follows:</w:t>
      </w:r>
    </w:p>
    <w:p>
      <w:pPr>
        <w:spacing w:after="0" w:line="30" w:lineRule="exact"/>
        <w:rPr>
          <w:sz w:val="20"/>
          <w:szCs w:val="20"/>
          <w:color w:val="auto"/>
        </w:rPr>
      </w:pPr>
    </w:p>
    <w:p>
      <w:pPr>
        <w:ind w:left="720" w:right="120" w:hanging="370"/>
        <w:spacing w:after="0" w:line="250" w:lineRule="auto"/>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Phase IV at Pike &amp; Rose is a 276,000 square foot office building (which includes 10,000 square feet of ground floor retail space). Approximately 172,000 square feet of the office space is leased to two tenants, and approximately 8,000 square feet of retail is leased. The building is expected to cost between $185 million and $200 million, and began delivering in late September 2023. As of December 31, 2023, approximately 109,000 square feet of office space is open.</w:t>
      </w:r>
    </w:p>
    <w:p>
      <w:pPr>
        <w:spacing w:after="0" w:line="2" w:lineRule="exact"/>
        <w:rPr>
          <w:rFonts w:ascii="Times New Roman" w:cs="Times New Roman" w:eastAsia="Times New Roman" w:hAnsi="Times New Roman"/>
          <w:sz w:val="20"/>
          <w:szCs w:val="20"/>
          <w:color w:val="231F20"/>
        </w:rPr>
      </w:pPr>
    </w:p>
    <w:p>
      <w:pPr>
        <w:ind w:left="720" w:hanging="370"/>
        <w:spacing w:after="0" w:line="263" w:lineRule="auto"/>
        <w:tabs>
          <w:tab w:leader="none" w:pos="720" w:val="left"/>
        </w:tabs>
        <w:numPr>
          <w:ilvl w:val="0"/>
          <w:numId w:val="3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Construction on Santana West includes an eight story 376,000 square foot office building, which is expected to cost between $315 million and $330 million. Approximately 29,000 square feet of space is leased as of December 31, 2023.</w:t>
      </w:r>
    </w:p>
    <w:p>
      <w:pPr>
        <w:spacing w:after="0" w:line="1" w:lineRule="exact"/>
        <w:rPr>
          <w:rFonts w:ascii="Times New Roman" w:cs="Times New Roman" w:eastAsia="Times New Roman" w:hAnsi="Times New Roman"/>
          <w:sz w:val="19"/>
          <w:szCs w:val="19"/>
          <w:color w:val="231F20"/>
        </w:rPr>
      </w:pPr>
    </w:p>
    <w:p>
      <w:pPr>
        <w:ind w:left="720" w:right="920" w:hanging="370"/>
        <w:spacing w:after="0" w:line="260" w:lineRule="auto"/>
        <w:tabs>
          <w:tab w:leader="none" w:pos="72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Throughout the portfolio, we currently have redevelopment projects underway with a projected total cost of approximately $321 million that we expect to stabilize over the next several years.</w:t>
      </w:r>
    </w:p>
    <w:p>
      <w:pPr>
        <w:spacing w:after="0" w:line="202"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20"/>
          <w:szCs w:val="20"/>
          <w:color w:val="231F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spacing w:after="0" w:line="1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231F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At December 31, 2023, the leasable commercial square feet in our properties was 94.2% leased and 92.2%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Comparable Properties</w:t>
      </w:r>
    </w:p>
    <w:p>
      <w:pPr>
        <w:spacing w:after="0" w:line="11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231F20"/>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2023 and the comparison of 2023 and 2022, all or a portion of 94 properties, were considered comparable properties and eight were considered non-comparable properties. For the year ended December 31, 2023, one property was moved from comparable properties to non-comparable properties, four properties and one portion of a</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2240" w:h="15840" w:orient="portrait"/>
          <w:cols w:equalWidth="0" w:num="1">
            <w:col w:w="10240"/>
          </w:cols>
          <w:pgMar w:left="1000" w:top="633" w:right="1000" w:bottom="0" w:gutter="0" w:footer="0" w:header="0"/>
          <w:type w:val="continuous"/>
        </w:sectPr>
      </w:pPr>
    </w:p>
    <w:bookmarkStart w:id="44" w:name="page45"/>
    <w:bookmarkEnd w:id="44"/>
    <w:p>
      <w:pPr>
        <w:spacing w:after="0" w:line="270" w:lineRule="auto"/>
        <w:rPr>
          <w:sz w:val="20"/>
          <w:szCs w:val="20"/>
          <w:color w:val="auto"/>
        </w:rPr>
      </w:pPr>
      <w:r>
        <w:rPr>
          <w:rFonts w:ascii="Times New Roman" w:cs="Times New Roman" w:eastAsia="Times New Roman" w:hAnsi="Times New Roman"/>
          <w:sz w:val="19"/>
          <w:szCs w:val="19"/>
          <w:color w:val="231F20"/>
        </w:rPr>
        <w:t>property were moved from acquisitions to comparable properties, and one property and one portion of a property were removed from comparable properties, as they were sold, compared to the designations as of December 31, 2022.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ectPr>
          <w:pgSz w:w="12240" w:h="15840" w:orient="portrait"/>
          <w:cols w:equalWidth="0" w:num="1">
            <w:col w:w="10220"/>
          </w:cols>
          <w:pgMar w:left="1000" w:top="63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37</w:t>
      </w:r>
    </w:p>
    <w:p>
      <w:pPr>
        <w:sectPr>
          <w:pgSz w:w="12240" w:h="15840" w:orient="portrait"/>
          <w:cols w:equalWidth="0" w:num="1">
            <w:col w:w="10220"/>
          </w:cols>
          <w:pgMar w:left="1000" w:top="633" w:right="1020" w:bottom="0" w:gutter="0" w:footer="0" w:header="0"/>
          <w:type w:val="continuous"/>
        </w:sectPr>
      </w:pPr>
    </w:p>
    <w:bookmarkStart w:id="45" w:name="page46"/>
    <w:bookmarkEnd w:id="45"/>
    <w:p>
      <w:pPr>
        <w:jc w:val="center"/>
        <w:ind w:right="10"/>
        <w:spacing w:after="0"/>
        <w:rPr>
          <w:sz w:val="20"/>
          <w:szCs w:val="20"/>
          <w:color w:val="auto"/>
        </w:rPr>
      </w:pPr>
      <w:r>
        <w:rPr>
          <w:rFonts w:ascii="Times New Roman" w:cs="Times New Roman" w:eastAsia="Times New Roman" w:hAnsi="Times New Roman"/>
          <w:sz w:val="20"/>
          <w:szCs w:val="20"/>
          <w:b w:val="1"/>
          <w:bCs w:val="1"/>
          <w:color w:val="231F20"/>
        </w:rPr>
        <w:t>YEAR ENDED DECEMBER 31, 2023 COMPARED TO YEAR ENDED DECEMBER 31, 2022</w:t>
      </w:r>
    </w:p>
    <w:p>
      <w:pPr>
        <w:spacing w:after="0" w:line="200" w:lineRule="exact"/>
        <w:rPr>
          <w:sz w:val="20"/>
          <w:szCs w:val="20"/>
          <w:color w:val="auto"/>
        </w:rPr>
      </w:pPr>
    </w:p>
    <w:p>
      <w:pPr>
        <w:spacing w:after="0" w:line="223"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800" w:type="dxa"/>
            <w:vAlign w:val="bottom"/>
            <w:tcBorders>
              <w:bottom w:val="single" w:sz="8" w:color="231F20"/>
            </w:tcBorders>
          </w:tcPr>
          <w:p>
            <w:pPr>
              <w:spacing w:after="0"/>
              <w:rPr>
                <w:sz w:val="18"/>
                <w:szCs w:val="18"/>
                <w:color w:val="auto"/>
              </w:rPr>
            </w:pPr>
          </w:p>
        </w:tc>
      </w:tr>
      <w:tr>
        <w:trPr>
          <w:trHeight w:val="235"/>
        </w:trPr>
        <w:tc>
          <w:tcPr>
            <w:tcW w:w="54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231F20"/>
              </w:rPr>
              <w:t>Dollars</w:t>
            </w:r>
          </w:p>
        </w:tc>
        <w:tc>
          <w:tcPr>
            <w:tcW w:w="8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231F20"/>
              </w:rPr>
              <w:t>%</w:t>
            </w:r>
          </w:p>
        </w:tc>
      </w:tr>
      <w:tr>
        <w:trPr>
          <w:trHeight w:val="229"/>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231F20"/>
              </w:rPr>
              <w:t>(Dollar amounts in thousands)</w:t>
            </w:r>
          </w:p>
        </w:tc>
        <w:tc>
          <w:tcPr>
            <w:tcW w:w="800" w:type="dxa"/>
            <w:vAlign w:val="bottom"/>
          </w:tcPr>
          <w:p>
            <w:pPr>
              <w:spacing w:after="0"/>
              <w:rPr>
                <w:sz w:val="19"/>
                <w:szCs w:val="19"/>
                <w:color w:val="auto"/>
              </w:rPr>
            </w:pP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Rental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1,131,041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1,073,292</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Mortgage interest income</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1,113</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1,086</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2.5 %</w:t>
            </w:r>
          </w:p>
        </w:tc>
      </w:tr>
      <w:tr>
        <w:trPr>
          <w:trHeight w:val="280"/>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Total property revenue</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1,132,154</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1,074,378</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57,776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5.4 %</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Rental expenses</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231,666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228,958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Real estate taxes</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131,429</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127,824</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2.8 %</w:t>
            </w:r>
          </w:p>
        </w:tc>
      </w:tr>
      <w:tr>
        <w:trPr>
          <w:trHeight w:val="280"/>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Total property expenses</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363,095</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356,782</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1.8 %</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Property operating income </w:t>
            </w:r>
            <w:r>
              <w:rPr>
                <w:rFonts w:ascii="Times New Roman" w:cs="Times New Roman" w:eastAsia="Times New Roman" w:hAnsi="Times New Roman"/>
                <w:sz w:val="18"/>
                <w:szCs w:val="18"/>
                <w:color w:val="231F20"/>
              </w:rPr>
              <w:t>(1)</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769,059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717,596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51,463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7.2 %</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General and administrative expense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(50,707)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(321,763)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(302,409)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6.4 %</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Gain on deconsolidation of VIE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70,374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Gain on sale of real estate</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9,881</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93,483</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(83,602)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(89.4)%</w:t>
            </w:r>
          </w:p>
        </w:tc>
      </w:tr>
      <w:tr>
        <w:trPr>
          <w:trHeight w:val="277"/>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Operating income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406,470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526,408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(119,938)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(22.8)%</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Other interest income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4,687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337.2 %</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(167,809)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(136,989)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Income from partnerships</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3,869</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5,170</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r>
      <w:tr>
        <w:trPr>
          <w:trHeight w:val="280"/>
        </w:trPr>
        <w:tc>
          <w:tcPr>
            <w:tcW w:w="54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Total other, net</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(159,253)</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(130,747)</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(28,506)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21.8 %</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247,217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395,661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(148,444)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(37.5)%</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Net income attributable to noncontrolling interests</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(10,232)</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(10,170)</w:t>
            </w:r>
          </w:p>
        </w:tc>
        <w:tc>
          <w:tcPr>
            <w:tcW w:w="8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0.6 %</w:t>
            </w:r>
          </w:p>
        </w:tc>
      </w:tr>
      <w:tr>
        <w:trPr>
          <w:trHeight w:val="26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Net income attributable to the Trust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236,985</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385,491</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(148,506)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(38.5)%</w:t>
            </w: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8" w:lineRule="exact"/>
        <w:rPr>
          <w:sz w:val="20"/>
          <w:szCs w:val="20"/>
          <w:color w:val="auto"/>
        </w:rPr>
      </w:pPr>
    </w:p>
    <w:p>
      <w:pPr>
        <w:ind w:left="270" w:right="40" w:hanging="270"/>
        <w:spacing w:after="0" w:line="253" w:lineRule="auto"/>
        <w:tabs>
          <w:tab w:leader="none" w:pos="283"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Property operating income is a non-GAAP measure that consists of rental income and mortgage interest income, less rental expenses and real estate taxes. This measure is used internally to evaluate the performance of property operations to the previous period and we consider it be a significant measure. We believe that property operating income is useful to investors in measuring the operating performance of our property portfolio because the definition excludes various items included in operating income that do not relate to, or are not indicative of, the operating performance of our properties, such as general and administrative expenses and depreciation and amortization, and allows us to isolate disparities in operating income caused by acquisitions, dispositions, and stabilization of properties. Property operating income may, therefore, provide a more consistent metric for comparing the operating performance of our real estate between periods. Property operating income should not be considered an alternative measure of operating results or cash flow from operations as determined in accordance with GAAP. The reconciliation of operating income to property operating income for 2023 and 2022 is as follows:</w:t>
      </w:r>
    </w:p>
    <w:p>
      <w:pPr>
        <w:spacing w:after="0" w:line="58"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7760" w:type="dxa"/>
            <w:vAlign w:val="bottom"/>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60" w:type="dxa"/>
            <w:vAlign w:val="bottom"/>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2022</w:t>
            </w:r>
          </w:p>
        </w:tc>
      </w:tr>
      <w:tr>
        <w:trPr>
          <w:trHeight w:val="220"/>
        </w:trPr>
        <w:tc>
          <w:tcPr>
            <w:tcW w:w="7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231F20"/>
              </w:rPr>
              <w:t>(in thousands)</w:t>
            </w: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231F20"/>
              </w:rPr>
              <w:t>Operating income</w:t>
            </w:r>
          </w:p>
        </w:tc>
        <w:tc>
          <w:tcPr>
            <w:tcW w:w="260" w:type="dxa"/>
            <w:vAlign w:val="bottom"/>
            <w:tcBorders>
              <w:top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top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406,470</w:t>
            </w:r>
          </w:p>
        </w:tc>
        <w:tc>
          <w:tcPr>
            <w:tcW w:w="60" w:type="dxa"/>
            <w:vAlign w:val="bottom"/>
          </w:tcPr>
          <w:p>
            <w:pPr>
              <w:spacing w:after="0"/>
              <w:rPr>
                <w:sz w:val="24"/>
                <w:szCs w:val="24"/>
                <w:color w:val="auto"/>
              </w:rPr>
            </w:pPr>
          </w:p>
        </w:tc>
        <w:tc>
          <w:tcPr>
            <w:tcW w:w="260" w:type="dxa"/>
            <w:vAlign w:val="bottom"/>
            <w:tcBorders>
              <w:top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526,408</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50,707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52,636</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321,763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302,409</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231F20"/>
              </w:rPr>
              <w:t>Gain on deconsolidation of VIE</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(70,374)</w:t>
            </w:r>
          </w:p>
        </w:tc>
      </w:tr>
      <w:tr>
        <w:trPr>
          <w:trHeight w:val="303"/>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231F20"/>
              </w:rPr>
              <w:t>Gain on sale of real estate</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(9,881)</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(93,483)</w:t>
            </w:r>
          </w:p>
        </w:tc>
      </w:tr>
      <w:tr>
        <w:trPr>
          <w:trHeight w:val="26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231F20"/>
              </w:rPr>
              <w:t>Property operating income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769,059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717,596</w:t>
            </w:r>
          </w:p>
        </w:tc>
      </w:tr>
      <w:tr>
        <w:trPr>
          <w:trHeight w:val="20"/>
        </w:trPr>
        <w:tc>
          <w:tcPr>
            <w:tcW w:w="77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Property Revenues</w:t>
      </w:r>
    </w:p>
    <w:p>
      <w:pPr>
        <w:spacing w:after="0" w:line="117" w:lineRule="exact"/>
        <w:rPr>
          <w:sz w:val="20"/>
          <w:szCs w:val="20"/>
          <w:color w:val="auto"/>
        </w:rPr>
      </w:pPr>
    </w:p>
    <w:p>
      <w:pPr>
        <w:jc w:val="both"/>
        <w:ind w:left="10" w:right="500"/>
        <w:spacing w:after="0" w:line="266" w:lineRule="auto"/>
        <w:rPr>
          <w:sz w:val="20"/>
          <w:szCs w:val="20"/>
          <w:color w:val="auto"/>
        </w:rPr>
      </w:pPr>
      <w:r>
        <w:rPr>
          <w:rFonts w:ascii="Times New Roman" w:cs="Times New Roman" w:eastAsia="Times New Roman" w:hAnsi="Times New Roman"/>
          <w:sz w:val="20"/>
          <w:szCs w:val="20"/>
          <w:color w:val="231F20"/>
        </w:rPr>
        <w:t>Total property revenue increased $57.8 million, or 5.4%, to $1.13 billion in 2023 compared to $1.07 billion in 2022. The percentage occupied at our shopping centers was 92.2% at December 31, 2023 compared to 92.8% at December 31, 2022. Changes in the components of property revenue are discussed below.</w:t>
      </w:r>
    </w:p>
    <w:p>
      <w:pPr>
        <w:sectPr>
          <w:pgSz w:w="12240" w:h="15840" w:orient="portrait"/>
          <w:cols w:equalWidth="0" w:num="1">
            <w:col w:w="10270"/>
          </w:cols>
          <w:pgMar w:left="99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38</w:t>
      </w:r>
    </w:p>
    <w:p>
      <w:pPr>
        <w:sectPr>
          <w:pgSz w:w="12240" w:h="15840" w:orient="portrait"/>
          <w:cols w:equalWidth="0" w:num="1">
            <w:col w:w="10270"/>
          </w:cols>
          <w:pgMar w:left="990" w:top="626" w:right="9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i w:val="1"/>
          <w:iCs w:val="1"/>
          <w:color w:val="231F20"/>
        </w:rPr>
        <w:t>Rental Income</w:t>
      </w:r>
    </w:p>
    <w:p>
      <w:pPr>
        <w:spacing w:after="0" w:line="1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Rental income consists primarily of minimum rent, cost reimbursements from tenants and percentage rent, and is net of collectibility related adjustments. Rental income increased $57.7 million, or 5.4%, to $1.13 billion in 2023 compared to $1.07 billion in 2022 due primarily to the following:</w:t>
      </w:r>
    </w:p>
    <w:p>
      <w:pPr>
        <w:spacing w:after="0" w:line="15" w:lineRule="exact"/>
        <w:rPr>
          <w:sz w:val="20"/>
          <w:szCs w:val="20"/>
          <w:color w:val="auto"/>
        </w:rPr>
      </w:pPr>
    </w:p>
    <w:p>
      <w:pPr>
        <w:ind w:left="1260" w:hanging="280"/>
        <w:spacing w:after="0"/>
        <w:tabs>
          <w:tab w:leader="none" w:pos="126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$25.4 million from 2022 and 2023 acquisitions,</w:t>
      </w:r>
    </w:p>
    <w:p>
      <w:pPr>
        <w:spacing w:after="0" w:line="70" w:lineRule="exact"/>
        <w:rPr>
          <w:rFonts w:ascii="Times New Roman" w:cs="Times New Roman" w:eastAsia="Times New Roman" w:hAnsi="Times New Roman"/>
          <w:sz w:val="20"/>
          <w:szCs w:val="20"/>
          <w:color w:val="231F20"/>
        </w:rPr>
      </w:pPr>
    </w:p>
    <w:p>
      <w:pPr>
        <w:ind w:left="1260" w:right="400" w:hanging="280"/>
        <w:spacing w:after="0" w:line="260" w:lineRule="auto"/>
        <w:tabs>
          <w:tab w:leader="none" w:pos="126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$23.3 million from comparable properties primarily related to higher rental rates of approximately $16.4 million, higher average occupancy of approximately $5.5 million, and a $5.1 million increase in recoveries from tenants, partially offset by a $2.9 million increase in collectibility related adjustments and a $2.7 million decrease in lease termination fee income,</w:t>
      </w:r>
    </w:p>
    <w:p>
      <w:pPr>
        <w:spacing w:after="0" w:line="23" w:lineRule="exact"/>
        <w:rPr>
          <w:rFonts w:ascii="Times New Roman" w:cs="Times New Roman" w:eastAsia="Times New Roman" w:hAnsi="Times New Roman"/>
          <w:sz w:val="20"/>
          <w:szCs w:val="20"/>
          <w:color w:val="231F20"/>
        </w:rPr>
      </w:pPr>
    </w:p>
    <w:p>
      <w:pPr>
        <w:ind w:left="1260" w:right="120" w:hanging="280"/>
        <w:spacing w:after="0" w:line="266" w:lineRule="auto"/>
        <w:tabs>
          <w:tab w:leader="none" w:pos="126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$19.2 million from non-comparable properties primarily driven by occupancy increases at Assembly Row Phase III, Darien Commons, Pike &amp; Rose Phases III &amp; IV, and CocoWalk, partially offset by redevelopment related occupancy decreases at Friendship Center, and</w:t>
      </w:r>
    </w:p>
    <w:p>
      <w:pPr>
        <w:spacing w:after="0" w:line="15" w:lineRule="exact"/>
        <w:rPr>
          <w:rFonts w:ascii="Times New Roman" w:cs="Times New Roman" w:eastAsia="Times New Roman" w:hAnsi="Times New Roman"/>
          <w:sz w:val="20"/>
          <w:szCs w:val="20"/>
          <w:color w:val="231F20"/>
        </w:rPr>
      </w:pPr>
    </w:p>
    <w:p>
      <w:pPr>
        <w:ind w:left="1260" w:hanging="280"/>
        <w:spacing w:after="0"/>
        <w:tabs>
          <w:tab w:leader="none" w:pos="126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$2.8 million from higher demand at our Pike &amp; Rose hotel,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partially offset by</w:t>
      </w:r>
    </w:p>
    <w:p>
      <w:pPr>
        <w:spacing w:after="0" w:line="70" w:lineRule="exact"/>
        <w:rPr>
          <w:sz w:val="20"/>
          <w:szCs w:val="20"/>
          <w:color w:val="auto"/>
        </w:rPr>
      </w:pPr>
    </w:p>
    <w:p>
      <w:pPr>
        <w:ind w:left="1260" w:hanging="280"/>
        <w:spacing w:after="0"/>
        <w:tabs>
          <w:tab w:leader="none" w:pos="126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decrease of $13.0 million from property sales.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Property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Total property expenses increased $6.3 million, or 1.8%, to $363.1 million in 2023 compared to $356.8 million in 2022.</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Changes in the components of property expenses are discussed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Rental Expenses</w:t>
      </w:r>
    </w:p>
    <w:p>
      <w:pPr>
        <w:spacing w:after="0" w:line="11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Rental expenses increased $2.7 million, or 1.2%, to $231.7 million in 2023 compared to $229.0 million in 2022. This increase is primarily due to the following:</w:t>
      </w:r>
    </w:p>
    <w:p>
      <w:pPr>
        <w:spacing w:after="0" w:line="1" w:lineRule="exact"/>
        <w:rPr>
          <w:sz w:val="20"/>
          <w:szCs w:val="20"/>
          <w:color w:val="auto"/>
        </w:rPr>
      </w:pPr>
    </w:p>
    <w:p>
      <w:pPr>
        <w:ind w:left="1260" w:hanging="280"/>
        <w:spacing w:after="0"/>
        <w:tabs>
          <w:tab w:leader="none" w:pos="126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$4.4 million from 2022 and 2023 acquisitions,</w:t>
      </w:r>
    </w:p>
    <w:p>
      <w:pPr>
        <w:spacing w:after="0" w:line="70" w:lineRule="exact"/>
        <w:rPr>
          <w:rFonts w:ascii="Times New Roman" w:cs="Times New Roman" w:eastAsia="Times New Roman" w:hAnsi="Times New Roman"/>
          <w:sz w:val="20"/>
          <w:szCs w:val="20"/>
          <w:color w:val="231F20"/>
        </w:rPr>
      </w:pPr>
    </w:p>
    <w:p>
      <w:pPr>
        <w:ind w:left="1260" w:hanging="280"/>
        <w:spacing w:after="0" w:line="266" w:lineRule="auto"/>
        <w:tabs>
          <w:tab w:leader="none" w:pos="126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$1.6 million from comparable properties due primarily to higher repairs and maintenance costs and other operating costs driven by inflationary impacts, higher insurance costs and utilities, and an increase in management fees on higher revenues, partially offset by lower snow removal costs,</w:t>
      </w:r>
    </w:p>
    <w:p>
      <w:pPr>
        <w:spacing w:after="0" w:line="15" w:lineRule="exact"/>
        <w:rPr>
          <w:rFonts w:ascii="Times New Roman" w:cs="Times New Roman" w:eastAsia="Times New Roman" w:hAnsi="Times New Roman"/>
          <w:sz w:val="20"/>
          <w:szCs w:val="20"/>
          <w:color w:val="231F20"/>
        </w:rPr>
      </w:pPr>
    </w:p>
    <w:p>
      <w:pPr>
        <w:ind w:left="1260" w:right="80" w:hanging="280"/>
        <w:spacing w:after="0" w:line="266" w:lineRule="auto"/>
        <w:tabs>
          <w:tab w:leader="none" w:pos="126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$0.9 million from non-comparable properties driven by openings at Darien Commons, CocoWalk, and Assembly Row Phase III, partially offset by lower costs associated with the redevelopment of Huntington Shopping Center, and</w:t>
      </w:r>
    </w:p>
    <w:p>
      <w:pPr>
        <w:spacing w:after="0" w:line="15" w:lineRule="exact"/>
        <w:rPr>
          <w:rFonts w:ascii="Times New Roman" w:cs="Times New Roman" w:eastAsia="Times New Roman" w:hAnsi="Times New Roman"/>
          <w:sz w:val="20"/>
          <w:szCs w:val="20"/>
          <w:color w:val="231F20"/>
        </w:rPr>
      </w:pPr>
    </w:p>
    <w:p>
      <w:pPr>
        <w:ind w:right="340" w:firstLine="980"/>
        <w:spacing w:after="0" w:line="313" w:lineRule="auto"/>
        <w:tabs>
          <w:tab w:leader="none" w:pos="126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$0.7 million in operating expenses at our Pike &amp; Rose hotel as a result of higher occupancy, partially offset by</w:t>
      </w:r>
    </w:p>
    <w:p>
      <w:pPr>
        <w:ind w:left="1260" w:hanging="280"/>
        <w:spacing w:after="0"/>
        <w:tabs>
          <w:tab w:leader="none" w:pos="126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decrease of $5.1 million from property sales.</w:t>
      </w:r>
    </w:p>
    <w:p>
      <w:pPr>
        <w:spacing w:after="0" w:line="190"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19"/>
          <w:szCs w:val="19"/>
          <w:color w:val="231F20"/>
        </w:rPr>
        <w:t>As a result of the changes in rental income and rental expenses as discussed above, rental expenses as a percentage of rental income decreased to 20.5% for the year ended December 31, 2023 from 21.3% for the year ended December 31,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Real Estate Taxes</w:t>
      </w:r>
    </w:p>
    <w:p>
      <w:pPr>
        <w:spacing w:after="0" w:line="11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231F20"/>
        </w:rPr>
        <w:t>Real estate tax expense increased $3.6 million, or 2.8% to $131.4 million in 2023 compared to $127.8 million in 2022 due primarily to the following:</w:t>
      </w:r>
    </w:p>
    <w:p>
      <w:pPr>
        <w:spacing w:after="0" w:line="1" w:lineRule="exact"/>
        <w:rPr>
          <w:sz w:val="20"/>
          <w:szCs w:val="20"/>
          <w:color w:val="auto"/>
        </w:rPr>
      </w:pPr>
    </w:p>
    <w:p>
      <w:pPr>
        <w:ind w:left="1260" w:hanging="280"/>
        <w:spacing w:after="0"/>
        <w:tabs>
          <w:tab w:leader="none" w:pos="1260" w:val="left"/>
        </w:tabs>
        <w:numPr>
          <w:ilvl w:val="0"/>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$4.1 million from 2022 and 2023 acquisitions, and</w:t>
      </w:r>
    </w:p>
    <w:p>
      <w:pPr>
        <w:spacing w:after="0" w:line="70" w:lineRule="exact"/>
        <w:rPr>
          <w:rFonts w:ascii="Times New Roman" w:cs="Times New Roman" w:eastAsia="Times New Roman" w:hAnsi="Times New Roman"/>
          <w:sz w:val="20"/>
          <w:szCs w:val="20"/>
          <w:color w:val="231F20"/>
        </w:rPr>
      </w:pPr>
    </w:p>
    <w:p>
      <w:pPr>
        <w:ind w:left="1260" w:hanging="280"/>
        <w:spacing w:after="0" w:line="281" w:lineRule="auto"/>
        <w:tabs>
          <w:tab w:leader="none" w:pos="1260" w:val="left"/>
        </w:tabs>
        <w:numPr>
          <w:ilvl w:val="0"/>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$0.8 million from comparable properties due to higher assessments partially offset by successful tax appeals,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partially offset by</w:t>
      </w:r>
    </w:p>
    <w:p>
      <w:pPr>
        <w:spacing w:after="0" w:line="70" w:lineRule="exact"/>
        <w:rPr>
          <w:sz w:val="20"/>
          <w:szCs w:val="20"/>
          <w:color w:val="auto"/>
        </w:rPr>
      </w:pPr>
    </w:p>
    <w:p>
      <w:pPr>
        <w:ind w:left="1260" w:hanging="280"/>
        <w:spacing w:after="0"/>
        <w:tabs>
          <w:tab w:leader="none" w:pos="1260"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decrease of $1.5 million from our property sales.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Property Operating Income</w:t>
      </w:r>
    </w:p>
    <w:p>
      <w:pPr>
        <w:spacing w:after="0" w:line="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231F20"/>
        </w:rPr>
        <w:t>Property operating income increased $51.5 million, or 7.2%, to $769.1 million in 2023 compared to $717.6 million in 2022. This increase is primarily driven by higher rental rates and occupancy, the 2022 and 2023 openings at our non-comparable properties, and 2022 and 2023 acquisitions, partially offset by property sales.</w:t>
      </w:r>
    </w:p>
    <w:p>
      <w:pPr>
        <w:sectPr>
          <w:pgSz w:w="12240" w:h="15840" w:orient="portrait"/>
          <w:cols w:equalWidth="0" w:num="1">
            <w:col w:w="10120"/>
          </w:cols>
          <w:pgMar w:left="1000" w:top="62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39</w:t>
      </w:r>
    </w:p>
    <w:p>
      <w:pPr>
        <w:sectPr>
          <w:pgSz w:w="12240" w:h="15840" w:orient="portrait"/>
          <w:cols w:equalWidth="0" w:num="1">
            <w:col w:w="10120"/>
          </w:cols>
          <w:pgMar w:left="1000" w:top="629" w:right="112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231F20"/>
        </w:rPr>
        <w:t>Depreciation and Amortization</w:t>
      </w:r>
    </w:p>
    <w:p>
      <w:pPr>
        <w:spacing w:after="0" w:line="11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Depreciation and amortization expense increased $19.4 million, or 6.4%, to $321.8 million in 2023 from $302.4 million in 2022. This increase is due primarily to property acquisitions, our investment in comparable properties, placing redevelopment properties into service, and the reconsolidation of Escondido Promenade during the second quarter of 2023, partially offset by 2022 property sales.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Gain on Deconsolidation of VIE</w:t>
      </w:r>
    </w:p>
    <w:p>
      <w:pPr>
        <w:spacing w:after="0" w:line="1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The $70.4 million gain on deconsolidation of VIE for the year ended December 31, 2022 is the result of the deconsolidation of Escondido Promenade during the third quarter of 2022 (see Note 3 to the consolidated financial statements for additional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Gain on Sale of Real Estate</w:t>
      </w:r>
    </w:p>
    <w:p>
      <w:pPr>
        <w:spacing w:after="0" w:line="114"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19"/>
          <w:szCs w:val="19"/>
          <w:color w:val="231F20"/>
        </w:rPr>
        <w:t>The $9.9 million gain on sale of real estate for the year ended December 31, 2023 is due primarily to the sale of one retail property and one portion of a property (see Note 3 to the consolidated financial statements for additional information).</w:t>
      </w:r>
    </w:p>
    <w:p>
      <w:pPr>
        <w:spacing w:after="0" w:line="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The $93.5 million gain on sale of real estate for the year ended December 31, 2022 is due primarily to a net gain of $84.1 million from the sale of two residential properties (including an adjacent retail pad), one retail property, and one parcel of land (see Note 3 to the consolidated financial statements for additional information), and a $9.3 million gain related to the reduction of our liability for estimated condemnation and transaction costs associated with the sale under threat of condemnation in December 2019 at San Antonio Center.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Operating Income</w:t>
      </w:r>
    </w:p>
    <w:p>
      <w:pPr>
        <w:spacing w:after="0" w:line="11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20"/>
          <w:szCs w:val="20"/>
          <w:color w:val="231F20"/>
        </w:rPr>
        <w:t>Operating income decreased $119.9 million, or 22.8%, to $406.5 million in 2023 compared to $526.4 million in 2022. This decrease is primarily driven by lower gains on sale of real estate, the prior year gain on the deconsolidation of a VIE, and property sales, partially offset by higher rental rates and occupancy, 2022 and 2023 acquisitions, and the 2022 and 2023 openings at our non-comparable properties.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Interest Income</w:t>
      </w:r>
    </w:p>
    <w:p>
      <w:pPr>
        <w:spacing w:after="0" w:line="1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231F20"/>
        </w:rPr>
        <w:t>Other interest income increased $3.6 million, or 337.2%, to $4.7 million in 2023 compared to $1.1 million in 2022. This increase is primarily driven by interest earned on the proceeds of our April 2023 senior unsecured note issuance until the June 1, 2023 payoff of our 2.75% senior unsecured notes and higher interest earned on cash balances.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Expense</w:t>
      </w:r>
    </w:p>
    <w:p>
      <w:pPr>
        <w:spacing w:after="0" w:line="114"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231F20"/>
        </w:rPr>
        <w:t>Interest expense increased $30.8 million, or 22.5%, to $167.8 million in 2023 compared to $137.0 million in 2022. This increase is due primarily to the following:</w:t>
      </w:r>
    </w:p>
    <w:p>
      <w:pPr>
        <w:spacing w:after="0" w:line="1" w:lineRule="exact"/>
        <w:rPr>
          <w:sz w:val="20"/>
          <w:szCs w:val="20"/>
          <w:color w:val="auto"/>
        </w:rPr>
      </w:pPr>
    </w:p>
    <w:p>
      <w:pPr>
        <w:ind w:left="1260" w:hanging="280"/>
        <w:spacing w:after="0"/>
        <w:tabs>
          <w:tab w:leader="none" w:pos="1260"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$25.4 million due to a higher overall weighted average borrowing rate, and</w:t>
      </w:r>
    </w:p>
    <w:p>
      <w:pPr>
        <w:spacing w:after="0" w:line="70" w:lineRule="exact"/>
        <w:rPr>
          <w:rFonts w:ascii="Times New Roman" w:cs="Times New Roman" w:eastAsia="Times New Roman" w:hAnsi="Times New Roman"/>
          <w:sz w:val="20"/>
          <w:szCs w:val="20"/>
          <w:color w:val="231F20"/>
        </w:rPr>
      </w:pPr>
    </w:p>
    <w:p>
      <w:pPr>
        <w:ind w:left="1260" w:hanging="280"/>
        <w:spacing w:after="0"/>
        <w:tabs>
          <w:tab w:leader="none" w:pos="1260"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$9.3 million due to higher weighted average borrowings,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partially offset by</w:t>
      </w:r>
    </w:p>
    <w:p>
      <w:pPr>
        <w:spacing w:after="0" w:line="70" w:lineRule="exact"/>
        <w:rPr>
          <w:sz w:val="20"/>
          <w:szCs w:val="20"/>
          <w:color w:val="auto"/>
        </w:rPr>
      </w:pPr>
    </w:p>
    <w:p>
      <w:pPr>
        <w:ind w:left="1260" w:hanging="280"/>
        <w:spacing w:after="0"/>
        <w:tabs>
          <w:tab w:leader="none" w:pos="126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$3.9 million in capitalized interest.</w:t>
      </w:r>
    </w:p>
    <w:p>
      <w:pPr>
        <w:spacing w:after="0" w:line="190"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20"/>
          <w:szCs w:val="20"/>
          <w:color w:val="231F20"/>
        </w:rPr>
        <w:t>Gross interest costs were $190.4 million and $155.7 million in 2023 and 2022, respectively. Capitalized interest was $22.6 million and $18.7 million in 2023 and 2022,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Income from Partnerships</w:t>
      </w:r>
    </w:p>
    <w:p>
      <w:pPr>
        <w:spacing w:after="0" w:line="1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Income from partnerships decreased $1.3 million or 25.2% to $3.9 million in 2023 compared to $5.2 million in 2022. This decrease is primarily driven by lower income at our restaurant joint ventures largely attributable to higher forgiveness of certain loans in the prior year.</w:t>
      </w:r>
    </w:p>
    <w:p>
      <w:pPr>
        <w:spacing w:after="0" w:line="5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231F20"/>
        </w:rPr>
        <w:t>Discussions of year-to-year comparisons between 2022 and 2021 can be found in “Management’s Discussion and Analysis of Financial Condition and Results of Operations” in Part II, Item 7 of our Annual Report on Form 10-K for the fiscal year ended December 31, 2022 filed with the Securities and Exchange Commission on February 8, 2023.</w:t>
      </w:r>
    </w:p>
    <w:p>
      <w:pPr>
        <w:sectPr>
          <w:pgSz w:w="12240" w:h="15840" w:orient="portrait"/>
          <w:cols w:equalWidth="0" w:num="1">
            <w:col w:w="10220"/>
          </w:cols>
          <w:pgMar w:left="1000" w:top="62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40</w:t>
      </w:r>
    </w:p>
    <w:p>
      <w:pPr>
        <w:sectPr>
          <w:pgSz w:w="12240" w:h="15840" w:orient="portrait"/>
          <w:cols w:equalWidth="0" w:num="1">
            <w:col w:w="10220"/>
          </w:cols>
          <w:pgMar w:left="1000" w:top="629" w:right="102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Due to the nature of our business and strategy, we typically generate significant amounts of cash from operations which 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largely paid to our common and preferred shareholders in the form of dividends because as a REIT, the Trust is generally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required to make annual distributions to shareholders of at least 90% of our taxable income (cash dividends paid in 2023 were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approximately $360.9 million). Remaining cash flow from operations after regular debt service requirements (including debt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service relating to additional or replacement debt, as well as scheduled debt maturities) and dividend payments is used to fund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recurring and non-recurring capital projects (such as tenant improvements and redevelopments). We maintain an unsecured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$1.25 billion revolving credit facility to fund short term cash flow needs and also look to the public and private debt and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markets, joint venture relationships, and property dispositions to fund capital expenditures on a long-term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April 12, 2023, we issued $350.0 million of 5.375% senior unsecured notes, on December 28, 2023, we entered into a</w:t>
      </w:r>
    </w:p>
    <w:p>
      <w:pPr>
        <w:spacing w:after="0" w:line="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$200.0 million secured loan that bears interest at 5.03% through the initial maturity date, and on January 11, 2024, we issued $485.0 million of 3.25% exchangeable senior unsecured notes. We also raised $138.3 million from sales of common shares under our ATM equity program. We repaid $275.0 million of 2.75% senior unsecured notes at maturity on June 1, 2023, repaid $600.0 million of 3.95% unsecured notes at maturity on January 16, 2024, and extended the maturity of our $600.0 million term loan to April 2025 (with an additional one year extension at our option still available to further extend the loan to April 2026). For the remainder of 2024, we have no additional debt maturing.</w:t>
      </w:r>
    </w:p>
    <w:p>
      <w:pPr>
        <w:spacing w:after="0" w:line="15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As of December 31, 2023, we had cash and cash equivalents of $250.8 million and no balance outstanding on our $1.25 billion unsecured revolving credit facility. For the year ended 2023, the weighted average amount of borrowings outstanding on our revolving credit facility was $44.7 million, and the weighted average interest rate, before amortization of debt fees, was 5.9%. We also have the capacity to issue up to $312.1 million in common shares under the ATM program.</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Our overall capital requirements during 2024 will be impacted by the overall economic environment including impacts of inflation, higher interest rates, and a potential recession, as well as acquisition opportunities and the level and general timing of our redevelopment and development activities. We currently have development and redevelopment projects in various stages of construction with remaining costs of $250 million. We expect to incur the majority of those costs in the next two years. We expect overall capital costs to be at levels slightly reduced from 2023 as we complete current redevelopment projects, prepare vacant space for new tenants, and complete the current phase and prepare for the next phase of our larger mixed use development projects.</w:t>
      </w:r>
    </w:p>
    <w:p>
      <w:pPr>
        <w:spacing w:after="0" w:line="1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We believe cash flow from operations, the cash on our balance sheet, and our $1.25 billion revolving credit facility will allow us to continue to operate our business in the short-term. 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Summary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260" w:type="dxa"/>
            <w:vAlign w:val="bottom"/>
            <w:tcBorders>
              <w:bottom w:val="single" w:sz="8" w:color="231F20"/>
            </w:tcBorders>
            <w:gridSpan w:val="4"/>
          </w:tcPr>
          <w:p>
            <w:pPr>
              <w:jc w:val="right"/>
              <w:ind w:right="263"/>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63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4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Change</w:t>
            </w:r>
          </w:p>
        </w:tc>
      </w:tr>
      <w:tr>
        <w:trPr>
          <w:trHeight w:val="229"/>
        </w:trPr>
        <w:tc>
          <w:tcPr>
            <w:tcW w:w="6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3"/>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Net cash provided by operating activities</w:t>
            </w:r>
            <w:r>
              <w:rPr>
                <w:rFonts w:ascii="Times New Roman" w:cs="Times New Roman" w:eastAsia="Times New Roman" w:hAnsi="Times New Roman"/>
                <w:sz w:val="20"/>
                <w:szCs w:val="20"/>
                <w:color w:val="B8BABC"/>
                <w:w w:val="99"/>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555,830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516,769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39,061</w:t>
            </w:r>
          </w:p>
        </w:tc>
      </w:tr>
      <w:tr>
        <w:trPr>
          <w:trHeight w:val="300"/>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Net cash used in investing activities </w:t>
            </w:r>
            <w:r>
              <w:rPr>
                <w:rFonts w:ascii="Times New Roman" w:cs="Times New Roman" w:eastAsia="Times New Roman" w:hAnsi="Times New Roman"/>
                <w:sz w:val="20"/>
                <w:szCs w:val="20"/>
                <w:color w:val="B8BABC"/>
                <w:w w:val="99"/>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(358,325)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(785,998)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427,673</w:t>
            </w:r>
          </w:p>
        </w:tc>
      </w:tr>
      <w:tr>
        <w:trPr>
          <w:trHeight w:val="303"/>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Net cash (used in) provided by financing activities</w:t>
            </w:r>
            <w:r>
              <w:rPr>
                <w:rFonts w:ascii="Times New Roman" w:cs="Times New Roman" w:eastAsia="Times New Roman" w:hAnsi="Times New Roman"/>
                <w:sz w:val="20"/>
                <w:szCs w:val="20"/>
                <w:color w:val="B8BABC"/>
                <w:w w:val="99"/>
              </w:rPr>
              <w:t>.............................................</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(33,849)</w:t>
            </w:r>
          </w:p>
        </w:tc>
        <w:tc>
          <w:tcPr>
            <w:tcW w:w="12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190,414</w:t>
            </w:r>
          </w:p>
        </w:tc>
        <w:tc>
          <w:tcPr>
            <w:tcW w:w="14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(224,263)</w:t>
            </w:r>
          </w:p>
        </w:tc>
      </w:tr>
      <w:tr>
        <w:trPr>
          <w:trHeight w:val="277"/>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Increase(decrease)incashandcashequivalents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163,656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242,471</w:t>
            </w:r>
          </w:p>
        </w:tc>
      </w:tr>
      <w:tr>
        <w:trPr>
          <w:trHeight w:val="303"/>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Cash, cash equivalents, and restricted cash, beginning of year </w:t>
            </w:r>
            <w:r>
              <w:rPr>
                <w:rFonts w:ascii="Times New Roman" w:cs="Times New Roman" w:eastAsia="Times New Roman" w:hAnsi="Times New Roman"/>
                <w:sz w:val="20"/>
                <w:szCs w:val="20"/>
                <w:color w:val="B8BABC"/>
                <w:w w:val="99"/>
              </w:rPr>
              <w:t>...........................</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96,348</w:t>
            </w:r>
          </w:p>
        </w:tc>
        <w:tc>
          <w:tcPr>
            <w:tcW w:w="12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175,163</w:t>
            </w:r>
          </w:p>
        </w:tc>
        <w:tc>
          <w:tcPr>
            <w:tcW w:w="14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(78,815)</w:t>
            </w:r>
          </w:p>
        </w:tc>
      </w:tr>
      <w:tr>
        <w:trPr>
          <w:trHeight w:val="260"/>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Cash,cashequivalents,andrestrictedcash,endofyear</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260,004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96,348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163,656</w:t>
            </w:r>
          </w:p>
        </w:tc>
      </w:tr>
      <w:tr>
        <w:trPr>
          <w:trHeight w:val="20"/>
        </w:trPr>
        <w:tc>
          <w:tcPr>
            <w:tcW w:w="63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r>
    </w:tbl>
    <w:p>
      <w:pPr>
        <w:spacing w:after="0" w:line="2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231F20"/>
        </w:rPr>
        <w:t>Net cash provided by operating activities increased $39.1 million to $555.8 million during 2023 from $516.8 million during 2022. The increase was primarily attributable to higher net income after adjusting for non-cash items and gains on sale of real estate, as well as higher collections related to year end recovery billings.</w:t>
      </w:r>
    </w:p>
    <w:p>
      <w:pPr>
        <w:sectPr>
          <w:pgSz w:w="12240" w:h="15840" w:orient="portrait"/>
          <w:cols w:equalWidth="0" w:num="1">
            <w:col w:w="10260"/>
          </w:cols>
          <w:pgMar w:left="100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41</w:t>
      </w:r>
    </w:p>
    <w:p>
      <w:pPr>
        <w:sectPr>
          <w:pgSz w:w="12240" w:h="15840" w:orient="portrait"/>
          <w:cols w:equalWidth="0" w:num="1">
            <w:col w:w="10260"/>
          </w:cols>
          <w:pgMar w:left="1000" w:top="626" w:right="9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231F20"/>
        </w:rPr>
        <w:t>Net cash used in investing activities decreased $427.7 million to $358.3 million during 2023 from $786.0 million during 2022.</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decrease was primarily attributable to:</w:t>
      </w:r>
    </w:p>
    <w:p>
      <w:pPr>
        <w:spacing w:after="0" w:line="50" w:lineRule="exact"/>
        <w:rPr>
          <w:sz w:val="20"/>
          <w:szCs w:val="20"/>
          <w:color w:val="auto"/>
        </w:rPr>
      </w:pPr>
    </w:p>
    <w:p>
      <w:pPr>
        <w:ind w:left="1260" w:right="220" w:hanging="280"/>
        <w:spacing w:after="0" w:line="266" w:lineRule="auto"/>
        <w:tabs>
          <w:tab w:leader="none" w:pos="12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$377.9 million decrease in acquisition of real estate primarily due to the January 2023 Huntington Square acquisition and the acquisition of our partner's 22.3% TIC interest in Escondido Promenade (see Note 3 to the consolidated financial statements for additional information), as compared to 2022 property acquisitions,</w:t>
      </w:r>
    </w:p>
    <w:p>
      <w:pPr>
        <w:spacing w:after="0" w:line="15" w:lineRule="exact"/>
        <w:rPr>
          <w:rFonts w:ascii="Times New Roman" w:cs="Times New Roman" w:eastAsia="Times New Roman" w:hAnsi="Times New Roman"/>
          <w:sz w:val="20"/>
          <w:szCs w:val="20"/>
          <w:color w:val="231F20"/>
        </w:rPr>
      </w:pPr>
    </w:p>
    <w:p>
      <w:pPr>
        <w:ind w:left="1260" w:hanging="280"/>
        <w:spacing w:after="0"/>
        <w:tabs>
          <w:tab w:leader="none" w:pos="12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$105.6 million decrease in net capital expenditures,</w:t>
      </w:r>
    </w:p>
    <w:p>
      <w:pPr>
        <w:spacing w:after="0" w:line="70" w:lineRule="exact"/>
        <w:rPr>
          <w:rFonts w:ascii="Times New Roman" w:cs="Times New Roman" w:eastAsia="Times New Roman" w:hAnsi="Times New Roman"/>
          <w:sz w:val="20"/>
          <w:szCs w:val="20"/>
          <w:color w:val="231F20"/>
        </w:rPr>
      </w:pPr>
    </w:p>
    <w:p>
      <w:pPr>
        <w:jc w:val="both"/>
        <w:ind w:left="1260" w:right="560" w:hanging="280"/>
        <w:spacing w:after="0" w:line="266" w:lineRule="auto"/>
        <w:tabs>
          <w:tab w:leader="none" w:pos="12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$23.2 million decrease in investment in partnerships, resulting from the 2022 acquisition of a 47.5% net interest in an unconsolidated joint venture that owns two shopping centers (see Note 3 to the consolidated financial statements for additional information), and</w:t>
      </w:r>
    </w:p>
    <w:p>
      <w:pPr>
        <w:spacing w:after="0" w:line="15" w:lineRule="exact"/>
        <w:rPr>
          <w:rFonts w:ascii="Times New Roman" w:cs="Times New Roman" w:eastAsia="Times New Roman" w:hAnsi="Times New Roman"/>
          <w:sz w:val="20"/>
          <w:szCs w:val="20"/>
          <w:color w:val="231F20"/>
        </w:rPr>
      </w:pPr>
    </w:p>
    <w:p>
      <w:pPr>
        <w:ind w:left="1260" w:right="400" w:hanging="280"/>
        <w:spacing w:after="0" w:line="281" w:lineRule="auto"/>
        <w:tabs>
          <w:tab w:leader="none" w:pos="12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$16.7 million decrease in costs paid relating to the partial sale under threat of condemnation at San Antonio Center in 2019,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partially offset by,</w:t>
      </w:r>
    </w:p>
    <w:p>
      <w:pPr>
        <w:spacing w:after="0" w:line="70" w:lineRule="exact"/>
        <w:rPr>
          <w:sz w:val="20"/>
          <w:szCs w:val="20"/>
          <w:color w:val="auto"/>
        </w:rPr>
      </w:pPr>
    </w:p>
    <w:p>
      <w:pPr>
        <w:ind w:left="1260" w:right="140" w:hanging="280"/>
        <w:spacing w:after="0" w:line="260" w:lineRule="auto"/>
        <w:tabs>
          <w:tab w:leader="none" w:pos="126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$105.3 million decrease in net proceeds from the sale of real estate primarily due to $28.5 million of net proceeds from the sale of one retail property and one portion of a property during 2023, as compared to $133.7 million of net proceeds from the sale of two residential properties (one included an adjacent retail pad), one retail property, one parcel of land, and one portion of a property during 2022.</w:t>
      </w:r>
    </w:p>
    <w:p>
      <w:pPr>
        <w:spacing w:after="0" w:line="14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231F20"/>
        </w:rPr>
        <w:t>Net cash provided by financing activities decreased $224.3 million to $33.8 million used during 2023 from $190.4 million provided during 2022. The decrease was primarily attributable to:</w:t>
      </w:r>
    </w:p>
    <w:p>
      <w:pPr>
        <w:spacing w:after="0" w:line="1" w:lineRule="exact"/>
        <w:rPr>
          <w:sz w:val="20"/>
          <w:szCs w:val="20"/>
          <w:color w:val="auto"/>
        </w:rPr>
      </w:pPr>
    </w:p>
    <w:p>
      <w:pPr>
        <w:ind w:left="1260" w:hanging="280"/>
        <w:spacing w:after="0"/>
        <w:tabs>
          <w:tab w:leader="none" w:pos="12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$298.6 million in net proceeds from our unsecured term loan in October 2022,</w:t>
      </w:r>
    </w:p>
    <w:p>
      <w:pPr>
        <w:spacing w:after="0" w:line="70" w:lineRule="exact"/>
        <w:rPr>
          <w:rFonts w:ascii="Times New Roman" w:cs="Times New Roman" w:eastAsia="Times New Roman" w:hAnsi="Times New Roman"/>
          <w:sz w:val="20"/>
          <w:szCs w:val="20"/>
          <w:color w:val="231F20"/>
        </w:rPr>
      </w:pPr>
    </w:p>
    <w:p>
      <w:pPr>
        <w:ind w:left="1260" w:hanging="280"/>
        <w:spacing w:after="0"/>
        <w:tabs>
          <w:tab w:leader="none" w:pos="12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$275.0 million from the June 2023 repayment of our $275.0 million 2.75% senior unsecured notes,</w:t>
      </w:r>
    </w:p>
    <w:p>
      <w:pPr>
        <w:spacing w:after="0" w:line="70" w:lineRule="exact"/>
        <w:rPr>
          <w:rFonts w:ascii="Times New Roman" w:cs="Times New Roman" w:eastAsia="Times New Roman" w:hAnsi="Times New Roman"/>
          <w:sz w:val="20"/>
          <w:szCs w:val="20"/>
          <w:color w:val="231F20"/>
        </w:rPr>
      </w:pPr>
    </w:p>
    <w:p>
      <w:pPr>
        <w:ind w:left="1260" w:right="200" w:hanging="280"/>
        <w:spacing w:after="0" w:line="266" w:lineRule="auto"/>
        <w:tabs>
          <w:tab w:leader="none" w:pos="12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$175.4 million decrease in net proceeds from the issuance of common shares primarily related to issuances under our ATM program for net proceeds of $131.7 million and $306.8 million, respectively, during 2023 and 2022,</w:t>
      </w:r>
    </w:p>
    <w:p>
      <w:pPr>
        <w:spacing w:after="0" w:line="15" w:lineRule="exact"/>
        <w:rPr>
          <w:rFonts w:ascii="Times New Roman" w:cs="Times New Roman" w:eastAsia="Times New Roman" w:hAnsi="Times New Roman"/>
          <w:sz w:val="20"/>
          <w:szCs w:val="20"/>
          <w:color w:val="231F20"/>
        </w:rPr>
      </w:pPr>
    </w:p>
    <w:p>
      <w:pPr>
        <w:ind w:left="1260" w:right="240" w:hanging="280"/>
        <w:spacing w:after="0" w:line="260" w:lineRule="auto"/>
        <w:tabs>
          <w:tab w:leader="none" w:pos="12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$39.0 million increase in repayment of mortgages, finance leases, and notes payable primarily due to the October 2023 finance lease buyout for $55.0 million (see Note 3 to the consolidated financial statements for additional information), as compared to the $16.1 million mortgage loan repayment on one of the buildings at our Hoboken property in June 2022, and</w:t>
      </w:r>
    </w:p>
    <w:p>
      <w:pPr>
        <w:spacing w:after="0" w:line="23" w:lineRule="exact"/>
        <w:rPr>
          <w:rFonts w:ascii="Times New Roman" w:cs="Times New Roman" w:eastAsia="Times New Roman" w:hAnsi="Times New Roman"/>
          <w:sz w:val="20"/>
          <w:szCs w:val="20"/>
          <w:color w:val="231F20"/>
        </w:rPr>
      </w:pPr>
    </w:p>
    <w:p>
      <w:pPr>
        <w:ind w:left="1260" w:right="440" w:hanging="280"/>
        <w:spacing w:after="0" w:line="281" w:lineRule="auto"/>
        <w:tabs>
          <w:tab w:leader="none" w:pos="126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$11.9 million increase in dividends paid to common and preferred shareholders due to an increase in the number of outstanding shares, as well as an increase to the common share dividend 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partially offset by,</w:t>
      </w:r>
    </w:p>
    <w:p>
      <w:pPr>
        <w:spacing w:after="0" w:line="70" w:lineRule="exact"/>
        <w:rPr>
          <w:sz w:val="20"/>
          <w:szCs w:val="20"/>
          <w:color w:val="auto"/>
        </w:rPr>
      </w:pPr>
    </w:p>
    <w:p>
      <w:pPr>
        <w:ind w:left="1260" w:right="240" w:hanging="280"/>
        <w:spacing w:after="0" w:line="281" w:lineRule="auto"/>
        <w:tabs>
          <w:tab w:leader="none" w:pos="12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$345.7 million in net proceeds from the issuance of $350.0 million of 5.375% senior unsecured notes in April 2023,</w:t>
      </w:r>
    </w:p>
    <w:p>
      <w:pPr>
        <w:spacing w:after="0" w:line="1" w:lineRule="exact"/>
        <w:rPr>
          <w:rFonts w:ascii="Times New Roman" w:cs="Times New Roman" w:eastAsia="Times New Roman" w:hAnsi="Times New Roman"/>
          <w:sz w:val="20"/>
          <w:szCs w:val="20"/>
          <w:color w:val="231F20"/>
        </w:rPr>
      </w:pPr>
    </w:p>
    <w:p>
      <w:pPr>
        <w:ind w:left="1260" w:right="520" w:hanging="280"/>
        <w:spacing w:after="0" w:line="281" w:lineRule="auto"/>
        <w:tabs>
          <w:tab w:leader="none" w:pos="12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$199.2 million in net proceeds from the mortgage loan secured by our Bethesda Row property, which was entered into in December 2023, and</w:t>
      </w:r>
    </w:p>
    <w:p>
      <w:pPr>
        <w:spacing w:after="0" w:line="1" w:lineRule="exact"/>
        <w:rPr>
          <w:rFonts w:ascii="Times New Roman" w:cs="Times New Roman" w:eastAsia="Times New Roman" w:hAnsi="Times New Roman"/>
          <w:sz w:val="20"/>
          <w:szCs w:val="20"/>
          <w:color w:val="231F20"/>
        </w:rPr>
      </w:pPr>
    </w:p>
    <w:p>
      <w:pPr>
        <w:ind w:left="1260" w:right="180" w:hanging="280"/>
        <w:spacing w:after="0" w:line="266" w:lineRule="auto"/>
        <w:tabs>
          <w:tab w:leader="none" w:pos="12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$23.3 million decrease in distributions to and redemptions of noncontrolling interests primarily related to the July 2022 acquisition of the redeemable noncontrolling interest in the partnership that owns the Plaza El Segundo shopping center for $23.6 million.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provides a summary of material cash requirements comprising our fixed, noncancelable obligations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2023:</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4020" w:type="dxa"/>
            <w:vAlign w:val="bottom"/>
            <w:tcBorders>
              <w:bottom w:val="single" w:sz="8" w:color="231F20"/>
            </w:tcBorders>
            <w:gridSpan w:val="7"/>
          </w:tcPr>
          <w:p>
            <w:pPr>
              <w:jc w:val="center"/>
              <w:ind w:right="245"/>
              <w:spacing w:after="0"/>
              <w:rPr>
                <w:sz w:val="20"/>
                <w:szCs w:val="20"/>
                <w:color w:val="auto"/>
              </w:rPr>
            </w:pPr>
            <w:r>
              <w:rPr>
                <w:rFonts w:ascii="Times New Roman" w:cs="Times New Roman" w:eastAsia="Times New Roman" w:hAnsi="Times New Roman"/>
                <w:sz w:val="16"/>
                <w:szCs w:val="16"/>
                <w:b w:val="1"/>
                <w:bCs w:val="1"/>
                <w:color w:val="231F20"/>
                <w:w w:val="99"/>
              </w:rPr>
              <w:t>Cash Requirements by Period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87"/>
              <w:spacing w:after="0" w:line="171" w:lineRule="exact"/>
              <w:rPr>
                <w:sz w:val="20"/>
                <w:szCs w:val="20"/>
                <w:color w:val="auto"/>
              </w:rPr>
            </w:pPr>
            <w:r>
              <w:rPr>
                <w:rFonts w:ascii="Times New Roman" w:cs="Times New Roman" w:eastAsia="Times New Roman" w:hAnsi="Times New Roman"/>
                <w:sz w:val="16"/>
                <w:szCs w:val="16"/>
                <w:b w:val="1"/>
                <w:bCs w:val="1"/>
                <w:color w:val="231F20"/>
                <w:w w:val="98"/>
              </w:rPr>
              <w:t>Next Twelve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5"/>
              <w:spacing w:after="0" w:line="171" w:lineRule="exact"/>
              <w:rPr>
                <w:sz w:val="20"/>
                <w:szCs w:val="20"/>
                <w:color w:val="auto"/>
              </w:rPr>
            </w:pPr>
            <w:r>
              <w:rPr>
                <w:rFonts w:ascii="Times New Roman" w:cs="Times New Roman" w:eastAsia="Times New Roman" w:hAnsi="Times New Roman"/>
                <w:sz w:val="16"/>
                <w:szCs w:val="16"/>
                <w:b w:val="1"/>
                <w:bCs w:val="1"/>
                <w:color w:val="231F20"/>
              </w:rPr>
              <w:t>Greater than</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231F20"/>
                <w:w w:val="99"/>
              </w:rPr>
              <w:t>Months</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231F20"/>
                <w:w w:val="98"/>
              </w:rPr>
              <w:t>Twelve Months</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Fixed and variable rate debt (principal only) (1)</w:t>
            </w:r>
            <w:r>
              <w:rPr>
                <w:rFonts w:ascii="Times New Roman" w:cs="Times New Roman" w:eastAsia="Times New Roman" w:hAnsi="Times New Roman"/>
                <w:sz w:val="20"/>
                <w:szCs w:val="20"/>
                <w:color w:val="B8BABC"/>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4,615,731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1,203,936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3,411,795</w:t>
            </w:r>
          </w:p>
        </w:tc>
        <w:tc>
          <w:tcPr>
            <w:tcW w:w="0" w:type="dxa"/>
            <w:vAlign w:val="bottom"/>
          </w:tcPr>
          <w:p>
            <w:pPr>
              <w:spacing w:after="0"/>
              <w:rPr>
                <w:sz w:val="1"/>
                <w:szCs w:val="1"/>
                <w:color w:val="auto"/>
              </w:rPr>
            </w:pPr>
          </w:p>
        </w:tc>
      </w:tr>
      <w:tr>
        <w:trPr>
          <w:trHeight w:val="204"/>
        </w:trPr>
        <w:tc>
          <w:tcPr>
            <w:tcW w:w="58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Fixed and variable rate debt - our share of unconsolidated real estate</w:t>
            </w:r>
          </w:p>
        </w:tc>
        <w:tc>
          <w:tcPr>
            <w:tcW w:w="320" w:type="dxa"/>
            <w:vAlign w:val="bottom"/>
          </w:tcPr>
          <w:p>
            <w:pPr>
              <w:spacing w:after="0"/>
              <w:rPr>
                <w:sz w:val="17"/>
                <w:szCs w:val="17"/>
                <w:color w:val="auto"/>
              </w:rPr>
            </w:pPr>
          </w:p>
        </w:tc>
        <w:tc>
          <w:tcPr>
            <w:tcW w:w="108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231F20"/>
              </w:rPr>
              <w:t>63,435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231F20"/>
              </w:rPr>
              <w:t>62,467</w:t>
            </w:r>
          </w:p>
        </w:tc>
        <w:tc>
          <w:tcPr>
            <w:tcW w:w="0" w:type="dxa"/>
            <w:vAlign w:val="bottom"/>
          </w:tcPr>
          <w:p>
            <w:pPr>
              <w:spacing w:after="0"/>
              <w:rPr>
                <w:sz w:val="1"/>
                <w:szCs w:val="1"/>
                <w:color w:val="auto"/>
              </w:rPr>
            </w:pPr>
          </w:p>
        </w:tc>
      </w:tr>
      <w:tr>
        <w:trPr>
          <w:trHeight w:val="261"/>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partnerships (principal only)(2)</w:t>
            </w:r>
            <w:r>
              <w:rPr>
                <w:rFonts w:ascii="Times New Roman" w:cs="Times New Roman" w:eastAsia="Times New Roman" w:hAnsi="Times New Roman"/>
                <w:sz w:val="20"/>
                <w:szCs w:val="20"/>
                <w:color w:val="B8BABC"/>
              </w:rPr>
              <w:t>..................................................................</w:t>
            </w:r>
          </w:p>
        </w:tc>
        <w:tc>
          <w:tcPr>
            <w:tcW w:w="3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Lease obligations (minimum rental payments) (3)</w:t>
            </w:r>
            <w:r>
              <w:rPr>
                <w:rFonts w:ascii="Times New Roman" w:cs="Times New Roman" w:eastAsia="Times New Roman" w:hAnsi="Times New Roman"/>
                <w:sz w:val="20"/>
                <w:szCs w:val="20"/>
                <w:color w:val="B8BABC"/>
              </w:rPr>
              <w:t>.....................................</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292,742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286,210</w:t>
            </w:r>
          </w:p>
        </w:tc>
        <w:tc>
          <w:tcPr>
            <w:tcW w:w="0" w:type="dxa"/>
            <w:vAlign w:val="bottom"/>
          </w:tcPr>
          <w:p>
            <w:pPr>
              <w:spacing w:after="0"/>
              <w:rPr>
                <w:sz w:val="1"/>
                <w:szCs w:val="1"/>
                <w:color w:val="auto"/>
              </w:rPr>
            </w:pP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Redevelopments/capital expenditure contracts </w:t>
            </w:r>
            <w:r>
              <w:rPr>
                <w:rFonts w:ascii="Times New Roman" w:cs="Times New Roman" w:eastAsia="Times New Roman" w:hAnsi="Times New Roman"/>
                <w:sz w:val="20"/>
                <w:szCs w:val="20"/>
                <w:color w:val="B8BABC"/>
              </w:rPr>
              <w:t>..........................................</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168,383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163,842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4,541</w:t>
            </w:r>
          </w:p>
        </w:tc>
        <w:tc>
          <w:tcPr>
            <w:tcW w:w="0" w:type="dxa"/>
            <w:vAlign w:val="bottom"/>
          </w:tcPr>
          <w:p>
            <w:pPr>
              <w:spacing w:after="0"/>
              <w:rPr>
                <w:sz w:val="1"/>
                <w:szCs w:val="1"/>
                <w:color w:val="auto"/>
              </w:rPr>
            </w:pPr>
          </w:p>
        </w:tc>
      </w:tr>
      <w:tr>
        <w:trPr>
          <w:trHeight w:val="28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Real estate commitments (4)</w:t>
            </w:r>
          </w:p>
        </w:tc>
        <w:tc>
          <w:tcPr>
            <w:tcW w:w="3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9,713</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9,713</w:t>
            </w:r>
          </w:p>
        </w:tc>
        <w:tc>
          <w:tcPr>
            <w:tcW w:w="0" w:type="dxa"/>
            <w:vAlign w:val="bottom"/>
          </w:tcPr>
          <w:p>
            <w:pPr>
              <w:spacing w:after="0"/>
              <w:rPr>
                <w:sz w:val="1"/>
                <w:szCs w:val="1"/>
                <w:color w:val="auto"/>
              </w:rPr>
            </w:pPr>
          </w:p>
        </w:tc>
      </w:tr>
      <w:tr>
        <w:trPr>
          <w:trHeight w:val="245"/>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Totalestimatedcashrequirements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5,150,004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1,375,278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3,774,726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633" w:right="980" w:bottom="0" w:gutter="0" w:footer="0" w:header="0"/>
        </w:sect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42</w:t>
      </w:r>
    </w:p>
    <w:p>
      <w:pPr>
        <w:sectPr>
          <w:pgSz w:w="12240" w:h="15840" w:orient="portrait"/>
          <w:cols w:equalWidth="0" w:num="1">
            <w:col w:w="10260"/>
          </w:cols>
          <w:pgMar w:left="1000" w:top="633" w:right="980" w:bottom="0" w:gutter="0" w:footer="0" w:header="0"/>
          <w:type w:val="continuous"/>
        </w:sectPr>
      </w:pPr>
    </w:p>
    <w:bookmarkStart w:id="50" w:name="page51"/>
    <w:bookmarkEnd w:id="50"/>
    <w:p>
      <w:pPr>
        <w:ind w:left="40"/>
        <w:spacing w:after="0"/>
        <w:rPr>
          <w:sz w:val="20"/>
          <w:szCs w:val="20"/>
          <w:color w:val="auto"/>
        </w:rPr>
      </w:pPr>
      <w:r>
        <w:rPr>
          <w:rFonts w:ascii="Times New Roman" w:cs="Times New Roman" w:eastAsia="Times New Roman" w:hAnsi="Times New Roman"/>
          <w:sz w:val="20"/>
          <w:szCs w:val="20"/>
          <w:color w:val="231F20"/>
        </w:rPr>
        <w:t>_____________________</w:t>
      </w:r>
    </w:p>
    <w:p>
      <w:pPr>
        <w:spacing w:after="0" w:line="70" w:lineRule="exact"/>
        <w:rPr>
          <w:sz w:val="20"/>
          <w:szCs w:val="20"/>
          <w:color w:val="auto"/>
        </w:rPr>
      </w:pPr>
    </w:p>
    <w:p>
      <w:pPr>
        <w:ind w:left="720" w:right="100" w:hanging="370"/>
        <w:spacing w:after="0" w:line="266" w:lineRule="auto"/>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weighted average interest rate on our fixed and variable rate debt is 4.1% as of December 31, 2023. Of the $1.2 billion of debt maturing in the next twelve months as of December 31, 2023, $600.0 million was repaid at maturity in January 2024 and an additional $600.0 million related to our term loan was extended one year to April 2025.</w:t>
      </w:r>
    </w:p>
    <w:p>
      <w:pPr>
        <w:spacing w:after="0" w:line="15" w:lineRule="exact"/>
        <w:rPr>
          <w:rFonts w:ascii="Times New Roman" w:cs="Times New Roman" w:eastAsia="Times New Roman" w:hAnsi="Times New Roman"/>
          <w:sz w:val="20"/>
          <w:szCs w:val="20"/>
          <w:color w:val="231F20"/>
        </w:rPr>
      </w:pPr>
    </w:p>
    <w:p>
      <w:pPr>
        <w:ind w:left="720" w:right="720" w:hanging="370"/>
        <w:spacing w:after="0" w:line="281" w:lineRule="auto"/>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weighted average interest rate on the fixed and variable rate debt related to our unconsolidated real estate partnerships is 4.36% as of December 31, 2023.</w:t>
      </w:r>
    </w:p>
    <w:p>
      <w:pPr>
        <w:spacing w:after="0" w:line="1" w:lineRule="exact"/>
        <w:rPr>
          <w:rFonts w:ascii="Times New Roman" w:cs="Times New Roman" w:eastAsia="Times New Roman" w:hAnsi="Times New Roman"/>
          <w:sz w:val="20"/>
          <w:szCs w:val="20"/>
          <w:color w:val="231F20"/>
        </w:rPr>
      </w:pPr>
    </w:p>
    <w:p>
      <w:pPr>
        <w:ind w:left="700" w:hanging="350"/>
        <w:spacing w:after="0"/>
        <w:tabs>
          <w:tab w:leader="none" w:pos="70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includes minimum rental payments related to both finance and operating leases.</w:t>
      </w:r>
    </w:p>
    <w:p>
      <w:pPr>
        <w:spacing w:after="0" w:line="70" w:lineRule="exact"/>
        <w:rPr>
          <w:rFonts w:ascii="Times New Roman" w:cs="Times New Roman" w:eastAsia="Times New Roman" w:hAnsi="Times New Roman"/>
          <w:sz w:val="20"/>
          <w:szCs w:val="20"/>
          <w:color w:val="231F20"/>
        </w:rPr>
      </w:pPr>
    </w:p>
    <w:p>
      <w:pPr>
        <w:ind w:left="720" w:right="140" w:hanging="370"/>
        <w:spacing w:after="0" w:line="281" w:lineRule="auto"/>
        <w:tabs>
          <w:tab w:leader="none" w:pos="72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includes the liability related to the sale under threat of condemnation at San Antonio Center as further discussed in Note 7 to the consolidated financial statements.</w:t>
      </w:r>
    </w:p>
    <w:p>
      <w:pPr>
        <w:spacing w:after="0" w:line="12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231F20"/>
        </w:rPr>
        <w:t>In addition to the amounts set forth in the table above and other liquidity requirements previously discussed, the following potential commitments exist:</w:t>
      </w:r>
    </w:p>
    <w:p>
      <w:pPr>
        <w:spacing w:after="0" w:line="121" w:lineRule="exact"/>
        <w:rPr>
          <w:sz w:val="20"/>
          <w:szCs w:val="20"/>
          <w:color w:val="auto"/>
        </w:rPr>
      </w:pPr>
    </w:p>
    <w:p>
      <w:pPr>
        <w:ind w:firstLine="440"/>
        <w:spacing w:after="0" w:line="258" w:lineRule="auto"/>
        <w:tabs>
          <w:tab w:leader="none" w:pos="72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2023, our estimated liability upon exercise of the put option would range from approximately $66 million to $69 million.</w:t>
      </w:r>
    </w:p>
    <w:p>
      <w:pPr>
        <w:spacing w:after="0" w:line="63" w:lineRule="exact"/>
        <w:rPr>
          <w:rFonts w:ascii="Times New Roman" w:cs="Times New Roman" w:eastAsia="Times New Roman" w:hAnsi="Times New Roman"/>
          <w:sz w:val="20"/>
          <w:szCs w:val="20"/>
          <w:color w:val="231F20"/>
        </w:rPr>
      </w:pPr>
    </w:p>
    <w:p>
      <w:pPr>
        <w:jc w:val="both"/>
        <w:ind w:right="560" w:firstLine="440"/>
        <w:spacing w:after="0" w:line="266" w:lineRule="auto"/>
        <w:tabs>
          <w:tab w:leader="none" w:pos="72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Under the terms of various other partnership agreements, the partners have the right to exchange their operating partnership units for cash or the same number of our common shares, at our option. As of December 31, 2023, a total of 635,431 downREIT operating partnership units are outstanding.</w:t>
      </w:r>
    </w:p>
    <w:p>
      <w:pPr>
        <w:spacing w:after="0" w:line="55" w:lineRule="exact"/>
        <w:rPr>
          <w:rFonts w:ascii="Times New Roman" w:cs="Times New Roman" w:eastAsia="Times New Roman" w:hAnsi="Times New Roman"/>
          <w:sz w:val="20"/>
          <w:szCs w:val="20"/>
          <w:color w:val="231F20"/>
        </w:rPr>
      </w:pPr>
    </w:p>
    <w:p>
      <w:pPr>
        <w:ind w:firstLine="440"/>
        <w:spacing w:after="0" w:line="260" w:lineRule="auto"/>
        <w:tabs>
          <w:tab w:leader="none" w:pos="72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2023, our estimated maximum liability upon exercise of the put option would range from $6 million to $7 million.</w:t>
      </w:r>
    </w:p>
    <w:p>
      <w:pPr>
        <w:spacing w:after="0" w:line="63" w:lineRule="exact"/>
        <w:rPr>
          <w:rFonts w:ascii="Times New Roman" w:cs="Times New Roman" w:eastAsia="Times New Roman" w:hAnsi="Times New Roman"/>
          <w:sz w:val="20"/>
          <w:szCs w:val="20"/>
          <w:color w:val="231F20"/>
        </w:rPr>
      </w:pPr>
    </w:p>
    <w:p>
      <w:pPr>
        <w:ind w:right="100" w:firstLine="440"/>
        <w:spacing w:after="0" w:line="266" w:lineRule="auto"/>
        <w:tabs>
          <w:tab w:leader="none" w:pos="72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other member in Hoboken has the right to require us to purchase all of its 10% ownership interest at the interest's then-current fair market value. Based on management's current estimate of fair market value as of December 31, 2023, our estimated maximum liability upon exercise of the put option would range from $10 million to $11 million.</w:t>
      </w:r>
    </w:p>
    <w:p>
      <w:pPr>
        <w:spacing w:after="0" w:line="55" w:lineRule="exact"/>
        <w:rPr>
          <w:rFonts w:ascii="Times New Roman" w:cs="Times New Roman" w:eastAsia="Times New Roman" w:hAnsi="Times New Roman"/>
          <w:sz w:val="20"/>
          <w:szCs w:val="20"/>
          <w:color w:val="231F20"/>
        </w:rPr>
      </w:pPr>
    </w:p>
    <w:p>
      <w:pPr>
        <w:ind w:right="180" w:firstLine="440"/>
        <w:spacing w:after="0" w:line="260" w:lineRule="auto"/>
        <w:tabs>
          <w:tab w:leader="none" w:pos="72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2023, our estimated maximum liability upon exercise of the put option would range from $4 million to $5 million.</w:t>
      </w:r>
    </w:p>
    <w:p>
      <w:pPr>
        <w:spacing w:after="0" w:line="63" w:lineRule="exact"/>
        <w:rPr>
          <w:rFonts w:ascii="Times New Roman" w:cs="Times New Roman" w:eastAsia="Times New Roman" w:hAnsi="Times New Roman"/>
          <w:sz w:val="20"/>
          <w:szCs w:val="20"/>
          <w:color w:val="231F20"/>
        </w:rPr>
      </w:pPr>
    </w:p>
    <w:p>
      <w:pPr>
        <w:ind w:right="60" w:firstLine="440"/>
        <w:spacing w:after="0" w:line="260" w:lineRule="auto"/>
        <w:tabs>
          <w:tab w:leader="none" w:pos="72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2023, our estimated maximum liability upon exercise of the put option would range from $1 million and $2 million.</w:t>
      </w:r>
    </w:p>
    <w:p>
      <w:pPr>
        <w:spacing w:after="0" w:line="63" w:lineRule="exact"/>
        <w:rPr>
          <w:rFonts w:ascii="Times New Roman" w:cs="Times New Roman" w:eastAsia="Times New Roman" w:hAnsi="Times New Roman"/>
          <w:sz w:val="20"/>
          <w:szCs w:val="20"/>
          <w:color w:val="231F20"/>
        </w:rPr>
      </w:pPr>
    </w:p>
    <w:p>
      <w:pPr>
        <w:jc w:val="both"/>
        <w:ind w:right="140" w:firstLine="440"/>
        <w:spacing w:after="0" w:line="260" w:lineRule="auto"/>
        <w:tabs>
          <w:tab w:leader="none" w:pos="72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Effective June 1, 2029, the other member in Grossmont Center has the right to require us to purchase all of its 40.0% ownership interest at the interest's then-current fair market value. Based on management's current estimate of fair value as of December 31, 2023, our estimated maximum liability upon exercise of the put option would range from $68 million to $73 million.</w:t>
      </w:r>
    </w:p>
    <w:p>
      <w:pPr>
        <w:spacing w:after="0" w:line="63" w:lineRule="exact"/>
        <w:rPr>
          <w:rFonts w:ascii="Times New Roman" w:cs="Times New Roman" w:eastAsia="Times New Roman" w:hAnsi="Times New Roman"/>
          <w:sz w:val="20"/>
          <w:szCs w:val="20"/>
          <w:color w:val="231F20"/>
        </w:rPr>
      </w:pPr>
    </w:p>
    <w:p>
      <w:pPr>
        <w:ind w:left="700" w:hanging="260"/>
        <w:spacing w:after="0"/>
        <w:tabs>
          <w:tab w:leader="none" w:pos="700" w:val="left"/>
        </w:tabs>
        <w:numPr>
          <w:ilvl w:val="0"/>
          <w:numId w:val="4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December 31, 2023, we had letters of credit outstanding of approximately $6.5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Off-Balance Sheet Arrangements</w:t>
      </w:r>
    </w:p>
    <w:p>
      <w:pPr>
        <w:spacing w:after="0" w:line="114" w:lineRule="exact"/>
        <w:rPr>
          <w:sz w:val="20"/>
          <w:szCs w:val="20"/>
          <w:color w:val="auto"/>
        </w:rPr>
      </w:pPr>
    </w:p>
    <w:p>
      <w:pPr>
        <w:jc w:val="both"/>
        <w:ind w:right="600"/>
        <w:spacing w:after="0" w:line="309" w:lineRule="auto"/>
        <w:rPr>
          <w:sz w:val="20"/>
          <w:szCs w:val="20"/>
          <w:color w:val="auto"/>
        </w:rPr>
      </w:pPr>
      <w:r>
        <w:rPr>
          <w:rFonts w:ascii="Times New Roman" w:cs="Times New Roman" w:eastAsia="Times New Roman" w:hAnsi="Times New Roman"/>
          <w:sz w:val="19"/>
          <w:szCs w:val="19"/>
          <w:color w:val="231F20"/>
        </w:rPr>
        <w:t>At December 31, 2023, we have four real estate related equity method investments with total debt outstanding of $153.3 million, of which our share is $63.4 million. Our investment in these ventures at December 31, 2023 was $30.9 million.</w:t>
      </w:r>
    </w:p>
    <w:p>
      <w:pPr>
        <w:spacing w:after="0" w:line="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Other than the items disclosed in the Cash Requirements table, we have no off-balance sheet arrangements as of December 31, 2023 that are reasonably likely to have a current or future material effect on our financial condition, changes in financial condition, revenues or expenses, results of operations, liquidity, cash requirements, or capital resources.</w:t>
      </w:r>
    </w:p>
    <w:p>
      <w:pPr>
        <w:sectPr>
          <w:pgSz w:w="12240" w:h="15840" w:orient="portrait"/>
          <w:cols w:equalWidth="0" w:num="1">
            <w:col w:w="10200"/>
          </w:cols>
          <w:pgMar w:left="1000" w:top="63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43</w:t>
      </w:r>
    </w:p>
    <w:p>
      <w:pPr>
        <w:sectPr>
          <w:pgSz w:w="12240" w:h="15840" w:orient="portrait"/>
          <w:cols w:equalWidth="0" w:num="1">
            <w:col w:w="10200"/>
          </w:cols>
          <w:pgMar w:left="1000" w:top="633" w:right="1040" w:bottom="0" w:gutter="0" w:footer="0" w:header="0"/>
          <w:type w:val="continuous"/>
        </w:sectPr>
      </w:pPr>
    </w:p>
    <w:bookmarkStart w:id="51" w:name="page52"/>
    <w:bookmarkEnd w:id="51"/>
    <w:p>
      <w:pPr>
        <w:ind w:left="10"/>
        <w:spacing w:after="0"/>
        <w:rPr>
          <w:sz w:val="20"/>
          <w:szCs w:val="20"/>
          <w:color w:val="auto"/>
        </w:rPr>
      </w:pPr>
      <w:r>
        <w:rPr>
          <w:rFonts w:ascii="Times New Roman" w:cs="Times New Roman" w:eastAsia="Times New Roman" w:hAnsi="Times New Roman"/>
          <w:sz w:val="20"/>
          <w:szCs w:val="20"/>
          <w:i w:val="1"/>
          <w:iCs w:val="1"/>
          <w:color w:val="231F20"/>
        </w:rPr>
        <w:t>Debt Financing Arrangements</w:t>
      </w:r>
    </w:p>
    <w:p>
      <w:pPr>
        <w:spacing w:after="0" w:line="1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is a summary of our total debt outstanding as of December 31, 2023:</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231F20"/>
              </w:rPr>
              <w:t>Original</w:t>
            </w:r>
          </w:p>
        </w:tc>
        <w:tc>
          <w:tcPr>
            <w:tcW w:w="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Principal Balance as</w:t>
            </w:r>
          </w:p>
        </w:tc>
        <w:tc>
          <w:tcPr>
            <w:tcW w:w="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Stated Interest Rate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Description of Debt</w:t>
            </w:r>
          </w:p>
        </w:tc>
        <w:tc>
          <w:tcPr>
            <w:tcW w:w="60" w:type="dxa"/>
            <w:vAlign w:val="bottom"/>
          </w:tcPr>
          <w:p>
            <w:pPr>
              <w:spacing w:after="0"/>
              <w:rPr>
                <w:sz w:val="13"/>
                <w:szCs w:val="13"/>
                <w:color w:val="auto"/>
              </w:rPr>
            </w:pPr>
          </w:p>
        </w:tc>
        <w:tc>
          <w:tcPr>
            <w:tcW w:w="1020" w:type="dxa"/>
            <w:vAlign w:val="bottom"/>
          </w:tcPr>
          <w:p>
            <w:pPr>
              <w:jc w:val="right"/>
              <w:ind w:right="255"/>
              <w:spacing w:after="0" w:line="160" w:lineRule="exact"/>
              <w:rPr>
                <w:sz w:val="20"/>
                <w:szCs w:val="20"/>
                <w:color w:val="auto"/>
              </w:rPr>
            </w:pPr>
            <w:r>
              <w:rPr>
                <w:rFonts w:ascii="Times New Roman" w:cs="Times New Roman" w:eastAsia="Times New Roman" w:hAnsi="Times New Roman"/>
                <w:sz w:val="16"/>
                <w:szCs w:val="16"/>
                <w:b w:val="1"/>
                <w:bCs w:val="1"/>
                <w:color w:val="231F20"/>
              </w:rPr>
              <w:t>Debt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131"/>
              <w:spacing w:after="0" w:line="160" w:lineRule="exact"/>
              <w:rPr>
                <w:sz w:val="20"/>
                <w:szCs w:val="20"/>
                <w:color w:val="auto"/>
              </w:rPr>
            </w:pPr>
            <w:r>
              <w:rPr>
                <w:rFonts w:ascii="Times New Roman" w:cs="Times New Roman" w:eastAsia="Times New Roman" w:hAnsi="Times New Roman"/>
                <w:sz w:val="16"/>
                <w:szCs w:val="16"/>
                <w:b w:val="1"/>
                <w:bCs w:val="1"/>
                <w:color w:val="231F20"/>
              </w:rPr>
              <w:t>of December 31,</w:t>
            </w:r>
          </w:p>
        </w:tc>
        <w:tc>
          <w:tcPr>
            <w:tcW w:w="8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as of December 31,</w:t>
            </w:r>
          </w:p>
        </w:tc>
        <w:tc>
          <w:tcPr>
            <w:tcW w:w="80" w:type="dxa"/>
            <w:vAlign w:val="bottom"/>
          </w:tcPr>
          <w:p>
            <w:pPr>
              <w:spacing w:after="0"/>
              <w:rPr>
                <w:sz w:val="13"/>
                <w:szCs w:val="13"/>
                <w:color w:val="auto"/>
              </w:rPr>
            </w:pPr>
          </w:p>
        </w:tc>
        <w:tc>
          <w:tcPr>
            <w:tcW w:w="1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0" w:type="dxa"/>
            <w:vAlign w:val="bottom"/>
          </w:tcPr>
          <w:p>
            <w:pPr>
              <w:spacing w:after="0"/>
              <w:rPr>
                <w:sz w:val="1"/>
                <w:szCs w:val="1"/>
                <w:color w:val="auto"/>
              </w:rPr>
            </w:pPr>
          </w:p>
        </w:tc>
      </w:tr>
      <w:tr>
        <w:trPr>
          <w:trHeight w:val="214"/>
        </w:trPr>
        <w:tc>
          <w:tcPr>
            <w:tcW w:w="4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231F20"/>
              </w:rPr>
              <w:t>Issued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Borders>
              <w:top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(Dollars</w:t>
            </w:r>
          </w:p>
        </w:tc>
        <w:tc>
          <w:tcPr>
            <w:tcW w:w="80" w:type="dxa"/>
            <w:vAlign w:val="bottom"/>
          </w:tcPr>
          <w:p>
            <w:pPr>
              <w:spacing w:after="0"/>
              <w:rPr>
                <w:sz w:val="17"/>
                <w:szCs w:val="17"/>
                <w:color w:val="auto"/>
              </w:rPr>
            </w:pPr>
          </w:p>
        </w:tc>
        <w:tc>
          <w:tcPr>
            <w:tcW w:w="1540" w:type="dxa"/>
            <w:vAlign w:val="bottom"/>
            <w:tcBorders>
              <w:top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7"/>
                <w:szCs w:val="17"/>
                <w:color w:val="auto"/>
              </w:rPr>
            </w:pPr>
          </w:p>
        </w:tc>
        <w:tc>
          <w:tcPr>
            <w:tcW w:w="1520" w:type="dxa"/>
            <w:vAlign w:val="bottom"/>
            <w:tcBorders>
              <w:top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Mortgages payable</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231F20"/>
              </w:rPr>
              <w:t>Secured fixed rate</w:t>
            </w:r>
          </w:p>
        </w:tc>
        <w:tc>
          <w:tcPr>
            <w:tcW w:w="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Acquired</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231F20"/>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40,000</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3.73 %</w:t>
            </w:r>
          </w:p>
        </w:tc>
        <w:tc>
          <w:tcPr>
            <w:tcW w:w="80" w:type="dxa"/>
            <w:vAlign w:val="bottom"/>
          </w:tcPr>
          <w:p>
            <w:pPr>
              <w:spacing w:after="0"/>
              <w:rPr>
                <w:sz w:val="19"/>
                <w:szCs w:val="19"/>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November 1, 2025</w:t>
            </w:r>
          </w:p>
        </w:tc>
        <w:tc>
          <w:tcPr>
            <w:tcW w:w="0" w:type="dxa"/>
            <w:vAlign w:val="bottom"/>
          </w:tcPr>
          <w:p>
            <w:pPr>
              <w:spacing w:after="0"/>
              <w:rPr>
                <w:sz w:val="1"/>
                <w:szCs w:val="1"/>
                <w:color w:val="auto"/>
              </w:rPr>
            </w:pPr>
          </w:p>
        </w:tc>
      </w:tr>
      <w:tr>
        <w:trPr>
          <w:trHeight w:val="204"/>
        </w:trPr>
        <w:tc>
          <w:tcPr>
            <w:tcW w:w="4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231F20"/>
              </w:rPr>
              <w:t xml:space="preserve">Azalea </w:t>
            </w:r>
            <w:r>
              <w:rPr>
                <w:rFonts w:ascii="Times New Roman" w:cs="Times New Roman" w:eastAsia="Times New Roman" w:hAnsi="Times New Roman"/>
                <w:sz w:val="18"/>
                <w:szCs w:val="18"/>
                <w:color w:val="B8BABC"/>
              </w:rPr>
              <w:t>......................................................................</w:t>
            </w:r>
          </w:p>
        </w:tc>
        <w:tc>
          <w:tcPr>
            <w:tcW w:w="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Bethesda Row (1)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SOFR + 0.95%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December 28, 2025</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Bell Gardens </w:t>
            </w:r>
            <w:r>
              <w:rPr>
                <w:rFonts w:ascii="Times New Roman" w:cs="Times New Roman" w:eastAsia="Times New Roman" w:hAnsi="Times New Roman"/>
                <w:sz w:val="18"/>
                <w:szCs w:val="18"/>
                <w:color w:val="B8BABC"/>
              </w:rPr>
              <w:t>............................................................</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Acquired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11,531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4.06 %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 2026</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Plaza El Segundo</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3.83 %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June 5,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The Grove at Shrewsbury (East)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43,600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43,600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3.77 %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September 1,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Brook 35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11,500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4.65 %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July 1, 2029</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Hoboken (24 Buildings) (2)</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56,450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53,617</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SOFR + 1.95%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December 15, 2029</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 Hoboken (14 Buildings) (3)</w:t>
            </w:r>
            <w:r>
              <w:rPr>
                <w:rFonts w:ascii="Times New Roman" w:cs="Times New Roman" w:eastAsia="Times New Roman" w:hAnsi="Times New Roman"/>
                <w:sz w:val="18"/>
                <w:szCs w:val="18"/>
                <w:color w:val="B8BABC"/>
              </w:rPr>
              <w:t>.......................</w:t>
            </w:r>
          </w:p>
        </w:tc>
        <w:tc>
          <w:tcPr>
            <w:tcW w:w="60" w:type="dxa"/>
            <w:vAlign w:val="bottom"/>
          </w:tcPr>
          <w:p>
            <w:pPr>
              <w:spacing w:after="0"/>
              <w:rPr>
                <w:sz w:val="19"/>
                <w:szCs w:val="19"/>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Acquired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29,878</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 through 2029</w:t>
            </w: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Chelsea</w:t>
            </w:r>
            <w:r>
              <w:rPr>
                <w:rFonts w:ascii="Times New Roman" w:cs="Times New Roman" w:eastAsia="Times New Roman" w:hAnsi="Times New Roman"/>
                <w:sz w:val="18"/>
                <w:szCs w:val="18"/>
                <w:color w:val="B8BABC"/>
              </w:rPr>
              <w:t>.....................................................................</w:t>
            </w:r>
          </w:p>
        </w:tc>
        <w:tc>
          <w:tcPr>
            <w:tcW w:w="60" w:type="dxa"/>
            <w:vAlign w:val="bottom"/>
          </w:tcPr>
          <w:p>
            <w:pPr>
              <w:spacing w:after="0"/>
              <w:rPr>
                <w:sz w:val="20"/>
                <w:szCs w:val="20"/>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Acquired</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4,018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5.36 %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15, 2031</w:t>
            </w:r>
          </w:p>
        </w:tc>
        <w:tc>
          <w:tcPr>
            <w:tcW w:w="0" w:type="dxa"/>
            <w:vAlign w:val="bottom"/>
          </w:tcPr>
          <w:p>
            <w:pPr>
              <w:spacing w:after="0"/>
              <w:rPr>
                <w:sz w:val="1"/>
                <w:szCs w:val="1"/>
                <w:color w:val="auto"/>
              </w:rPr>
            </w:pPr>
          </w:p>
        </w:tc>
      </w:tr>
      <w:tr>
        <w:trPr>
          <w:trHeight w:val="234"/>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B8BABC"/>
              </w:rPr>
              <w:t>............................................................</w:t>
            </w:r>
            <w:r>
              <w:rPr>
                <w:rFonts w:ascii="Times New Roman" w:cs="Times New Roman" w:eastAsia="Times New Roman" w:hAnsi="Times New Roman"/>
                <w:sz w:val="18"/>
                <w:szCs w:val="18"/>
                <w:color w:val="231F20"/>
              </w:rPr>
              <w:t>Subtotal</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519,144</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231F20"/>
              </w:rPr>
              <w:t>Net unamortized debt issuance costs and</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(2,208)</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discount</w:t>
            </w:r>
            <w:r>
              <w:rPr>
                <w:rFonts w:ascii="Times New Roman" w:cs="Times New Roman" w:eastAsia="Times New Roman" w:hAnsi="Times New Roman"/>
                <w:sz w:val="18"/>
                <w:szCs w:val="18"/>
                <w:color w:val="B8BABC"/>
              </w:rPr>
              <w:t>.......................................................</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B8BABC"/>
              </w:rPr>
              <w:t>...........................</w:t>
            </w:r>
            <w:r>
              <w:rPr>
                <w:rFonts w:ascii="Times New Roman" w:cs="Times New Roman" w:eastAsia="Times New Roman" w:hAnsi="Times New Roman"/>
                <w:sz w:val="18"/>
                <w:szCs w:val="18"/>
                <w:color w:val="231F20"/>
              </w:rPr>
              <w:t>Totalmortgagespayable,net</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18"/>
                <w:szCs w:val="18"/>
                <w:color w:val="231F20"/>
              </w:rPr>
              <w:t>516,936</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Notes payable</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8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SOFR + 0.85%</w:t>
            </w:r>
          </w:p>
        </w:tc>
        <w:tc>
          <w:tcPr>
            <w:tcW w:w="8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April 16, 2024</w:t>
            </w:r>
          </w:p>
        </w:tc>
        <w:tc>
          <w:tcPr>
            <w:tcW w:w="0" w:type="dxa"/>
            <w:vAlign w:val="bottom"/>
          </w:tcPr>
          <w:p>
            <w:pPr>
              <w:spacing w:after="0"/>
              <w:rPr>
                <w:sz w:val="1"/>
                <w:szCs w:val="1"/>
                <w:color w:val="auto"/>
              </w:rPr>
            </w:pPr>
          </w:p>
        </w:tc>
      </w:tr>
      <w:tr>
        <w:trPr>
          <w:trHeight w:val="204"/>
        </w:trPr>
        <w:tc>
          <w:tcPr>
            <w:tcW w:w="4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231F20"/>
              </w:rPr>
              <w:t xml:space="preserve">Term Loan (4)(5)(7) </w:t>
            </w:r>
            <w:r>
              <w:rPr>
                <w:rFonts w:ascii="Times New Roman" w:cs="Times New Roman" w:eastAsia="Times New Roman" w:hAnsi="Times New Roman"/>
                <w:sz w:val="18"/>
                <w:szCs w:val="18"/>
                <w:color w:val="B8BABC"/>
              </w:rPr>
              <w:t>................................................</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Revolving credit facility (5) (7)</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SOFR + 0.775%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April 5, 2027</w:t>
            </w: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7,749</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2,387</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 through 2059</w:t>
            </w:r>
          </w:p>
        </w:tc>
        <w:tc>
          <w:tcPr>
            <w:tcW w:w="0" w:type="dxa"/>
            <w:vAlign w:val="bottom"/>
          </w:tcPr>
          <w:p>
            <w:pPr>
              <w:spacing w:after="0"/>
              <w:rPr>
                <w:sz w:val="1"/>
                <w:szCs w:val="1"/>
                <w:color w:val="auto"/>
              </w:rPr>
            </w:pPr>
          </w:p>
        </w:tc>
      </w:tr>
      <w:tr>
        <w:trPr>
          <w:trHeight w:val="191"/>
        </w:trPr>
        <w:tc>
          <w:tcPr>
            <w:tcW w:w="4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B8BABC"/>
              </w:rPr>
              <w:t>............................................................</w:t>
            </w:r>
            <w:r>
              <w:rPr>
                <w:rFonts w:ascii="Times New Roman" w:cs="Times New Roman" w:eastAsia="Times New Roman" w:hAnsi="Times New Roman"/>
                <w:sz w:val="18"/>
                <w:szCs w:val="18"/>
                <w:color w:val="231F20"/>
              </w:rPr>
              <w:t>Subtotal</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231F20"/>
              </w:rPr>
              <w:t>602,387</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Net unamortized debt issuance costs</w:t>
            </w:r>
            <w:r>
              <w:rPr>
                <w:rFonts w:ascii="Times New Roman" w:cs="Times New Roman" w:eastAsia="Times New Roman" w:hAnsi="Times New Roman"/>
                <w:sz w:val="18"/>
                <w:szCs w:val="18"/>
                <w:color w:val="B8BABC"/>
              </w:rPr>
              <w:t>..........</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(442)</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B8BABC"/>
              </w:rPr>
              <w:t>...................................</w:t>
            </w:r>
            <w:r>
              <w:rPr>
                <w:rFonts w:ascii="Times New Roman" w:cs="Times New Roman" w:eastAsia="Times New Roman" w:hAnsi="Times New Roman"/>
                <w:sz w:val="18"/>
                <w:szCs w:val="18"/>
                <w:color w:val="231F20"/>
              </w:rPr>
              <w:t>Totalnotespayable,net</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18"/>
                <w:szCs w:val="18"/>
                <w:color w:val="231F20"/>
              </w:rPr>
              <w:t>601,945</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Senior notes and debentures (7)</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231F20"/>
              </w:rPr>
              <w:t>Unsecured fixed rate</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3.95 %</w:t>
            </w:r>
          </w:p>
        </w:tc>
        <w:tc>
          <w:tcPr>
            <w:tcW w:w="80" w:type="dxa"/>
            <w:vAlign w:val="bottom"/>
          </w:tcPr>
          <w:p>
            <w:pPr>
              <w:spacing w:after="0"/>
              <w:rPr>
                <w:sz w:val="19"/>
                <w:szCs w:val="19"/>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January 15, 2024</w:t>
            </w:r>
          </w:p>
        </w:tc>
        <w:tc>
          <w:tcPr>
            <w:tcW w:w="0" w:type="dxa"/>
            <w:vAlign w:val="bottom"/>
          </w:tcPr>
          <w:p>
            <w:pPr>
              <w:spacing w:after="0"/>
              <w:rPr>
                <w:sz w:val="1"/>
                <w:szCs w:val="1"/>
                <w:color w:val="auto"/>
              </w:rPr>
            </w:pPr>
          </w:p>
        </w:tc>
      </w:tr>
      <w:tr>
        <w:trPr>
          <w:trHeight w:val="204"/>
        </w:trPr>
        <w:tc>
          <w:tcPr>
            <w:tcW w:w="4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231F20"/>
              </w:rPr>
              <w:t xml:space="preserve">3.95% notes </w:t>
            </w:r>
            <w:r>
              <w:rPr>
                <w:rFonts w:ascii="Times New Roman" w:cs="Times New Roman" w:eastAsia="Times New Roman" w:hAnsi="Times New Roman"/>
                <w:sz w:val="18"/>
                <w:szCs w:val="18"/>
                <w:color w:val="B8BABC"/>
              </w:rPr>
              <w:t>.............................................................</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1.25% notes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1.25 %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February 15, 2026</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7.48% debentures</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29,200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7.48 %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15, 2026</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3.25% notes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475,000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3.25 %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July 15,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6.82% medium term notes</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6.82 %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 2027</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5.375% notes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5.375 %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May 1, 2028</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3.20% notes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3.20 %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June 15, 2029</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3.50% notes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3.50 %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June 1, 2030</w:t>
            </w:r>
          </w:p>
        </w:tc>
        <w:tc>
          <w:tcPr>
            <w:tcW w:w="0" w:type="dxa"/>
            <w:vAlign w:val="bottom"/>
          </w:tcPr>
          <w:p>
            <w:pPr>
              <w:spacing w:after="0"/>
              <w:rPr>
                <w:sz w:val="1"/>
                <w:szCs w:val="1"/>
                <w:color w:val="auto"/>
              </w:rPr>
            </w:pPr>
          </w:p>
        </w:tc>
      </w:tr>
      <w:tr>
        <w:trPr>
          <w:trHeight w:val="225"/>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4.50% notes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550,000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4.50 %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December 1, 2044</w:t>
            </w:r>
          </w:p>
        </w:tc>
        <w:tc>
          <w:tcPr>
            <w:tcW w:w="0" w:type="dxa"/>
            <w:vAlign w:val="bottom"/>
          </w:tcPr>
          <w:p>
            <w:pPr>
              <w:spacing w:after="0"/>
              <w:rPr>
                <w:sz w:val="1"/>
                <w:szCs w:val="1"/>
                <w:color w:val="auto"/>
              </w:rPr>
            </w:pPr>
          </w:p>
        </w:tc>
      </w:tr>
      <w:tr>
        <w:trPr>
          <w:trHeight w:val="239"/>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 xml:space="preserve">3.625% notes </w:t>
            </w:r>
            <w:r>
              <w:rPr>
                <w:rFonts w:ascii="Times New Roman" w:cs="Times New Roman" w:eastAsia="Times New Roman" w:hAnsi="Times New Roman"/>
                <w:sz w:val="18"/>
                <w:szCs w:val="18"/>
                <w:color w:val="B8BABC"/>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250,000</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3.625 %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 2046</w:t>
            </w:r>
          </w:p>
        </w:tc>
        <w:tc>
          <w:tcPr>
            <w:tcW w:w="0" w:type="dxa"/>
            <w:vAlign w:val="bottom"/>
          </w:tcPr>
          <w:p>
            <w:pPr>
              <w:spacing w:after="0"/>
              <w:rPr>
                <w:sz w:val="1"/>
                <w:szCs w:val="1"/>
                <w:color w:val="auto"/>
              </w:rPr>
            </w:pPr>
          </w:p>
        </w:tc>
      </w:tr>
      <w:tr>
        <w:trPr>
          <w:trHeight w:val="212"/>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B8BABC"/>
              </w:rPr>
              <w:t>............................................................</w:t>
            </w:r>
            <w:r>
              <w:rPr>
                <w:rFonts w:ascii="Times New Roman" w:cs="Times New Roman" w:eastAsia="Times New Roman" w:hAnsi="Times New Roman"/>
                <w:sz w:val="18"/>
                <w:szCs w:val="18"/>
                <w:color w:val="231F20"/>
              </w:rPr>
              <w:t>Subtotal</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3,494,200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40" w:type="dxa"/>
            <w:vAlign w:val="bottom"/>
          </w:tcPr>
          <w:p>
            <w:pPr>
              <w:jc w:val="right"/>
              <w:ind w:right="130"/>
              <w:spacing w:after="0" w:line="181" w:lineRule="exact"/>
              <w:rPr>
                <w:sz w:val="20"/>
                <w:szCs w:val="20"/>
                <w:color w:val="auto"/>
              </w:rPr>
            </w:pPr>
            <w:r>
              <w:rPr>
                <w:rFonts w:ascii="Times New Roman" w:cs="Times New Roman" w:eastAsia="Times New Roman" w:hAnsi="Times New Roman"/>
                <w:sz w:val="18"/>
                <w:szCs w:val="18"/>
                <w:color w:val="231F20"/>
              </w:rPr>
              <w:t>Net unamortized debt issuance costs and</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(13,904)</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premium</w:t>
            </w:r>
            <w:r>
              <w:rPr>
                <w:rFonts w:ascii="Times New Roman" w:cs="Times New Roman" w:eastAsia="Times New Roman" w:hAnsi="Times New Roman"/>
                <w:sz w:val="18"/>
                <w:szCs w:val="18"/>
                <w:color w:val="B8BABC"/>
              </w:rPr>
              <w:t>......................................................</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B8BABC"/>
              </w:rPr>
              <w:t>.............</w:t>
            </w:r>
            <w:r>
              <w:rPr>
                <w:rFonts w:ascii="Times New Roman" w:cs="Times New Roman" w:eastAsia="Times New Roman" w:hAnsi="Times New Roman"/>
                <w:sz w:val="18"/>
                <w:szCs w:val="18"/>
                <w:color w:val="231F20"/>
              </w:rPr>
              <w:t>Totalseniornotesanddebentures,net</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3,480,296</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231F20"/>
              </w:rPr>
              <w:t>Total debt, net</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231F20"/>
              <w:bottom w:val="single" w:sz="8" w:color="231F20"/>
            </w:tcBorders>
          </w:tcPr>
          <w:p>
            <w:pPr>
              <w:ind w:left="60"/>
              <w:spacing w:after="0"/>
              <w:rPr>
                <w:sz w:val="20"/>
                <w:szCs w:val="20"/>
                <w:color w:val="auto"/>
              </w:rPr>
            </w:pPr>
            <w:r>
              <w:rPr>
                <w:rFonts w:ascii="Times New Roman" w:cs="Times New Roman" w:eastAsia="Times New Roman" w:hAnsi="Times New Roman"/>
                <w:sz w:val="18"/>
                <w:szCs w:val="18"/>
                <w:b w:val="1"/>
                <w:bCs w:val="1"/>
                <w:color w:val="231F20"/>
              </w:rPr>
              <w:t>$</w:t>
            </w:r>
          </w:p>
        </w:tc>
        <w:tc>
          <w:tcPr>
            <w:tcW w:w="13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4,599,177</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jc w:val="right"/>
              <w:ind w:right="1950"/>
              <w:spacing w:after="0"/>
              <w:rPr>
                <w:sz w:val="20"/>
                <w:szCs w:val="20"/>
                <w:color w:val="auto"/>
              </w:rPr>
            </w:pPr>
            <w:r>
              <w:rPr>
                <w:rFonts w:ascii="Times New Roman" w:cs="Times New Roman" w:eastAsia="Times New Roman" w:hAnsi="Times New Roman"/>
                <w:sz w:val="20"/>
                <w:szCs w:val="20"/>
                <w:color w:val="231F20"/>
                <w:w w:val="99"/>
              </w:rPr>
              <w:t>_____________________</w:t>
            </w: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1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30" w:right="200" w:hanging="730"/>
        <w:spacing w:after="0" w:line="281" w:lineRule="auto"/>
        <w:tabs>
          <w:tab w:leader="none" w:pos="73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December 29, 2023, we entered into three interest rate swap agreements that fix the interest rate on the mortgage loan at a weighted average interest rate of 5.03% through the initial maturity date.</w:t>
      </w:r>
    </w:p>
    <w:p>
      <w:pPr>
        <w:spacing w:after="0" w:line="1" w:lineRule="exact"/>
        <w:rPr>
          <w:rFonts w:ascii="Times New Roman" w:cs="Times New Roman" w:eastAsia="Times New Roman" w:hAnsi="Times New Roman"/>
          <w:sz w:val="20"/>
          <w:szCs w:val="20"/>
          <w:color w:val="231F20"/>
        </w:rPr>
      </w:pPr>
    </w:p>
    <w:p>
      <w:pPr>
        <w:ind w:left="730" w:hanging="730"/>
        <w:spacing w:after="0" w:line="266" w:lineRule="auto"/>
        <w:tabs>
          <w:tab w:leader="none" w:pos="73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November 26, 2019, we entered into two interest rate swap agreements that fix the interest rate on the mortgage loan at 3.67%. The reference rate for the mortgage loan and related swaps was amended from LIBOR to SOFR in May 2023. The amendment was effective for interest payments subsequent to July 1, 2023.</w:t>
      </w:r>
    </w:p>
    <w:p>
      <w:pPr>
        <w:spacing w:after="0" w:line="15" w:lineRule="exact"/>
        <w:rPr>
          <w:rFonts w:ascii="Times New Roman" w:cs="Times New Roman" w:eastAsia="Times New Roman" w:hAnsi="Times New Roman"/>
          <w:sz w:val="20"/>
          <w:szCs w:val="20"/>
          <w:color w:val="231F20"/>
        </w:rPr>
      </w:pPr>
    </w:p>
    <w:p>
      <w:pPr>
        <w:ind w:left="710" w:hanging="710"/>
        <w:spacing w:after="0"/>
        <w:tabs>
          <w:tab w:leader="none" w:pos="71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interest rates on these mortgages range from 3.91% to 5.00%.</w:t>
      </w:r>
    </w:p>
    <w:p>
      <w:pPr>
        <w:spacing w:after="0" w:line="70" w:lineRule="exact"/>
        <w:rPr>
          <w:rFonts w:ascii="Times New Roman" w:cs="Times New Roman" w:eastAsia="Times New Roman" w:hAnsi="Times New Roman"/>
          <w:sz w:val="20"/>
          <w:szCs w:val="20"/>
          <w:color w:val="231F20"/>
        </w:rPr>
      </w:pPr>
    </w:p>
    <w:p>
      <w:pPr>
        <w:ind w:left="730" w:right="300" w:hanging="730"/>
        <w:spacing w:after="0" w:line="281" w:lineRule="auto"/>
        <w:tabs>
          <w:tab w:leader="none" w:pos="73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February 6, 2024, we extended the maturity date to April 16, 2025, with an additional one year extension at our option still available to further extend the loan to April 16, 2026.</w:t>
      </w:r>
    </w:p>
    <w:p>
      <w:pPr>
        <w:spacing w:after="0" w:line="1" w:lineRule="exact"/>
        <w:rPr>
          <w:rFonts w:ascii="Times New Roman" w:cs="Times New Roman" w:eastAsia="Times New Roman" w:hAnsi="Times New Roman"/>
          <w:sz w:val="20"/>
          <w:szCs w:val="20"/>
          <w:color w:val="231F20"/>
        </w:rPr>
      </w:pPr>
    </w:p>
    <w:p>
      <w:pPr>
        <w:jc w:val="both"/>
        <w:ind w:left="730" w:right="120" w:hanging="730"/>
        <w:spacing w:after="0" w:line="266" w:lineRule="auto"/>
        <w:tabs>
          <w:tab w:leader="none" w:pos="73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revolving credit facility SOFR loans bear interest at Daily Simple SOFR or Term SOFR and our term loan bears interest at Term SOFR as defined in the respective credit agreements, plus 0.10%, plus a spread, based on our current credit rating.</w:t>
      </w:r>
    </w:p>
    <w:p>
      <w:pPr>
        <w:sectPr>
          <w:pgSz w:w="12240" w:h="15840" w:orient="portrait"/>
          <w:cols w:equalWidth="0" w:num="1">
            <w:col w:w="10230"/>
          </w:cols>
          <w:pgMar w:left="990" w:top="62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44</w:t>
      </w:r>
    </w:p>
    <w:p>
      <w:pPr>
        <w:sectPr>
          <w:pgSz w:w="12240" w:h="15840" w:orient="portrait"/>
          <w:cols w:equalWidth="0" w:num="1">
            <w:col w:w="10230"/>
          </w:cols>
          <w:pgMar w:left="990" w:top="629" w:right="1020" w:bottom="0" w:gutter="0" w:footer="0" w:header="0"/>
          <w:type w:val="continuous"/>
        </w:sectPr>
      </w:pPr>
    </w:p>
    <w:bookmarkStart w:id="52" w:name="page53"/>
    <w:bookmarkEnd w:id="52"/>
    <w:p>
      <w:pPr>
        <w:jc w:val="both"/>
        <w:ind w:left="730" w:right="60" w:hanging="730"/>
        <w:spacing w:after="0" w:line="266" w:lineRule="auto"/>
        <w:tabs>
          <w:tab w:leader="none" w:pos="73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maximum amount drawn under our $1.25 billion revolving credit facility during 2023 was $115.5 million and the weighted average effective interest rate on borrowings under our revolving credit facility, before amortization of debt fees, was 5.9%.</w:t>
      </w:r>
    </w:p>
    <w:p>
      <w:pPr>
        <w:spacing w:after="0" w:line="15" w:lineRule="exact"/>
        <w:rPr>
          <w:rFonts w:ascii="Times New Roman" w:cs="Times New Roman" w:eastAsia="Times New Roman" w:hAnsi="Times New Roman"/>
          <w:sz w:val="20"/>
          <w:szCs w:val="20"/>
          <w:color w:val="231F20"/>
        </w:rPr>
      </w:pPr>
    </w:p>
    <w:p>
      <w:pPr>
        <w:ind w:left="730" w:right="920" w:hanging="730"/>
        <w:spacing w:after="0" w:line="281" w:lineRule="auto"/>
        <w:tabs>
          <w:tab w:leader="none" w:pos="73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Operating Partnership is the obligor under our revolving credit facility, term loan, and senior notes and debentures.</w:t>
      </w:r>
    </w:p>
    <w:p>
      <w:pPr>
        <w:spacing w:after="0" w:line="121"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231F20"/>
        </w:rPr>
        <w:t>Our revolving credit facility, unsecured term loan, and other debt agreements include financial and other covenants that may limit our operating activities in the future. As of December 31, 2023,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is a summary of our scheduled principal repayments as of December 31, 2023:</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84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231F20"/>
              </w:rPr>
              <w:t>Unsecured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Secured</w:t>
            </w:r>
          </w:p>
        </w:tc>
        <w:tc>
          <w:tcPr>
            <w:tcW w:w="40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1,200,674</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3,262</w:t>
            </w:r>
          </w:p>
        </w:tc>
        <w:tc>
          <w:tcPr>
            <w:tcW w:w="4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1,203,936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2025</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247,630</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248,120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429,344</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26,282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455,626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2027</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515,079</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178,282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693,361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2028</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350,000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352,511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Thereafter</w:t>
            </w: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1,601,000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61,177</w:t>
            </w:r>
          </w:p>
        </w:tc>
        <w:tc>
          <w:tcPr>
            <w:tcW w:w="40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1,662,177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4,096,587</w:t>
            </w:r>
          </w:p>
        </w:tc>
        <w:tc>
          <w:tcPr>
            <w:tcW w:w="4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519,144</w:t>
            </w:r>
          </w:p>
        </w:tc>
        <w:tc>
          <w:tcPr>
            <w:tcW w:w="4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4,615,731  (4)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_____________________</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8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30" w:right="20" w:hanging="730"/>
        <w:spacing w:after="0" w:line="266" w:lineRule="auto"/>
        <w:tabs>
          <w:tab w:leader="none" w:pos="73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$600.0 million term loan had an original maturity date of April 16, 2024. On February 6, 2024, we extended the term loan to April 16, 2025 with an additional one year extension at our option still available to further extend the loan to April 16, 2026.</w:t>
      </w:r>
    </w:p>
    <w:p>
      <w:pPr>
        <w:spacing w:after="0" w:line="15" w:lineRule="exact"/>
        <w:rPr>
          <w:rFonts w:ascii="Times New Roman" w:cs="Times New Roman" w:eastAsia="Times New Roman" w:hAnsi="Times New Roman"/>
          <w:sz w:val="20"/>
          <w:szCs w:val="20"/>
          <w:color w:val="231F20"/>
        </w:rPr>
      </w:pPr>
    </w:p>
    <w:p>
      <w:pPr>
        <w:ind w:left="730" w:right="620" w:hanging="730"/>
        <w:spacing w:after="0" w:line="281" w:lineRule="auto"/>
        <w:tabs>
          <w:tab w:leader="none" w:pos="73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$200.0 million mortgage loan secured by Bethesda Row matures on December 28, 2025 plus two one-year extensions, at our option to December 28, 2027.</w:t>
      </w:r>
    </w:p>
    <w:p>
      <w:pPr>
        <w:spacing w:after="0" w:line="1" w:lineRule="exact"/>
        <w:rPr>
          <w:rFonts w:ascii="Times New Roman" w:cs="Times New Roman" w:eastAsia="Times New Roman" w:hAnsi="Times New Roman"/>
          <w:sz w:val="20"/>
          <w:szCs w:val="20"/>
          <w:color w:val="231F20"/>
        </w:rPr>
      </w:pPr>
    </w:p>
    <w:p>
      <w:pPr>
        <w:ind w:left="730" w:right="320" w:hanging="730"/>
        <w:spacing w:after="0" w:line="281" w:lineRule="auto"/>
        <w:tabs>
          <w:tab w:leader="none" w:pos="73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$1.25 billion revolving credit facility matures on April 5, 2027, plus two six-month extensions at our option to April 5, 2028. As of December 31, 2023, there was no outstanding balance under this credit facility.</w:t>
      </w:r>
    </w:p>
    <w:p>
      <w:pPr>
        <w:spacing w:after="0" w:line="1" w:lineRule="exact"/>
        <w:rPr>
          <w:rFonts w:ascii="Times New Roman" w:cs="Times New Roman" w:eastAsia="Times New Roman" w:hAnsi="Times New Roman"/>
          <w:sz w:val="20"/>
          <w:szCs w:val="20"/>
          <w:color w:val="231F20"/>
        </w:rPr>
      </w:pPr>
    </w:p>
    <w:p>
      <w:pPr>
        <w:ind w:left="730" w:right="300" w:hanging="730"/>
        <w:spacing w:after="0" w:line="266" w:lineRule="auto"/>
        <w:tabs>
          <w:tab w:leader="none" w:pos="73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total debt maturities differ from the total reported on the consolidated balance sheet due to the unamortized net debt issuance costs and premium/discount on mortgage loans, notes payable, and senior notes as of December 31, 2023.</w:t>
      </w:r>
    </w:p>
    <w:p>
      <w:pPr>
        <w:spacing w:after="0" w:line="1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Interest Rate Hedging</w:t>
      </w:r>
    </w:p>
    <w:p>
      <w:pPr>
        <w:spacing w:after="0" w:line="114"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231F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43" w:lineRule="exact"/>
        <w:rPr>
          <w:sz w:val="20"/>
          <w:szCs w:val="20"/>
          <w:color w:val="auto"/>
        </w:rPr>
      </w:pPr>
    </w:p>
    <w:p>
      <w:pPr>
        <w:ind w:left="10" w:right="160"/>
        <w:spacing w:after="0" w:line="271" w:lineRule="auto"/>
        <w:rPr>
          <w:sz w:val="20"/>
          <w:szCs w:val="20"/>
          <w:color w:val="auto"/>
        </w:rPr>
      </w:pPr>
      <w:r>
        <w:rPr>
          <w:rFonts w:ascii="Times New Roman" w:cs="Times New Roman" w:eastAsia="Times New Roman" w:hAnsi="Times New Roman"/>
          <w:sz w:val="19"/>
          <w:szCs w:val="19"/>
          <w:color w:val="231F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on the balance sheets, statement of shareholders' equity, and statement of capital.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w:t>
      </w:r>
    </w:p>
    <w:p>
      <w:pPr>
        <w:sectPr>
          <w:pgSz w:w="12240" w:h="15840" w:orient="portrait"/>
          <w:cols w:equalWidth="0" w:num="1">
            <w:col w:w="10230"/>
          </w:cols>
          <w:pgMar w:left="990" w:top="633" w:right="102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45</w:t>
      </w:r>
    </w:p>
    <w:p>
      <w:pPr>
        <w:sectPr>
          <w:pgSz w:w="12240" w:h="15840" w:orient="portrait"/>
          <w:cols w:equalWidth="0" w:num="1">
            <w:col w:w="10230"/>
          </w:cols>
          <w:pgMar w:left="990" w:top="633" w:right="1020" w:bottom="0" w:gutter="0" w:footer="0" w:header="0"/>
          <w:type w:val="continuous"/>
        </w:sectPr>
      </w:pPr>
    </w:p>
    <w:bookmarkStart w:id="53" w:name="page54"/>
    <w:bookmarkEnd w:id="53"/>
    <w:p>
      <w:pPr>
        <w:ind w:right="460"/>
        <w:spacing w:after="0" w:line="281" w:lineRule="auto"/>
        <w:rPr>
          <w:sz w:val="20"/>
          <w:szCs w:val="20"/>
          <w:color w:val="auto"/>
        </w:rPr>
      </w:pPr>
      <w:r>
        <w:rPr>
          <w:rFonts w:ascii="Times New Roman" w:cs="Times New Roman" w:eastAsia="Times New Roman" w:hAnsi="Times New Roman"/>
          <w:sz w:val="20"/>
          <w:szCs w:val="20"/>
          <w:color w:val="231F20"/>
        </w:rPr>
        <w:t>performance. If a cash flow hedge is deemed ineffective, the ineffective portion of changes in fair value of the interest rate swaps associated with cash flow hedges is recognized in earnings in the period affected.</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231F20"/>
        </w:rPr>
        <w:t>As of December 31, 2023, we have two interest rate swap agreements that effectively fix the interest rate on a mortgage payable associated with our Hoboken portfolio at 3.67% and we have three interest rate swap agreements that effectively fix the interest rate on a mortgage payable associated with Bethesda Row at 5.03% through the initial maturity date. Our Assembly Row hotel joint venture is also a party to two interest rate swap agreements that effectively fix 100% of its outstanding $39.0 million of debt through May 2025 at 6.39% and 50% of its outstanding debt from June 2025 through May 2028 at 6.03%. All swaps were designated and qualify as cash flow hedges. Hedge ineffectiveness has not impacted our earnings in 2023, 2022 and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REIT Qualification</w:t>
      </w:r>
    </w:p>
    <w:p>
      <w:pPr>
        <w:spacing w:after="0" w:line="11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231F20"/>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Funds From Operations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33" w:lineRule="exact"/>
        <w:rPr>
          <w:sz w:val="20"/>
          <w:szCs w:val="20"/>
          <w:color w:val="auto"/>
        </w:rPr>
      </w:pPr>
    </w:p>
    <w:p>
      <w:pPr>
        <w:jc w:val="both"/>
        <w:ind w:left="1880" w:right="160" w:hanging="900"/>
        <w:spacing w:after="0" w:line="281" w:lineRule="auto"/>
        <w:tabs>
          <w:tab w:leader="none" w:pos="188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20"/>
          <w:szCs w:val="20"/>
          <w:color w:val="231F20"/>
        </w:rPr>
      </w:pPr>
    </w:p>
    <w:p>
      <w:pPr>
        <w:ind w:left="1880" w:hanging="900"/>
        <w:spacing w:after="0"/>
        <w:tabs>
          <w:tab w:leader="none" w:pos="188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should not be considered an alternative to net income as an indication of our performance; and</w:t>
      </w:r>
    </w:p>
    <w:p>
      <w:pPr>
        <w:spacing w:after="0" w:line="70" w:lineRule="exact"/>
        <w:rPr>
          <w:rFonts w:ascii="Times New Roman" w:cs="Times New Roman" w:eastAsia="Times New Roman" w:hAnsi="Times New Roman"/>
          <w:sz w:val="20"/>
          <w:szCs w:val="20"/>
          <w:color w:val="231F20"/>
        </w:rPr>
      </w:pPr>
    </w:p>
    <w:p>
      <w:pPr>
        <w:ind w:left="1880" w:right="740" w:hanging="900"/>
        <w:spacing w:after="0" w:line="281" w:lineRule="auto"/>
        <w:tabs>
          <w:tab w:leader="none" w:pos="188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 not necessarily indicative of cash flow as a measure of liquidity or ability to fund cash needs, including the payment of dividends.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2240" w:h="15840" w:orient="portrait"/>
          <w:cols w:equalWidth="0" w:num="1">
            <w:col w:w="10240"/>
          </w:cols>
          <w:pgMar w:left="1000" w:top="633" w:right="1000" w:bottom="0" w:gutter="0" w:footer="0" w:header="0"/>
          <w:type w:val="continuous"/>
        </w:sectPr>
      </w:pPr>
    </w:p>
    <w:bookmarkStart w:id="54" w:name="page55"/>
    <w:bookmarkEnd w:id="54"/>
    <w:p>
      <w:pPr>
        <w:ind w:left="10"/>
        <w:spacing w:after="0"/>
        <w:rPr>
          <w:sz w:val="20"/>
          <w:szCs w:val="20"/>
          <w:color w:val="auto"/>
        </w:rPr>
      </w:pPr>
      <w:r>
        <w:rPr>
          <w:rFonts w:ascii="Times New Roman" w:cs="Times New Roman" w:eastAsia="Times New Roman" w:hAnsi="Times New Roman"/>
          <w:sz w:val="20"/>
          <w:szCs w:val="20"/>
          <w:color w:val="231F20"/>
        </w:rPr>
        <w:t>The reconciliation of net income to FFO available for common shareholders is as follows:</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2380" w:type="dxa"/>
            <w:vAlign w:val="bottom"/>
            <w:tcBorders>
              <w:bottom w:val="single" w:sz="8" w:color="231F20"/>
            </w:tcBorders>
            <w:gridSpan w:val="6"/>
          </w:tcPr>
          <w:p>
            <w:pPr>
              <w:jc w:val="center"/>
              <w:ind w:left="404"/>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7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7"/>
          </w:tcPr>
          <w:p>
            <w:pPr>
              <w:jc w:val="center"/>
              <w:ind w:right="141"/>
              <w:spacing w:after="0"/>
              <w:rPr>
                <w:sz w:val="20"/>
                <w:szCs w:val="20"/>
                <w:color w:val="auto"/>
              </w:rPr>
            </w:pPr>
            <w:r>
              <w:rPr>
                <w:rFonts w:ascii="Times New Roman" w:cs="Times New Roman" w:eastAsia="Times New Roman" w:hAnsi="Times New Roman"/>
                <w:sz w:val="16"/>
                <w:szCs w:val="16"/>
                <w:b w:val="1"/>
                <w:bCs w:val="1"/>
                <w:color w:val="231F20"/>
              </w:rPr>
              <w:t>(In thousands, except per share data)</w:t>
            </w:r>
          </w:p>
        </w:tc>
        <w:tc>
          <w:tcPr>
            <w:tcW w:w="0" w:type="dxa"/>
            <w:vAlign w:val="bottom"/>
          </w:tcPr>
          <w:p>
            <w:pPr>
              <w:spacing w:after="0"/>
              <w:rPr>
                <w:sz w:val="1"/>
                <w:szCs w:val="1"/>
                <w:color w:val="auto"/>
              </w:rPr>
            </w:pPr>
          </w:p>
        </w:tc>
      </w:tr>
      <w:tr>
        <w:trPr>
          <w:trHeight w:val="303"/>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Net income</w:t>
            </w:r>
            <w:r>
              <w:rPr>
                <w:rFonts w:ascii="Times New Roman" w:cs="Times New Roman" w:eastAsia="Times New Roman" w:hAnsi="Times New Roman"/>
                <w:sz w:val="20"/>
                <w:szCs w:val="20"/>
                <w:color w:val="B8BABC"/>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247,217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395,661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269,081</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Net income attributable to noncontrolling interests</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(10,170)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(7,583)</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Gain on deconsolidation of a VIE </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(70,374)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Gain on sale of real estate and change in control of interests, net</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(9,881)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(93,483)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(89,892)</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Depreciation and amortization of real estate assets</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285,689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266,741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243,711</w:t>
            </w:r>
          </w:p>
        </w:tc>
        <w:tc>
          <w:tcPr>
            <w:tcW w:w="0" w:type="dxa"/>
            <w:vAlign w:val="bottom"/>
          </w:tcPr>
          <w:p>
            <w:pPr>
              <w:spacing w:after="0"/>
              <w:rPr>
                <w:sz w:val="1"/>
                <w:szCs w:val="1"/>
                <w:color w:val="auto"/>
              </w:rPr>
            </w:pPr>
          </w:p>
        </w:tc>
      </w:tr>
      <w:tr>
        <w:trPr>
          <w:trHeight w:val="303"/>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Amortization of initial direct costs of leases </w:t>
            </w:r>
            <w:r>
              <w:rPr>
                <w:rFonts w:ascii="Times New Roman" w:cs="Times New Roman" w:eastAsia="Times New Roman" w:hAnsi="Times New Roman"/>
                <w:sz w:val="20"/>
                <w:szCs w:val="20"/>
                <w:color w:val="B8BABC"/>
              </w:rPr>
              <w:t>................................................................</w:t>
            </w:r>
          </w:p>
        </w:tc>
        <w:tc>
          <w:tcPr>
            <w:tcW w:w="24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31,208</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27,268</w:t>
            </w:r>
          </w:p>
        </w:tc>
        <w:tc>
          <w:tcPr>
            <w:tcW w:w="8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26,051</w:t>
            </w:r>
          </w:p>
        </w:tc>
        <w:tc>
          <w:tcPr>
            <w:tcW w:w="0" w:type="dxa"/>
            <w:vAlign w:val="bottom"/>
          </w:tcPr>
          <w:p>
            <w:pPr>
              <w:spacing w:after="0"/>
              <w:rPr>
                <w:sz w:val="1"/>
                <w:szCs w:val="1"/>
                <w:color w:val="auto"/>
              </w:rPr>
            </w:pPr>
          </w:p>
        </w:tc>
      </w:tr>
      <w:tr>
        <w:trPr>
          <w:trHeight w:val="277"/>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Fundsfromoperations</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544,001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515,643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441,368</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Dividends on preferred shares (1) </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(8,042)</w:t>
            </w:r>
          </w:p>
        </w:tc>
        <w:tc>
          <w:tcPr>
            <w:tcW w:w="0" w:type="dxa"/>
            <w:vAlign w:val="bottom"/>
          </w:tcPr>
          <w:p>
            <w:pPr>
              <w:spacing w:after="0"/>
              <w:rPr>
                <w:sz w:val="1"/>
                <w:szCs w:val="1"/>
                <w:color w:val="auto"/>
              </w:rPr>
            </w:pPr>
          </w:p>
        </w:tc>
      </w:tr>
      <w:tr>
        <w:trPr>
          <w:trHeight w:val="30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Income attributable to downREIT operating partnership units </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2,767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2,998</w:t>
            </w:r>
          </w:p>
        </w:tc>
        <w:tc>
          <w:tcPr>
            <w:tcW w:w="0" w:type="dxa"/>
            <w:vAlign w:val="bottom"/>
          </w:tcPr>
          <w:p>
            <w:pPr>
              <w:spacing w:after="0"/>
              <w:rPr>
                <w:sz w:val="1"/>
                <w:szCs w:val="1"/>
                <w:color w:val="auto"/>
              </w:rPr>
            </w:pPr>
          </w:p>
        </w:tc>
      </w:tr>
      <w:tr>
        <w:trPr>
          <w:trHeight w:val="303"/>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Income attributable to unvested shares</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(1,955)</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(1,797)</w:t>
            </w:r>
          </w:p>
        </w:tc>
        <w:tc>
          <w:tcPr>
            <w:tcW w:w="8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(1,581)</w:t>
            </w: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Fundsfromoperationsavailableforcommonshareholders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537,313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509,156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434,743</w:t>
            </w:r>
          </w:p>
        </w:tc>
        <w:tc>
          <w:tcPr>
            <w:tcW w:w="0" w:type="dxa"/>
            <w:vAlign w:val="bottom"/>
          </w:tcPr>
          <w:p>
            <w:pPr>
              <w:spacing w:after="0"/>
              <w:rPr>
                <w:sz w:val="1"/>
                <w:szCs w:val="1"/>
                <w:color w:val="auto"/>
              </w:rPr>
            </w:pPr>
          </w:p>
        </w:tc>
      </w:tr>
      <w:tr>
        <w:trPr>
          <w:trHeight w:val="20"/>
        </w:trPr>
        <w:tc>
          <w:tcPr>
            <w:tcW w:w="6840" w:type="dxa"/>
            <w:vAlign w:val="bottom"/>
            <w:vMerge w:val="restart"/>
          </w:tcPr>
          <w:p>
            <w:pPr>
              <w:jc w:val="right"/>
              <w:ind w:right="1901"/>
              <w:spacing w:after="0"/>
              <w:rPr>
                <w:sz w:val="20"/>
                <w:szCs w:val="20"/>
                <w:color w:val="auto"/>
              </w:rPr>
            </w:pPr>
            <w:r>
              <w:rPr>
                <w:rFonts w:ascii="Times New Roman" w:cs="Times New Roman" w:eastAsia="Times New Roman" w:hAnsi="Times New Roman"/>
                <w:sz w:val="20"/>
                <w:szCs w:val="20"/>
                <w:color w:val="231F20"/>
              </w:rPr>
              <w:t>Weighted average number of common shares, diluted (1)(2)</w:t>
            </w: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231F20"/>
              </w:rPr>
              <w:t>82,044</w:t>
            </w: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84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8"/>
                <w:szCs w:val="18"/>
                <w:color w:val="B8BABC"/>
              </w:rPr>
              <w:t>......................................</w:t>
            </w:r>
          </w:p>
        </w:tc>
        <w:tc>
          <w:tcPr>
            <w:tcW w:w="24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80,603</w:t>
            </w:r>
          </w:p>
        </w:tc>
        <w:tc>
          <w:tcPr>
            <w:tcW w:w="8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78,072</w:t>
            </w:r>
          </w:p>
        </w:tc>
        <w:tc>
          <w:tcPr>
            <w:tcW w:w="0" w:type="dxa"/>
            <w:vAlign w:val="bottom"/>
          </w:tcPr>
          <w:p>
            <w:pPr>
              <w:spacing w:after="0"/>
              <w:rPr>
                <w:sz w:val="1"/>
                <w:szCs w:val="1"/>
                <w:color w:val="auto"/>
              </w:rPr>
            </w:pPr>
          </w:p>
        </w:tc>
      </w:tr>
      <w:tr>
        <w:trPr>
          <w:trHeight w:val="20"/>
        </w:trPr>
        <w:tc>
          <w:tcPr>
            <w:tcW w:w="6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Funds from operations available for common shareholders, per diluted share </w:t>
            </w:r>
            <w:r>
              <w:rPr>
                <w:rFonts w:ascii="Times New Roman" w:cs="Times New Roman" w:eastAsia="Times New Roman" w:hAnsi="Times New Roman"/>
                <w:sz w:val="20"/>
                <w:szCs w:val="20"/>
                <w:color w:val="B8BABC"/>
                <w:w w:val="99"/>
              </w:rPr>
              <w:t>............</w:t>
            </w: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840" w:type="dxa"/>
            <w:vAlign w:val="bottom"/>
            <w:vMerge w:val="continue"/>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6.55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5.57</w:t>
            </w:r>
          </w:p>
        </w:tc>
        <w:tc>
          <w:tcPr>
            <w:tcW w:w="0" w:type="dxa"/>
            <w:vAlign w:val="bottom"/>
          </w:tcPr>
          <w:p>
            <w:pPr>
              <w:spacing w:after="0"/>
              <w:rPr>
                <w:sz w:val="1"/>
                <w:szCs w:val="1"/>
                <w:color w:val="auto"/>
              </w:rPr>
            </w:pPr>
          </w:p>
        </w:tc>
      </w:tr>
      <w:tr>
        <w:trPr>
          <w:trHeight w:val="20"/>
        </w:trPr>
        <w:tc>
          <w:tcPr>
            <w:tcW w:w="6840" w:type="dxa"/>
            <w:vAlign w:val="bottom"/>
            <w:vMerge w:val="restart"/>
          </w:tcPr>
          <w:p>
            <w:pPr>
              <w:jc w:val="right"/>
              <w:ind w:right="4641"/>
              <w:spacing w:after="0"/>
              <w:rPr>
                <w:sz w:val="20"/>
                <w:szCs w:val="20"/>
                <w:color w:val="auto"/>
              </w:rPr>
            </w:pPr>
            <w:r>
              <w:rPr>
                <w:rFonts w:ascii="Times New Roman" w:cs="Times New Roman" w:eastAsia="Times New Roman" w:hAnsi="Times New Roman"/>
                <w:sz w:val="20"/>
                <w:szCs w:val="20"/>
                <w:color w:val="231F20"/>
                <w:w w:val="99"/>
              </w:rPr>
              <w:t>_____________________</w:t>
            </w: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84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30" w:right="140" w:hanging="730"/>
        <w:spacing w:after="0" w:line="266" w:lineRule="auto"/>
        <w:tabs>
          <w:tab w:leader="none" w:pos="73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 the years ended December 31, 2023 and 2022, dividends on our Series 1 preferred stock were not deducted in the calculation of FFO available to common shareholders, as the related shares were dilutive and included in "weighted average number of common shares, diluted."</w:t>
      </w:r>
    </w:p>
    <w:p>
      <w:pPr>
        <w:spacing w:after="0" w:line="15" w:lineRule="exact"/>
        <w:rPr>
          <w:rFonts w:ascii="Times New Roman" w:cs="Times New Roman" w:eastAsia="Times New Roman" w:hAnsi="Times New Roman"/>
          <w:sz w:val="20"/>
          <w:szCs w:val="20"/>
          <w:color w:val="231F20"/>
        </w:rPr>
      </w:pPr>
    </w:p>
    <w:p>
      <w:pPr>
        <w:ind w:left="730" w:right="20" w:hanging="730"/>
        <w:spacing w:after="0" w:line="260" w:lineRule="auto"/>
        <w:tabs>
          <w:tab w:leader="none" w:pos="73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2023 and 2021.</w:t>
      </w:r>
    </w:p>
    <w:p>
      <w:pPr>
        <w:spacing w:after="0" w:line="236" w:lineRule="exact"/>
        <w:rPr>
          <w:sz w:val="20"/>
          <w:szCs w:val="20"/>
          <w:color w:val="auto"/>
        </w:rPr>
      </w:pPr>
    </w:p>
    <w:p>
      <w:pPr>
        <w:ind w:left="10"/>
        <w:spacing w:after="0"/>
        <w:tabs>
          <w:tab w:leader="none" w:pos="1050" w:val="left"/>
        </w:tabs>
        <w:rPr>
          <w:sz w:val="20"/>
          <w:szCs w:val="20"/>
          <w:color w:val="auto"/>
        </w:rPr>
      </w:pPr>
      <w:r>
        <w:rPr>
          <w:rFonts w:ascii="Times New Roman" w:cs="Times New Roman" w:eastAsia="Times New Roman" w:hAnsi="Times New Roman"/>
          <w:sz w:val="20"/>
          <w:szCs w:val="20"/>
          <w:b w:val="1"/>
          <w:bCs w:val="1"/>
          <w:color w:val="231F20"/>
        </w:rPr>
        <w:t>ITEM 7A.</w:t>
        <w:tab/>
        <w:t>QUANTITATIVE AND QUALITATIVE DISCLOSURES ABOUT MARKET RISK</w:t>
      </w:r>
    </w:p>
    <w:p>
      <w:pPr>
        <w:spacing w:after="0" w:line="11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231F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44" w:lineRule="exact"/>
        <w:rPr>
          <w:sz w:val="20"/>
          <w:szCs w:val="20"/>
          <w:color w:val="auto"/>
        </w:rPr>
      </w:pPr>
    </w:p>
    <w:p>
      <w:pPr>
        <w:ind w:left="10" w:right="500"/>
        <w:spacing w:after="0" w:line="260" w:lineRule="auto"/>
        <w:rPr>
          <w:sz w:val="20"/>
          <w:szCs w:val="20"/>
          <w:color w:val="auto"/>
        </w:rPr>
      </w:pPr>
      <w:r>
        <w:rPr>
          <w:rFonts w:ascii="Times New Roman" w:cs="Times New Roman" w:eastAsia="Times New Roman" w:hAnsi="Times New Roman"/>
          <w:sz w:val="20"/>
          <w:szCs w:val="20"/>
          <w:color w:val="231F20"/>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Interest Rate Risk</w:t>
      </w:r>
    </w:p>
    <w:p>
      <w:pPr>
        <w:spacing w:after="0" w:line="117"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231F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Fixed Interest Rate Debt</w:t>
      </w:r>
    </w:p>
    <w:p>
      <w:pPr>
        <w:spacing w:after="0" w:line="114"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231F20"/>
        </w:rPr>
        <w:t>The majority of our outstanding debt obligations (maturing at various times through 2059) have fixed interest rates which limit the risk of fluctuating interest rates. However, interest rate fluctuations may affect the fair value of our fixed rate debt instruments. At December 31, 2023, we had $4.0 billion of fixed-rate debt outstanding, including $253.6 million in mortgage</w:t>
      </w:r>
    </w:p>
    <w:p>
      <w:pPr>
        <w:sectPr>
          <w:pgSz w:w="12240" w:h="15840" w:orient="portrait"/>
          <w:cols w:equalWidth="0" w:num="1">
            <w:col w:w="10250"/>
          </w:cols>
          <w:pgMar w:left="990" w:top="633" w:right="1000" w:bottom="0" w:gutter="0" w:footer="0" w:header="0"/>
        </w:sectPr>
      </w:pPr>
    </w:p>
    <w:p>
      <w:pPr>
        <w:spacing w:after="0" w:line="34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47</w:t>
      </w:r>
    </w:p>
    <w:p>
      <w:pPr>
        <w:sectPr>
          <w:pgSz w:w="12240" w:h="15840" w:orient="portrait"/>
          <w:cols w:equalWidth="0" w:num="1">
            <w:col w:w="10250"/>
          </w:cols>
          <w:pgMar w:left="990" w:top="633" w:right="1000" w:bottom="0" w:gutter="0" w:footer="0" w:header="0"/>
          <w:type w:val="continuous"/>
        </w:sectPr>
      </w:pPr>
    </w:p>
    <w:bookmarkStart w:id="55" w:name="page56"/>
    <w:bookmarkEnd w:id="55"/>
    <w:p>
      <w:pPr>
        <w:ind w:right="120"/>
        <w:spacing w:after="0" w:line="258" w:lineRule="auto"/>
        <w:rPr>
          <w:sz w:val="20"/>
          <w:szCs w:val="20"/>
          <w:color w:val="auto"/>
        </w:rPr>
      </w:pPr>
      <w:r>
        <w:rPr>
          <w:rFonts w:ascii="Times New Roman" w:cs="Times New Roman" w:eastAsia="Times New Roman" w:hAnsi="Times New Roman"/>
          <w:sz w:val="20"/>
          <w:szCs w:val="20"/>
          <w:color w:val="231F20"/>
        </w:rPr>
        <w:t>payables that are effectively fixed by five interest rate swap agreements. If market interest rates used to calculate the fair value on our fixed-rate debt instruments at December 31, 2023 had been 1.0% higher, the fair value of those debt instruments on that date would have decreased by approximately $156.9 million. If market interest rates used to calculate the fair value on our fixed-rate debt instruments at December 31, 2023 had been 1.0% lower, the fair value of those debt instruments on that date would have increased by approximately $175.4 million.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Variable Interest Rate Debt</w:t>
      </w:r>
    </w:p>
    <w:p>
      <w:pPr>
        <w:spacing w:after="0" w:line="11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231F20"/>
        </w:rPr>
        <w:t>Generally, we believe that our primary interest rate risk is due to fluctuations in interest rates on our outstanding variable rate debt. At December 31, 2023, we had $600.0 million of variable rate debt outstanding (the principal balance on our unsecured term loan). Based upon this amount of variable rate debt and the specific terms, if market interest rates increased 1.0%, our annual interest expense would increase approximately $6.0 million with a corresponding decrease in our net income and cash flows for the year. Conversely, if market interest rates decreased 1.0%, our annual interest expense would decrease by approximately $6.0 million with a corresponding increase in our net income and cash flows for the year.</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231F20"/>
        </w:rPr>
        <w:t>While no amounts were outstanding at December 31, 2023, we have a $1.25 billion revolving credit facility that bears interest at a variable rate. If we increase our outstanding balance on the revolving credit facility in the future, additional decreases to future earnings and cash flows could occur.</w:t>
      </w:r>
    </w:p>
    <w:p>
      <w:pPr>
        <w:spacing w:after="0" w:line="2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231F20"/>
        </w:rPr>
        <w:t>ITEM 8.</w:t>
      </w:r>
      <w:r>
        <w:rPr>
          <w:sz w:val="20"/>
          <w:szCs w:val="20"/>
          <w:color w:val="auto"/>
        </w:rPr>
        <w:tab/>
      </w:r>
      <w:r>
        <w:rPr>
          <w:rFonts w:ascii="Times New Roman" w:cs="Times New Roman" w:eastAsia="Times New Roman" w:hAnsi="Times New Roman"/>
          <w:sz w:val="19"/>
          <w:szCs w:val="19"/>
          <w:b w:val="1"/>
          <w:bCs w:val="1"/>
          <w:color w:val="231F20"/>
        </w:rPr>
        <w:t>FINANCIAL STATEMENTS AND SUPPLEMENTARY DATA</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231F20"/>
        </w:rPr>
        <w:t>Our consolidated financial statements and supplementary data are included as a separate section of this Annual Report on Form 10-K commencing on page F-1 and are incorporated herein by reference.</w:t>
      </w:r>
    </w:p>
    <w:p>
      <w:pPr>
        <w:spacing w:after="0" w:line="21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8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9A.</w:t>
        <w:tab/>
        <w:t>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Evaluations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31F20"/>
        </w:rPr>
        <w:t>The Trust and the Operating Partnership maintain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 and the Operating Partnership's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231F20"/>
        </w:rPr>
        <w:t>Our management, with the participation of the Trust and the Operating Partnership’s Chief Executive Officer and Chief Financial Officer, evaluated the effectiveness of the design and operation of the Trust and the Operating Partnership’s disclosure controls and procedures as of December 31, 2023. Based on that evaluation, the Trust and the Operating Partnership’s Chief Executive Officer and Chief Financial Officer concluded that, as of December 31, 2023, the Trust and the Operating Partnership’s disclosure controls and procedures were effective at a reasonable assurance level.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Evaluations of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231F20"/>
        </w:rPr>
        <w:t>The Trust and the Operating Partnership’s management is responsible for establishing and maintaining adequate internal control over financial reporting. Internal control over financial reporting is defined in Rule 13a-15(f) and 15d-15(f) under the Exchange Act as a process designed by, or under the supervision of, the Trust and the Operating Partnership’s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30" w:lineRule="exact"/>
        <w:rPr>
          <w:sz w:val="20"/>
          <w:szCs w:val="20"/>
          <w:color w:val="auto"/>
        </w:rPr>
      </w:pPr>
    </w:p>
    <w:p>
      <w:pPr>
        <w:ind w:left="720" w:right="720" w:hanging="370"/>
        <w:spacing w:after="0" w:line="260" w:lineRule="auto"/>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pertain to the maintenance of records that in reasonable detail accurately and fairly reflect our transactions and disposition of our assets;</w:t>
      </w:r>
    </w:p>
    <w:p>
      <w:pPr>
        <w:spacing w:after="0" w:line="1" w:lineRule="exact"/>
        <w:rPr>
          <w:rFonts w:ascii="Times New Roman" w:cs="Times New Roman" w:eastAsia="Times New Roman" w:hAnsi="Times New Roman"/>
          <w:sz w:val="20"/>
          <w:szCs w:val="20"/>
          <w:color w:val="231F20"/>
        </w:rPr>
      </w:pPr>
    </w:p>
    <w:p>
      <w:pPr>
        <w:ind w:left="720" w:right="180" w:hanging="370"/>
        <w:spacing w:after="0" w:line="255" w:lineRule="auto"/>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ectPr>
          <w:pgSz w:w="12240" w:h="15840" w:orient="portrait"/>
          <w:cols w:equalWidth="0" w:num="1">
            <w:col w:w="10260"/>
          </w:cols>
          <w:pgMar w:left="1000" w:top="633" w:right="9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48</w:t>
      </w:r>
    </w:p>
    <w:p>
      <w:pPr>
        <w:sectPr>
          <w:pgSz w:w="12240" w:h="15840" w:orient="portrait"/>
          <w:cols w:equalWidth="0" w:num="1">
            <w:col w:w="10260"/>
          </w:cols>
          <w:pgMar w:left="1000" w:top="633" w:right="980" w:bottom="0" w:gutter="0" w:footer="0" w:header="0"/>
          <w:type w:val="continuous"/>
        </w:sectPr>
      </w:pPr>
    </w:p>
    <w:bookmarkStart w:id="56" w:name="page57"/>
    <w:bookmarkEnd w:id="56"/>
    <w:p>
      <w:pPr>
        <w:ind w:left="720" w:right="180" w:hanging="370"/>
        <w:spacing w:after="0" w:line="309" w:lineRule="auto"/>
        <w:tabs>
          <w:tab w:leader="none" w:pos="720" w:val="left"/>
        </w:tabs>
        <w:numPr>
          <w:ilvl w:val="0"/>
          <w:numId w:val="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provide reasonable assurance regarding prevention or timely detection of unauthorized acquisition, use or disposition of any of our assets in circumstances that could have a material adverse effect on our financial statements.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231F20"/>
        </w:rPr>
        <w:t xml:space="preserve">We assessed the effectiveness of the Trust and the Operating Partnership’s internal control over financial reporting as of December 31, 2023. In making this assessment, we used the criteria set forth by the Committee of Sponsoring Organizations of the Treadway Commission (COSO) in </w:t>
      </w:r>
      <w:r>
        <w:rPr>
          <w:rFonts w:ascii="Times New Roman" w:cs="Times New Roman" w:eastAsia="Times New Roman" w:hAnsi="Times New Roman"/>
          <w:sz w:val="20"/>
          <w:szCs w:val="20"/>
          <w:i w:val="1"/>
          <w:iCs w:val="1"/>
          <w:color w:val="231F20"/>
        </w:rPr>
        <w:t>Internal Control-Integrated Framework (2013)</w:t>
      </w:r>
      <w:r>
        <w:rPr>
          <w:rFonts w:ascii="Times New Roman" w:cs="Times New Roman" w:eastAsia="Times New Roman" w:hAnsi="Times New Roman"/>
          <w:sz w:val="20"/>
          <w:szCs w:val="20"/>
          <w:color w:val="231F20"/>
        </w:rPr>
        <w:t>. Based on that assessment and criteria, management concluded that the Trust and the Operating Partnership's internal control over financial reporting was effective as of December 31, 2023.</w:t>
      </w:r>
    </w:p>
    <w:p>
      <w:pPr>
        <w:spacing w:after="0" w:line="8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231F20"/>
        </w:rPr>
        <w:t>Grant Thornton LLP, the independent registered public accounting firm that audited the Trust and the Operating Partnership's consolidated financial statements included in this Annual Report on Form 10-K, has issued an attestation report on the Trust and the Operating Partnership's internal control over financial reporting, which appears on page F-2 of this Annual Report on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1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231F20"/>
        </w:rPr>
        <w:t>There was no change in our internal control over financial reporting during our fourth fiscal quarter of 2023 that materially affected, or is reasonably likely to materially affect, our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231F20"/>
        </w:rPr>
        <w:t>ITEM 9B.</w:t>
      </w:r>
      <w:r>
        <w:rPr>
          <w:sz w:val="20"/>
          <w:szCs w:val="20"/>
          <w:color w:val="auto"/>
        </w:rPr>
        <w:tab/>
      </w:r>
      <w:r>
        <w:rPr>
          <w:rFonts w:ascii="Times New Roman" w:cs="Times New Roman" w:eastAsia="Times New Roman" w:hAnsi="Times New Roman"/>
          <w:sz w:val="19"/>
          <w:szCs w:val="19"/>
          <w:b w:val="1"/>
          <w:bCs w:val="1"/>
          <w:color w:val="231F20"/>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ectPr>
          <w:pgSz w:w="12240" w:h="15840" w:orient="portrait"/>
          <w:cols w:equalWidth="0" w:num="1">
            <w:col w:w="10260"/>
          </w:cols>
          <w:pgMar w:left="1000" w:top="6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49</w:t>
      </w:r>
    </w:p>
    <w:p>
      <w:pPr>
        <w:sectPr>
          <w:pgSz w:w="12240" w:h="15840" w:orient="portrait"/>
          <w:cols w:equalWidth="0" w:num="1">
            <w:col w:w="10260"/>
          </w:cols>
          <w:pgMar w:left="1000" w:top="633" w:right="980" w:bottom="0" w:gutter="0" w:footer="0" w:header="0"/>
          <w:type w:val="continuous"/>
        </w:sectPr>
      </w:pPr>
    </w:p>
    <w:bookmarkStart w:id="57" w:name="page58"/>
    <w:bookmarkEnd w:id="57"/>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19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Certain information required in Part III is omitted from this Report but is incorporated herein by reference from our Proxy Statement for the 2024 Annual Meeting of Shareholders (as amended or supplemented, the “Proxy Statement”).</w:t>
      </w: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231F20"/>
        </w:rPr>
        <w:t>ITEM 10.</w:t>
      </w:r>
      <w:r>
        <w:rPr>
          <w:sz w:val="20"/>
          <w:szCs w:val="20"/>
          <w:color w:val="auto"/>
        </w:rPr>
        <w:tab/>
      </w:r>
      <w:r>
        <w:rPr>
          <w:rFonts w:ascii="Times New Roman" w:cs="Times New Roman" w:eastAsia="Times New Roman" w:hAnsi="Times New Roman"/>
          <w:sz w:val="19"/>
          <w:szCs w:val="19"/>
          <w:b w:val="1"/>
          <w:bCs w:val="1"/>
          <w:color w:val="231F20"/>
        </w:rPr>
        <w:t>TRUSTEES, EXECUTIVE OFFICERS AND CORPORATE GOVERNANCE</w:t>
      </w:r>
    </w:p>
    <w:p>
      <w:pPr>
        <w:spacing w:after="0" w:line="11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20"/>
          <w:szCs w:val="20"/>
          <w:color w:val="231F20"/>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43" w:lineRule="exact"/>
        <w:rPr>
          <w:sz w:val="20"/>
          <w:szCs w:val="20"/>
          <w:color w:val="auto"/>
        </w:rPr>
      </w:pPr>
    </w:p>
    <w:p>
      <w:pPr>
        <w:jc w:val="both"/>
        <w:ind w:right="100"/>
        <w:spacing w:after="0" w:line="309" w:lineRule="auto"/>
        <w:rPr>
          <w:sz w:val="20"/>
          <w:szCs w:val="20"/>
          <w:color w:val="auto"/>
        </w:rPr>
      </w:pPr>
      <w:r>
        <w:rPr>
          <w:rFonts w:ascii="Times New Roman" w:cs="Times New Roman" w:eastAsia="Times New Roman" w:hAnsi="Times New Roman"/>
          <w:sz w:val="19"/>
          <w:szCs w:val="19"/>
          <w:color w:val="231F20"/>
        </w:rPr>
        <w:t xml:space="preserve">We have adopted a Code of Ethics, which is applicable to our Chief Executive Officer and senior financial officers. The Code of Ethics is available in the Corporate Governance section of the Investors section of our website at </w:t>
      </w:r>
      <w:r>
        <w:rPr>
          <w:rFonts w:ascii="Times New Roman" w:cs="Times New Roman" w:eastAsia="Times New Roman" w:hAnsi="Times New Roman"/>
          <w:sz w:val="19"/>
          <w:szCs w:val="19"/>
          <w:i w:val="1"/>
          <w:iCs w:val="1"/>
          <w:color w:val="231F20"/>
        </w:rPr>
        <w:t>www.federalrealty.com</w:t>
      </w:r>
      <w:r>
        <w:rPr>
          <w:rFonts w:ascii="Times New Roman" w:cs="Times New Roman" w:eastAsia="Times New Roman" w:hAnsi="Times New Roman"/>
          <w:sz w:val="19"/>
          <w:szCs w:val="19"/>
          <w:color w:val="231F20"/>
        </w:rPr>
        <w:t>.</w:t>
      </w:r>
    </w:p>
    <w:p>
      <w:pPr>
        <w:spacing w:after="0" w:line="9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231F20"/>
        </w:rPr>
        <w:t>We have adopted an insider trading policy and related procedures governing the purchase, sale, and other dispositions of our securities that we believe are reasonably designed to promote compliance with insider trading laws, rules and regulations and any NYSE listing standards applicable to us.</w:t>
      </w:r>
    </w:p>
    <w:p>
      <w:pPr>
        <w:spacing w:after="0" w:line="2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231F20"/>
        </w:rPr>
        <w:t>ITEM 11.</w:t>
        <w:tab/>
        <w:t>EXECUTIVE COMPENSATION</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231F20"/>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1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SHAREHOLDER MATTERS</w:t>
      </w:r>
    </w:p>
    <w:p>
      <w:pPr>
        <w:spacing w:after="0" w:line="3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231F20"/>
        </w:rPr>
        <w:t>The sections of the Proxy Statement entitled “Share Ownership” and “Equity Compensation Plan Information” and other information included in the Proxy Statement required by this Item 12 are incorporated herein by reference.</w:t>
      </w: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231F20"/>
        </w:rPr>
        <w:t>ITEM 13.</w:t>
      </w:r>
      <w:r>
        <w:rPr>
          <w:sz w:val="20"/>
          <w:szCs w:val="20"/>
          <w:color w:val="auto"/>
        </w:rPr>
        <w:tab/>
      </w:r>
      <w:r>
        <w:rPr>
          <w:rFonts w:ascii="Times New Roman" w:cs="Times New Roman" w:eastAsia="Times New Roman" w:hAnsi="Times New Roman"/>
          <w:sz w:val="19"/>
          <w:szCs w:val="19"/>
          <w:b w:val="1"/>
          <w:bCs w:val="1"/>
          <w:color w:val="231F20"/>
        </w:rPr>
        <w:t>CERTAIN RELATIONSHIPS AND RELATED TRANSACTIONS, AND TRUSTEE INDEPENDENCE</w:t>
      </w:r>
    </w:p>
    <w:p>
      <w:pPr>
        <w:spacing w:after="0" w:line="117"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color w:val="231F20"/>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231F20"/>
        </w:rPr>
        <w:t>ITEM 14.</w:t>
        <w:tab/>
        <w:t>PRINCIPAL ACCOUNTANT FEES AND SERVICES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231F20"/>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8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231F20"/>
        </w:rPr>
        <w:t>ITEM 15.</w:t>
      </w:r>
      <w:r>
        <w:rPr>
          <w:sz w:val="20"/>
          <w:szCs w:val="20"/>
          <w:color w:val="auto"/>
        </w:rPr>
        <w:tab/>
      </w:r>
      <w:r>
        <w:rPr>
          <w:rFonts w:ascii="Times New Roman" w:cs="Times New Roman" w:eastAsia="Times New Roman" w:hAnsi="Times New Roman"/>
          <w:sz w:val="19"/>
          <w:szCs w:val="19"/>
          <w:b w:val="1"/>
          <w:bCs w:val="1"/>
          <w:color w:val="231F20"/>
        </w:rPr>
        <w:t>EXHIBITS AND FINANCIAL STATEMENT SCHEDULES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(a)(1) Financial Statements</w:t>
      </w:r>
    </w:p>
    <w:p>
      <w:pPr>
        <w:spacing w:after="0" w:line="34" w:lineRule="exact"/>
        <w:rPr>
          <w:sz w:val="20"/>
          <w:szCs w:val="20"/>
          <w:color w:val="auto"/>
        </w:rPr>
      </w:pPr>
    </w:p>
    <w:p>
      <w:pPr>
        <w:ind w:left="60" w:right="900"/>
        <w:spacing w:after="0" w:line="303" w:lineRule="auto"/>
        <w:rPr>
          <w:sz w:val="20"/>
          <w:szCs w:val="20"/>
          <w:color w:val="auto"/>
        </w:rPr>
      </w:pPr>
      <w:r>
        <w:rPr>
          <w:rFonts w:ascii="Times New Roman" w:cs="Times New Roman" w:eastAsia="Times New Roman" w:hAnsi="Times New Roman"/>
          <w:sz w:val="19"/>
          <w:szCs w:val="19"/>
          <w:color w:val="231F20"/>
        </w:rPr>
        <w:t>Our consolidated financial statements and notes thereto, together with Reports of Independent Registered Public Accounting Firm are included as a separate section of this Annual Report on Form 10-K commencing on page F-1.</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(2) Financial Statement Schedules</w:t>
      </w:r>
    </w:p>
    <w:p>
      <w:pPr>
        <w:spacing w:after="0" w:line="108" w:lineRule="exact"/>
        <w:rPr>
          <w:sz w:val="20"/>
          <w:szCs w:val="20"/>
          <w:color w:val="auto"/>
        </w:rPr>
      </w:pPr>
    </w:p>
    <w:p>
      <w:pPr>
        <w:ind w:left="60" w:right="640"/>
        <w:spacing w:after="0"/>
        <w:rPr>
          <w:sz w:val="20"/>
          <w:szCs w:val="20"/>
          <w:color w:val="auto"/>
        </w:rPr>
      </w:pPr>
      <w:r>
        <w:rPr>
          <w:rFonts w:ascii="Times New Roman" w:cs="Times New Roman" w:eastAsia="Times New Roman" w:hAnsi="Times New Roman"/>
          <w:sz w:val="20"/>
          <w:szCs w:val="20"/>
          <w:color w:val="231F20"/>
        </w:rPr>
        <w:t>Our financial statement schedules are included in a separate section of this Annual Report on Form 10-K commencing on page F-40.</w:t>
      </w: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(3) Exhibits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(b) The following documents are filed as exhibits are filed as part of, or incorporated by reference info, this report:</w:t>
      </w:r>
    </w:p>
    <w:p>
      <w:pPr>
        <w:sectPr>
          <w:pgSz w:w="12240" w:h="15840" w:orient="portrait"/>
          <w:cols w:equalWidth="0" w:num="1">
            <w:col w:w="10160"/>
          </w:cols>
          <w:pgMar w:left="1000" w:top="62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50</w:t>
      </w:r>
    </w:p>
    <w:p>
      <w:pPr>
        <w:sectPr>
          <w:pgSz w:w="12240" w:h="15840" w:orient="portrait"/>
          <w:cols w:equalWidth="0" w:num="1">
            <w:col w:w="10160"/>
          </w:cols>
          <w:pgMar w:left="1000" w:top="626" w:right="1080" w:bottom="0" w:gutter="0" w:footer="0" w:header="0"/>
          <w:type w:val="continuous"/>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EXHIBIT INDEX</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p>
      <w:pPr>
        <w:ind w:left="160"/>
        <w:spacing w:after="0"/>
        <w:tabs>
          <w:tab w:leader="none" w:pos="720" w:val="left"/>
        </w:tabs>
        <w:rPr>
          <w:sz w:val="20"/>
          <w:szCs w:val="20"/>
          <w:color w:val="auto"/>
        </w:rPr>
      </w:pPr>
      <w:r>
        <w:rPr>
          <w:rFonts w:ascii="Times New Roman" w:cs="Times New Roman" w:eastAsia="Times New Roman" w:hAnsi="Times New Roman"/>
          <w:sz w:val="16"/>
          <w:szCs w:val="16"/>
          <w:b w:val="1"/>
          <w:bCs w:val="1"/>
          <w:color w:val="231F20"/>
        </w:rPr>
        <w:t>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8255</wp:posOffset>
            </wp:positionV>
            <wp:extent cx="649605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6496050" cy="12700"/>
                    </a:xfrm>
                    <a:prstGeom prst="rect">
                      <a:avLst/>
                    </a:prstGeom>
                    <a:noFill/>
                  </pic:spPr>
                </pic:pic>
              </a:graphicData>
            </a:graphic>
          </wp:anchor>
        </w:drawing>
      </w:r>
    </w:p>
    <w:p>
      <w:pPr>
        <w:spacing w:after="0" w:line="69" w:lineRule="exact"/>
        <w:rPr>
          <w:sz w:val="20"/>
          <w:szCs w:val="20"/>
          <w:color w:val="auto"/>
        </w:rPr>
      </w:pPr>
    </w:p>
    <w:p>
      <w:pPr>
        <w:jc w:val="both"/>
        <w:ind w:left="740" w:right="2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2.1</w:t>
      </w:r>
      <w:r>
        <w:rPr>
          <w:sz w:val="20"/>
          <w:szCs w:val="20"/>
          <w:color w:val="auto"/>
        </w:rPr>
        <w:tab/>
      </w:r>
      <w:r>
        <w:rPr>
          <w:rFonts w:ascii="Times New Roman" w:cs="Times New Roman" w:eastAsia="Times New Roman" w:hAnsi="Times New Roman"/>
          <w:sz w:val="20"/>
          <w:szCs w:val="20"/>
          <w:color w:val="231F20"/>
        </w:rPr>
        <w:t>Merger Agreement and Plan of Reorganization, dated December 2, 2021, by and among the Predecessor, the Parent Company, and Merger Sub (previously filed as Exhibit 2.1 to the Predecessor's Current Report on Form 8-K filed on December 2, 2021 and incorporated herein by reference) ‡</w:t>
      </w:r>
    </w:p>
    <w:p>
      <w:pPr>
        <w:spacing w:after="0" w:line="77" w:lineRule="exact"/>
        <w:rPr>
          <w:sz w:val="20"/>
          <w:szCs w:val="20"/>
          <w:color w:val="auto"/>
        </w:rPr>
      </w:pPr>
    </w:p>
    <w:p>
      <w:pPr>
        <w:jc w:val="both"/>
        <w:ind w:left="740" w:right="40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3.1</w:t>
      </w:r>
      <w:r>
        <w:rPr>
          <w:sz w:val="20"/>
          <w:szCs w:val="20"/>
          <w:color w:val="auto"/>
        </w:rPr>
        <w:tab/>
      </w:r>
      <w:r>
        <w:rPr>
          <w:rFonts w:ascii="Times New Roman" w:cs="Times New Roman" w:eastAsia="Times New Roman" w:hAnsi="Times New Roman"/>
          <w:sz w:val="20"/>
          <w:szCs w:val="20"/>
          <w:color w:val="231F20"/>
        </w:rPr>
        <w:t>Amended and Restated Declaration of Trust of the Parent Company dated January 1, 2022, as amended by the Articles of Amendment effective as of January 1, 2022 and Articles of Amendment effective as of May 4, 2023 (previously filed as Exhibit 3.1 to our Quarterly Report on Form 10-Q filed on August 2, 2023 and incorporated herein by reference)</w:t>
      </w:r>
    </w:p>
    <w:p>
      <w:pPr>
        <w:spacing w:after="0" w:line="86" w:lineRule="exact"/>
        <w:rPr>
          <w:sz w:val="20"/>
          <w:szCs w:val="20"/>
          <w:color w:val="auto"/>
        </w:rPr>
      </w:pPr>
    </w:p>
    <w:p>
      <w:pPr>
        <w:ind w:left="740" w:right="6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3.2</w:t>
      </w:r>
      <w:r>
        <w:rPr>
          <w:sz w:val="20"/>
          <w:szCs w:val="20"/>
          <w:color w:val="auto"/>
        </w:rPr>
        <w:tab/>
      </w:r>
      <w:r>
        <w:rPr>
          <w:rFonts w:ascii="Times New Roman" w:cs="Times New Roman" w:eastAsia="Times New Roman" w:hAnsi="Times New Roman"/>
          <w:sz w:val="20"/>
          <w:szCs w:val="20"/>
          <w:color w:val="231F20"/>
        </w:rPr>
        <w:t>Amended and Restated Bylaws of the Parent Company dated January 1, 2022, as amended February 7, 2023 (previously filed as Exhibit 3.1 to our Quarterly Report on Form 10-Q filed on May 4, 2023 and incorporated herein by reference)</w:t>
      </w:r>
    </w:p>
    <w:p>
      <w:pPr>
        <w:spacing w:after="0" w:line="62" w:lineRule="exact"/>
        <w:rPr>
          <w:sz w:val="20"/>
          <w:szCs w:val="20"/>
          <w:color w:val="auto"/>
        </w:rPr>
      </w:pPr>
    </w:p>
    <w:p>
      <w:pPr>
        <w:ind w:left="740" w:right="18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3.3</w:t>
      </w:r>
      <w:r>
        <w:rPr>
          <w:sz w:val="20"/>
          <w:szCs w:val="20"/>
          <w:color w:val="auto"/>
        </w:rPr>
        <w:tab/>
      </w:r>
      <w:r>
        <w:rPr>
          <w:rFonts w:ascii="Times New Roman" w:cs="Times New Roman" w:eastAsia="Times New Roman" w:hAnsi="Times New Roman"/>
          <w:sz w:val="20"/>
          <w:szCs w:val="20"/>
          <w:color w:val="231F20"/>
        </w:rPr>
        <w:t>Articles of Merger, dated December 8, 2021, by and among Merger Sub and the Predecessor (previously filed as Exhibit 3.4 to the Parent Company's Current Report on Form 8-K filed on January 3, 2022 and incorporated herein by reference)</w:t>
      </w:r>
    </w:p>
    <w:p>
      <w:pPr>
        <w:spacing w:after="0" w:line="77" w:lineRule="exact"/>
        <w:rPr>
          <w:sz w:val="20"/>
          <w:szCs w:val="20"/>
          <w:color w:val="auto"/>
        </w:rPr>
      </w:pPr>
    </w:p>
    <w:p>
      <w:pPr>
        <w:ind w:left="740" w:right="60" w:hanging="749"/>
        <w:spacing w:after="0"/>
        <w:tabs>
          <w:tab w:leader="none" w:pos="720" w:val="left"/>
        </w:tabs>
        <w:rPr>
          <w:sz w:val="20"/>
          <w:szCs w:val="20"/>
          <w:color w:val="auto"/>
        </w:rPr>
      </w:pPr>
      <w:r>
        <w:rPr>
          <w:rFonts w:ascii="Times New Roman" w:cs="Times New Roman" w:eastAsia="Times New Roman" w:hAnsi="Times New Roman"/>
          <w:sz w:val="20"/>
          <w:szCs w:val="20"/>
          <w:color w:val="231F20"/>
        </w:rPr>
        <w:t>3.4</w:t>
      </w:r>
      <w:r>
        <w:rPr>
          <w:sz w:val="20"/>
          <w:szCs w:val="20"/>
          <w:color w:val="auto"/>
        </w:rPr>
        <w:tab/>
      </w:r>
      <w:r>
        <w:rPr>
          <w:rFonts w:ascii="Times New Roman" w:cs="Times New Roman" w:eastAsia="Times New Roman" w:hAnsi="Times New Roman"/>
          <w:sz w:val="20"/>
          <w:szCs w:val="20"/>
          <w:color w:val="231F20"/>
        </w:rPr>
        <w:t>Certificate of Limited Partnership of Federal Realty OP LP (previously filed as Exhibit 3.1 to our Current Report on Form 8-K filed on January 5, 2022 and incorporated herein by reference)</w:t>
      </w:r>
    </w:p>
    <w:p>
      <w:pPr>
        <w:spacing w:after="0" w:line="65" w:lineRule="exact"/>
        <w:rPr>
          <w:sz w:val="20"/>
          <w:szCs w:val="20"/>
          <w:color w:val="auto"/>
        </w:rPr>
      </w:pPr>
    </w:p>
    <w:p>
      <w:pPr>
        <w:ind w:left="74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3.5</w:t>
      </w:r>
      <w:r>
        <w:rPr>
          <w:sz w:val="20"/>
          <w:szCs w:val="20"/>
          <w:color w:val="auto"/>
        </w:rPr>
        <w:tab/>
      </w:r>
      <w:r>
        <w:rPr>
          <w:rFonts w:ascii="Times New Roman" w:cs="Times New Roman" w:eastAsia="Times New Roman" w:hAnsi="Times New Roman"/>
          <w:sz w:val="20"/>
          <w:szCs w:val="20"/>
          <w:color w:val="231F20"/>
        </w:rPr>
        <w:t>Agreement of Limited Partnership of Federal Realty OP LP, dated as of January 5, 2022, by and between Federal Realty GP LLC and the Parent Company (Previously filed as Exhibit 3.2 to our Current Report on Form 8-K filed on January 5, 2022 and incorporated herein by reference)</w:t>
      </w:r>
    </w:p>
    <w:p>
      <w:pPr>
        <w:spacing w:after="0" w:line="77" w:lineRule="exact"/>
        <w:rPr>
          <w:sz w:val="20"/>
          <w:szCs w:val="20"/>
          <w:color w:val="auto"/>
        </w:rPr>
      </w:pPr>
    </w:p>
    <w:p>
      <w:pPr>
        <w:ind w:left="740" w:right="720" w:hanging="749"/>
        <w:spacing w:after="0"/>
        <w:tabs>
          <w:tab w:leader="none" w:pos="720" w:val="left"/>
        </w:tabs>
        <w:rPr>
          <w:sz w:val="20"/>
          <w:szCs w:val="20"/>
          <w:color w:val="auto"/>
        </w:rPr>
      </w:pPr>
      <w:r>
        <w:rPr>
          <w:rFonts w:ascii="Times New Roman" w:cs="Times New Roman" w:eastAsia="Times New Roman" w:hAnsi="Times New Roman"/>
          <w:sz w:val="20"/>
          <w:szCs w:val="20"/>
          <w:color w:val="231F20"/>
        </w:rPr>
        <w:t>4.1</w:t>
      </w:r>
      <w:r>
        <w:rPr>
          <w:sz w:val="20"/>
          <w:szCs w:val="20"/>
          <w:color w:val="auto"/>
        </w:rPr>
        <w:tab/>
      </w:r>
      <w:r>
        <w:rPr>
          <w:rFonts w:ascii="Times New Roman" w:cs="Times New Roman" w:eastAsia="Times New Roman" w:hAnsi="Times New Roman"/>
          <w:sz w:val="20"/>
          <w:szCs w:val="20"/>
          <w:color w:val="231F20"/>
        </w:rPr>
        <w:t>Specimen Common Share certificate (previously filed as Exhibit 4(i) to the Predecessor’s Annual Report on Form 10-K for the year ended December 31, 1999 and incorporated herein by reference)</w:t>
      </w:r>
    </w:p>
    <w:p>
      <w:pPr>
        <w:spacing w:after="0" w:line="110" w:lineRule="exact"/>
        <w:rPr>
          <w:sz w:val="20"/>
          <w:szCs w:val="20"/>
          <w:color w:val="auto"/>
        </w:rPr>
      </w:pPr>
    </w:p>
    <w:p>
      <w:pPr>
        <w:ind w:left="740" w:right="4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4.2</w:t>
      </w:r>
      <w:r>
        <w:rPr>
          <w:sz w:val="20"/>
          <w:szCs w:val="20"/>
          <w:color w:val="auto"/>
        </w:rPr>
        <w:tab/>
      </w:r>
      <w:r>
        <w:rPr>
          <w:rFonts w:ascii="Times New Roman" w:cs="Times New Roman" w:eastAsia="Times New Roman" w:hAnsi="Times New Roman"/>
          <w:sz w:val="20"/>
          <w:szCs w:val="20"/>
          <w:color w:val="231F20"/>
        </w:rPr>
        <w:t>† Indenture dated December 1, 1993 related to the Partnership’s 7.48% Debentures due August 15, 2026; and 6.82% Medium Term Notes due August 1, 2027; (previously filed as Exhibit 4(a) to the Predecessor’s Registration Statement on Form S-3, and amended on Form S-3, filed on December 13, 1993 and incorporated herein by reference) ‡</w:t>
      </w:r>
    </w:p>
    <w:p>
      <w:pPr>
        <w:spacing w:after="0" w:line="116" w:lineRule="exact"/>
        <w:rPr>
          <w:sz w:val="20"/>
          <w:szCs w:val="20"/>
          <w:color w:val="auto"/>
        </w:rPr>
      </w:pPr>
    </w:p>
    <w:p>
      <w:pPr>
        <w:ind w:left="740" w:right="18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4.3</w:t>
      </w:r>
      <w:r>
        <w:rPr>
          <w:sz w:val="20"/>
          <w:szCs w:val="20"/>
          <w:color w:val="auto"/>
        </w:rPr>
        <w:tab/>
      </w:r>
      <w:r>
        <w:rPr>
          <w:rFonts w:ascii="Times New Roman" w:cs="Times New Roman" w:eastAsia="Times New Roman" w:hAnsi="Times New Roman"/>
          <w:sz w:val="20"/>
          <w:szCs w:val="20"/>
          <w:color w:val="231F20"/>
        </w:rPr>
        <w:t>† Indenture dated September 1, 1998 related to the Partnership’s 2.75% Notes due 2023; 3.95% Notes due 2024; 4.50% Notes due 2044; 2.55% Notes due 2021; 3.625% Notes due 2046; 3.25% Notes due 2027; 3.20% Notes due 2029; 3.50% Notes due 2030; 1.25% Notes due 2026 (previously filed as Exhibit 4(a) to the Predecessor’s Registration Statement on Form S-3 filed on September 17, 1998 and incorporated herein by reference) ‡</w:t>
      </w:r>
    </w:p>
    <w:p>
      <w:pPr>
        <w:spacing w:after="0" w:line="71" w:lineRule="exact"/>
        <w:rPr>
          <w:sz w:val="20"/>
          <w:szCs w:val="20"/>
          <w:color w:val="auto"/>
        </w:rPr>
      </w:pPr>
    </w:p>
    <w:p>
      <w:pPr>
        <w:ind w:left="740" w:right="40" w:hanging="749"/>
        <w:spacing w:after="0" w:line="236" w:lineRule="auto"/>
        <w:tabs>
          <w:tab w:leader="none" w:pos="720" w:val="left"/>
        </w:tabs>
        <w:rPr>
          <w:sz w:val="20"/>
          <w:szCs w:val="20"/>
          <w:color w:val="auto"/>
        </w:rPr>
      </w:pPr>
      <w:r>
        <w:rPr>
          <w:rFonts w:ascii="Times New Roman" w:cs="Times New Roman" w:eastAsia="Times New Roman" w:hAnsi="Times New Roman"/>
          <w:sz w:val="20"/>
          <w:szCs w:val="20"/>
          <w:color w:val="231F20"/>
        </w:rPr>
        <w:t>4.4</w:t>
      </w:r>
      <w:r>
        <w:rPr>
          <w:sz w:val="20"/>
          <w:szCs w:val="20"/>
          <w:color w:val="auto"/>
        </w:rPr>
        <w:tab/>
      </w:r>
      <w:r>
        <w:rPr>
          <w:rFonts w:ascii="Times New Roman" w:cs="Times New Roman" w:eastAsia="Times New Roman" w:hAnsi="Times New Roman"/>
          <w:sz w:val="19"/>
          <w:szCs w:val="19"/>
          <w:color w:val="231F20"/>
        </w:rPr>
        <w:t>† First Supplemental Indenture, dated as of January 5, 2022, by and between Federal Realty OP LP and U.S. Bank National Association, with respect to the Partnership's Indenture dated December 1, 1993 related to the Partnership's 7.48% Debentures due August 15, 2026 and 6.82% Medium Term Notes due August 1, 2027 (previously filed as Exhibit 4.1 to our Current Report on Form 8-K filed on January 5, 2022 and incorporated herein by reference)</w:t>
      </w:r>
    </w:p>
    <w:p>
      <w:pPr>
        <w:spacing w:after="0" w:line="101" w:lineRule="exact"/>
        <w:rPr>
          <w:sz w:val="20"/>
          <w:szCs w:val="20"/>
          <w:color w:val="auto"/>
        </w:rPr>
      </w:pPr>
    </w:p>
    <w:p>
      <w:pPr>
        <w:ind w:left="740" w:hanging="749"/>
        <w:spacing w:after="0" w:line="219" w:lineRule="auto"/>
        <w:tabs>
          <w:tab w:leader="none" w:pos="720" w:val="left"/>
        </w:tabs>
        <w:rPr>
          <w:sz w:val="20"/>
          <w:szCs w:val="20"/>
          <w:color w:val="auto"/>
        </w:rPr>
      </w:pPr>
      <w:r>
        <w:rPr>
          <w:rFonts w:ascii="Times New Roman" w:cs="Times New Roman" w:eastAsia="Times New Roman" w:hAnsi="Times New Roman"/>
          <w:sz w:val="20"/>
          <w:szCs w:val="20"/>
          <w:color w:val="231F20"/>
        </w:rPr>
        <w:t>4.5</w:t>
      </w:r>
      <w:r>
        <w:rPr>
          <w:sz w:val="20"/>
          <w:szCs w:val="20"/>
          <w:color w:val="auto"/>
        </w:rPr>
        <w:tab/>
      </w:r>
      <w:r>
        <w:rPr>
          <w:rFonts w:ascii="Times New Roman" w:cs="Times New Roman" w:eastAsia="Times New Roman" w:hAnsi="Times New Roman"/>
          <w:sz w:val="20"/>
          <w:szCs w:val="20"/>
          <w:color w:val="231F20"/>
        </w:rPr>
        <w:t>† First Supplemental Indenture, dated as of January 5, 2022, by and between Federal Realty OP LP and U.S. Bank National Association, with respect to the Partnership's Indenture dated September 1, 1998 related to the Partnership's 2.75% Notes due 2023; 3.95% Notes due 2024; 4.50% Notes due 2044; 2.55% Notes due 2021; 3.625% Notes due 2046; 3.25% Notes due 2027; 3.20% Notes due 2029; 3.50% Notes due 2030; 1.25% Notes due 2026; 5.375% Notes due 2028 (previously filed as Exhibit 4.2 to our Current Report on Form 8-K filed on January 5, 2022 and incorporated herein by reference)</w:t>
      </w:r>
    </w:p>
    <w:p>
      <w:pPr>
        <w:spacing w:after="0" w:line="61" w:lineRule="exact"/>
        <w:rPr>
          <w:sz w:val="20"/>
          <w:szCs w:val="20"/>
          <w:color w:val="auto"/>
        </w:rPr>
      </w:pPr>
    </w:p>
    <w:p>
      <w:pPr>
        <w:ind w:left="740" w:right="10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4.6</w:t>
      </w:r>
      <w:r>
        <w:rPr>
          <w:sz w:val="20"/>
          <w:szCs w:val="20"/>
          <w:color w:val="auto"/>
        </w:rPr>
        <w:tab/>
      </w:r>
      <w:r>
        <w:rPr>
          <w:rFonts w:ascii="Times New Roman" w:cs="Times New Roman" w:eastAsia="Times New Roman" w:hAnsi="Times New Roman"/>
          <w:sz w:val="20"/>
          <w:szCs w:val="20"/>
          <w:color w:val="231F20"/>
        </w:rPr>
        <w:t>Deposit Agreement, dated as of September 29, 2017, by and among Federal Realty Investment Trust, Equiniti Trust Company, LLC (successor to American Stock Transfer and Trust Company, LLC), as Depositary, and all holders from time to time of Receipt (previously filed as Exhibit 4.1 to the Predecessor's Registration Statement on Form 8-A, filed on September 29, 2017 and incorporated herein by reference)</w:t>
      </w:r>
    </w:p>
    <w:p>
      <w:pPr>
        <w:spacing w:after="0" w:line="56" w:lineRule="exact"/>
        <w:rPr>
          <w:sz w:val="20"/>
          <w:szCs w:val="20"/>
          <w:color w:val="auto"/>
        </w:rPr>
      </w:pPr>
    </w:p>
    <w:p>
      <w:pPr>
        <w:ind w:left="740" w:right="4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4.7</w:t>
      </w:r>
      <w:r>
        <w:rPr>
          <w:sz w:val="20"/>
          <w:szCs w:val="20"/>
          <w:color w:val="auto"/>
        </w:rPr>
        <w:tab/>
      </w:r>
      <w:r>
        <w:rPr>
          <w:rFonts w:ascii="Times New Roman" w:cs="Times New Roman" w:eastAsia="Times New Roman" w:hAnsi="Times New Roman"/>
          <w:sz w:val="20"/>
          <w:szCs w:val="20"/>
          <w:color w:val="231F20"/>
        </w:rPr>
        <w:t>Specimen certificate relating to the 5.000% Series C Cumulative Redeemable Preferred Shares of Beneficial Interest (previously filed as Exhibit 4.3 to the Predecessor's Registration Statement on Form 8-A, filed on September 29, 2017 and incorporated herein by reference)</w:t>
      </w:r>
    </w:p>
    <w:p>
      <w:pPr>
        <w:spacing w:after="0" w:line="122" w:lineRule="exact"/>
        <w:rPr>
          <w:sz w:val="20"/>
          <w:szCs w:val="20"/>
          <w:color w:val="auto"/>
        </w:rPr>
      </w:pPr>
    </w:p>
    <w:p>
      <w:pPr>
        <w:ind w:left="740" w:right="20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4.8</w:t>
      </w:r>
      <w:r>
        <w:rPr>
          <w:sz w:val="20"/>
          <w:szCs w:val="20"/>
          <w:color w:val="auto"/>
        </w:rPr>
        <w:tab/>
      </w:r>
      <w:r>
        <w:rPr>
          <w:rFonts w:ascii="Times New Roman" w:cs="Times New Roman" w:eastAsia="Times New Roman" w:hAnsi="Times New Roman"/>
          <w:sz w:val="20"/>
          <w:szCs w:val="20"/>
          <w:color w:val="231F20"/>
        </w:rPr>
        <w:t>† Indenture dated January 11, 2024 related to the 3.25% Exchangeable Senior Notes due 2029, by and between Federal Realty OP LP and U.S. Bank National Association (previously filed as Exhibit 4.1 to our current report on Form 8-K filed on January 11, 2023 and incorporated herein by reference)</w:t>
      </w:r>
    </w:p>
    <w:p>
      <w:pPr>
        <w:spacing w:after="0" w:line="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231F20"/>
        </w:rPr>
        <w:t>4.9</w:t>
      </w:r>
      <w:r>
        <w:rPr>
          <w:sz w:val="20"/>
          <w:szCs w:val="20"/>
          <w:color w:val="auto"/>
        </w:rPr>
        <w:tab/>
      </w:r>
      <w:r>
        <w:rPr>
          <w:rFonts w:ascii="Times New Roman" w:cs="Times New Roman" w:eastAsia="Times New Roman" w:hAnsi="Times New Roman"/>
          <w:sz w:val="20"/>
          <w:szCs w:val="20"/>
          <w:color w:val="231F20"/>
        </w:rPr>
        <w:t>Description of Securities (filed herewith)</w:t>
      </w:r>
    </w:p>
    <w:p>
      <w:pPr>
        <w:spacing w:after="0" w:line="115" w:lineRule="exact"/>
        <w:rPr>
          <w:sz w:val="20"/>
          <w:szCs w:val="20"/>
          <w:color w:val="auto"/>
        </w:rPr>
      </w:pPr>
    </w:p>
    <w:p>
      <w:pPr>
        <w:ind w:left="74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20"/>
          <w:szCs w:val="20"/>
          <w:color w:val="231F20"/>
        </w:rPr>
        <w:t>* Severance Agreement between Federal Realty Investment Trust and Donald C. Wood dated February 22, 1999 (previously filed as a portion of Exhibit 10 to the Predecessor's Quarterly Report on Form 10-Q for the quarter ended March 31, 1999 (the "1999 1Q Form 10-Q") and incorporated herein by reference)</w:t>
      </w:r>
    </w:p>
    <w:p>
      <w:pPr>
        <w:sectPr>
          <w:pgSz w:w="12240" w:h="15840" w:orient="portrait"/>
          <w:cols w:equalWidth="0" w:num="1">
            <w:col w:w="10100"/>
          </w:cols>
          <w:pgMar w:left="1060" w:top="62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51</w:t>
      </w:r>
    </w:p>
    <w:p>
      <w:pPr>
        <w:sectPr>
          <w:pgSz w:w="12240" w:h="15840" w:orient="portrait"/>
          <w:cols w:equalWidth="0" w:num="1">
            <w:col w:w="10100"/>
          </w:cols>
          <w:pgMar w:left="1060" w:top="626" w:right="10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231F20"/>
        </w:rPr>
        <w:t>Exhibit</w:t>
      </w:r>
    </w:p>
    <w:p>
      <w:pPr>
        <w:ind w:left="140"/>
        <w:spacing w:after="0"/>
        <w:tabs>
          <w:tab w:leader="none" w:pos="700" w:val="left"/>
        </w:tabs>
        <w:rPr>
          <w:sz w:val="20"/>
          <w:szCs w:val="20"/>
          <w:color w:val="auto"/>
        </w:rPr>
      </w:pPr>
      <w:r>
        <w:rPr>
          <w:rFonts w:ascii="Times New Roman" w:cs="Times New Roman" w:eastAsia="Times New Roman" w:hAnsi="Times New Roman"/>
          <w:sz w:val="16"/>
          <w:szCs w:val="16"/>
          <w:b w:val="1"/>
          <w:bCs w:val="1"/>
          <w:color w:val="231F20"/>
        </w:rPr>
        <w:t>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8255</wp:posOffset>
            </wp:positionV>
            <wp:extent cx="6496050"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496050" cy="12700"/>
                    </a:xfrm>
                    <a:prstGeom prst="rect">
                      <a:avLst/>
                    </a:prstGeom>
                    <a:noFill/>
                  </pic:spPr>
                </pic:pic>
              </a:graphicData>
            </a:graphic>
          </wp:anchor>
        </w:drawing>
      </w:r>
    </w:p>
    <w:p>
      <w:pPr>
        <w:jc w:val="both"/>
        <w:ind w:left="720" w:right="38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10.2</w:t>
      </w:r>
      <w:r>
        <w:rPr>
          <w:sz w:val="20"/>
          <w:szCs w:val="20"/>
          <w:color w:val="auto"/>
        </w:rPr>
        <w:tab/>
      </w:r>
      <w:r>
        <w:rPr>
          <w:rFonts w:ascii="Times New Roman" w:cs="Times New Roman" w:eastAsia="Times New Roman" w:hAnsi="Times New Roman"/>
          <w:sz w:val="20"/>
          <w:szCs w:val="20"/>
          <w:color w:val="231F20"/>
        </w:rPr>
        <w:t>* Executive Agreement between Federal Realty Investment Trust and Donald C. Wood dated February 22, 1999 (previously filed as a portion of Exhibit 10 to the Predecessor's 1999 1Q Form 10-Q and incorporated herein by reference)</w:t>
      </w:r>
    </w:p>
    <w:p>
      <w:pPr>
        <w:spacing w:after="0" w:line="47" w:lineRule="exact"/>
        <w:rPr>
          <w:sz w:val="20"/>
          <w:szCs w:val="20"/>
          <w:color w:val="auto"/>
        </w:rPr>
      </w:pPr>
    </w:p>
    <w:p>
      <w:pPr>
        <w:ind w:left="720" w:right="12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10.3</w:t>
      </w:r>
      <w:r>
        <w:rPr>
          <w:sz w:val="20"/>
          <w:szCs w:val="20"/>
          <w:color w:val="auto"/>
        </w:rPr>
        <w:tab/>
      </w:r>
      <w:r>
        <w:rPr>
          <w:rFonts w:ascii="Times New Roman" w:cs="Times New Roman" w:eastAsia="Times New Roman" w:hAnsi="Times New Roman"/>
          <w:sz w:val="20"/>
          <w:szCs w:val="20"/>
          <w:color w:val="231F20"/>
        </w:rPr>
        <w:t>* Amendment to Executive Agreement between Federal Realty Investment Trust and Donald C. Wood dated February 16, 2005 (previously filed as Exhibit 10.12 to the Predecessor’s Annual Report on Form 10-K for the year ended December 31, 2004 (the “2004 Form 10-K”) and incorporated herein by reference)</w:t>
      </w:r>
    </w:p>
    <w:p>
      <w:pPr>
        <w:spacing w:after="0" w:line="47" w:lineRule="exact"/>
        <w:rPr>
          <w:sz w:val="20"/>
          <w:szCs w:val="20"/>
          <w:color w:val="auto"/>
        </w:rPr>
      </w:pPr>
    </w:p>
    <w:p>
      <w:pPr>
        <w:jc w:val="both"/>
        <w:ind w:left="720" w:right="20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color w:val="231F20"/>
        </w:rPr>
        <w:t>* Health Coverage Continuation Agreement between Federal Realty Investment Trust and Donald C. Wood dated February 16, 2005 (previously filed as Exhibit 10.26 to the Predecessor's 2004 Form 10-K and incorporated herein by reference)</w:t>
      </w:r>
    </w:p>
    <w:p>
      <w:pPr>
        <w:spacing w:after="0" w:line="92" w:lineRule="exact"/>
        <w:rPr>
          <w:sz w:val="20"/>
          <w:szCs w:val="20"/>
          <w:color w:val="auto"/>
        </w:rPr>
      </w:pPr>
    </w:p>
    <w:p>
      <w:pPr>
        <w:ind w:left="720" w:right="300" w:hanging="749"/>
        <w:spacing w:after="0" w:line="265" w:lineRule="auto"/>
        <w:tabs>
          <w:tab w:leader="none" w:pos="700" w:val="left"/>
        </w:tabs>
        <w:rPr>
          <w:sz w:val="20"/>
          <w:szCs w:val="20"/>
          <w:color w:val="auto"/>
        </w:rPr>
      </w:pPr>
      <w:r>
        <w:rPr>
          <w:rFonts w:ascii="Times New Roman" w:cs="Times New Roman" w:eastAsia="Times New Roman" w:hAnsi="Times New Roman"/>
          <w:sz w:val="20"/>
          <w:szCs w:val="20"/>
          <w:color w:val="231F20"/>
        </w:rPr>
        <w:t>10.5</w:t>
      </w:r>
      <w:r>
        <w:rPr>
          <w:sz w:val="20"/>
          <w:szCs w:val="20"/>
          <w:color w:val="auto"/>
        </w:rPr>
        <w:tab/>
      </w:r>
      <w:r>
        <w:rPr>
          <w:rFonts w:ascii="Times New Roman" w:cs="Times New Roman" w:eastAsia="Times New Roman" w:hAnsi="Times New Roman"/>
          <w:sz w:val="19"/>
          <w:szCs w:val="19"/>
          <w:color w:val="231F20"/>
        </w:rPr>
        <w:t>* Severance Agreement between Federal Realty Investment Trust and Dawn M. Becker dated April 19, 2000 (previously filed as Exhibit 10.26 to the Predecessor’s 2005 2Q Form 10-Q and incorporated herein by reference)</w:t>
      </w:r>
    </w:p>
    <w:p>
      <w:pPr>
        <w:spacing w:after="0" w:line="88" w:lineRule="exact"/>
        <w:rPr>
          <w:sz w:val="20"/>
          <w:szCs w:val="20"/>
          <w:color w:val="auto"/>
        </w:rPr>
      </w:pPr>
    </w:p>
    <w:p>
      <w:pPr>
        <w:ind w:left="720" w:right="20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color w:val="231F20"/>
        </w:rPr>
        <w:t>* Amendment to Severance Agreement between Federal Realty Investment Trust and Dawn M. Becker dated February 16, 2005 (previously filed as Exhibit 10.27 to the Predecessor's 2004 Form 10-K and incorporated herein by reference)</w:t>
      </w:r>
    </w:p>
    <w:p>
      <w:pPr>
        <w:spacing w:after="0" w:line="47" w:lineRule="exact"/>
        <w:rPr>
          <w:sz w:val="20"/>
          <w:szCs w:val="20"/>
          <w:color w:val="auto"/>
        </w:rPr>
      </w:pPr>
    </w:p>
    <w:p>
      <w:pPr>
        <w:ind w:left="720" w:right="18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10.7</w:t>
      </w:r>
      <w:r>
        <w:rPr>
          <w:sz w:val="20"/>
          <w:szCs w:val="20"/>
          <w:color w:val="auto"/>
        </w:rPr>
        <w:tab/>
      </w:r>
      <w:r>
        <w:rPr>
          <w:rFonts w:ascii="Times New Roman" w:cs="Times New Roman" w:eastAsia="Times New Roman" w:hAnsi="Times New Roman"/>
          <w:sz w:val="20"/>
          <w:szCs w:val="20"/>
          <w:color w:val="231F20"/>
        </w:rPr>
        <w:t>Form of Restricted Share Award Agreement for long term vesting and retention awards for shares issued out of the 2010 Plan (previously filed as Exhibit 10.35 to the Predecessor's Annual Report on Form 10-K for the year ended December 31, 2010 (the "2010 Form 10-K") and incorporated herein by reference)</w:t>
      </w:r>
    </w:p>
    <w:p>
      <w:pPr>
        <w:spacing w:after="0" w:line="77" w:lineRule="exact"/>
        <w:rPr>
          <w:sz w:val="20"/>
          <w:szCs w:val="20"/>
          <w:color w:val="auto"/>
        </w:rPr>
      </w:pPr>
    </w:p>
    <w:p>
      <w:pPr>
        <w:ind w:left="720" w:right="32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10.8</w:t>
      </w:r>
      <w:r>
        <w:rPr>
          <w:sz w:val="20"/>
          <w:szCs w:val="20"/>
          <w:color w:val="auto"/>
        </w:rPr>
        <w:tab/>
      </w:r>
      <w:r>
        <w:rPr>
          <w:rFonts w:ascii="Times New Roman" w:cs="Times New Roman" w:eastAsia="Times New Roman" w:hAnsi="Times New Roman"/>
          <w:sz w:val="20"/>
          <w:szCs w:val="20"/>
          <w:color w:val="231F20"/>
        </w:rPr>
        <w:t>* Amendment to Severance Agreement between Federal Realty Investment Trust and Donald C. Wood dated January 1, 2009 (previously filed as Exhibit 10.26 to the Predecessor’s Annual Report on Form 10-K for the year ended December 31, 2008 (“the 2008 Form 10-K”) and incorporated herein by reference)</w:t>
      </w:r>
    </w:p>
    <w:p>
      <w:pPr>
        <w:spacing w:after="0" w:line="77" w:lineRule="exact"/>
        <w:rPr>
          <w:sz w:val="20"/>
          <w:szCs w:val="20"/>
          <w:color w:val="auto"/>
        </w:rPr>
      </w:pPr>
    </w:p>
    <w:p>
      <w:pPr>
        <w:jc w:val="both"/>
        <w:ind w:left="720" w:right="2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10.9</w:t>
      </w:r>
      <w:r>
        <w:rPr>
          <w:sz w:val="20"/>
          <w:szCs w:val="20"/>
          <w:color w:val="auto"/>
        </w:rPr>
        <w:tab/>
      </w:r>
      <w:r>
        <w:rPr>
          <w:rFonts w:ascii="Times New Roman" w:cs="Times New Roman" w:eastAsia="Times New Roman" w:hAnsi="Times New Roman"/>
          <w:sz w:val="20"/>
          <w:szCs w:val="20"/>
          <w:color w:val="231F20"/>
        </w:rPr>
        <w:t>* Second Amendment to Executive Agreement between Federal Realty Investment Trust and Donald C. Wood dated January 1, 2009 (previously filed as Exhibit 10.27 to the Predecessor’s 2008 Form 10-K and incorporated herein by reference)</w:t>
      </w:r>
    </w:p>
    <w:p>
      <w:pPr>
        <w:spacing w:after="0" w:line="47" w:lineRule="exact"/>
        <w:rPr>
          <w:sz w:val="20"/>
          <w:szCs w:val="20"/>
          <w:color w:val="auto"/>
        </w:rPr>
      </w:pPr>
    </w:p>
    <w:p>
      <w:pPr>
        <w:ind w:left="720" w:right="4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10.10</w:t>
        <w:tab/>
        <w:t>* Amendment to Health Coverage Continuation Agreement between Federal Realty Investment Trust and Donald C. Wood dated January 1, 2009 (previously filed as Exhibit 10.28 to the Predecessor’s 2008 Form 10-K and incorporated herein by reference)</w:t>
      </w:r>
    </w:p>
    <w:p>
      <w:pPr>
        <w:spacing w:after="0" w:line="77" w:lineRule="exact"/>
        <w:rPr>
          <w:sz w:val="20"/>
          <w:szCs w:val="20"/>
          <w:color w:val="auto"/>
        </w:rPr>
      </w:pPr>
    </w:p>
    <w:p>
      <w:pPr>
        <w:jc w:val="both"/>
        <w:ind w:left="720" w:right="44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10.11</w:t>
        <w:tab/>
        <w:t>* Second Amendment to Severance Agreement between Federal Realty Investment Trust and Dawn M. Becker dated January 1, 2009 (previously filed as Exhibit 10.30 to the Predecessor’s 2008 Form 10-K and incorporated herein by reference)</w:t>
      </w:r>
    </w:p>
    <w:p>
      <w:pPr>
        <w:spacing w:after="0" w:line="62" w:lineRule="exact"/>
        <w:rPr>
          <w:sz w:val="20"/>
          <w:szCs w:val="20"/>
          <w:color w:val="auto"/>
        </w:rPr>
      </w:pPr>
    </w:p>
    <w:p>
      <w:pPr>
        <w:ind w:left="720" w:right="200" w:hanging="749"/>
        <w:spacing w:after="0"/>
        <w:tabs>
          <w:tab w:leader="none" w:pos="700" w:val="left"/>
        </w:tabs>
        <w:rPr>
          <w:sz w:val="20"/>
          <w:szCs w:val="20"/>
          <w:color w:val="auto"/>
        </w:rPr>
      </w:pPr>
      <w:r>
        <w:rPr>
          <w:rFonts w:ascii="Times New Roman" w:cs="Times New Roman" w:eastAsia="Times New Roman" w:hAnsi="Times New Roman"/>
          <w:sz w:val="20"/>
          <w:szCs w:val="20"/>
          <w:color w:val="231F20"/>
        </w:rPr>
        <w:t>10.12</w:t>
        <w:tab/>
        <w:t>2010 Performance Incentive Plan (previously filed as Appendix A to the Predecessor’s Definitive Proxy Statement for the 2010 Annual Meeting of Shareholders and incorporated herein by reference)</w:t>
      </w:r>
    </w:p>
    <w:p>
      <w:pPr>
        <w:spacing w:after="0" w:line="65" w:lineRule="exact"/>
        <w:rPr>
          <w:sz w:val="20"/>
          <w:szCs w:val="20"/>
          <w:color w:val="auto"/>
        </w:rPr>
      </w:pPr>
    </w:p>
    <w:p>
      <w:pPr>
        <w:ind w:left="720" w:right="140" w:hanging="749"/>
        <w:spacing w:after="0"/>
        <w:tabs>
          <w:tab w:leader="none" w:pos="700" w:val="left"/>
        </w:tabs>
        <w:rPr>
          <w:sz w:val="20"/>
          <w:szCs w:val="20"/>
          <w:color w:val="auto"/>
        </w:rPr>
      </w:pPr>
      <w:r>
        <w:rPr>
          <w:rFonts w:ascii="Times New Roman" w:cs="Times New Roman" w:eastAsia="Times New Roman" w:hAnsi="Times New Roman"/>
          <w:sz w:val="20"/>
          <w:szCs w:val="20"/>
          <w:color w:val="231F20"/>
        </w:rPr>
        <w:t>10.13</w:t>
        <w:tab/>
        <w:t>Amendment to 2010 Performance Incentive Plan (“the 2010 Plan”) (previously filed as Appendix A to the Predecessor’s Proxy Statement for the 2010 Annual Meeting of Shareholders and incorporated herein by reference)</w:t>
      </w:r>
    </w:p>
    <w:p>
      <w:pPr>
        <w:spacing w:after="0" w:line="65" w:lineRule="exact"/>
        <w:rPr>
          <w:sz w:val="20"/>
          <w:szCs w:val="20"/>
          <w:color w:val="auto"/>
        </w:rPr>
      </w:pPr>
    </w:p>
    <w:p>
      <w:pPr>
        <w:ind w:left="720" w:hanging="749"/>
        <w:spacing w:after="0" w:line="224" w:lineRule="auto"/>
        <w:tabs>
          <w:tab w:leader="none" w:pos="700" w:val="left"/>
        </w:tabs>
        <w:rPr>
          <w:sz w:val="20"/>
          <w:szCs w:val="20"/>
          <w:color w:val="auto"/>
        </w:rPr>
      </w:pPr>
      <w:r>
        <w:rPr>
          <w:rFonts w:ascii="Times New Roman" w:cs="Times New Roman" w:eastAsia="Times New Roman" w:hAnsi="Times New Roman"/>
          <w:sz w:val="20"/>
          <w:szCs w:val="20"/>
          <w:color w:val="231F20"/>
        </w:rPr>
        <w:t>10.14</w:t>
        <w:tab/>
        <w:t>Form of Restricted Share Award Agreement for awards made under Federal Realty Investment Trust’s Long-Term Incentive Award Program and the Trust’s Annual Incentive Bonus Program and basic awards with annual vesting for shares issued out of the 2010 Plan (previously filed as Exhibit 10.34 to the Predecessor’s 2010 Form 10-K and incorporated herein by reference)</w:t>
      </w:r>
    </w:p>
    <w:p>
      <w:pPr>
        <w:spacing w:after="0" w:line="56" w:lineRule="exact"/>
        <w:rPr>
          <w:sz w:val="20"/>
          <w:szCs w:val="20"/>
          <w:color w:val="auto"/>
        </w:rPr>
      </w:pPr>
    </w:p>
    <w:p>
      <w:pPr>
        <w:ind w:left="720" w:right="60" w:hanging="749"/>
        <w:spacing w:after="0" w:line="220" w:lineRule="auto"/>
        <w:tabs>
          <w:tab w:leader="none" w:pos="700" w:val="left"/>
        </w:tabs>
        <w:rPr>
          <w:sz w:val="20"/>
          <w:szCs w:val="20"/>
          <w:color w:val="auto"/>
        </w:rPr>
      </w:pPr>
      <w:r>
        <w:rPr>
          <w:rFonts w:ascii="Times New Roman" w:cs="Times New Roman" w:eastAsia="Times New Roman" w:hAnsi="Times New Roman"/>
          <w:sz w:val="20"/>
          <w:szCs w:val="20"/>
          <w:color w:val="231F20"/>
        </w:rPr>
        <w:t>10.15</w:t>
        <w:tab/>
        <w:t>Revised Form of Restricted Share Award Agreement for front loaded awards made under Federal Realty Investment Trust’s Long-Term Incentive Award Program for shares issued out of the 2010 Plan (previously filed as Exhibit</w:t>
      </w:r>
    </w:p>
    <w:p>
      <w:pPr>
        <w:spacing w:after="0" w:line="21" w:lineRule="exact"/>
        <w:rPr>
          <w:sz w:val="20"/>
          <w:szCs w:val="20"/>
          <w:color w:val="auto"/>
        </w:rPr>
      </w:pPr>
    </w:p>
    <w:p>
      <w:pPr>
        <w:ind w:left="720" w:right="60"/>
        <w:spacing w:after="0" w:line="228" w:lineRule="auto"/>
        <w:rPr>
          <w:sz w:val="20"/>
          <w:szCs w:val="20"/>
          <w:color w:val="auto"/>
        </w:rPr>
      </w:pPr>
      <w:r>
        <w:rPr>
          <w:rFonts w:ascii="Times New Roman" w:cs="Times New Roman" w:eastAsia="Times New Roman" w:hAnsi="Times New Roman"/>
          <w:sz w:val="20"/>
          <w:szCs w:val="20"/>
          <w:color w:val="231F20"/>
        </w:rPr>
        <w:t>10.35 to the Predecessor's Annual Report on Form 10-K for the year ended December 31, 2012 (the "2012 Form 10-K") and incorporated herein by reference)</w:t>
      </w:r>
    </w:p>
    <w:p>
      <w:pPr>
        <w:spacing w:after="0" w:line="65" w:lineRule="exact"/>
        <w:rPr>
          <w:sz w:val="20"/>
          <w:szCs w:val="20"/>
          <w:color w:val="auto"/>
        </w:rPr>
      </w:pPr>
    </w:p>
    <w:p>
      <w:pPr>
        <w:ind w:left="720" w:right="4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10.16</w:t>
        <w:tab/>
        <w:t>Revised Form of Restricted Share Award Agreement for long-term vesting and retention awards made under Federal Realty Investment Trust’s Long-Term Incentive Award Program for shares issued out of the 2010 Plan (previously filed as Exhibit 10.36 to the Predecessor's 2012 Form 10-K and incorporated herein by reference)</w:t>
      </w:r>
    </w:p>
    <w:p>
      <w:pPr>
        <w:spacing w:after="0" w:line="62" w:lineRule="exact"/>
        <w:rPr>
          <w:sz w:val="20"/>
          <w:szCs w:val="20"/>
          <w:color w:val="auto"/>
        </w:rPr>
      </w:pPr>
    </w:p>
    <w:p>
      <w:pPr>
        <w:ind w:left="720" w:right="100" w:hanging="749"/>
        <w:spacing w:after="0"/>
        <w:tabs>
          <w:tab w:leader="none" w:pos="700" w:val="left"/>
        </w:tabs>
        <w:rPr>
          <w:sz w:val="20"/>
          <w:szCs w:val="20"/>
          <w:color w:val="auto"/>
        </w:rPr>
      </w:pPr>
      <w:r>
        <w:rPr>
          <w:rFonts w:ascii="Times New Roman" w:cs="Times New Roman" w:eastAsia="Times New Roman" w:hAnsi="Times New Roman"/>
          <w:sz w:val="20"/>
          <w:szCs w:val="20"/>
          <w:color w:val="231F20"/>
        </w:rPr>
        <w:t>10.17</w:t>
        <w:tab/>
        <w:t>Revised Form of Performance Share Award Agreement for shares awarded out of the 2010 Plan (previously filed as Exhibit 10.37 to the Predecessor's 2012 Form 10-K and incorporated herein by reference)</w:t>
      </w:r>
    </w:p>
    <w:p>
      <w:pPr>
        <w:spacing w:after="0" w:line="65" w:lineRule="exact"/>
        <w:rPr>
          <w:sz w:val="20"/>
          <w:szCs w:val="20"/>
          <w:color w:val="auto"/>
        </w:rPr>
      </w:pPr>
    </w:p>
    <w:p>
      <w:pPr>
        <w:ind w:left="720" w:right="360" w:hanging="749"/>
        <w:spacing w:after="0" w:line="224" w:lineRule="auto"/>
        <w:tabs>
          <w:tab w:leader="none" w:pos="700" w:val="left"/>
        </w:tabs>
        <w:rPr>
          <w:sz w:val="20"/>
          <w:szCs w:val="20"/>
          <w:color w:val="auto"/>
        </w:rPr>
      </w:pPr>
      <w:r>
        <w:rPr>
          <w:rFonts w:ascii="Times New Roman" w:cs="Times New Roman" w:eastAsia="Times New Roman" w:hAnsi="Times New Roman"/>
          <w:sz w:val="20"/>
          <w:szCs w:val="20"/>
          <w:color w:val="231F20"/>
        </w:rPr>
        <w:t>10.18</w:t>
        <w:tab/>
        <w:t>Revised Form of Restricted Share Award Agreement for awards made under Federal Realty Investment Trust’s Long-Term Incentive Award Program and the Trust’s Annual Incentive Bonus Program and basic awards with annual vesting for shares issued out of the 2010 Plan (previously filed as Exhibit 10.38 to the Predecessor's 2012 Form 10-K and incorporated herein by reference)</w:t>
      </w:r>
    </w:p>
    <w:p>
      <w:pPr>
        <w:spacing w:after="0" w:line="101" w:lineRule="exact"/>
        <w:rPr>
          <w:sz w:val="20"/>
          <w:szCs w:val="20"/>
          <w:color w:val="auto"/>
        </w:rPr>
      </w:pPr>
    </w:p>
    <w:p>
      <w:pPr>
        <w:ind w:left="720" w:right="400" w:hanging="74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231F20"/>
        </w:rPr>
        <w:t>10.19</w:t>
        <w:tab/>
        <w:t>Severance Agreement between Federal Realty Investment Trust and Daniel Guglielmone dated August 15, 2016 (previously filed as Exhibit 10.36 to the Predecessor's Quarterly Report on Form 10-Q for the quarter ended September 30, 2016 and incorporated herein by reference)</w:t>
      </w:r>
    </w:p>
    <w:p>
      <w:pPr>
        <w:spacing w:after="0" w:line="47" w:lineRule="exact"/>
        <w:rPr>
          <w:sz w:val="20"/>
          <w:szCs w:val="20"/>
          <w:color w:val="auto"/>
        </w:rPr>
      </w:pPr>
    </w:p>
    <w:p>
      <w:pPr>
        <w:ind w:left="720" w:right="200" w:hanging="749"/>
        <w:spacing w:after="0"/>
        <w:tabs>
          <w:tab w:leader="none" w:pos="700" w:val="left"/>
        </w:tabs>
        <w:rPr>
          <w:sz w:val="20"/>
          <w:szCs w:val="20"/>
          <w:color w:val="auto"/>
        </w:rPr>
      </w:pPr>
      <w:r>
        <w:rPr>
          <w:rFonts w:ascii="Times New Roman" w:cs="Times New Roman" w:eastAsia="Times New Roman" w:hAnsi="Times New Roman"/>
          <w:sz w:val="20"/>
          <w:szCs w:val="20"/>
          <w:color w:val="231F20"/>
        </w:rPr>
        <w:t>10.20</w:t>
        <w:tab/>
        <w:t>2020 Performance Incentive Plan (previously filed as Appendix B to the Predecessor’s Definitive Proxy Statement for the 2020 Annual Meeting of Shareholders and incorporated herein by reference)</w:t>
      </w:r>
    </w:p>
    <w:p>
      <w:pPr>
        <w:sectPr>
          <w:pgSz w:w="12240" w:h="15840" w:orient="portrait"/>
          <w:cols w:equalWidth="0" w:num="1">
            <w:col w:w="10100"/>
          </w:cols>
          <w:pgMar w:left="1080" w:top="6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52</w:t>
      </w:r>
    </w:p>
    <w:p>
      <w:pPr>
        <w:sectPr>
          <w:pgSz w:w="12240" w:h="15840" w:orient="portrait"/>
          <w:cols w:equalWidth="0" w:num="1">
            <w:col w:w="10100"/>
          </w:cols>
          <w:pgMar w:left="1080" w:top="664" w:right="1060" w:bottom="0" w:gutter="0" w:footer="0" w:header="0"/>
          <w:type w:val="continuous"/>
        </w:sectPr>
      </w:pPr>
    </w:p>
    <w:bookmarkStart w:id="60" w:name="page61"/>
    <w:bookmarkEnd w:id="60"/>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p>
      <w:pPr>
        <w:ind w:left="160"/>
        <w:spacing w:after="0"/>
        <w:tabs>
          <w:tab w:leader="none" w:pos="720" w:val="left"/>
        </w:tabs>
        <w:rPr>
          <w:sz w:val="20"/>
          <w:szCs w:val="20"/>
          <w:color w:val="auto"/>
        </w:rPr>
      </w:pPr>
      <w:r>
        <w:rPr>
          <w:rFonts w:ascii="Times New Roman" w:cs="Times New Roman" w:eastAsia="Times New Roman" w:hAnsi="Times New Roman"/>
          <w:sz w:val="16"/>
          <w:szCs w:val="16"/>
          <w:b w:val="1"/>
          <w:bCs w:val="1"/>
          <w:color w:val="231F20"/>
        </w:rPr>
        <w:t>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14" w:lineRule="exact"/>
        <w:rPr>
          <w:sz w:val="20"/>
          <w:szCs w:val="20"/>
          <w:color w:val="auto"/>
        </w:rPr>
      </w:pPr>
    </w:p>
    <w:p>
      <w:pPr>
        <w:ind w:left="740" w:right="20" w:hanging="749"/>
        <w:spacing w:after="0" w:line="219" w:lineRule="auto"/>
        <w:tabs>
          <w:tab w:leader="none" w:pos="720" w:val="left"/>
        </w:tabs>
        <w:rPr>
          <w:sz w:val="20"/>
          <w:szCs w:val="20"/>
          <w:color w:val="auto"/>
        </w:rPr>
      </w:pPr>
      <w:r>
        <w:rPr>
          <w:rFonts w:ascii="Times New Roman" w:cs="Times New Roman" w:eastAsia="Times New Roman" w:hAnsi="Times New Roman"/>
          <w:sz w:val="20"/>
          <w:szCs w:val="20"/>
          <w:color w:val="231F20"/>
        </w:rPr>
        <w:t>10.21</w:t>
        <w:tab/>
        <w:t>Term Loan Agreement dated as of May 6, 2020, by and among the Predecessor, as Borrower, the financial institutions party thereto and their permitted assignees under Section 12.6., as Lenders, PNC Bank, National Association, as Administrative Agent, Regions Bank, Truist Bank, and U.S. Bank National Bank Association as Co-Syndication Agents, PNC Capital Markets, LLC, Regions Capital Markets, Suntrust Robinson Humphrey, Inc., and U.S. Bank National Association, as Joint Lead Arrangers and Book Managers (previously filed as Exhibit 10.1 to the Predecessor's Current Report on Form 8-K, filed on May 6, 2020 and incorporated herein by reference) ‡</w:t>
      </w:r>
    </w:p>
    <w:p>
      <w:pPr>
        <w:spacing w:after="0" w:line="76" w:lineRule="exact"/>
        <w:rPr>
          <w:sz w:val="20"/>
          <w:szCs w:val="20"/>
          <w:color w:val="auto"/>
        </w:rPr>
      </w:pPr>
    </w:p>
    <w:p>
      <w:pPr>
        <w:ind w:left="740" w:right="4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10.22</w:t>
        <w:tab/>
        <w:t>Form of Restricted Share Award Agreement for awards made under Federal Realty Investment Trust's Long-Term Incentive Award Program and the Trust's Annual Incentive Bonus Program and basic awards with annual vesting for shares issued out the 2020 Plan (previously filed as Exhibit 10.32 to the Predecessor's Annual Report on Form 10-K, filed on February 11, 2021 and incorporated herein by reference)</w:t>
      </w:r>
    </w:p>
    <w:p>
      <w:pPr>
        <w:spacing w:after="0" w:line="86" w:lineRule="exact"/>
        <w:rPr>
          <w:sz w:val="20"/>
          <w:szCs w:val="20"/>
          <w:color w:val="auto"/>
        </w:rPr>
      </w:pPr>
    </w:p>
    <w:p>
      <w:pPr>
        <w:ind w:left="740" w:right="6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10.23</w:t>
        <w:tab/>
        <w:t>Form of Option Award Agreement for awards made under Federal Realty Investment Trust’s Long-Term Incentive Award Program for shares issued out of the 2020 Plan (previously filed as Exhibit 10.33 to the Predecessor's Annual Report on Form 10-K, filed on February 11, 2021, and incorporated herein by reference)</w:t>
      </w:r>
    </w:p>
    <w:p>
      <w:pPr>
        <w:spacing w:after="0" w:line="62" w:lineRule="exact"/>
        <w:rPr>
          <w:sz w:val="20"/>
          <w:szCs w:val="20"/>
          <w:color w:val="auto"/>
        </w:rPr>
      </w:pPr>
    </w:p>
    <w:p>
      <w:pPr>
        <w:ind w:left="740" w:right="2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10.24</w:t>
        <w:tab/>
        <w:t>Form of Restricted Share Award Agreement for long-term vesting and retention awards made under Federal Realty Investment Trust’s Long-Term Incentive Award Program for shares issued out of the 2020 Plan (previously filed as Exhibit 10.34 to the Predecessor's Annual Report on Form 10-K, filed on February 11, 2021, and incorporated herein by reference)</w:t>
      </w:r>
    </w:p>
    <w:p>
      <w:pPr>
        <w:spacing w:after="0" w:line="56" w:lineRule="exact"/>
        <w:rPr>
          <w:sz w:val="20"/>
          <w:szCs w:val="20"/>
          <w:color w:val="auto"/>
        </w:rPr>
      </w:pPr>
    </w:p>
    <w:p>
      <w:pPr>
        <w:ind w:left="740" w:right="16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10.25</w:t>
        <w:tab/>
        <w:t>Form of Performance Share Award Agreement for shares awarded out of the 2020 Plan (previously filed as Exhibit 10.35 to the Predecessor's Annual Report on From 10-K, filed on February 11, 2021, and incorporated herein by reference)</w:t>
      </w:r>
    </w:p>
    <w:p>
      <w:pPr>
        <w:spacing w:after="0" w:line="4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color w:val="231F20"/>
        </w:rPr>
        <w:t>10.26   Form of Option Award Agreement for basic options awarded out of the 2020 Plan (previously filed as Exhibit 10.36 to the Predecessor's Annual Report on Form 10-K, filed on February 11, 2021, and incorporated herein by reference)</w:t>
      </w:r>
    </w:p>
    <w:p>
      <w:pPr>
        <w:spacing w:after="0" w:line="95" w:lineRule="exact"/>
        <w:rPr>
          <w:sz w:val="20"/>
          <w:szCs w:val="20"/>
          <w:color w:val="auto"/>
        </w:rPr>
      </w:pPr>
    </w:p>
    <w:p>
      <w:pPr>
        <w:ind w:left="740" w:right="14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10.27</w:t>
        <w:tab/>
        <w:t>Form of Performance Award Agreement for Jeffrey S. Berkes, dated February 10, 2021 (previously filed as Exhibit 10.1 to the Predecessor’s Current Report on Form 8-K, filed on February 12, 2021, and incorporated herein by reference)</w:t>
      </w:r>
    </w:p>
    <w:p>
      <w:pPr>
        <w:spacing w:after="0" w:line="62" w:lineRule="exact"/>
        <w:rPr>
          <w:sz w:val="20"/>
          <w:szCs w:val="20"/>
          <w:color w:val="auto"/>
        </w:rPr>
      </w:pPr>
    </w:p>
    <w:p>
      <w:pPr>
        <w:ind w:left="740" w:right="8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10.28</w:t>
        <w:tab/>
        <w:t>Amended and Restated Severance Agreement between Federal Realty Investment Trust and Jeffery S. Berkes, dated February 10, 2021 (previously filed as Exhibit 10.2 to the Predecessor's Current Report on Form 8-K, filed on February 12, 2021 and incorporated herein by reference)</w:t>
      </w:r>
    </w:p>
    <w:p>
      <w:pPr>
        <w:spacing w:after="0" w:line="62" w:lineRule="exact"/>
        <w:rPr>
          <w:sz w:val="20"/>
          <w:szCs w:val="20"/>
          <w:color w:val="auto"/>
        </w:rPr>
      </w:pPr>
    </w:p>
    <w:p>
      <w:pPr>
        <w:ind w:left="740" w:right="8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10.29</w:t>
        <w:tab/>
        <w:t>First Amendment to Term Loan Agreement, dated as of April 16, 2021, by and among the Predecessor, as borrower, the Lenders, New Lenders, Departing Lenders (as each such term is defined therein) and PNC Bank, National Association, as Administrative Agent (previously filed as Exhibit 10.1 to the Predecessor's Current Report on From 8-K, filed on April 19, 2021, and incorporated herein by reference) ‡</w:t>
      </w:r>
    </w:p>
    <w:p>
      <w:pPr>
        <w:spacing w:after="0" w:line="112" w:lineRule="exact"/>
        <w:rPr>
          <w:sz w:val="20"/>
          <w:szCs w:val="20"/>
          <w:color w:val="auto"/>
        </w:rPr>
      </w:pPr>
    </w:p>
    <w:p>
      <w:pPr>
        <w:ind w:left="740" w:right="16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10.30</w:t>
        <w:tab/>
        <w:t>Omnibus Assignment, Assumption and Amendment entered into between the Predecessor and the Parent Company (previously filed as Exhibit 10.1 to our Current Report on Form 8-K, filed on January 3, 2022 and incorporated herein by reference)</w:t>
      </w:r>
    </w:p>
    <w:p>
      <w:pPr>
        <w:spacing w:after="0" w:line="66" w:lineRule="exact"/>
        <w:rPr>
          <w:sz w:val="20"/>
          <w:szCs w:val="20"/>
          <w:color w:val="auto"/>
        </w:rPr>
      </w:pPr>
    </w:p>
    <w:p>
      <w:pPr>
        <w:ind w:left="740" w:right="22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10.31</w:t>
        <w:tab/>
        <w:t>Second Amendment to Term Loan Agreement and Consent, dated as of January 1, 2022, by and among the Predecessor, as borrower, each of the lenders party thereto and PNC Bank, National Association, as administrative agent (previously filed as Exhibit 10.3 to the Trust’s Current Report on Form 8-K filed on January 3, 2022 and incorporated herein by reference) ‡</w:t>
      </w:r>
    </w:p>
    <w:p>
      <w:pPr>
        <w:spacing w:after="0" w:line="86" w:lineRule="exact"/>
        <w:rPr>
          <w:sz w:val="20"/>
          <w:szCs w:val="20"/>
          <w:color w:val="auto"/>
        </w:rPr>
      </w:pPr>
    </w:p>
    <w:p>
      <w:pPr>
        <w:ind w:left="740" w:right="34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10.32</w:t>
        <w:tab/>
        <w:t>Second Amended and Restated Credit Agreement, dated as of October 5, 2022, by and among the Partnership, as borrower, each of the lenders party thereto and Wells Fargo Bank, National Association, as administrative agent (previously filed as Exhibit 10.1 to the Trust’s Current Report on Form 8-K filed on October 11, 2022 and incorporated herein by reference)</w:t>
      </w:r>
    </w:p>
    <w:p>
      <w:pPr>
        <w:spacing w:after="0" w:line="86" w:lineRule="exact"/>
        <w:rPr>
          <w:sz w:val="20"/>
          <w:szCs w:val="20"/>
          <w:color w:val="auto"/>
        </w:rPr>
      </w:pPr>
    </w:p>
    <w:p>
      <w:pPr>
        <w:ind w:left="740" w:right="40" w:hanging="749"/>
        <w:spacing w:after="0" w:line="224" w:lineRule="auto"/>
        <w:tabs>
          <w:tab w:leader="none" w:pos="720" w:val="left"/>
        </w:tabs>
        <w:rPr>
          <w:sz w:val="20"/>
          <w:szCs w:val="20"/>
          <w:color w:val="auto"/>
        </w:rPr>
      </w:pPr>
      <w:r>
        <w:rPr>
          <w:rFonts w:ascii="Times New Roman" w:cs="Times New Roman" w:eastAsia="Times New Roman" w:hAnsi="Times New Roman"/>
          <w:sz w:val="20"/>
          <w:szCs w:val="20"/>
          <w:color w:val="231F20"/>
        </w:rPr>
        <w:t>10.33</w:t>
        <w:tab/>
        <w:t>Third Amendment to Term Loan Agreement, dated as of October 5, 2022, by and among the Partnership, as borrower, each of the lenders party thereto and PNC Bank, National Association, as administrative agent (previously filed as Exhibit 10.2 to the Trust’s Current Report on Form 8-K filed on October 11, 2022 and incorporated herein by reference)</w:t>
      </w:r>
    </w:p>
    <w:p>
      <w:pPr>
        <w:spacing w:after="0" w:line="101" w:lineRule="exact"/>
        <w:rPr>
          <w:sz w:val="20"/>
          <w:szCs w:val="20"/>
          <w:color w:val="auto"/>
        </w:rPr>
      </w:pPr>
    </w:p>
    <w:p>
      <w:pPr>
        <w:ind w:left="740" w:right="16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10.34</w:t>
        <w:tab/>
        <w:t>First Amendment to Second Amended and Restated Credit Agreement, dated as of August 25, 2023, by and among the Partnership, as borrower, each of the lenders party thereto and Wells Fargo Bank, National Association, as administrative agent (filed herewith)</w:t>
      </w:r>
    </w:p>
    <w:p>
      <w:pPr>
        <w:spacing w:after="0" w:line="107" w:lineRule="exact"/>
        <w:rPr>
          <w:sz w:val="20"/>
          <w:szCs w:val="20"/>
          <w:color w:val="auto"/>
        </w:rPr>
      </w:pPr>
    </w:p>
    <w:p>
      <w:pPr>
        <w:jc w:val="both"/>
        <w:ind w:left="740" w:right="52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10.35</w:t>
        <w:tab/>
        <w:t>Fourth Amendment to Term Loan Agreement, dated as of August 25, 2023, by and among the Partnership, as borrower, each of the lenders party thereto and PNC Bank, National Association, as administrative agent (filed herewith)</w:t>
      </w:r>
    </w:p>
    <w:p>
      <w:pPr>
        <w:spacing w:after="0" w:line="107" w:lineRule="exact"/>
        <w:rPr>
          <w:sz w:val="20"/>
          <w:szCs w:val="20"/>
          <w:color w:val="auto"/>
        </w:rPr>
      </w:pPr>
    </w:p>
    <w:p>
      <w:pPr>
        <w:ind w:left="740" w:hanging="749"/>
        <w:spacing w:after="0" w:line="229" w:lineRule="auto"/>
        <w:tabs>
          <w:tab w:leader="none" w:pos="720" w:val="left"/>
        </w:tabs>
        <w:rPr>
          <w:sz w:val="20"/>
          <w:szCs w:val="20"/>
          <w:color w:val="auto"/>
        </w:rPr>
      </w:pPr>
      <w:r>
        <w:rPr>
          <w:rFonts w:ascii="Times New Roman" w:cs="Times New Roman" w:eastAsia="Times New Roman" w:hAnsi="Times New Roman"/>
          <w:sz w:val="20"/>
          <w:szCs w:val="20"/>
          <w:color w:val="231F20"/>
        </w:rPr>
        <w:t>10.36</w:t>
        <w:tab/>
        <w:t>Second Amendment to Second Amended and Restated Credit Agreement, dated as of January 2, 2024, by and among the Partnership, as borrower, each of the lenders party thereto and Wells Fargo Bank, National Association, as administrative agent (filed herewith)</w:t>
      </w:r>
    </w:p>
    <w:p>
      <w:pPr>
        <w:sectPr>
          <w:pgSz w:w="12240" w:h="15840" w:orient="portrait"/>
          <w:cols w:equalWidth="0" w:num="1">
            <w:col w:w="10120"/>
          </w:cols>
          <w:pgMar w:left="1060" w:top="70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2240" w:h="15840" w:orient="portrait"/>
          <w:cols w:equalWidth="0" w:num="1">
            <w:col w:w="10120"/>
          </w:cols>
          <w:pgMar w:left="1060" w:top="709" w:right="1060" w:bottom="0" w:gutter="0" w:footer="0" w:header="0"/>
          <w:type w:val="continuous"/>
        </w:sectPr>
      </w:pPr>
    </w:p>
    <w:bookmarkStart w:id="61" w:name="page62"/>
    <w:bookmarkEnd w:id="61"/>
    <w:tbl>
      <w:tblPr>
        <w:tblLayout w:type="fixed"/>
        <w:tblInd w:w="50" w:type="dxa"/>
        <w:tblCellMar>
          <w:top w:w="0" w:type="dxa"/>
          <w:left w:w="0" w:type="dxa"/>
          <w:bottom w:w="0" w:type="dxa"/>
          <w:right w:w="0" w:type="dxa"/>
        </w:tblCellMar>
      </w:tblPr>
      <w:tr>
        <w:trPr>
          <w:trHeight w:val="184"/>
        </w:trPr>
        <w:tc>
          <w:tcPr>
            <w:tcW w:w="7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0" w:type="dxa"/>
            <w:vAlign w:val="bottom"/>
          </w:tcPr>
          <w:p>
            <w:pPr>
              <w:spacing w:after="0"/>
              <w:rPr>
                <w:sz w:val="1"/>
                <w:szCs w:val="1"/>
                <w:color w:val="auto"/>
              </w:rPr>
            </w:pPr>
          </w:p>
        </w:tc>
      </w:tr>
      <w:tr>
        <w:trPr>
          <w:trHeight w:val="211"/>
        </w:trPr>
        <w:tc>
          <w:tcPr>
            <w:tcW w:w="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231F20"/>
              </w:rPr>
              <w:t>No.</w:t>
            </w: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10.37</w:t>
            </w:r>
          </w:p>
        </w:tc>
        <w:tc>
          <w:tcPr>
            <w:tcW w:w="9000" w:type="dxa"/>
            <w:vAlign w:val="bottom"/>
          </w:tcPr>
          <w:p>
            <w:pPr>
              <w:ind w:left="140"/>
              <w:spacing w:after="0" w:line="205" w:lineRule="exact"/>
              <w:rPr>
                <w:sz w:val="20"/>
                <w:szCs w:val="20"/>
                <w:color w:val="auto"/>
              </w:rPr>
            </w:pPr>
            <w:r>
              <w:rPr>
                <w:rFonts w:ascii="Times New Roman" w:cs="Times New Roman" w:eastAsia="Times New Roman" w:hAnsi="Times New Roman"/>
                <w:sz w:val="20"/>
                <w:szCs w:val="20"/>
                <w:color w:val="231F20"/>
              </w:rPr>
              <w:t>Fifth Amendment to Term Loan Agreement, dated as of January 2, 2024, by and among the Partnership, as</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900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231F20"/>
                <w:w w:val="99"/>
              </w:rPr>
              <w:t>borrower, each of the lenders party thereto and PNC Bank, National Association, as administrative agent (filed</w:t>
            </w: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herewith)</w:t>
            </w: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10.38</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Registration Rights Agreement dated January 11, 2024 among the Issuer, the Parent and the Representatives</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900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231F20"/>
              </w:rPr>
              <w:t>(previously filed as Exhibit 10.1 to the Trust’s Current Report on Form 8-K filed on January 11, 2024 and</w:t>
            </w: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incorporated herein by reference)</w:t>
            </w:r>
          </w:p>
        </w:tc>
        <w:tc>
          <w:tcPr>
            <w:tcW w:w="0" w:type="dxa"/>
            <w:vAlign w:val="bottom"/>
          </w:tcPr>
          <w:p>
            <w:pPr>
              <w:spacing w:after="0"/>
              <w:rPr>
                <w:sz w:val="1"/>
                <w:szCs w:val="1"/>
                <w:color w:val="auto"/>
              </w:rPr>
            </w:pPr>
          </w:p>
        </w:tc>
      </w:tr>
      <w:tr>
        <w:trPr>
          <w:trHeight w:val="37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19.1</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Policy on Insider Information and Trading in Federal Realty Shares and other Securities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21.1</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Subsidiaries of Federal Realty Investment Trust and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Consent of Grant Thornton LLP (filed herewith)</w:t>
            </w:r>
          </w:p>
        </w:tc>
        <w:tc>
          <w:tcPr>
            <w:tcW w:w="0" w:type="dxa"/>
            <w:vAlign w:val="bottom"/>
          </w:tcPr>
          <w:p>
            <w:pPr>
              <w:spacing w:after="0"/>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Rule 13a-14(a) Certification of Chief Executive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Rule 13a-14(a) Certification of Chief Financial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31.3</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Rule 13a-14(a) Certification of Chief Executive Officer -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31.4</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Rule 13a-14(a) Certification of Chief Financial Officer -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32.1</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Section 1350 Certification of Chief Executive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32.2</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Section 1350 Certification of Chief Financial Officer - Federal Realty Investment Trust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32.3</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Section 1350 Certification of Chief Executive Officer - Federal Realty OP LP (filed herewith)</w:t>
            </w:r>
          </w:p>
        </w:tc>
        <w:tc>
          <w:tcPr>
            <w:tcW w:w="0" w:type="dxa"/>
            <w:vAlign w:val="bottom"/>
          </w:tcPr>
          <w:p>
            <w:pPr>
              <w:spacing w:after="0"/>
              <w:rPr>
                <w:sz w:val="1"/>
                <w:szCs w:val="1"/>
                <w:color w:val="auto"/>
              </w:rPr>
            </w:pPr>
          </w:p>
        </w:tc>
      </w:tr>
      <w:tr>
        <w:trPr>
          <w:trHeight w:val="3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32.4</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Section 1350 Certification of Chief Financial Officer - Federal Realty OP LP (filed herewith)</w:t>
            </w:r>
          </w:p>
        </w:tc>
        <w:tc>
          <w:tcPr>
            <w:tcW w:w="0" w:type="dxa"/>
            <w:vAlign w:val="bottom"/>
          </w:tcPr>
          <w:p>
            <w:pPr>
              <w:spacing w:after="0"/>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231F20"/>
              </w:rPr>
              <w:t>97</w:t>
            </w:r>
          </w:p>
        </w:tc>
        <w:tc>
          <w:tcPr>
            <w:tcW w:w="9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Federal Realty Investment Trust and Federal Realty OP LP Clawback Policy (filed herewith)</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930" w:right="40" w:hanging="877"/>
        <w:spacing w:after="0" w:line="221" w:lineRule="auto"/>
        <w:tabs>
          <w:tab w:leader="none" w:pos="93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following materials from this Annual Report on Form 10-K for the year ended December 31, 2023,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41" w:lineRule="exact"/>
        <w:rPr>
          <w:sz w:val="20"/>
          <w:szCs w:val="20"/>
          <w:color w:val="auto"/>
        </w:rPr>
      </w:pPr>
    </w:p>
    <w:p>
      <w:pPr>
        <w:ind w:left="50"/>
        <w:spacing w:after="0"/>
        <w:tabs>
          <w:tab w:leader="none" w:pos="91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color w:val="231F20"/>
        </w:rPr>
        <w:t>Cover Page Interactive Data File (formatted in Inline XBRL and contained in Exhibit 101)</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_____________________</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 Management contract or compensatory plan required to be filed as an exhibit pursuant to Item 15(b) of Form 10-K.</w:t>
      </w:r>
    </w:p>
    <w:p>
      <w:pPr>
        <w:spacing w:after="0" w:line="10" w:lineRule="exact"/>
        <w:rPr>
          <w:sz w:val="20"/>
          <w:szCs w:val="20"/>
          <w:color w:val="auto"/>
        </w:rPr>
      </w:pPr>
    </w:p>
    <w:p>
      <w:pPr>
        <w:ind w:left="10" w:right="40" w:hanging="10"/>
        <w:spacing w:after="0" w:line="250" w:lineRule="auto"/>
        <w:tabs>
          <w:tab w:leader="none" w:pos="160" w:val="left"/>
        </w:tabs>
        <w:numPr>
          <w:ilvl w:val="0"/>
          <w:numId w:val="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Pursuant to Regulation S-K Item 601(b)(4)(iii), the Trust and the Partnership by this filing agree, upon request, to furnish to the Securities and Exchange Commission a copy of other instruments defining the rights of holders of long-term debt of the Trust and the Partnership.</w:t>
      </w:r>
    </w:p>
    <w:p>
      <w:pPr>
        <w:spacing w:after="0" w:line="1" w:lineRule="exact"/>
        <w:rPr>
          <w:rFonts w:ascii="Times New Roman" w:cs="Times New Roman" w:eastAsia="Times New Roman" w:hAnsi="Times New Roman"/>
          <w:sz w:val="20"/>
          <w:szCs w:val="20"/>
          <w:color w:val="231F20"/>
        </w:rPr>
      </w:pPr>
    </w:p>
    <w:p>
      <w:pPr>
        <w:ind w:left="10"/>
        <w:spacing w:after="0" w:line="275"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19"/>
          <w:szCs w:val="19"/>
          <w:color w:val="231F20"/>
        </w:rPr>
        <w:t>‡ In this Exhibit Index, the term "Predecessor" refers to Federal Realty Investment Trust before the effectiveness of our UPREIT conversion as described in our Current Reports on Form 8-K filed on January 3 and 5, 2022. Upon completion of the UPREIT conversion, the Partnership became the successor to the Predecessor's rights and obligations under this instrument.</w:t>
      </w:r>
    </w:p>
    <w:p>
      <w:pPr>
        <w:spacing w:after="0" w:line="122" w:lineRule="exact"/>
        <w:rPr>
          <w:sz w:val="20"/>
          <w:szCs w:val="20"/>
          <w:color w:val="auto"/>
        </w:rPr>
      </w:pPr>
    </w:p>
    <w:p>
      <w:pPr>
        <w:ind w:left="10"/>
        <w:spacing w:after="0"/>
        <w:tabs>
          <w:tab w:leader="none" w:pos="1010" w:val="left"/>
        </w:tabs>
        <w:rPr>
          <w:sz w:val="20"/>
          <w:szCs w:val="20"/>
          <w:color w:val="auto"/>
        </w:rPr>
      </w:pPr>
      <w:r>
        <w:rPr>
          <w:rFonts w:ascii="Times New Roman" w:cs="Times New Roman" w:eastAsia="Times New Roman" w:hAnsi="Times New Roman"/>
          <w:sz w:val="20"/>
          <w:szCs w:val="20"/>
          <w:b w:val="1"/>
          <w:bCs w:val="1"/>
          <w:color w:val="231F20"/>
        </w:rPr>
        <w:t>ITEM 16.</w:t>
      </w:r>
      <w:r>
        <w:rPr>
          <w:sz w:val="20"/>
          <w:szCs w:val="20"/>
          <w:color w:val="auto"/>
        </w:rPr>
        <w:tab/>
      </w:r>
      <w:r>
        <w:rPr>
          <w:rFonts w:ascii="Times New Roman" w:cs="Times New Roman" w:eastAsia="Times New Roman" w:hAnsi="Times New Roman"/>
          <w:sz w:val="19"/>
          <w:szCs w:val="19"/>
          <w:b w:val="1"/>
          <w:bCs w:val="1"/>
          <w:color w:val="231F20"/>
        </w:rPr>
        <w:t>FORM 10-K SUMMARY</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None.</w:t>
      </w:r>
    </w:p>
    <w:p>
      <w:pPr>
        <w:sectPr>
          <w:pgSz w:w="12240" w:h="15840" w:orient="portrait"/>
          <w:cols w:equalWidth="0" w:num="1">
            <w:col w:w="10090"/>
          </w:cols>
          <w:pgMar w:left="990" w:top="70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color w:val="231F20"/>
        </w:rPr>
        <w:t>54</w:t>
      </w:r>
    </w:p>
    <w:p>
      <w:pPr>
        <w:sectPr>
          <w:pgSz w:w="12240" w:h="15840" w:orient="portrait"/>
          <w:cols w:equalWidth="0" w:num="1">
            <w:col w:w="10090"/>
          </w:cols>
          <w:pgMar w:left="990" w:top="706" w:right="1160" w:bottom="0" w:gutter="0" w:footer="0" w:header="0"/>
          <w:type w:val="continuous"/>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00" w:lineRule="exact"/>
        <w:rPr>
          <w:sz w:val="20"/>
          <w:szCs w:val="20"/>
          <w:color w:val="auto"/>
        </w:rPr>
      </w:pPr>
    </w:p>
    <w:p>
      <w:pPr>
        <w:spacing w:after="0" w:line="213" w:lineRule="exact"/>
        <w:rPr>
          <w:sz w:val="20"/>
          <w:szCs w:val="20"/>
          <w:color w:val="auto"/>
        </w:rPr>
      </w:pPr>
    </w:p>
    <w:p>
      <w:pPr>
        <w:jc w:val="both"/>
        <w:ind w:right="860"/>
        <w:spacing w:after="0" w:line="266"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each of the Registrants have duly caused this Report to be signed on its behalf by the undersigned thereunto duly authorized this February 12, 2024.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231F20"/>
        </w:rPr>
        <w:t>Federal Realty Investment Trust</w:t>
      </w:r>
    </w:p>
    <w:p>
      <w:pPr>
        <w:spacing w:after="0" w:line="7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231F20"/>
        </w:rPr>
        <w:t>Federal Realty OP LP</w:t>
      </w:r>
    </w:p>
    <w:p>
      <w:pPr>
        <w:spacing w:after="0" w:line="334" w:lineRule="exact"/>
        <w:rPr>
          <w:sz w:val="20"/>
          <w:szCs w:val="20"/>
          <w:color w:val="auto"/>
        </w:rPr>
      </w:pPr>
    </w:p>
    <w:p>
      <w:pPr>
        <w:ind w:left="4440"/>
        <w:spacing w:after="0"/>
        <w:tabs>
          <w:tab w:leader="none" w:pos="5500" w:val="left"/>
        </w:tabs>
        <w:rPr>
          <w:sz w:val="20"/>
          <w:szCs w:val="20"/>
          <w:color w:val="auto"/>
        </w:rPr>
      </w:pPr>
      <w:r>
        <w:rPr>
          <w:rFonts w:ascii="Times New Roman" w:cs="Times New Roman" w:eastAsia="Times New Roman" w:hAnsi="Times New Roman"/>
          <w:sz w:val="20"/>
          <w:szCs w:val="20"/>
          <w:color w:val="231F20"/>
        </w:rPr>
        <w:t>By:</w:t>
      </w:r>
      <w:r>
        <w:rPr>
          <w:sz w:val="20"/>
          <w:szCs w:val="20"/>
          <w:color w:val="auto"/>
        </w:rPr>
        <w:tab/>
      </w:r>
      <w:r>
        <w:rPr>
          <w:rFonts w:ascii="Times New Roman" w:cs="Times New Roman" w:eastAsia="Times New Roman" w:hAnsi="Times New Roman"/>
          <w:sz w:val="20"/>
          <w:szCs w:val="20"/>
          <w:color w:val="231F20"/>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34290</wp:posOffset>
            </wp:positionV>
            <wp:extent cx="2209800"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2209800" cy="12700"/>
                    </a:xfrm>
                    <a:prstGeom prst="rect">
                      <a:avLst/>
                    </a:prstGeom>
                    <a:noFill/>
                  </pic:spPr>
                </pic:pic>
              </a:graphicData>
            </a:graphic>
          </wp:anchor>
        </w:drawing>
      </w:r>
    </w:p>
    <w:p>
      <w:pPr>
        <w:spacing w:after="0" w:line="58"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6"/>
          <w:szCs w:val="16"/>
          <w:b w:val="1"/>
          <w:bCs w:val="1"/>
          <w:color w:val="231F20"/>
        </w:rPr>
        <w:t>Donald C. Wood</w:t>
      </w:r>
    </w:p>
    <w:p>
      <w:pPr>
        <w:jc w:val="center"/>
        <w:ind w:left="2820"/>
        <w:spacing w:after="0"/>
        <w:rPr>
          <w:sz w:val="20"/>
          <w:szCs w:val="20"/>
          <w:color w:val="auto"/>
        </w:rPr>
      </w:pPr>
      <w:r>
        <w:rPr>
          <w:rFonts w:ascii="Times New Roman" w:cs="Times New Roman" w:eastAsia="Times New Roman" w:hAnsi="Times New Roman"/>
          <w:sz w:val="16"/>
          <w:szCs w:val="16"/>
          <w:b w:val="1"/>
          <w:bCs w:val="1"/>
          <w:color w:val="231F20"/>
        </w:rPr>
        <w:t>Chief Executive Officer and Trustee</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below by the following persons on behalf of each of the Registrants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380" w:type="dxa"/>
            <w:vAlign w:val="bottom"/>
            <w:gridSpan w:val="2"/>
          </w:tcPr>
          <w:p>
            <w:pPr>
              <w:jc w:val="center"/>
              <w:ind w:right="1720"/>
              <w:spacing w:after="0"/>
              <w:rPr>
                <w:sz w:val="20"/>
                <w:szCs w:val="20"/>
                <w:color w:val="auto"/>
              </w:rPr>
            </w:pPr>
            <w:r>
              <w:rPr>
                <w:rFonts w:ascii="Times New Roman" w:cs="Times New Roman" w:eastAsia="Times New Roman" w:hAnsi="Times New Roman"/>
                <w:sz w:val="16"/>
                <w:szCs w:val="16"/>
                <w:b w:val="1"/>
                <w:bCs w:val="1"/>
                <w:color w:val="231F20"/>
                <w:w w:val="98"/>
              </w:rPr>
              <w:t>Signature</w:t>
            </w:r>
          </w:p>
        </w:tc>
        <w:tc>
          <w:tcPr>
            <w:tcW w:w="198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Title</w:t>
            </w:r>
          </w:p>
        </w:tc>
        <w:tc>
          <w:tcPr>
            <w:tcW w:w="880" w:type="dxa"/>
            <w:vAlign w:val="bottom"/>
          </w:tcPr>
          <w:p>
            <w:pPr>
              <w:spacing w:after="0"/>
              <w:rPr>
                <w:sz w:val="16"/>
                <w:szCs w:val="16"/>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231F20"/>
                <w:w w:val="99"/>
              </w:rPr>
              <w:t>Date</w:t>
            </w:r>
          </w:p>
        </w:tc>
      </w:tr>
      <w:tr>
        <w:trPr>
          <w:trHeight w:val="20"/>
        </w:trPr>
        <w:tc>
          <w:tcPr>
            <w:tcW w:w="170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71"/>
        </w:trPr>
        <w:tc>
          <w:tcPr>
            <w:tcW w:w="408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DONALD C. WOOD</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Chief Executive Officer and Trustee</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41"/>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9"/>
              </w:rPr>
              <w:t>Donald C. Wood</w:t>
            </w:r>
          </w:p>
        </w:tc>
        <w:tc>
          <w:tcPr>
            <w:tcW w:w="4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231F20"/>
              </w:rPr>
              <w:t>(Principal Executive Officer)</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04"/>
        </w:trPr>
        <w:tc>
          <w:tcPr>
            <w:tcW w:w="4080" w:type="dxa"/>
            <w:vAlign w:val="bottom"/>
            <w:tcBorders>
              <w:bottom w:val="single" w:sz="8" w:color="231F20"/>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231F20"/>
                <w:w w:val="99"/>
              </w:rPr>
              <w:t>/S/ DANIEL GUGLIELMONE</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Executive Vice President - Chief Financial</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27"/>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8"/>
              </w:rPr>
              <w:t>Daniel Guglielmone</w:t>
            </w:r>
          </w:p>
        </w:tc>
        <w:tc>
          <w:tcPr>
            <w:tcW w:w="4160" w:type="dxa"/>
            <w:vAlign w:val="bottom"/>
            <w:gridSpan w:val="3"/>
          </w:tcPr>
          <w:p>
            <w:pPr>
              <w:ind w:left="640"/>
              <w:spacing w:after="0" w:line="227" w:lineRule="exact"/>
              <w:rPr>
                <w:sz w:val="20"/>
                <w:szCs w:val="20"/>
                <w:color w:val="auto"/>
              </w:rPr>
            </w:pPr>
            <w:r>
              <w:rPr>
                <w:rFonts w:ascii="Times New Roman" w:cs="Times New Roman" w:eastAsia="Times New Roman" w:hAnsi="Times New Roman"/>
                <w:sz w:val="20"/>
                <w:szCs w:val="20"/>
                <w:color w:val="231F20"/>
              </w:rPr>
              <w:t>Officer and Treasurer (Principal</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60"/>
        </w:trPr>
        <w:tc>
          <w:tcPr>
            <w:tcW w:w="1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1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231F20"/>
              </w:rPr>
              <w:t>Financial and Accounting Officer)</w:t>
            </w: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513"/>
        </w:trPr>
        <w:tc>
          <w:tcPr>
            <w:tcW w:w="408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DAVID W. FAEDER</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Non -Executive Chairman</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11"/>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David W. Faeder</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579"/>
        </w:trPr>
        <w:tc>
          <w:tcPr>
            <w:tcW w:w="408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ELIZABETH I. HOLLAND</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Trustee</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11"/>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9"/>
              </w:rPr>
              <w:t>Elizabeth I. Holland</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534"/>
        </w:trPr>
        <w:tc>
          <w:tcPr>
            <w:tcW w:w="408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NICOLE Y. LAMB-HALE</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Trustee</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11"/>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Nicole Y. Lamb-Hale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534"/>
        </w:trPr>
        <w:tc>
          <w:tcPr>
            <w:tcW w:w="408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THOMAS A. MCEACHIN</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Trustee</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11"/>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Thomas A. McEachin</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534"/>
        </w:trPr>
        <w:tc>
          <w:tcPr>
            <w:tcW w:w="408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ANTHONY P. NADER, III</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Trustee</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11"/>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9"/>
              </w:rPr>
              <w:t>Anthony P. Nader, III</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534"/>
        </w:trPr>
        <w:tc>
          <w:tcPr>
            <w:tcW w:w="408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GAIL P. STEINEL</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Trustee</w:t>
            </w:r>
          </w:p>
        </w:tc>
        <w:tc>
          <w:tcPr>
            <w:tcW w:w="178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231F20"/>
              </w:rPr>
              <w:t>February 12, 2024</w:t>
            </w:r>
          </w:p>
        </w:tc>
      </w:tr>
      <w:tr>
        <w:trPr>
          <w:trHeight w:val="211"/>
        </w:trPr>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Gail P. Steinel</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10180"/>
          </w:cols>
          <w:pgMar w:left="1000" w:top="62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55</w:t>
      </w:r>
    </w:p>
    <w:p>
      <w:pPr>
        <w:sectPr>
          <w:pgSz w:w="12240" w:h="15840" w:orient="portrait"/>
          <w:cols w:equalWidth="0" w:num="1">
            <w:col w:w="10180"/>
          </w:cols>
          <w:pgMar w:left="1000" w:top="626" w:right="1060" w:bottom="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Lucida Sans" w:cs="Lucida Sans" w:eastAsia="Lucida Sans" w:hAnsi="Lucida Sans"/>
          <w:sz w:val="18"/>
          <w:szCs w:val="18"/>
          <w:color w:val="231F20"/>
        </w:rPr>
        <w:t>[THIS PAGE INTENTIONALLY LEFT BLANK]</w:t>
      </w:r>
    </w:p>
    <w:p>
      <w:pPr>
        <w:sectPr>
          <w:pgSz w:w="12240" w:h="15840" w:orient="portrait"/>
          <w:cols w:equalWidth="0" w:num="1">
            <w:col w:w="9360"/>
          </w:cols>
          <w:pgMar w:left="1440" w:top="1440" w:right="1440" w:bottom="1440" w:gutter="0" w:footer="0" w:header="0"/>
        </w:sectPr>
      </w:pPr>
    </w:p>
    <w:bookmarkStart w:id="64" w:name="page65"/>
    <w:bookmarkEnd w:id="64"/>
    <w:p>
      <w:pPr>
        <w:jc w:val="center"/>
        <w:ind w:left="1440"/>
        <w:spacing w:after="0"/>
        <w:rPr>
          <w:sz w:val="20"/>
          <w:szCs w:val="20"/>
          <w:color w:val="auto"/>
        </w:rPr>
      </w:pPr>
      <w:r>
        <w:rPr>
          <w:rFonts w:ascii="Times New Roman" w:cs="Times New Roman" w:eastAsia="Times New Roman" w:hAnsi="Times New Roman"/>
          <w:sz w:val="20"/>
          <w:szCs w:val="20"/>
          <w:b w:val="1"/>
          <w:bCs w:val="1"/>
          <w:color w:val="231F20"/>
        </w:rPr>
        <w:t>Item 8 and Item 15(a)(1) and (2)</w:t>
      </w:r>
    </w:p>
    <w:p>
      <w:pPr>
        <w:spacing w:after="0" w:line="34" w:lineRule="exact"/>
        <w:rPr>
          <w:sz w:val="20"/>
          <w:szCs w:val="20"/>
          <w:color w:val="auto"/>
        </w:rPr>
      </w:pPr>
    </w:p>
    <w:p>
      <w:pPr>
        <w:jc w:val="center"/>
        <w:ind w:left="144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 and Schedules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 PCAOB ID Number 248)</w:t>
      </w: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231F20"/>
        </w:rPr>
        <w:t>Federal Realty Investment Trust:</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Consolidated Balance Sheets as of December 31, 2023 and 2022</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231F20"/>
        </w:rPr>
        <w:t>Consolidated Statements of Comprehensive Income for the Years Ended December 31, 2023, 2022, and 2021</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Consolidated Statements of Shareholders’ Equity for the Years Ended December 31, 2023, 2022, and 2021</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2023, 2022, and 2021</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231F20"/>
        </w:rPr>
        <w:t>Federal Realty OP LP:</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Consolidated Balance Sheets as of December 31, 2023 and 2022</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231F20"/>
        </w:rPr>
        <w:t>Consolidated Statements of Comprehensive Income for the Years Ended December 31, 2023, 2022, and 2021</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Consolidated Statements of Capital for the Years Ended December 31, 2023, 2022, and 2021</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2023, 2022, and 2021</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231F20"/>
        </w:rPr>
        <w:t>Financial Statement Schedules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Schedule III—Summary of Real Estate and Accumulated Depreciation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Schedule IV—Mortgage Loans on 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28575</wp:posOffset>
            </wp:positionV>
            <wp:extent cx="647700"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47700" cy="12700"/>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w:t>
      </w: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231F20"/>
        </w:rPr>
        <w:t>F-8</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231F20"/>
        </w:rPr>
        <w:t>F-9</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F-10</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F-11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F-12</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F-13</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F-14</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F-15</w:t>
      </w:r>
    </w:p>
    <w:p>
      <w:pPr>
        <w:spacing w:after="0" w:line="3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F-40</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F-48</w:t>
      </w:r>
    </w:p>
    <w:p>
      <w:pPr>
        <w:spacing w:after="0" w:line="162" w:lineRule="exact"/>
        <w:rPr>
          <w:sz w:val="20"/>
          <w:szCs w:val="20"/>
          <w:color w:val="auto"/>
        </w:rPr>
      </w:pPr>
    </w:p>
    <w:p>
      <w:pPr>
        <w:sectPr>
          <w:pgSz w:w="12240" w:h="15840" w:orient="portrait"/>
          <w:cols w:equalWidth="0" w:num="2">
            <w:col w:w="8800" w:space="580"/>
            <w:col w:w="720"/>
          </w:cols>
          <w:pgMar w:left="1000" w:top="626" w:right="1140" w:bottom="0" w:gutter="0" w:footer="0" w:header="0"/>
        </w:sect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All other schedules have been omitted either because the information is not applicable, not material, or is disclosed in our consolidated financial statements and related notes.</w:t>
      </w:r>
    </w:p>
    <w:p>
      <w:pPr>
        <w:sectPr>
          <w:pgSz w:w="12240" w:h="15840" w:orient="portrait"/>
          <w:cols w:equalWidth="0" w:num="1">
            <w:col w:w="10100"/>
          </w:cols>
          <w:pgMar w:left="1000" w:top="626"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231F20"/>
        </w:rPr>
        <w:t>F-1</w:t>
      </w:r>
    </w:p>
    <w:p>
      <w:pPr>
        <w:sectPr>
          <w:pgSz w:w="12240" w:h="15840" w:orient="portrait"/>
          <w:cols w:equalWidth="0" w:num="1">
            <w:col w:w="10100"/>
          </w:cols>
          <w:pgMar w:left="1000" w:top="626" w:right="114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Trustees and Shareholders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internal control over financial reporting</w:t>
      </w:r>
    </w:p>
    <w:p>
      <w:pPr>
        <w:spacing w:after="0" w:line="11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231F20"/>
        </w:rPr>
        <w:t xml:space="preserve">We have audited the internal control over financial reporting of Federal Realty Investment Trust (a Maryland real estate investment trust) and subsidiaries (collectively, the "Trust") as of December 31, 2023, based on criteria established in the 2013 </w:t>
      </w:r>
      <w:r>
        <w:rPr>
          <w:rFonts w:ascii="Times New Roman" w:cs="Times New Roman" w:eastAsia="Times New Roman" w:hAnsi="Times New Roman"/>
          <w:sz w:val="20"/>
          <w:szCs w:val="20"/>
          <w:i w:val="1"/>
          <w:iCs w:val="1"/>
          <w:color w:val="231F20"/>
        </w:rPr>
        <w:t xml:space="preserve">Internal Control—Integrated Framework </w:t>
      </w:r>
      <w:r>
        <w:rPr>
          <w:rFonts w:ascii="Times New Roman" w:cs="Times New Roman" w:eastAsia="Times New Roman" w:hAnsi="Times New Roman"/>
          <w:sz w:val="20"/>
          <w:szCs w:val="20"/>
          <w:color w:val="231F20"/>
        </w:rPr>
        <w:t>issued by the Committee of Sponsoring Organizations of the Treadway Commission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("COSO"). In our opinion, the Trust maintained, in all material respects, effective internal control over financial reporting as of December 31, 2023, based on criteria established in the 2013 </w:t>
      </w:r>
      <w:r>
        <w:rPr>
          <w:rFonts w:ascii="Times New Roman" w:cs="Times New Roman" w:eastAsia="Times New Roman" w:hAnsi="Times New Roman"/>
          <w:sz w:val="20"/>
          <w:szCs w:val="20"/>
          <w:i w:val="1"/>
          <w:iCs w:val="1"/>
          <w:color w:val="231F20"/>
        </w:rPr>
        <w:t>Internal Control-Integrated Framework</w:t>
      </w:r>
      <w:r>
        <w:rPr>
          <w:rFonts w:ascii="Times New Roman" w:cs="Times New Roman" w:eastAsia="Times New Roman" w:hAnsi="Times New Roman"/>
          <w:sz w:val="20"/>
          <w:szCs w:val="20"/>
          <w:color w:val="231F20"/>
        </w:rPr>
        <w:t xml:space="preserve"> issued by COSO.</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consolidated financial statements of the Trust as of and for the year ended December 31, 2023, and our report dated February 12, 2024 expressed an unqualified opinion on those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17"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0"/>
          <w:szCs w:val="20"/>
          <w:color w:val="231F20"/>
        </w:rPr>
        <w:t>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17"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GRANT THORNTON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Jacksonville,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12, 2024</w:t>
      </w:r>
    </w:p>
    <w:p>
      <w:pPr>
        <w:sectPr>
          <w:pgSz w:w="12240" w:h="15840" w:orient="portrait"/>
          <w:cols w:equalWidth="0" w:num="1">
            <w:col w:w="10260"/>
          </w:cols>
          <w:pgMar w:left="100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F-2</w:t>
      </w:r>
    </w:p>
    <w:p>
      <w:pPr>
        <w:sectPr>
          <w:pgSz w:w="12240" w:h="15840" w:orient="portrait"/>
          <w:cols w:equalWidth="0" w:num="1">
            <w:col w:w="10260"/>
          </w:cols>
          <w:pgMar w:left="1000" w:top="626" w:right="9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Trustees and Shareholders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Federal Realty Investment Trust (a Maryland real estate investment trust) and subsidiaries (collectively, the "Trust") as of December 31, 2023 and 2022, the related consolidated statements of comprehensive income, changes in shareholders’ equity, and cash flows for each of the three years in the period ended December 31, 2023, and the related notes and financial statement schedules included under Item 15(a)(2) (collectively referred to as the “financial statements”). In our opinion, the financial statements present fairly, in all material respects, the financial position of the Trust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31F20"/>
        </w:rPr>
        <w:t xml:space="preserve">We also have audited, in accordance with the standards of the Public Company Accounting Oversight Board (United States) (“PCAOB”), the Trust’s internal control over financial reporting as of December 31, 2023, based on criteria established in the 2013 </w:t>
      </w:r>
      <w:r>
        <w:rPr>
          <w:rFonts w:ascii="Times New Roman" w:cs="Times New Roman" w:eastAsia="Times New Roman" w:hAnsi="Times New Roman"/>
          <w:sz w:val="20"/>
          <w:szCs w:val="20"/>
          <w:i w:val="1"/>
          <w:iCs w:val="1"/>
          <w:color w:val="231F20"/>
        </w:rPr>
        <w:t>Internal Control-Integrated Framework</w:t>
      </w:r>
      <w:r>
        <w:rPr>
          <w:rFonts w:ascii="Times New Roman" w:cs="Times New Roman" w:eastAsia="Times New Roman" w:hAnsi="Times New Roman"/>
          <w:sz w:val="20"/>
          <w:szCs w:val="20"/>
          <w:color w:val="231F20"/>
        </w:rPr>
        <w:t xml:space="preserve"> issued by the Committee of Sponsoring Organizations of the Treadway Commission (“COSO”), and our report dated February 12, 2024 expressed an unqualified opinion.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17"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55"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11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Lease Collectibility Assessment</w:t>
      </w:r>
    </w:p>
    <w:p>
      <w:pPr>
        <w:spacing w:after="0" w:line="9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0"/>
          <w:szCs w:val="20"/>
          <w:color w:val="231F20"/>
        </w:rPr>
        <w:t>In order to recognize rental income on an accrual basis, the Trust must determine whether substantially all the rents due under a lease arrangement are collectible. If the Trust reaches the conclusion that substantially all of the rents are not collectible for a specific lease, then rental income under that arrangement can only be recognized when cash payment from the tenant is received.</w:t>
      </w:r>
    </w:p>
    <w:p>
      <w:pPr>
        <w:spacing w:after="0" w:line="169" w:lineRule="exact"/>
        <w:rPr>
          <w:sz w:val="20"/>
          <w:szCs w:val="20"/>
          <w:color w:val="auto"/>
        </w:rPr>
      </w:pPr>
    </w:p>
    <w:p>
      <w:pPr>
        <w:ind w:right="1060"/>
        <w:spacing w:after="0" w:line="268" w:lineRule="auto"/>
        <w:rPr>
          <w:sz w:val="20"/>
          <w:szCs w:val="20"/>
          <w:color w:val="auto"/>
        </w:rPr>
      </w:pPr>
      <w:r>
        <w:rPr>
          <w:rFonts w:ascii="Times New Roman" w:cs="Times New Roman" w:eastAsia="Times New Roman" w:hAnsi="Times New Roman"/>
          <w:sz w:val="19"/>
          <w:szCs w:val="19"/>
          <w:color w:val="231F20"/>
        </w:rPr>
        <w:t>Significant judgment is exercised by the Trust when making a collectibility assessment and includes the following considerations which require challenging and subjective auditor judgment in the execution of our audit procedures:</w:t>
      </w:r>
    </w:p>
    <w:p>
      <w:pPr>
        <w:ind w:left="720" w:hanging="370"/>
        <w:spacing w:after="0"/>
        <w:tabs>
          <w:tab w:leader="none" w:pos="72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Creditworthiness of the tenant</w:t>
      </w:r>
    </w:p>
    <w:p>
      <w:pPr>
        <w:spacing w:after="0" w:line="44"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Current economic conditions</w:t>
      </w:r>
    </w:p>
    <w:p>
      <w:pPr>
        <w:spacing w:after="0" w:line="44"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Historical experience with the tenant and other tenants operating in the same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audit procedures related to the collectibility assessment included the following:</w:t>
      </w:r>
    </w:p>
    <w:p>
      <w:pPr>
        <w:spacing w:after="0" w:line="84" w:lineRule="exact"/>
        <w:rPr>
          <w:sz w:val="20"/>
          <w:szCs w:val="20"/>
          <w:color w:val="auto"/>
        </w:rPr>
      </w:pPr>
    </w:p>
    <w:p>
      <w:pPr>
        <w:ind w:left="720" w:right="120" w:hanging="370"/>
        <w:spacing w:after="0" w:line="254" w:lineRule="auto"/>
        <w:tabs>
          <w:tab w:leader="none" w:pos="720" w:val="left"/>
        </w:tabs>
        <w:numPr>
          <w:ilvl w:val="0"/>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tested the design and tested the operating effectiveness of internal controls relating to the collectibility assessment process.</w:t>
      </w:r>
    </w:p>
    <w:p>
      <w:pPr>
        <w:sectPr>
          <w:pgSz w:w="12240" w:h="15840" w:orient="portrait"/>
          <w:cols w:equalWidth="0" w:num="1">
            <w:col w:w="10260"/>
          </w:cols>
          <w:pgMar w:left="1000" w:top="626" w:right="9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F-3</w:t>
      </w:r>
    </w:p>
    <w:p>
      <w:pPr>
        <w:sectPr>
          <w:pgSz w:w="12240" w:h="15840" w:orient="portrait"/>
          <w:cols w:equalWidth="0" w:num="1">
            <w:col w:w="10260"/>
          </w:cols>
          <w:pgMar w:left="1000" w:top="626" w:right="980" w:bottom="0" w:gutter="0" w:footer="0" w:header="0"/>
          <w:type w:val="continuous"/>
        </w:sectPr>
      </w:pPr>
    </w:p>
    <w:bookmarkStart w:id="67" w:name="page68"/>
    <w:bookmarkEnd w:id="67"/>
    <w:p>
      <w:pPr>
        <w:ind w:left="720" w:hanging="370"/>
        <w:spacing w:after="0"/>
        <w:tabs>
          <w:tab w:leader="none" w:pos="720"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evaluated management’s accounting policies related to this assessment.</w:t>
      </w:r>
    </w:p>
    <w:p>
      <w:pPr>
        <w:spacing w:after="0" w:line="44"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verified the completeness of the population of tenants that management evaluated.</w:t>
      </w:r>
    </w:p>
    <w:p>
      <w:pPr>
        <w:spacing w:after="0" w:line="44" w:lineRule="exact"/>
        <w:rPr>
          <w:rFonts w:ascii="Times New Roman" w:cs="Times New Roman" w:eastAsia="Times New Roman" w:hAnsi="Times New Roman"/>
          <w:sz w:val="20"/>
          <w:szCs w:val="20"/>
          <w:color w:val="231F20"/>
        </w:rPr>
      </w:pPr>
    </w:p>
    <w:p>
      <w:pPr>
        <w:ind w:left="720" w:right="20" w:hanging="370"/>
        <w:spacing w:after="0" w:line="235" w:lineRule="auto"/>
        <w:tabs>
          <w:tab w:leader="none" w:pos="720"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researched recent publicly available information, including information for the 10 tenants with the highest rental income recognized in the year ended December 31, 2023, such as bankruptcy filings, industry journals, and periodicals, and for any of the Trust’s tenants identified in our research, we evaluated whether such information was considered in management’s collectibility assessment.</w:t>
      </w:r>
    </w:p>
    <w:p>
      <w:pPr>
        <w:spacing w:after="0" w:line="15"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recalculated the aging for a selection of tenant receivable balances using supporting documentation.</w:t>
      </w:r>
    </w:p>
    <w:p>
      <w:pPr>
        <w:spacing w:after="0" w:line="44" w:lineRule="exact"/>
        <w:rPr>
          <w:rFonts w:ascii="Times New Roman" w:cs="Times New Roman" w:eastAsia="Times New Roman" w:hAnsi="Times New Roman"/>
          <w:sz w:val="20"/>
          <w:szCs w:val="20"/>
          <w:color w:val="231F20"/>
        </w:rPr>
      </w:pPr>
    </w:p>
    <w:p>
      <w:pPr>
        <w:ind w:left="720" w:right="360" w:hanging="370"/>
        <w:spacing w:after="0" w:line="268" w:lineRule="auto"/>
        <w:tabs>
          <w:tab w:leader="none" w:pos="720" w:val="left"/>
        </w:tabs>
        <w:numPr>
          <w:ilvl w:val="0"/>
          <w:numId w:val="5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For a selection of tenant receivables where collectibility was deemed as probable, we evaluated the collectibility assessment conclusion reached by management and performed the following procedures for each selection:</w:t>
      </w:r>
    </w:p>
    <w:p>
      <w:pPr>
        <w:ind w:left="1440" w:hanging="370"/>
        <w:spacing w:after="0"/>
        <w:tabs>
          <w:tab w:leader="none" w:pos="1440" w:val="left"/>
        </w:tabs>
        <w:numPr>
          <w:ilvl w:val="1"/>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Verified that management’s accounting policies related to the collectibility assessment were followed.</w:t>
      </w:r>
    </w:p>
    <w:p>
      <w:pPr>
        <w:spacing w:after="0" w:line="44" w:lineRule="exact"/>
        <w:rPr>
          <w:rFonts w:ascii="Times New Roman" w:cs="Times New Roman" w:eastAsia="Times New Roman" w:hAnsi="Times New Roman"/>
          <w:sz w:val="20"/>
          <w:szCs w:val="20"/>
          <w:color w:val="231F20"/>
        </w:rPr>
      </w:pPr>
    </w:p>
    <w:p>
      <w:pPr>
        <w:ind w:left="1440" w:hanging="370"/>
        <w:spacing w:after="0" w:line="268" w:lineRule="auto"/>
        <w:tabs>
          <w:tab w:leader="none" w:pos="1440" w:val="left"/>
        </w:tabs>
        <w:numPr>
          <w:ilvl w:val="1"/>
          <w:numId w:val="5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Inspected documentation from management such as tenant collection history and any direct correspondence and evaluated management’s considerations supporting the collectibility assessment conclusion reached.</w:t>
      </w:r>
    </w:p>
    <w:p>
      <w:pPr>
        <w:ind w:left="1440" w:right="560" w:hanging="370"/>
        <w:spacing w:after="0" w:line="254" w:lineRule="auto"/>
        <w:tabs>
          <w:tab w:leader="none" w:pos="1440" w:val="left"/>
        </w:tabs>
        <w:numPr>
          <w:ilvl w:val="1"/>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GRANT THORNTON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Trust’s auditor since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Jacksonville,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12, 2024</w:t>
      </w:r>
    </w:p>
    <w:p>
      <w:pPr>
        <w:sectPr>
          <w:pgSz w:w="12240" w:h="15840" w:orient="portrait"/>
          <w:cols w:equalWidth="0" w:num="1">
            <w:col w:w="10040"/>
          </w:cols>
          <w:pgMar w:left="1000" w:top="633"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231F20"/>
        </w:rPr>
        <w:t>F-4</w:t>
      </w:r>
    </w:p>
    <w:p>
      <w:pPr>
        <w:sectPr>
          <w:pgSz w:w="12240" w:h="15840" w:orient="portrait"/>
          <w:cols w:equalWidth="0" w:num="1">
            <w:col w:w="10040"/>
          </w:cols>
          <w:pgMar w:left="1000" w:top="633" w:right="120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Trustees and Unitholders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Federal Realty OP LP</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internal control over financial reporting</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231F20"/>
        </w:rPr>
        <w:t xml:space="preserve">We have audited the internal control over financial reporting of Federal Realty OP LP (a Delaware limited partnership) and subsidiaries (collectively, the “Operating Partnership”) as of December 31, 2023, based on criteria established in the 2013 </w:t>
      </w:r>
      <w:r>
        <w:rPr>
          <w:rFonts w:ascii="Times New Roman" w:cs="Times New Roman" w:eastAsia="Times New Roman" w:hAnsi="Times New Roman"/>
          <w:sz w:val="20"/>
          <w:szCs w:val="20"/>
          <w:i w:val="1"/>
          <w:iCs w:val="1"/>
          <w:color w:val="231F20"/>
        </w:rPr>
        <w:t xml:space="preserve">Internal Control-Integrated Framework </w:t>
      </w:r>
      <w:r>
        <w:rPr>
          <w:rFonts w:ascii="Times New Roman" w:cs="Times New Roman" w:eastAsia="Times New Roman" w:hAnsi="Times New Roman"/>
          <w:sz w:val="20"/>
          <w:szCs w:val="20"/>
          <w:color w:val="231F20"/>
        </w:rPr>
        <w:t>issued by the Committee of Sponsoring Organizations of the Treadway Commission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(“COSO”). In our opinion, the Operating Partnership maintained, in all material respects, effective internal control over financial reporting as of December 31, 2023, based on criteria established in the 2013 </w:t>
      </w:r>
      <w:r>
        <w:rPr>
          <w:rFonts w:ascii="Times New Roman" w:cs="Times New Roman" w:eastAsia="Times New Roman" w:hAnsi="Times New Roman"/>
          <w:sz w:val="20"/>
          <w:szCs w:val="20"/>
          <w:i w:val="1"/>
          <w:iCs w:val="1"/>
          <w:color w:val="231F20"/>
        </w:rPr>
        <w:t>Internal Control-Integrated Framework</w:t>
      </w:r>
      <w:r>
        <w:rPr>
          <w:rFonts w:ascii="Times New Roman" w:cs="Times New Roman" w:eastAsia="Times New Roman" w:hAnsi="Times New Roman"/>
          <w:sz w:val="20"/>
          <w:szCs w:val="20"/>
          <w:color w:val="231F20"/>
        </w:rPr>
        <w:t xml:space="preserve"> issued by COSO.</w:t>
      </w:r>
    </w:p>
    <w:p>
      <w:pPr>
        <w:spacing w:after="0" w:line="20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9"/>
          <w:szCs w:val="19"/>
          <w:color w:val="231F20"/>
        </w:rPr>
        <w:t>We also have audited, in accordance with the standards of the Public Company Accounting Oversight Board (United States) (“PCAOB”), the consolidated financial statements of the Operating Partnership as of and for the year ended December 31, 2023, and our report dated February 12,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1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231F20"/>
        </w:rPr>
        <w:t>The Operating Partnership’s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ind w:right="440"/>
        <w:spacing w:after="0" w:line="286"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GRANT THORNTON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Jacksonville,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12, 2024</w:t>
      </w:r>
    </w:p>
    <w:p>
      <w:pPr>
        <w:sectPr>
          <w:pgSz w:w="12240" w:h="15840" w:orient="portrait"/>
          <w:cols w:equalWidth="0" w:num="1">
            <w:col w:w="10220"/>
          </w:cols>
          <w:pgMar w:left="1000" w:top="62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F-5</w:t>
      </w:r>
    </w:p>
    <w:p>
      <w:pPr>
        <w:sectPr>
          <w:pgSz w:w="12240" w:h="15840" w:orient="portrait"/>
          <w:cols w:equalWidth="0" w:num="1">
            <w:col w:w="10220"/>
          </w:cols>
          <w:pgMar w:left="1000" w:top="626" w:right="102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Trustees and Unitholders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Federal Realty OP LP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Federal Realty OP LP (a Delaware limited partnership) and subsidiaries (collectively, the "Operating Partnership") as of December 31, 2023 and 2022, the related consolidated statements of comprehensive income, capital, and cash flows for each of the three years in the period ended December 31, 2023, and the related notes and financial statement schedules included under Item 15(a)(2) (collectively referred to as the “financial statements”). In our opinion, the financial statements present fairly, in all material respects, the financial position of the Operating Partnership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3" w:lineRule="exact"/>
        <w:rPr>
          <w:sz w:val="20"/>
          <w:szCs w:val="20"/>
          <w:color w:val="auto"/>
        </w:rPr>
      </w:pPr>
    </w:p>
    <w:p>
      <w:pPr>
        <w:jc w:val="both"/>
        <w:ind w:right="280"/>
        <w:spacing w:after="0" w:line="278" w:lineRule="auto"/>
        <w:rPr>
          <w:sz w:val="20"/>
          <w:szCs w:val="20"/>
          <w:color w:val="auto"/>
        </w:rPr>
      </w:pPr>
      <w:r>
        <w:rPr>
          <w:rFonts w:ascii="Times New Roman" w:cs="Times New Roman" w:eastAsia="Times New Roman" w:hAnsi="Times New Roman"/>
          <w:sz w:val="19"/>
          <w:szCs w:val="19"/>
          <w:color w:val="231F20"/>
        </w:rPr>
        <w:t xml:space="preserve">We also have audited, in accordance with the standards of the Public Company Accounting Oversight Board (United States) (“PCAOB”), the Operating Partnership’s internal control over financial reporting as of December 31, 2023, based on criteria established in the 2013 </w:t>
      </w:r>
      <w:r>
        <w:rPr>
          <w:rFonts w:ascii="Times New Roman" w:cs="Times New Roman" w:eastAsia="Times New Roman" w:hAnsi="Times New Roman"/>
          <w:sz w:val="19"/>
          <w:szCs w:val="19"/>
          <w:i w:val="1"/>
          <w:iCs w:val="1"/>
          <w:color w:val="231F20"/>
        </w:rPr>
        <w:t>Internal Control-Integrated Framework</w:t>
      </w:r>
      <w:r>
        <w:rPr>
          <w:rFonts w:ascii="Times New Roman" w:cs="Times New Roman" w:eastAsia="Times New Roman" w:hAnsi="Times New Roman"/>
          <w:sz w:val="19"/>
          <w:szCs w:val="19"/>
          <w:color w:val="231F20"/>
        </w:rPr>
        <w:t xml:space="preserve"> issued by the Committee of Sponsoring Organizations of the Treadway Commission (“COSO”), and our report dated February 12, 2024 expressed an unqualified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1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Operating Partnership’s management. Our responsibility is to express an opinion on the Operating Partnership’s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Lease Collectibility Assessment</w:t>
      </w:r>
    </w:p>
    <w:p>
      <w:pPr>
        <w:spacing w:after="0" w:line="11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In order to recognize rental income on an accrual basis, the Operating Partnership must determine whether substantially all the rents due under a lease arrangement are collectible. If the Operating Partnership reaches the conclusion that substantially all of the rents are not collectible for a specific lease, then rental income under that arrangement can only be recognized when cash payment from the tenant is received.</w:t>
      </w:r>
    </w:p>
    <w:p>
      <w:pPr>
        <w:spacing w:after="0" w:line="203"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9"/>
          <w:szCs w:val="19"/>
          <w:color w:val="231F20"/>
        </w:rPr>
        <w:t>Significant judgment is exercised by the Operating Partnership when making a collectibility assessment and includes the following considerations which require challenging and subjective auditor judgment in the execution of our audit procedures:</w:t>
      </w:r>
    </w:p>
    <w:p>
      <w:pPr>
        <w:spacing w:after="0" w:line="1" w:lineRule="exact"/>
        <w:rPr>
          <w:sz w:val="20"/>
          <w:szCs w:val="20"/>
          <w:color w:val="auto"/>
        </w:rPr>
      </w:pPr>
    </w:p>
    <w:p>
      <w:pPr>
        <w:ind w:left="720" w:hanging="370"/>
        <w:spacing w:after="0"/>
        <w:tabs>
          <w:tab w:leader="none" w:pos="720"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Creditworthiness of the tenant</w:t>
      </w:r>
    </w:p>
    <w:p>
      <w:pPr>
        <w:spacing w:after="0" w:line="44"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Current economic conditions</w:t>
      </w:r>
    </w:p>
    <w:p>
      <w:pPr>
        <w:spacing w:after="0" w:line="44"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Historical experience with the tenant and other tenants operating in the same industry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audit procedures related to the collectibility assessment included the following:</w:t>
      </w: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2240" w:h="15840" w:orient="portrait"/>
          <w:cols w:equalWidth="0" w:num="1">
            <w:col w:w="10240"/>
          </w:cols>
          <w:pgMar w:left="1000" w:top="626" w:right="1000" w:bottom="0" w:gutter="0" w:footer="0" w:header="0"/>
          <w:type w:val="continuous"/>
        </w:sectPr>
      </w:pPr>
    </w:p>
    <w:bookmarkStart w:id="70" w:name="page71"/>
    <w:bookmarkEnd w:id="70"/>
    <w:p>
      <w:pPr>
        <w:ind w:left="720" w:hanging="370"/>
        <w:spacing w:after="0" w:line="254" w:lineRule="auto"/>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tested the design and tested the operating effectiveness of internal controls relating to the collectibility assessment process.</w:t>
      </w:r>
    </w:p>
    <w:p>
      <w:pPr>
        <w:spacing w:after="0" w:line="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evaluated management’s accounting policies related to this assessment.</w:t>
      </w:r>
    </w:p>
    <w:p>
      <w:pPr>
        <w:spacing w:after="0" w:line="44"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verified the completeness of the population of tenants that management evaluated.</w:t>
      </w:r>
    </w:p>
    <w:p>
      <w:pPr>
        <w:spacing w:after="0" w:line="44" w:lineRule="exact"/>
        <w:rPr>
          <w:rFonts w:ascii="Times New Roman" w:cs="Times New Roman" w:eastAsia="Times New Roman" w:hAnsi="Times New Roman"/>
          <w:sz w:val="20"/>
          <w:szCs w:val="20"/>
          <w:color w:val="231F20"/>
        </w:rPr>
      </w:pPr>
    </w:p>
    <w:p>
      <w:pPr>
        <w:ind w:left="720" w:right="120" w:hanging="370"/>
        <w:spacing w:after="0" w:line="235" w:lineRule="auto"/>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researched recent publicly available information, including information for the 10 tenants with the highest rental income recognized in the year ended December 31, 2023, such as bankruptcy filings, industry journals, and periodicals, and for any of the Operating Partnership’s tenants identified in our research, we evaluated whether such information was considered in management’s collectibility assessment.</w:t>
      </w:r>
    </w:p>
    <w:p>
      <w:pPr>
        <w:spacing w:after="0" w:line="15"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recalculated the aging for a selection of tenant receivable balances using supporting documentation.</w:t>
      </w:r>
    </w:p>
    <w:p>
      <w:pPr>
        <w:spacing w:after="0" w:line="44" w:lineRule="exact"/>
        <w:rPr>
          <w:rFonts w:ascii="Times New Roman" w:cs="Times New Roman" w:eastAsia="Times New Roman" w:hAnsi="Times New Roman"/>
          <w:sz w:val="20"/>
          <w:szCs w:val="20"/>
          <w:color w:val="231F20"/>
        </w:rPr>
      </w:pPr>
    </w:p>
    <w:p>
      <w:pPr>
        <w:ind w:left="720" w:right="380" w:hanging="370"/>
        <w:spacing w:after="0" w:line="254" w:lineRule="auto"/>
        <w:tabs>
          <w:tab w:leader="none" w:pos="7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 a selection of tenants where collectibility was deemed as probable, we evaluated the collectibility assessment conclusion reached by management and performed the following procedures for each selection:</w:t>
      </w:r>
    </w:p>
    <w:p>
      <w:pPr>
        <w:spacing w:after="0" w:line="1" w:lineRule="exact"/>
        <w:rPr>
          <w:rFonts w:ascii="Times New Roman" w:cs="Times New Roman" w:eastAsia="Times New Roman" w:hAnsi="Times New Roman"/>
          <w:sz w:val="20"/>
          <w:szCs w:val="20"/>
          <w:color w:val="231F20"/>
        </w:rPr>
      </w:pPr>
    </w:p>
    <w:p>
      <w:pPr>
        <w:ind w:left="1440" w:hanging="370"/>
        <w:spacing w:after="0"/>
        <w:tabs>
          <w:tab w:leader="none" w:pos="1440" w:val="left"/>
        </w:tabs>
        <w:numPr>
          <w:ilvl w:val="1"/>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Verified that management’s accounting policies related to the collectibility assessment were followed.</w:t>
      </w:r>
    </w:p>
    <w:p>
      <w:pPr>
        <w:spacing w:after="0" w:line="44" w:lineRule="exact"/>
        <w:rPr>
          <w:rFonts w:ascii="Times New Roman" w:cs="Times New Roman" w:eastAsia="Times New Roman" w:hAnsi="Times New Roman"/>
          <w:sz w:val="20"/>
          <w:szCs w:val="20"/>
          <w:color w:val="231F20"/>
        </w:rPr>
      </w:pPr>
    </w:p>
    <w:p>
      <w:pPr>
        <w:ind w:left="1440" w:right="100" w:hanging="370"/>
        <w:spacing w:after="0" w:line="268" w:lineRule="auto"/>
        <w:tabs>
          <w:tab w:leader="none" w:pos="1440" w:val="left"/>
        </w:tabs>
        <w:numPr>
          <w:ilvl w:val="1"/>
          <w:numId w:val="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Inspected documentation from management such as tenant collection history and any direct correspondence and evaluated management’s considerations supporting the collectibility assessment conclusion reached.</w:t>
      </w:r>
    </w:p>
    <w:p>
      <w:pPr>
        <w:ind w:left="1440" w:right="660" w:hanging="370"/>
        <w:spacing w:after="0" w:line="254" w:lineRule="auto"/>
        <w:tabs>
          <w:tab w:leader="none" w:pos="1440" w:val="left"/>
        </w:tabs>
        <w:numPr>
          <w:ilvl w:val="1"/>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GRANT THORNTON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Operating Partnership's auditor since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Jacksonville,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12, 2024</w:t>
      </w:r>
    </w:p>
    <w:p>
      <w:pPr>
        <w:sectPr>
          <w:pgSz w:w="12240" w:h="15840" w:orient="portrait"/>
          <w:cols w:equalWidth="0" w:num="1">
            <w:col w:w="10140"/>
          </w:cols>
          <w:pgMar w:left="1000" w:top="63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F-7</w:t>
      </w:r>
    </w:p>
    <w:p>
      <w:pPr>
        <w:sectPr>
          <w:pgSz w:w="12240" w:h="15840" w:orient="portrait"/>
          <w:cols w:equalWidth="0" w:num="1">
            <w:col w:w="10140"/>
          </w:cols>
          <w:pgMar w:left="1000" w:top="633" w:right="1100" w:bottom="0" w:gutter="0" w:footer="0" w:header="0"/>
          <w:type w:val="continuous"/>
        </w:sectPr>
      </w:pPr>
    </w:p>
    <w:bookmarkStart w:id="71" w:name="page72"/>
    <w:bookmarkEnd w:id="71"/>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Federal Realty Investment Trust</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2220" w:type="dxa"/>
            <w:vAlign w:val="bottom"/>
            <w:tcBorders>
              <w:bottom w:val="single" w:sz="8" w:color="231F20"/>
            </w:tcBorders>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5"/>
        </w:trPr>
        <w:tc>
          <w:tcPr>
            <w:tcW w:w="780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0" w:type="dxa"/>
            <w:vAlign w:val="bottom"/>
          </w:tcPr>
          <w:p>
            <w:pPr>
              <w:spacing w:after="0"/>
              <w:rPr>
                <w:sz w:val="1"/>
                <w:szCs w:val="1"/>
                <w:color w:val="auto"/>
              </w:rPr>
            </w:pPr>
          </w:p>
        </w:tc>
      </w:tr>
      <w:tr>
        <w:trPr>
          <w:trHeight w:val="141"/>
        </w:trPr>
        <w:tc>
          <w:tcPr>
            <w:tcW w:w="7800" w:type="dxa"/>
            <w:vAlign w:val="bottom"/>
          </w:tcPr>
          <w:p>
            <w:pPr>
              <w:spacing w:after="0"/>
              <w:rPr>
                <w:sz w:val="12"/>
                <w:szCs w:val="12"/>
                <w:color w:val="auto"/>
              </w:rPr>
            </w:pPr>
          </w:p>
        </w:tc>
        <w:tc>
          <w:tcPr>
            <w:tcW w:w="11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220" w:type="dxa"/>
            <w:vAlign w:val="bottom"/>
            <w:gridSpan w:val="3"/>
          </w:tcPr>
          <w:p>
            <w:pPr>
              <w:jc w:val="right"/>
              <w:ind w:right="1"/>
              <w:spacing w:after="0" w:line="141" w:lineRule="exact"/>
              <w:rPr>
                <w:sz w:val="20"/>
                <w:szCs w:val="20"/>
                <w:color w:val="auto"/>
              </w:rPr>
            </w:pPr>
            <w:r>
              <w:rPr>
                <w:rFonts w:ascii="Times New Roman" w:cs="Times New Roman" w:eastAsia="Times New Roman" w:hAnsi="Times New Roman"/>
                <w:sz w:val="16"/>
                <w:szCs w:val="16"/>
                <w:b w:val="1"/>
                <w:bCs w:val="1"/>
                <w:color w:val="231F20"/>
                <w:w w:val="95"/>
              </w:rPr>
              <w:t>except share and</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581"/>
              <w:spacing w:after="0"/>
              <w:rPr>
                <w:sz w:val="20"/>
                <w:szCs w:val="20"/>
                <w:color w:val="auto"/>
              </w:rPr>
            </w:pPr>
            <w:r>
              <w:rPr>
                <w:rFonts w:ascii="Times New Roman" w:cs="Times New Roman" w:eastAsia="Times New Roman" w:hAnsi="Times New Roman"/>
                <w:sz w:val="16"/>
                <w:szCs w:val="16"/>
                <w:b w:val="1"/>
                <w:bCs w:val="1"/>
                <w:color w:val="231F20"/>
              </w:rPr>
              <w:t>per share data)</w:t>
            </w:r>
          </w:p>
        </w:tc>
        <w:tc>
          <w:tcPr>
            <w:tcW w:w="0" w:type="dxa"/>
            <w:vAlign w:val="bottom"/>
          </w:tcPr>
          <w:p>
            <w:pPr>
              <w:spacing w:after="0"/>
              <w:rPr>
                <w:sz w:val="1"/>
                <w:szCs w:val="1"/>
                <w:color w:val="auto"/>
              </w:rPr>
            </w:pP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231F20"/>
              </w:rPr>
              <w:t>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Real estate, at cost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231F20"/>
              </w:rPr>
              <w:t>Operating (including $2,021,622 and $1,997,583 of consolidated variable interest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9,932,891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9,441,945</w:t>
            </w:r>
          </w:p>
        </w:tc>
        <w:tc>
          <w:tcPr>
            <w:tcW w:w="0" w:type="dxa"/>
            <w:vAlign w:val="bottom"/>
          </w:tcPr>
          <w:p>
            <w:pPr>
              <w:spacing w:after="0"/>
              <w:rPr>
                <w:sz w:val="1"/>
                <w:szCs w:val="1"/>
                <w:color w:val="auto"/>
              </w:rPr>
            </w:pPr>
          </w:p>
        </w:tc>
      </w:tr>
      <w:tr>
        <w:trPr>
          <w:trHeight w:val="26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720"/>
              <w:spacing w:after="0" w:line="204" w:lineRule="exact"/>
              <w:rPr>
                <w:sz w:val="20"/>
                <w:szCs w:val="20"/>
                <w:color w:val="auto"/>
              </w:rPr>
            </w:pPr>
            <w:r>
              <w:rPr>
                <w:rFonts w:ascii="Times New Roman" w:cs="Times New Roman" w:eastAsia="Times New Roman" w:hAnsi="Times New Roman"/>
                <w:sz w:val="20"/>
                <w:szCs w:val="20"/>
                <w:color w:val="231F20"/>
              </w:rPr>
              <w:t>Construction-in-progress (including $8,677 and $8,477 of consolidated variable interest</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613,296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662,554</w:t>
            </w:r>
          </w:p>
        </w:tc>
        <w:tc>
          <w:tcPr>
            <w:tcW w:w="0" w:type="dxa"/>
            <w:vAlign w:val="bottom"/>
          </w:tcPr>
          <w:p>
            <w:pPr>
              <w:spacing w:after="0"/>
              <w:rPr>
                <w:sz w:val="1"/>
                <w:szCs w:val="1"/>
                <w:color w:val="auto"/>
              </w:rPr>
            </w:pPr>
          </w:p>
        </w:tc>
      </w:tr>
      <w:tr>
        <w:trPr>
          <w:trHeight w:val="264"/>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entities, respectively)</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w w:val="99"/>
              </w:rPr>
              <w:t>10,546,187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w w:val="97"/>
              </w:rPr>
              <w:t>10,104,499</w:t>
            </w: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231F20"/>
              </w:rPr>
              <w:t>Less accumulated depreciation and amortization (including $416,663 and $362,921 of</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(2,963,519)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(2,715,817)</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consolidated variable interest entities, respectively)</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00" w:type="dxa"/>
            <w:vAlign w:val="bottom"/>
          </w:tcPr>
          <w:p>
            <w:pPr>
              <w:ind w:left="360"/>
              <w:spacing w:after="0" w:line="212" w:lineRule="exact"/>
              <w:rPr>
                <w:sz w:val="20"/>
                <w:szCs w:val="20"/>
                <w:color w:val="auto"/>
              </w:rPr>
            </w:pPr>
            <w:r>
              <w:rPr>
                <w:rFonts w:ascii="Times New Roman" w:cs="Times New Roman" w:eastAsia="Times New Roman" w:hAnsi="Times New Roman"/>
                <w:sz w:val="20"/>
                <w:szCs w:val="20"/>
                <w:color w:val="231F20"/>
              </w:rPr>
              <w:t>Net real estate</w:t>
            </w:r>
          </w:p>
        </w:tc>
        <w:tc>
          <w:tcPr>
            <w:tcW w:w="160" w:type="dxa"/>
            <w:vAlign w:val="bottom"/>
          </w:tcPr>
          <w:p>
            <w:pPr>
              <w:spacing w:after="0"/>
              <w:rPr>
                <w:sz w:val="18"/>
                <w:szCs w:val="18"/>
                <w:color w:val="auto"/>
              </w:rPr>
            </w:pPr>
          </w:p>
        </w:tc>
        <w:tc>
          <w:tcPr>
            <w:tcW w:w="10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231F20"/>
              </w:rPr>
              <w:t>7,582,668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231F20"/>
              </w:rPr>
              <w:t>7,388,682</w:t>
            </w:r>
          </w:p>
        </w:tc>
        <w:tc>
          <w:tcPr>
            <w:tcW w:w="0" w:type="dxa"/>
            <w:vAlign w:val="bottom"/>
          </w:tcPr>
          <w:p>
            <w:pPr>
              <w:spacing w:after="0"/>
              <w:rPr>
                <w:sz w:val="1"/>
                <w:szCs w:val="1"/>
                <w:color w:val="auto"/>
              </w:rPr>
            </w:pPr>
          </w:p>
        </w:tc>
      </w:tr>
      <w:tr>
        <w:trPr>
          <w:trHeight w:val="24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250,825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85,558</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Accounts and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201,733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197,648</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Mortgage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9,456</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Investment in partnerships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145,205</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Operating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86,993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94,569</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Finance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45,467</w:t>
            </w:r>
          </w:p>
        </w:tc>
        <w:tc>
          <w:tcPr>
            <w:tcW w:w="0" w:type="dxa"/>
            <w:vAlign w:val="bottom"/>
          </w:tcPr>
          <w:p>
            <w:pPr>
              <w:spacing w:after="0"/>
              <w:rPr>
                <w:sz w:val="1"/>
                <w:szCs w:val="1"/>
                <w:color w:val="auto"/>
              </w:rPr>
            </w:pPr>
          </w:p>
        </w:tc>
      </w:tr>
      <w:tr>
        <w:trPr>
          <w:trHeight w:val="263"/>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263,377</w:t>
            </w: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267,406</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TOTAL ASSETS</w:t>
            </w:r>
          </w:p>
        </w:tc>
        <w:tc>
          <w:tcPr>
            <w:tcW w:w="16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8,436,512</w:t>
            </w:r>
          </w:p>
        </w:tc>
        <w:tc>
          <w:tcPr>
            <w:tcW w:w="80" w:type="dxa"/>
            <w:vAlign w:val="bottom"/>
          </w:tcPr>
          <w:p>
            <w:pPr>
              <w:spacing w:after="0"/>
              <w:rPr>
                <w:sz w:val="18"/>
                <w:szCs w:val="18"/>
                <w:color w:val="auto"/>
              </w:rPr>
            </w:pPr>
          </w:p>
        </w:tc>
        <w:tc>
          <w:tcPr>
            <w:tcW w:w="16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8,233,991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LIABILITIES AND SHAREHOLDERS’ EQUITY</w:t>
            </w:r>
          </w:p>
        </w:tc>
        <w:tc>
          <w:tcPr>
            <w:tcW w:w="1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Liabilities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231F20"/>
              </w:rPr>
              <w:t>Mortgages payable, net (including $189,286 and $191,827 of consolidated variable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516,936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320,615</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interest 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Notes payable,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601,945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601,077</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Senior notes and debentures,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3,480,296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3,407,701</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Accounts payable and accrued expenses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174,714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190,340</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Dividends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92,634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90,263</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Security deposits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30,482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28,508</w:t>
            </w:r>
          </w:p>
        </w:tc>
        <w:tc>
          <w:tcPr>
            <w:tcW w:w="0" w:type="dxa"/>
            <w:vAlign w:val="bottom"/>
          </w:tcPr>
          <w:p>
            <w:pPr>
              <w:spacing w:after="0"/>
              <w:rPr>
                <w:sz w:val="1"/>
                <w:szCs w:val="1"/>
                <w:color w:val="auto"/>
              </w:rPr>
            </w:pPr>
          </w:p>
        </w:tc>
      </w:tr>
      <w:tr>
        <w:trPr>
          <w:trHeight w:val="24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77,743</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Finance lease liabilities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67,660</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Other liabilities and deferred credits</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225,443</w:t>
            </w: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237,699</w:t>
            </w:r>
          </w:p>
        </w:tc>
        <w:tc>
          <w:tcPr>
            <w:tcW w:w="0" w:type="dxa"/>
            <w:vAlign w:val="bottom"/>
          </w:tcPr>
          <w:p>
            <w:pPr>
              <w:spacing w:after="0"/>
              <w:rPr>
                <w:sz w:val="1"/>
                <w:szCs w:val="1"/>
                <w:color w:val="auto"/>
              </w:rPr>
            </w:pPr>
          </w:p>
        </w:tc>
      </w:tr>
      <w:tr>
        <w:trPr>
          <w:trHeight w:val="221"/>
        </w:trPr>
        <w:tc>
          <w:tcPr>
            <w:tcW w:w="7800" w:type="dxa"/>
            <w:vAlign w:val="bottom"/>
          </w:tcPr>
          <w:p>
            <w:pPr>
              <w:ind w:left="360"/>
              <w:spacing w:after="0" w:line="221" w:lineRule="exact"/>
              <w:rPr>
                <w:sz w:val="20"/>
                <w:szCs w:val="20"/>
                <w:color w:val="auto"/>
              </w:rPr>
            </w:pPr>
            <w:r>
              <w:rPr>
                <w:rFonts w:ascii="Times New Roman" w:cs="Times New Roman" w:eastAsia="Times New Roman" w:hAnsi="Times New Roman"/>
                <w:sz w:val="20"/>
                <w:szCs w:val="20"/>
                <w:color w:val="231F20"/>
              </w:rPr>
              <w:t>Total liabilities</w:t>
            </w:r>
          </w:p>
        </w:tc>
        <w:tc>
          <w:tcPr>
            <w:tcW w:w="160" w:type="dxa"/>
            <w:vAlign w:val="bottom"/>
          </w:tcPr>
          <w:p>
            <w:pPr>
              <w:spacing w:after="0"/>
              <w:rPr>
                <w:sz w:val="19"/>
                <w:szCs w:val="19"/>
                <w:color w:val="auto"/>
              </w:rPr>
            </w:pP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5,210,990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5,021,606</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Commitments and contingencies (Note 7)</w:t>
            </w:r>
          </w:p>
        </w:tc>
        <w:tc>
          <w:tcPr>
            <w:tcW w:w="16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183,363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178,370</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Redeemable noncontrolling interests</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Shareholders’ equity</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Preferred shares, authorized 15,000,000 shares, $0.01 par:</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860"/>
              <w:spacing w:after="0" w:line="205" w:lineRule="exact"/>
              <w:rPr>
                <w:sz w:val="20"/>
                <w:szCs w:val="20"/>
                <w:color w:val="auto"/>
              </w:rPr>
            </w:pPr>
            <w:r>
              <w:rPr>
                <w:rFonts w:ascii="Times New Roman" w:cs="Times New Roman" w:eastAsia="Times New Roman" w:hAnsi="Times New Roman"/>
                <w:sz w:val="20"/>
                <w:szCs w:val="20"/>
                <w:color w:val="231F20"/>
              </w:rPr>
              <w:t>5.0% Series C Cumulative Redeemable Preferred Shares, (stated at liquidation</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0" w:type="dxa"/>
            <w:vAlign w:val="bottom"/>
          </w:tcPr>
          <w:p>
            <w:pPr>
              <w:spacing w:after="0"/>
              <w:rPr>
                <w:sz w:val="1"/>
                <w:szCs w:val="1"/>
                <w:color w:val="auto"/>
              </w:rPr>
            </w:pPr>
          </w:p>
        </w:tc>
      </w:tr>
      <w:tr>
        <w:trPr>
          <w:trHeight w:val="261"/>
        </w:trPr>
        <w:tc>
          <w:tcPr>
            <w:tcW w:w="7800" w:type="dxa"/>
            <w:vAlign w:val="bottom"/>
          </w:tcPr>
          <w:p>
            <w:pPr>
              <w:ind w:left="860"/>
              <w:spacing w:after="0"/>
              <w:rPr>
                <w:sz w:val="20"/>
                <w:szCs w:val="20"/>
                <w:color w:val="auto"/>
              </w:rPr>
            </w:pPr>
            <w:r>
              <w:rPr>
                <w:rFonts w:ascii="Times New Roman" w:cs="Times New Roman" w:eastAsia="Times New Roman" w:hAnsi="Times New Roman"/>
                <w:sz w:val="20"/>
                <w:szCs w:val="20"/>
                <w:color w:val="231F20"/>
              </w:rPr>
              <w:t>preference $25,000 per share), 6,000 shares issued and outstanding</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860"/>
              <w:spacing w:after="0" w:line="205" w:lineRule="exact"/>
              <w:rPr>
                <w:sz w:val="20"/>
                <w:szCs w:val="20"/>
                <w:color w:val="auto"/>
              </w:rPr>
            </w:pPr>
            <w:r>
              <w:rPr>
                <w:rFonts w:ascii="Times New Roman" w:cs="Times New Roman" w:eastAsia="Times New Roman" w:hAnsi="Times New Roman"/>
                <w:sz w:val="20"/>
                <w:szCs w:val="20"/>
                <w:color w:val="231F20"/>
              </w:rPr>
              <w:t>5.417% Series 1 Cumulative Convertible Preferred Shares, (stated at liquidation</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9,822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9,822</w:t>
            </w:r>
          </w:p>
        </w:tc>
        <w:tc>
          <w:tcPr>
            <w:tcW w:w="0" w:type="dxa"/>
            <w:vAlign w:val="bottom"/>
          </w:tcPr>
          <w:p>
            <w:pPr>
              <w:spacing w:after="0"/>
              <w:rPr>
                <w:sz w:val="1"/>
                <w:szCs w:val="1"/>
                <w:color w:val="auto"/>
              </w:rPr>
            </w:pPr>
          </w:p>
        </w:tc>
      </w:tr>
      <w:tr>
        <w:trPr>
          <w:trHeight w:val="261"/>
        </w:trPr>
        <w:tc>
          <w:tcPr>
            <w:tcW w:w="7800" w:type="dxa"/>
            <w:vAlign w:val="bottom"/>
          </w:tcPr>
          <w:p>
            <w:pPr>
              <w:ind w:left="860"/>
              <w:spacing w:after="0"/>
              <w:rPr>
                <w:sz w:val="20"/>
                <w:szCs w:val="20"/>
                <w:color w:val="auto"/>
              </w:rPr>
            </w:pPr>
            <w:r>
              <w:rPr>
                <w:rFonts w:ascii="Times New Roman" w:cs="Times New Roman" w:eastAsia="Times New Roman" w:hAnsi="Times New Roman"/>
                <w:sz w:val="20"/>
                <w:szCs w:val="20"/>
                <w:color w:val="231F20"/>
              </w:rPr>
              <w:t>preference $25 per share), 392,878 shares issued and outstanding</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800" w:type="dxa"/>
            <w:vAlign w:val="bottom"/>
          </w:tcPr>
          <w:p>
            <w:pPr>
              <w:ind w:left="720"/>
              <w:spacing w:after="0" w:line="215" w:lineRule="exact"/>
              <w:rPr>
                <w:sz w:val="20"/>
                <w:szCs w:val="20"/>
                <w:color w:val="auto"/>
              </w:rPr>
            </w:pPr>
            <w:r>
              <w:rPr>
                <w:rFonts w:ascii="Times New Roman" w:cs="Times New Roman" w:eastAsia="Times New Roman" w:hAnsi="Times New Roman"/>
                <w:sz w:val="20"/>
                <w:szCs w:val="20"/>
                <w:color w:val="231F20"/>
              </w:rPr>
              <w:t>Common shares of beneficial interest, $0.01 par, 200,000,000 and 100,000,000 shares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231F20"/>
              </w:rPr>
              <w:t>authorized, respectively, 82,775,286 and 81,342,959 shares issued and outstanding,</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833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818</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respectively</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3,959,276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3,821,801</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Accumulated dividends in excess of net income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(1,160,474)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(1,034,186)</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Accumulated other comprehensive income</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4,052</w:t>
            </w: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5,757</w:t>
            </w:r>
          </w:p>
        </w:tc>
        <w:tc>
          <w:tcPr>
            <w:tcW w:w="0" w:type="dxa"/>
            <w:vAlign w:val="bottom"/>
          </w:tcPr>
          <w:p>
            <w:pPr>
              <w:spacing w:after="0"/>
              <w:rPr>
                <w:sz w:val="1"/>
                <w:szCs w:val="1"/>
                <w:color w:val="auto"/>
              </w:rPr>
            </w:pPr>
          </w:p>
        </w:tc>
      </w:tr>
      <w:tr>
        <w:trPr>
          <w:trHeight w:val="227"/>
        </w:trPr>
        <w:tc>
          <w:tcPr>
            <w:tcW w:w="780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231F20"/>
              </w:rPr>
              <w:t>Total shareholders’ equity of the Trust</w:t>
            </w:r>
          </w:p>
        </w:tc>
        <w:tc>
          <w:tcPr>
            <w:tcW w:w="160" w:type="dxa"/>
            <w:vAlign w:val="bottom"/>
          </w:tcPr>
          <w:p>
            <w:pPr>
              <w:spacing w:after="0"/>
              <w:rPr>
                <w:sz w:val="19"/>
                <w:szCs w:val="19"/>
                <w:color w:val="auto"/>
              </w:rPr>
            </w:pPr>
          </w:p>
        </w:tc>
        <w:tc>
          <w:tcPr>
            <w:tcW w:w="10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2,963,509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2,954,012</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Noncontrolling interests</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78,650</w:t>
            </w: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80,003</w:t>
            </w:r>
          </w:p>
        </w:tc>
        <w:tc>
          <w:tcPr>
            <w:tcW w:w="0" w:type="dxa"/>
            <w:vAlign w:val="bottom"/>
          </w:tcPr>
          <w:p>
            <w:pPr>
              <w:spacing w:after="0"/>
              <w:rPr>
                <w:sz w:val="1"/>
                <w:szCs w:val="1"/>
                <w:color w:val="auto"/>
              </w:rPr>
            </w:pPr>
          </w:p>
        </w:tc>
      </w:tr>
      <w:tr>
        <w:trPr>
          <w:trHeight w:val="23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Total shareholders’ equity</w:t>
            </w:r>
          </w:p>
        </w:tc>
        <w:tc>
          <w:tcPr>
            <w:tcW w:w="1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3,042,159</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3,034,015</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TOTAL LIABILITIES AND SHAREHOLDERS’ EQUITY</w:t>
            </w:r>
          </w:p>
        </w:tc>
        <w:tc>
          <w:tcPr>
            <w:tcW w:w="16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8,436,512</w:t>
            </w:r>
          </w:p>
        </w:tc>
        <w:tc>
          <w:tcPr>
            <w:tcW w:w="80" w:type="dxa"/>
            <w:vAlign w:val="bottom"/>
          </w:tcPr>
          <w:p>
            <w:pPr>
              <w:spacing w:after="0"/>
              <w:rPr>
                <w:sz w:val="18"/>
                <w:szCs w:val="18"/>
                <w:color w:val="auto"/>
              </w:rPr>
            </w:pPr>
          </w:p>
        </w:tc>
        <w:tc>
          <w:tcPr>
            <w:tcW w:w="16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8,233,991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statements.</w:t>
      </w:r>
    </w:p>
    <w:p>
      <w:pPr>
        <w:sectPr>
          <w:pgSz w:w="12240" w:h="15840" w:orient="portrait"/>
          <w:cols w:equalWidth="0" w:num="1">
            <w:col w:w="10180"/>
          </w:cols>
          <w:pgMar w:left="1060" w:top="67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F-8</w:t>
      </w:r>
    </w:p>
    <w:p>
      <w:pPr>
        <w:sectPr>
          <w:pgSz w:w="12240" w:h="15840" w:orient="portrait"/>
          <w:cols w:equalWidth="0" w:num="1">
            <w:col w:w="10180"/>
          </w:cols>
          <w:pgMar w:left="1060" w:top="671" w:right="1000" w:bottom="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560" w:type="dxa"/>
            <w:vAlign w:val="bottom"/>
            <w:tcBorders>
              <w:bottom w:val="single" w:sz="8" w:color="231F20"/>
            </w:tcBorders>
            <w:gridSpan w:val="6"/>
          </w:tcPr>
          <w:p>
            <w:pPr>
              <w:jc w:val="center"/>
              <w:ind w:left="54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w w:val="99"/>
              </w:rPr>
              <w:t>(In thousands, except per share data)</w:t>
            </w:r>
          </w:p>
        </w:tc>
        <w:tc>
          <w:tcPr>
            <w:tcW w:w="0" w:type="dxa"/>
            <w:vAlign w:val="bottom"/>
          </w:tcPr>
          <w:p>
            <w:pPr>
              <w:spacing w:after="0"/>
              <w:rPr>
                <w:sz w:val="1"/>
                <w:szCs w:val="1"/>
                <w:color w:val="auto"/>
              </w:rPr>
            </w:pPr>
          </w:p>
        </w:tc>
      </w:tr>
      <w:tr>
        <w:trPr>
          <w:trHeight w:val="2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1,131,041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1,073,292</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948,842</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Rental income</w:t>
            </w:r>
          </w:p>
        </w:tc>
        <w:tc>
          <w:tcPr>
            <w:tcW w:w="2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Mortgage interest income</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1,113</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1,086</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2,382</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Total revenue</w:t>
            </w:r>
          </w:p>
        </w:tc>
        <w:tc>
          <w:tcPr>
            <w:tcW w:w="2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1,132,154</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1,074,378</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951,224</w:t>
            </w:r>
          </w:p>
        </w:tc>
        <w:tc>
          <w:tcPr>
            <w:tcW w:w="0" w:type="dxa"/>
            <w:vAlign w:val="bottom"/>
          </w:tcPr>
          <w:p>
            <w:pPr>
              <w:spacing w:after="0"/>
              <w:rPr>
                <w:sz w:val="1"/>
                <w:szCs w:val="1"/>
                <w:color w:val="auto"/>
              </w:rPr>
            </w:pP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EXPENSES</w:t>
            </w:r>
          </w:p>
        </w:tc>
        <w:tc>
          <w:tcPr>
            <w:tcW w:w="2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231,666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228,958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198,121</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Rental expenses</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Real estate taxes</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131,429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127,824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118,496</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50,707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52,636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49,856</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321,763</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302,409</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279,976</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2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735,565</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711,827</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646,449</w:t>
            </w:r>
          </w:p>
        </w:tc>
        <w:tc>
          <w:tcPr>
            <w:tcW w:w="0" w:type="dxa"/>
            <w:vAlign w:val="bottom"/>
          </w:tcPr>
          <w:p>
            <w:pPr>
              <w:spacing w:after="0"/>
              <w:rPr>
                <w:sz w:val="1"/>
                <w:szCs w:val="1"/>
                <w:color w:val="auto"/>
              </w:rPr>
            </w:pPr>
          </w:p>
        </w:tc>
      </w:tr>
      <w:tr>
        <w:trPr>
          <w:trHeight w:val="482"/>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Gain on deconsolidation of VIE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Gain on sale of real estate and change in control of interest</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9,881</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93,483</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89,950</w:t>
            </w:r>
          </w:p>
        </w:tc>
        <w:tc>
          <w:tcPr>
            <w:tcW w:w="0" w:type="dxa"/>
            <w:vAlign w:val="bottom"/>
          </w:tcPr>
          <w:p>
            <w:pPr>
              <w:spacing w:after="0"/>
              <w:rPr>
                <w:sz w:val="1"/>
                <w:szCs w:val="1"/>
                <w:color w:val="auto"/>
              </w:rPr>
            </w:pPr>
          </w:p>
        </w:tc>
      </w:tr>
      <w:tr>
        <w:trPr>
          <w:trHeight w:val="49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OPERATING INCOME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406,470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526,408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394,725</w:t>
            </w:r>
          </w:p>
        </w:tc>
        <w:tc>
          <w:tcPr>
            <w:tcW w:w="0" w:type="dxa"/>
            <w:vAlign w:val="bottom"/>
          </w:tcPr>
          <w:p>
            <w:pPr>
              <w:spacing w:after="0"/>
              <w:rPr>
                <w:sz w:val="1"/>
                <w:szCs w:val="1"/>
                <w:color w:val="auto"/>
              </w:rPr>
            </w:pPr>
          </w:p>
        </w:tc>
      </w:tr>
      <w:tr>
        <w:trPr>
          <w:trHeight w:val="50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OTHER INCOME/(EXPENSE)</w:t>
            </w:r>
          </w:p>
        </w:tc>
        <w:tc>
          <w:tcPr>
            <w:tcW w:w="2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4,687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809</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Other interest income</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Interest expense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(167,809)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(136,989)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(127,698)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Income from partnerships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3,869</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5,170</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1,245</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231F20"/>
              </w:rPr>
              <w:t>NET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247,217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395,661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269,081</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attributable to noncontrolling interests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(10,232)</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(10,170)</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(7,583)</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231F20"/>
              </w:rPr>
              <w:t>NET INCOME ATTRIBUTABLE TO THE TRUST</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236,985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385,491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261,498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Dividends on preferred shares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(8,032)</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(8,034)</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(8,042)</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NET INCOME AVAILABLE FOR COMMON SHAREHOLDERS</w:t>
            </w:r>
          </w:p>
        </w:tc>
        <w:tc>
          <w:tcPr>
            <w:tcW w:w="2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228,953</w:t>
            </w:r>
          </w:p>
        </w:tc>
        <w:tc>
          <w:tcPr>
            <w:tcW w:w="80" w:type="dxa"/>
            <w:vAlign w:val="bottom"/>
          </w:tcPr>
          <w:p>
            <w:pPr>
              <w:spacing w:after="0"/>
              <w:rPr>
                <w:sz w:val="18"/>
                <w:szCs w:val="18"/>
                <w:color w:val="auto"/>
              </w:rPr>
            </w:pPr>
          </w:p>
        </w:tc>
        <w:tc>
          <w:tcPr>
            <w:tcW w:w="2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377,457</w:t>
            </w:r>
          </w:p>
        </w:tc>
        <w:tc>
          <w:tcPr>
            <w:tcW w:w="80" w:type="dxa"/>
            <w:vAlign w:val="bottom"/>
          </w:tcPr>
          <w:p>
            <w:pPr>
              <w:spacing w:after="0"/>
              <w:rPr>
                <w:sz w:val="18"/>
                <w:szCs w:val="18"/>
                <w:color w:val="auto"/>
              </w:rPr>
            </w:pPr>
          </w:p>
        </w:tc>
        <w:tc>
          <w:tcPr>
            <w:tcW w:w="300" w:type="dxa"/>
            <w:vAlign w:val="bottom"/>
            <w:tcBorders>
              <w:bottom w:val="single" w:sz="8" w:color="231F20"/>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253,456</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SHARE, BASIC</w:t>
            </w: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shareholders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231F20"/>
              </w:rPr>
              <w:t>Weighted average number of common shares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79,854</w:t>
            </w:r>
          </w:p>
        </w:tc>
        <w:tc>
          <w:tcPr>
            <w:tcW w:w="80" w:type="dxa"/>
            <w:vAlign w:val="bottom"/>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77,336</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SHARE, DILUTED</w:t>
            </w: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shareholders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231F20"/>
              </w:rPr>
              <w:t>Weighted average number of common shares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80,508</w:t>
            </w:r>
          </w:p>
        </w:tc>
        <w:tc>
          <w:tcPr>
            <w:tcW w:w="80" w:type="dxa"/>
            <w:vAlign w:val="bottom"/>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77,368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247,217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395,661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269,081</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Other comprehensive (loss) income - change in value of interest rate swaps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(1,824)</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8,569</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3,917</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231F20"/>
              </w:rPr>
              <w:t>COMPREHENSIVE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245,393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404,230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272,998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Comprehensive income attributable to noncontrolling interests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(10,113)</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(10,935)</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(7,903)</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COMPREHENSIVE INCOME ATTRIBUTABLE TO THE TRUST</w:t>
            </w:r>
          </w:p>
        </w:tc>
        <w:tc>
          <w:tcPr>
            <w:tcW w:w="2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235,280</w:t>
            </w:r>
          </w:p>
        </w:tc>
        <w:tc>
          <w:tcPr>
            <w:tcW w:w="80" w:type="dxa"/>
            <w:vAlign w:val="bottom"/>
          </w:tcPr>
          <w:p>
            <w:pPr>
              <w:spacing w:after="0"/>
              <w:rPr>
                <w:sz w:val="18"/>
                <w:szCs w:val="18"/>
                <w:color w:val="auto"/>
              </w:rPr>
            </w:pPr>
          </w:p>
        </w:tc>
        <w:tc>
          <w:tcPr>
            <w:tcW w:w="2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393,295</w:t>
            </w:r>
          </w:p>
        </w:tc>
        <w:tc>
          <w:tcPr>
            <w:tcW w:w="80" w:type="dxa"/>
            <w:vAlign w:val="bottom"/>
          </w:tcPr>
          <w:p>
            <w:pPr>
              <w:spacing w:after="0"/>
              <w:rPr>
                <w:sz w:val="18"/>
                <w:szCs w:val="18"/>
                <w:color w:val="auto"/>
              </w:rPr>
            </w:pPr>
          </w:p>
        </w:tc>
        <w:tc>
          <w:tcPr>
            <w:tcW w:w="300" w:type="dxa"/>
            <w:vAlign w:val="bottom"/>
            <w:tcBorders>
              <w:bottom w:val="single" w:sz="8" w:color="231F20"/>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265,095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statements.</w:t>
      </w:r>
    </w:p>
    <w:p>
      <w:pPr>
        <w:sectPr>
          <w:pgSz w:w="12240" w:h="15840" w:orient="portrait"/>
          <w:cols w:equalWidth="0" w:num="1">
            <w:col w:w="10160"/>
          </w:cols>
          <w:pgMar w:left="1040" w:top="62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F-9</w:t>
      </w:r>
    </w:p>
    <w:p>
      <w:pPr>
        <w:sectPr>
          <w:pgSz w:w="12240" w:h="15840" w:orient="portrait"/>
          <w:cols w:equalWidth="0" w:num="1">
            <w:col w:w="10160"/>
          </w:cols>
          <w:pgMar w:left="1040" w:top="626" w:right="1040" w:bottom="0"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F-10</w:t>
            </w:r>
          </w:p>
        </w:tc>
      </w:tr>
    </w:tbl>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Consolidated Statement of Shareholders’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10"/>
          </w:tcPr>
          <w:p>
            <w:pPr>
              <w:ind w:left="620"/>
              <w:spacing w:after="0"/>
              <w:rPr>
                <w:sz w:val="20"/>
                <w:szCs w:val="20"/>
                <w:color w:val="auto"/>
              </w:rPr>
            </w:pPr>
            <w:r>
              <w:rPr>
                <w:rFonts w:ascii="Times New Roman" w:cs="Times New Roman" w:eastAsia="Times New Roman" w:hAnsi="Times New Roman"/>
                <w:sz w:val="15"/>
                <w:szCs w:val="15"/>
                <w:b w:val="1"/>
                <w:bCs w:val="1"/>
                <w:color w:val="231F20"/>
              </w:rPr>
              <w:t>Shareholders’ Equity of the Trust</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Accumulated</w:t>
            </w:r>
          </w:p>
        </w:tc>
        <w:tc>
          <w:tcPr>
            <w:tcW w:w="120" w:type="dxa"/>
            <w:vAlign w:val="bottom"/>
          </w:tcPr>
          <w:p>
            <w:pPr>
              <w:spacing w:after="0"/>
              <w:rPr>
                <w:sz w:val="17"/>
                <w:szCs w:val="17"/>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5"/>
                <w:szCs w:val="15"/>
                <w:b w:val="1"/>
                <w:bCs w:val="1"/>
                <w:color w:val="231F20"/>
              </w:rPr>
              <w:t>Accumulated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780" w:type="dxa"/>
            <w:vAlign w:val="bottom"/>
          </w:tcPr>
          <w:p>
            <w:pPr>
              <w:spacing w:after="0"/>
              <w:rPr>
                <w:sz w:val="13"/>
                <w:szCs w:val="13"/>
                <w:color w:val="auto"/>
              </w:rPr>
            </w:pPr>
          </w:p>
        </w:tc>
        <w:tc>
          <w:tcPr>
            <w:tcW w:w="148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5"/>
                <w:szCs w:val="15"/>
                <w:b w:val="1"/>
                <w:bCs w:val="1"/>
                <w:color w:val="231F20"/>
              </w:rPr>
              <w:t>Preferred Shares</w:t>
            </w:r>
          </w:p>
        </w:tc>
        <w:tc>
          <w:tcPr>
            <w:tcW w:w="80" w:type="dxa"/>
            <w:vAlign w:val="bottom"/>
          </w:tcPr>
          <w:p>
            <w:pPr>
              <w:spacing w:after="0"/>
              <w:rPr>
                <w:sz w:val="13"/>
                <w:szCs w:val="13"/>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231F20"/>
              </w:rPr>
              <w:t>Common Shares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jc w:val="center"/>
              <w:ind w:right="198"/>
              <w:spacing w:after="0"/>
              <w:rPr>
                <w:sz w:val="20"/>
                <w:szCs w:val="20"/>
                <w:color w:val="auto"/>
              </w:rPr>
            </w:pPr>
            <w:r>
              <w:rPr>
                <w:rFonts w:ascii="Times New Roman" w:cs="Times New Roman" w:eastAsia="Times New Roman" w:hAnsi="Times New Roman"/>
                <w:sz w:val="15"/>
                <w:szCs w:val="15"/>
                <w:b w:val="1"/>
                <w:bCs w:val="1"/>
                <w:color w:val="231F20"/>
              </w:rPr>
              <w:t>Additional</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center"/>
              <w:ind w:right="148"/>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0" w:type="dxa"/>
            <w:vAlign w:val="bottom"/>
          </w:tcPr>
          <w:p>
            <w:pPr>
              <w:spacing w:after="0"/>
              <w:rPr>
                <w:sz w:val="1"/>
                <w:szCs w:val="1"/>
                <w:color w:val="auto"/>
              </w:rPr>
            </w:pPr>
          </w:p>
        </w:tc>
      </w:tr>
      <w:tr>
        <w:trPr>
          <w:trHeight w:val="154"/>
        </w:trPr>
        <w:tc>
          <w:tcPr>
            <w:tcW w:w="478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020" w:type="dxa"/>
            <w:vAlign w:val="bottom"/>
            <w:gridSpan w:val="3"/>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231F20"/>
              </w:rPr>
              <w:t>Dividends in</w:t>
            </w:r>
          </w:p>
        </w:tc>
        <w:tc>
          <w:tcPr>
            <w:tcW w:w="120" w:type="dxa"/>
            <w:vAlign w:val="bottom"/>
          </w:tcPr>
          <w:p>
            <w:pPr>
              <w:spacing w:after="0"/>
              <w:rPr>
                <w:sz w:val="13"/>
                <w:szCs w:val="13"/>
                <w:color w:val="auto"/>
              </w:rPr>
            </w:pPr>
          </w:p>
        </w:tc>
        <w:tc>
          <w:tcPr>
            <w:tcW w:w="1020" w:type="dxa"/>
            <w:vAlign w:val="bottom"/>
          </w:tcPr>
          <w:p>
            <w:pPr>
              <w:jc w:val="center"/>
              <w:ind w:right="48"/>
              <w:spacing w:after="0" w:line="154" w:lineRule="exact"/>
              <w:rPr>
                <w:sz w:val="20"/>
                <w:szCs w:val="20"/>
                <w:color w:val="auto"/>
              </w:rPr>
            </w:pPr>
            <w:r>
              <w:rPr>
                <w:rFonts w:ascii="Times New Roman" w:cs="Times New Roman" w:eastAsia="Times New Roman" w:hAnsi="Times New Roman"/>
                <w:sz w:val="15"/>
                <w:szCs w:val="15"/>
                <w:b w:val="1"/>
                <w:bCs w:val="1"/>
                <w:color w:val="231F20"/>
                <w:w w:val="99"/>
              </w:rPr>
              <w:t>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jc w:val="center"/>
              <w:ind w:right="178"/>
              <w:spacing w:after="0" w:line="154" w:lineRule="exact"/>
              <w:rPr>
                <w:sz w:val="20"/>
                <w:szCs w:val="20"/>
                <w:color w:val="auto"/>
              </w:rPr>
            </w:pPr>
            <w:r>
              <w:rPr>
                <w:rFonts w:ascii="Times New Roman" w:cs="Times New Roman" w:eastAsia="Times New Roman" w:hAnsi="Times New Roman"/>
                <w:sz w:val="15"/>
                <w:szCs w:val="15"/>
                <w:b w:val="1"/>
                <w:bCs w:val="1"/>
                <w:color w:val="231F20"/>
              </w:rPr>
              <w:t>Paid-in</w:t>
            </w:r>
          </w:p>
        </w:tc>
        <w:tc>
          <w:tcPr>
            <w:tcW w:w="1020" w:type="dxa"/>
            <w:vAlign w:val="bottom"/>
            <w:gridSpan w:val="3"/>
            <w:vMerge w:val="restart"/>
          </w:tcPr>
          <w:p>
            <w:pPr>
              <w:spacing w:after="0" w:line="154" w:lineRule="exact"/>
              <w:rPr>
                <w:sz w:val="20"/>
                <w:szCs w:val="20"/>
                <w:color w:val="auto"/>
              </w:rPr>
            </w:pPr>
            <w:r>
              <w:rPr>
                <w:rFonts w:ascii="Times New Roman" w:cs="Times New Roman" w:eastAsia="Times New Roman" w:hAnsi="Times New Roman"/>
                <w:sz w:val="15"/>
                <w:szCs w:val="15"/>
                <w:b w:val="1"/>
                <w:bCs w:val="1"/>
                <w:color w:val="231F20"/>
              </w:rPr>
              <w:t>Excess of Net</w:t>
            </w:r>
          </w:p>
        </w:tc>
        <w:tc>
          <w:tcPr>
            <w:tcW w:w="1140" w:type="dxa"/>
            <w:vAlign w:val="bottom"/>
            <w:gridSpan w:val="2"/>
            <w:vMerge w:val="restart"/>
          </w:tcPr>
          <w:p>
            <w:pPr>
              <w:ind w:left="60"/>
              <w:spacing w:after="0" w:line="154" w:lineRule="exact"/>
              <w:rPr>
                <w:sz w:val="20"/>
                <w:szCs w:val="20"/>
                <w:color w:val="auto"/>
              </w:rPr>
            </w:pPr>
            <w:r>
              <w:rPr>
                <w:rFonts w:ascii="Times New Roman" w:cs="Times New Roman" w:eastAsia="Times New Roman" w:hAnsi="Times New Roman"/>
                <w:sz w:val="15"/>
                <w:szCs w:val="15"/>
                <w:b w:val="1"/>
                <w:bCs w:val="1"/>
                <w:color w:val="231F20"/>
              </w:rPr>
              <w:t>Comprehensive</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gridSpan w:val="2"/>
            <w:vMerge w:val="restart"/>
          </w:tcPr>
          <w:p>
            <w:pPr>
              <w:ind w:left="40"/>
              <w:spacing w:after="0" w:line="154" w:lineRule="exact"/>
              <w:rPr>
                <w:sz w:val="20"/>
                <w:szCs w:val="20"/>
                <w:color w:val="auto"/>
              </w:rPr>
            </w:pPr>
            <w:r>
              <w:rPr>
                <w:rFonts w:ascii="Times New Roman" w:cs="Times New Roman" w:eastAsia="Times New Roman" w:hAnsi="Times New Roman"/>
                <w:sz w:val="15"/>
                <w:szCs w:val="15"/>
                <w:b w:val="1"/>
                <w:bCs w:val="1"/>
                <w:color w:val="231F20"/>
              </w:rPr>
              <w:t>Noncontrolling</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60" w:type="dxa"/>
            <w:vAlign w:val="bottom"/>
            <w:gridSpan w:val="2"/>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231F20"/>
              </w:rPr>
              <w:t>Shareholders'</w:t>
            </w: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80" w:type="dxa"/>
            <w:vAlign w:val="bottom"/>
          </w:tcPr>
          <w:p>
            <w:pPr>
              <w:spacing w:after="0"/>
              <w:rPr>
                <w:sz w:val="9"/>
                <w:szCs w:val="9"/>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80" w:type="dxa"/>
            <w:vAlign w:val="bottom"/>
          </w:tcPr>
          <w:p>
            <w:pPr>
              <w:spacing w:after="0"/>
              <w:rPr>
                <w:sz w:val="9"/>
                <w:szCs w:val="9"/>
                <w:color w:val="auto"/>
              </w:rPr>
            </w:pPr>
          </w:p>
        </w:tc>
        <w:tc>
          <w:tcPr>
            <w:tcW w:w="86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80" w:type="dxa"/>
            <w:vAlign w:val="bottom"/>
          </w:tcPr>
          <w:p>
            <w:pPr>
              <w:spacing w:after="0"/>
              <w:rPr>
                <w:sz w:val="9"/>
                <w:szCs w:val="9"/>
                <w:color w:val="auto"/>
              </w:rPr>
            </w:pPr>
          </w:p>
        </w:tc>
        <w:tc>
          <w:tcPr>
            <w:tcW w:w="7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70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231F20"/>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198"/>
              <w:spacing w:after="0"/>
              <w:rPr>
                <w:sz w:val="20"/>
                <w:szCs w:val="20"/>
                <w:color w:val="auto"/>
              </w:rPr>
            </w:pPr>
            <w:r>
              <w:rPr>
                <w:rFonts w:ascii="Times New Roman" w:cs="Times New Roman" w:eastAsia="Times New Roman" w:hAnsi="Times New Roman"/>
                <w:sz w:val="15"/>
                <w:szCs w:val="15"/>
                <w:b w:val="1"/>
                <w:bCs w:val="1"/>
                <w:color w:val="231F20"/>
              </w:rPr>
              <w:t>Capital</w:t>
            </w:r>
          </w:p>
        </w:tc>
        <w:tc>
          <w:tcPr>
            <w:tcW w:w="14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231F20"/>
              </w:rPr>
              <w:t>Income</w:t>
            </w:r>
          </w:p>
        </w:tc>
        <w:tc>
          <w:tcPr>
            <w:tcW w:w="11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rPr>
              <w:t>(Loss) Income</w:t>
            </w:r>
          </w:p>
        </w:tc>
        <w:tc>
          <w:tcPr>
            <w:tcW w:w="8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188"/>
              <w:spacing w:after="0"/>
              <w:rPr>
                <w:sz w:val="20"/>
                <w:szCs w:val="20"/>
                <w:color w:val="auto"/>
              </w:rPr>
            </w:pPr>
            <w:r>
              <w:rPr>
                <w:rFonts w:ascii="Times New Roman" w:cs="Times New Roman" w:eastAsia="Times New Roman" w:hAnsi="Times New Roman"/>
                <w:sz w:val="15"/>
                <w:szCs w:val="15"/>
                <w:b w:val="1"/>
                <w:bCs w:val="1"/>
                <w:color w:val="231F20"/>
              </w:rPr>
              <w:t>Interests</w:t>
            </w:r>
          </w:p>
        </w:tc>
        <w:tc>
          <w:tcPr>
            <w:tcW w:w="8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center"/>
              <w:ind w:right="148"/>
              <w:spacing w:after="0"/>
              <w:rPr>
                <w:sz w:val="20"/>
                <w:szCs w:val="20"/>
                <w:color w:val="auto"/>
              </w:rPr>
            </w:pPr>
            <w:r>
              <w:rPr>
                <w:rFonts w:ascii="Times New Roman" w:cs="Times New Roman" w:eastAsia="Times New Roman" w:hAnsi="Times New Roman"/>
                <w:sz w:val="15"/>
                <w:szCs w:val="15"/>
                <w:b w:val="1"/>
                <w:bCs w:val="1"/>
                <w:color w:val="231F20"/>
              </w:rPr>
              <w:t>Equity</w:t>
            </w: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231F20"/>
              </w:rPr>
              <w:t>(In thousands,</w:t>
            </w:r>
          </w:p>
        </w:tc>
        <w:tc>
          <w:tcPr>
            <w:tcW w:w="60" w:type="dxa"/>
            <w:vAlign w:val="bottom"/>
          </w:tcPr>
          <w:p>
            <w:pPr>
              <w:spacing w:after="0"/>
              <w:rPr>
                <w:sz w:val="9"/>
                <w:szCs w:val="9"/>
                <w:color w:val="auto"/>
              </w:rPr>
            </w:pPr>
          </w:p>
        </w:tc>
        <w:tc>
          <w:tcPr>
            <w:tcW w:w="1000" w:type="dxa"/>
            <w:vAlign w:val="bottom"/>
            <w:gridSpan w:val="3"/>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231F20"/>
              </w:rPr>
              <w:t>except share data)</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BALANCE AT DECEMBER 31,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405,896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$ 159,997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76,727,394</w:t>
            </w:r>
          </w:p>
        </w:tc>
        <w:tc>
          <w:tcPr>
            <w:tcW w:w="520" w:type="dxa"/>
            <w:vAlign w:val="bottom"/>
            <w:gridSpan w:val="2"/>
          </w:tcPr>
          <w:p>
            <w:pPr>
              <w:jc w:val="right"/>
              <w:ind w:right="247"/>
              <w:spacing w:after="0"/>
              <w:rPr>
                <w:sz w:val="20"/>
                <w:szCs w:val="20"/>
                <w:color w:val="auto"/>
              </w:rPr>
            </w:pPr>
            <w:r>
              <w:rPr>
                <w:rFonts w:ascii="Times New Roman" w:cs="Times New Roman" w:eastAsia="Times New Roman" w:hAnsi="Times New Roman"/>
                <w:sz w:val="14"/>
                <w:szCs w:val="14"/>
                <w:color w:val="231F2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771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3,297,305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(988,272)</w:t>
            </w:r>
          </w:p>
        </w:tc>
        <w:tc>
          <w:tcPr>
            <w:tcW w:w="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231F20"/>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(5,644)</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84,590</w:t>
            </w:r>
          </w:p>
        </w:tc>
        <w:tc>
          <w:tcPr>
            <w:tcW w:w="300" w:type="dxa"/>
            <w:vAlign w:val="bottom"/>
            <w:gridSpan w:val="3"/>
          </w:tcPr>
          <w:p>
            <w:pPr>
              <w:jc w:val="right"/>
              <w:ind w:right="26"/>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2,548,747</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$4,296 attributable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261,498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3,287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264,785</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income - change in value of interest rate swaps, excluding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3,597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3,597</w:t>
            </w:r>
          </w:p>
        </w:tc>
        <w:tc>
          <w:tcPr>
            <w:tcW w:w="0" w:type="dxa"/>
            <w:vAlign w:val="bottom"/>
          </w:tcPr>
          <w:p>
            <w:pPr>
              <w:spacing w:after="0"/>
              <w:rPr>
                <w:sz w:val="1"/>
                <w:szCs w:val="1"/>
                <w:color w:val="auto"/>
              </w:rPr>
            </w:pPr>
          </w:p>
        </w:tc>
      </w:tr>
      <w:tr>
        <w:trPr>
          <w:trHeight w:val="144"/>
        </w:trPr>
        <w:tc>
          <w:tcPr>
            <w:tcW w:w="47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231F20"/>
              </w:rPr>
              <w:t>$320 attributable to redeemable noncontrolling interest</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common shareholders ($4.26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(332,116)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(332,116)</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preferred shareholders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(8,042)</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excluding $5,268 attributable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(4,341)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(4,341)</w:t>
            </w:r>
          </w:p>
        </w:tc>
        <w:tc>
          <w:tcPr>
            <w:tcW w:w="0" w:type="dxa"/>
            <w:vAlign w:val="bottom"/>
          </w:tcPr>
          <w:p>
            <w:pPr>
              <w:spacing w:after="0"/>
              <w:rPr>
                <w:sz w:val="1"/>
                <w:szCs w:val="1"/>
                <w:color w:val="auto"/>
              </w:rPr>
            </w:pPr>
          </w:p>
        </w:tc>
      </w:tr>
      <w:tr>
        <w:trPr>
          <w:trHeight w:val="144"/>
        </w:trPr>
        <w:tc>
          <w:tcPr>
            <w:tcW w:w="47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231F20"/>
              </w:rPr>
              <w:t>to 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Common shares issued, net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1,643,845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172,736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172,753</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Shares issued under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19,758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1,955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1,955</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164,553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14,432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14,434</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Shares withheld for employee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(29,031)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(2,998)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(2,998)</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76,786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7,474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(7,573)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(99)</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 excluding $74,530 attributable to</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6,583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6,583</w:t>
            </w:r>
          </w:p>
        </w:tc>
        <w:tc>
          <w:tcPr>
            <w:tcW w:w="0" w:type="dxa"/>
            <w:vAlign w:val="bottom"/>
          </w:tcPr>
          <w:p>
            <w:pPr>
              <w:spacing w:after="0"/>
              <w:rPr>
                <w:sz w:val="1"/>
                <w:szCs w:val="1"/>
                <w:color w:val="auto"/>
              </w:rPr>
            </w:pPr>
          </w:p>
        </w:tc>
      </w:tr>
      <w:tr>
        <w:trPr>
          <w:trHeight w:val="144"/>
        </w:trPr>
        <w:tc>
          <w:tcPr>
            <w:tcW w:w="47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231F20"/>
              </w:rPr>
              <w:t>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(2,110)</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BALANCE AT DECEMBER 31,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405,896</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$ 159,997</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78,603,305</w:t>
            </w:r>
          </w:p>
        </w:tc>
        <w:tc>
          <w:tcPr>
            <w:tcW w:w="80" w:type="dxa"/>
            <w:vAlign w:val="bottom"/>
          </w:tcPr>
          <w:p>
            <w:pPr>
              <w:spacing w:after="0"/>
              <w:rPr>
                <w:sz w:val="16"/>
                <w:szCs w:val="16"/>
                <w:color w:val="auto"/>
              </w:rPr>
            </w:pPr>
          </w:p>
        </w:tc>
        <w:tc>
          <w:tcPr>
            <w:tcW w:w="440" w:type="dxa"/>
            <w:vAlign w:val="bottom"/>
          </w:tcPr>
          <w:p>
            <w:pPr>
              <w:jc w:val="right"/>
              <w:ind w:right="247"/>
              <w:spacing w:after="0"/>
              <w:rPr>
                <w:sz w:val="20"/>
                <w:szCs w:val="20"/>
                <w:color w:val="auto"/>
              </w:rPr>
            </w:pPr>
            <w:r>
              <w:rPr>
                <w:rFonts w:ascii="Times New Roman" w:cs="Times New Roman" w:eastAsia="Times New Roman" w:hAnsi="Times New Roman"/>
                <w:sz w:val="14"/>
                <w:szCs w:val="14"/>
                <w:color w:val="231F2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790</w:t>
            </w: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3,488,794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(1,066,932)</w:t>
            </w:r>
          </w:p>
        </w:tc>
        <w:tc>
          <w:tcPr>
            <w:tcW w:w="8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231F20"/>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(2,047)</w:t>
            </w:r>
          </w:p>
        </w:tc>
        <w:tc>
          <w:tcPr>
            <w:tcW w:w="80" w:type="dxa"/>
            <w:vAlign w:val="bottom"/>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82,546</w:t>
            </w:r>
          </w:p>
        </w:tc>
        <w:tc>
          <w:tcPr>
            <w:tcW w:w="80" w:type="dxa"/>
            <w:vAlign w:val="bottom"/>
          </w:tcPr>
          <w:p>
            <w:pPr>
              <w:spacing w:after="0"/>
              <w:rPr>
                <w:sz w:val="16"/>
                <w:szCs w:val="16"/>
                <w:color w:val="auto"/>
              </w:rPr>
            </w:pP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2,663,148</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$6,613 attributable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385,491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389,048</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income - change in value of interest rate swaps, excluding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7,804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7,804</w:t>
            </w:r>
          </w:p>
        </w:tc>
        <w:tc>
          <w:tcPr>
            <w:tcW w:w="0" w:type="dxa"/>
            <w:vAlign w:val="bottom"/>
          </w:tcPr>
          <w:p>
            <w:pPr>
              <w:spacing w:after="0"/>
              <w:rPr>
                <w:sz w:val="1"/>
                <w:szCs w:val="1"/>
                <w:color w:val="auto"/>
              </w:rPr>
            </w:pPr>
          </w:p>
        </w:tc>
      </w:tr>
      <w:tr>
        <w:trPr>
          <w:trHeight w:val="144"/>
        </w:trPr>
        <w:tc>
          <w:tcPr>
            <w:tcW w:w="47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231F20"/>
              </w:rPr>
              <w:t>$765 attributable to redeemable noncontrolling interest</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common shareholders ($4.30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(344,711)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(344,711)</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preferred shareholders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(8,034)</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excluding $8,090 attributable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(5,007)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(5,007)</w:t>
            </w:r>
          </w:p>
        </w:tc>
        <w:tc>
          <w:tcPr>
            <w:tcW w:w="0" w:type="dxa"/>
            <w:vAlign w:val="bottom"/>
          </w:tcPr>
          <w:p>
            <w:pPr>
              <w:spacing w:after="0"/>
              <w:rPr>
                <w:sz w:val="1"/>
                <w:szCs w:val="1"/>
                <w:color w:val="auto"/>
              </w:rPr>
            </w:pPr>
          </w:p>
        </w:tc>
      </w:tr>
      <w:tr>
        <w:trPr>
          <w:trHeight w:val="144"/>
        </w:trPr>
        <w:tc>
          <w:tcPr>
            <w:tcW w:w="47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231F20"/>
              </w:rPr>
              <w:t>to redeemable noncontrolling interests</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Common shares issued, net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2,634,223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306,828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306,854</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366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Shares issued under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19,502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2,104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2,104</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110,395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15,016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15,018</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Shares withheld for employee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(41,105)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(4,900)</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of preferred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(7,018)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1,675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14,598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1,367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(698)</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Deconsolidation of VIE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972</w:t>
            </w:r>
          </w:p>
        </w:tc>
        <w:tc>
          <w:tcPr>
            <w:tcW w:w="0" w:type="dxa"/>
            <w:vAlign w:val="bottom"/>
          </w:tcPr>
          <w:p>
            <w:pPr>
              <w:spacing w:after="0"/>
              <w:rPr>
                <w:sz w:val="1"/>
                <w:szCs w:val="1"/>
                <w:color w:val="auto"/>
              </w:rPr>
            </w:pPr>
          </w:p>
        </w:tc>
      </w:tr>
      <w:tr>
        <w:trPr>
          <w:trHeight w:val="199"/>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12,382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12,382</w:t>
            </w:r>
          </w:p>
        </w:tc>
        <w:tc>
          <w:tcPr>
            <w:tcW w:w="0" w:type="dxa"/>
            <w:vAlign w:val="bottom"/>
          </w:tcPr>
          <w:p>
            <w:pPr>
              <w:spacing w:after="0"/>
              <w:rPr>
                <w:sz w:val="1"/>
                <w:szCs w:val="1"/>
                <w:color w:val="auto"/>
              </w:rPr>
            </w:pPr>
          </w:p>
        </w:tc>
      </w:tr>
      <w:tr>
        <w:trPr>
          <w:trHeight w:val="141"/>
        </w:trPr>
        <w:tc>
          <w:tcPr>
            <w:tcW w:w="47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231F20"/>
              </w:rPr>
              <w:t>BALANCE AT DECEMBER 31, 2022</w:t>
            </w:r>
          </w:p>
        </w:tc>
        <w:tc>
          <w:tcPr>
            <w:tcW w:w="70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398,878</w:t>
            </w:r>
          </w:p>
        </w:tc>
        <w:tc>
          <w:tcPr>
            <w:tcW w:w="80" w:type="dxa"/>
            <w:vAlign w:val="bottom"/>
          </w:tcPr>
          <w:p>
            <w:pPr>
              <w:spacing w:after="0"/>
              <w:rPr>
                <w:sz w:val="12"/>
                <w:szCs w:val="12"/>
                <w:color w:val="auto"/>
              </w:rPr>
            </w:pPr>
          </w:p>
        </w:tc>
        <w:tc>
          <w:tcPr>
            <w:tcW w:w="70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$ 159,822</w:t>
            </w:r>
          </w:p>
        </w:tc>
        <w:tc>
          <w:tcPr>
            <w:tcW w:w="80" w:type="dxa"/>
            <w:vAlign w:val="bottom"/>
          </w:tcPr>
          <w:p>
            <w:pPr>
              <w:spacing w:after="0"/>
              <w:rPr>
                <w:sz w:val="12"/>
                <w:szCs w:val="12"/>
                <w:color w:val="auto"/>
              </w:rPr>
            </w:pPr>
          </w:p>
        </w:tc>
        <w:tc>
          <w:tcPr>
            <w:tcW w:w="86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81,342,959</w:t>
            </w:r>
          </w:p>
        </w:tc>
        <w:tc>
          <w:tcPr>
            <w:tcW w:w="80" w:type="dxa"/>
            <w:vAlign w:val="bottom"/>
          </w:tcPr>
          <w:p>
            <w:pPr>
              <w:spacing w:after="0"/>
              <w:rPr>
                <w:sz w:val="12"/>
                <w:szCs w:val="12"/>
                <w:color w:val="auto"/>
              </w:rPr>
            </w:pPr>
          </w:p>
        </w:tc>
        <w:tc>
          <w:tcPr>
            <w:tcW w:w="440" w:type="dxa"/>
            <w:vAlign w:val="bottom"/>
            <w:tcBorders>
              <w:top w:val="single" w:sz="8" w:color="231F20"/>
            </w:tcBorders>
          </w:tcPr>
          <w:p>
            <w:pPr>
              <w:jc w:val="right"/>
              <w:ind w:right="247"/>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30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818</w:t>
            </w:r>
          </w:p>
        </w:tc>
        <w:tc>
          <w:tcPr>
            <w:tcW w:w="60" w:type="dxa"/>
            <w:vAlign w:val="bottom"/>
          </w:tcPr>
          <w:p>
            <w:pPr>
              <w:spacing w:after="0"/>
              <w:rPr>
                <w:sz w:val="12"/>
                <w:szCs w:val="12"/>
                <w:color w:val="auto"/>
              </w:rPr>
            </w:pPr>
          </w:p>
        </w:tc>
        <w:tc>
          <w:tcPr>
            <w:tcW w:w="140" w:type="dxa"/>
            <w:vAlign w:val="bottom"/>
            <w:tcBorders>
              <w:top w:val="single" w:sz="8" w:color="231F20"/>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3,821,801</w:t>
            </w:r>
          </w:p>
        </w:tc>
        <w:tc>
          <w:tcPr>
            <w:tcW w:w="6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140" w:type="dxa"/>
            <w:vAlign w:val="bottom"/>
            <w:tcBorders>
              <w:top w:val="single" w:sz="8" w:color="231F20"/>
            </w:tcBorders>
          </w:tcPr>
          <w:p>
            <w:pPr>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80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(1,034,186)</w:t>
            </w:r>
          </w:p>
        </w:tc>
        <w:tc>
          <w:tcPr>
            <w:tcW w:w="80" w:type="dxa"/>
            <w:vAlign w:val="bottom"/>
          </w:tcPr>
          <w:p>
            <w:pPr>
              <w:spacing w:after="0"/>
              <w:rPr>
                <w:sz w:val="12"/>
                <w:szCs w:val="12"/>
                <w:color w:val="auto"/>
              </w:rPr>
            </w:pPr>
          </w:p>
        </w:tc>
        <w:tc>
          <w:tcPr>
            <w:tcW w:w="120" w:type="dxa"/>
            <w:vAlign w:val="bottom"/>
            <w:tcBorders>
              <w:top w:val="single" w:sz="8" w:color="231F20"/>
            </w:tcBorders>
          </w:tcPr>
          <w:p>
            <w:pPr>
              <w:ind w:left="40"/>
              <w:spacing w:after="0" w:line="141" w:lineRule="exact"/>
              <w:rPr>
                <w:sz w:val="20"/>
                <w:szCs w:val="20"/>
                <w:color w:val="auto"/>
              </w:rPr>
            </w:pPr>
            <w:r>
              <w:rPr>
                <w:rFonts w:ascii="Times New Roman" w:cs="Times New Roman" w:eastAsia="Times New Roman" w:hAnsi="Times New Roman"/>
                <w:sz w:val="14"/>
                <w:szCs w:val="14"/>
                <w:color w:val="231F20"/>
                <w:w w:val="85"/>
              </w:rPr>
              <w:t>$</w:t>
            </w:r>
          </w:p>
        </w:tc>
        <w:tc>
          <w:tcPr>
            <w:tcW w:w="102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5,757</w:t>
            </w:r>
          </w:p>
        </w:tc>
        <w:tc>
          <w:tcPr>
            <w:tcW w:w="80" w:type="dxa"/>
            <w:vAlign w:val="bottom"/>
          </w:tcPr>
          <w:p>
            <w:pPr>
              <w:spacing w:after="0"/>
              <w:rPr>
                <w:sz w:val="12"/>
                <w:szCs w:val="12"/>
                <w:color w:val="auto"/>
              </w:rPr>
            </w:pPr>
          </w:p>
        </w:tc>
        <w:tc>
          <w:tcPr>
            <w:tcW w:w="200" w:type="dxa"/>
            <w:vAlign w:val="bottom"/>
            <w:tcBorders>
              <w:top w:val="single" w:sz="8" w:color="231F20"/>
            </w:tcBorders>
            <w:gridSpan w:val="2"/>
          </w:tcPr>
          <w:p>
            <w:pPr>
              <w:ind w:left="40"/>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90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80,003</w:t>
            </w:r>
          </w:p>
        </w:tc>
        <w:tc>
          <w:tcPr>
            <w:tcW w:w="100" w:type="dxa"/>
            <w:vAlign w:val="bottom"/>
            <w:gridSpan w:val="2"/>
          </w:tcPr>
          <w:p>
            <w:pPr>
              <w:spacing w:after="0"/>
              <w:rPr>
                <w:sz w:val="12"/>
                <w:szCs w:val="12"/>
                <w:color w:val="auto"/>
              </w:rPr>
            </w:pPr>
          </w:p>
        </w:tc>
        <w:tc>
          <w:tcPr>
            <w:tcW w:w="200" w:type="dxa"/>
            <w:vAlign w:val="bottom"/>
            <w:tcBorders>
              <w:top w:val="single" w:sz="8" w:color="231F20"/>
            </w:tcBorders>
          </w:tcPr>
          <w:p>
            <w:pPr>
              <w:jc w:val="right"/>
              <w:ind w:right="26"/>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top w:val="single" w:sz="8" w:color="231F20"/>
            </w:tcBorders>
          </w:tcPr>
          <w:p>
            <w:pPr>
              <w:jc w:val="right"/>
              <w:spacing w:after="0" w:line="141" w:lineRule="exact"/>
              <w:rPr>
                <w:sz w:val="20"/>
                <w:szCs w:val="20"/>
                <w:color w:val="auto"/>
              </w:rPr>
            </w:pPr>
            <w:r>
              <w:rPr>
                <w:rFonts w:ascii="Times New Roman" w:cs="Times New Roman" w:eastAsia="Times New Roman" w:hAnsi="Times New Roman"/>
                <w:sz w:val="14"/>
                <w:szCs w:val="14"/>
                <w:color w:val="231F20"/>
              </w:rPr>
              <w:t>3,034,015</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$7,253 attributable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236,985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239,964</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loss - change in value of interest rate swaps, excluding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(1,705)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(1,705)</w:t>
            </w:r>
          </w:p>
        </w:tc>
        <w:tc>
          <w:tcPr>
            <w:tcW w:w="0" w:type="dxa"/>
            <w:vAlign w:val="bottom"/>
          </w:tcPr>
          <w:p>
            <w:pPr>
              <w:spacing w:after="0"/>
              <w:rPr>
                <w:sz w:val="1"/>
                <w:szCs w:val="1"/>
                <w:color w:val="auto"/>
              </w:rPr>
            </w:pPr>
          </w:p>
        </w:tc>
      </w:tr>
      <w:tr>
        <w:trPr>
          <w:trHeight w:val="165"/>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$119 attributable to redeemable noncontrolling interest</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common shareholders ($4.34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(355,241)</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preferred shareholders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excluding $9,539 attributable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(4,541)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(4,541)</w:t>
            </w:r>
          </w:p>
        </w:tc>
        <w:tc>
          <w:tcPr>
            <w:tcW w:w="0" w:type="dxa"/>
            <w:vAlign w:val="bottom"/>
          </w:tcPr>
          <w:p>
            <w:pPr>
              <w:spacing w:after="0"/>
              <w:rPr>
                <w:sz w:val="1"/>
                <w:szCs w:val="1"/>
                <w:color w:val="auto"/>
              </w:rPr>
            </w:pPr>
          </w:p>
        </w:tc>
      </w:tr>
      <w:tr>
        <w:trPr>
          <w:trHeight w:val="165"/>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to redeemable noncontrolling interests</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Common shares issued, net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1,310,118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131,716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131,729</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Shares issued under dividend reinvestment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19,847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1,870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1,870</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139,248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15,425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15,427</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Shares withheld for employee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(46,009)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9,123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883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(883)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1,092</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(7,400)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(7,400)</w:t>
            </w: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BALANCE AT DECEMBER 31, 2023</w:t>
            </w:r>
          </w:p>
        </w:tc>
        <w:tc>
          <w:tcPr>
            <w:tcW w:w="70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398,878</w:t>
            </w:r>
          </w:p>
        </w:tc>
        <w:tc>
          <w:tcPr>
            <w:tcW w:w="80" w:type="dxa"/>
            <w:vAlign w:val="bottom"/>
          </w:tcPr>
          <w:p>
            <w:pPr>
              <w:spacing w:after="0"/>
              <w:rPr>
                <w:sz w:val="12"/>
                <w:szCs w:val="12"/>
                <w:color w:val="auto"/>
              </w:rPr>
            </w:pPr>
          </w:p>
        </w:tc>
        <w:tc>
          <w:tcPr>
            <w:tcW w:w="70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$ 159,822</w:t>
            </w:r>
          </w:p>
        </w:tc>
        <w:tc>
          <w:tcPr>
            <w:tcW w:w="80" w:type="dxa"/>
            <w:vAlign w:val="bottom"/>
          </w:tcPr>
          <w:p>
            <w:pPr>
              <w:spacing w:after="0"/>
              <w:rPr>
                <w:sz w:val="12"/>
                <w:szCs w:val="12"/>
                <w:color w:val="auto"/>
              </w:rPr>
            </w:pPr>
          </w:p>
        </w:tc>
        <w:tc>
          <w:tcPr>
            <w:tcW w:w="86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82,775,286</w:t>
            </w:r>
          </w:p>
        </w:tc>
        <w:tc>
          <w:tcPr>
            <w:tcW w:w="80" w:type="dxa"/>
            <w:vAlign w:val="bottom"/>
          </w:tcPr>
          <w:p>
            <w:pPr>
              <w:spacing w:after="0"/>
              <w:rPr>
                <w:sz w:val="12"/>
                <w:szCs w:val="12"/>
                <w:color w:val="auto"/>
              </w:rPr>
            </w:pPr>
          </w:p>
        </w:tc>
        <w:tc>
          <w:tcPr>
            <w:tcW w:w="440" w:type="dxa"/>
            <w:vAlign w:val="bottom"/>
            <w:tcBorders>
              <w:top w:val="single" w:sz="8" w:color="231F20"/>
              <w:bottom w:val="single" w:sz="8" w:color="231F20"/>
            </w:tcBorders>
          </w:tcPr>
          <w:p>
            <w:pPr>
              <w:jc w:val="right"/>
              <w:ind w:right="247"/>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30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833</w:t>
            </w:r>
          </w:p>
        </w:tc>
        <w:tc>
          <w:tcPr>
            <w:tcW w:w="80" w:type="dxa"/>
            <w:vAlign w:val="bottom"/>
            <w:gridSpan w:val="2"/>
          </w:tcPr>
          <w:p>
            <w:pPr>
              <w:spacing w:after="0"/>
              <w:rPr>
                <w:sz w:val="12"/>
                <w:szCs w:val="12"/>
                <w:color w:val="auto"/>
              </w:rPr>
            </w:pPr>
          </w:p>
        </w:tc>
        <w:tc>
          <w:tcPr>
            <w:tcW w:w="12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3,959,276</w:t>
            </w:r>
          </w:p>
        </w:tc>
        <w:tc>
          <w:tcPr>
            <w:tcW w:w="60" w:type="dxa"/>
            <w:vAlign w:val="bottom"/>
          </w:tcPr>
          <w:p>
            <w:pPr>
              <w:spacing w:after="0"/>
              <w:rPr>
                <w:sz w:val="12"/>
                <w:szCs w:val="12"/>
                <w:color w:val="auto"/>
              </w:rPr>
            </w:pPr>
          </w:p>
        </w:tc>
        <w:tc>
          <w:tcPr>
            <w:tcW w:w="60" w:type="dxa"/>
            <w:vAlign w:val="bottom"/>
            <w:tcBorders>
              <w:top w:val="single" w:sz="8" w:color="231F20"/>
              <w:bottom w:val="single" w:sz="8" w:color="231F20"/>
            </w:tcBorders>
          </w:tcPr>
          <w:p>
            <w:pPr>
              <w:spacing w:after="0"/>
              <w:rPr>
                <w:sz w:val="12"/>
                <w:szCs w:val="12"/>
                <w:color w:val="auto"/>
              </w:rPr>
            </w:pPr>
          </w:p>
        </w:tc>
        <w:tc>
          <w:tcPr>
            <w:tcW w:w="140" w:type="dxa"/>
            <w:vAlign w:val="bottom"/>
            <w:tcBorders>
              <w:top w:val="single" w:sz="8" w:color="231F20"/>
              <w:bottom w:val="single" w:sz="8" w:color="231F20"/>
            </w:tcBorders>
          </w:tcPr>
          <w:p>
            <w:pPr>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80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(1,160,474)</w:t>
            </w:r>
          </w:p>
        </w:tc>
        <w:tc>
          <w:tcPr>
            <w:tcW w:w="80" w:type="dxa"/>
            <w:vAlign w:val="bottom"/>
          </w:tcPr>
          <w:p>
            <w:pPr>
              <w:spacing w:after="0"/>
              <w:rPr>
                <w:sz w:val="12"/>
                <w:szCs w:val="12"/>
                <w:color w:val="auto"/>
              </w:rPr>
            </w:pPr>
          </w:p>
        </w:tc>
        <w:tc>
          <w:tcPr>
            <w:tcW w:w="120" w:type="dxa"/>
            <w:vAlign w:val="bottom"/>
            <w:tcBorders>
              <w:top w:val="single" w:sz="8" w:color="231F20"/>
              <w:bottom w:val="single" w:sz="8" w:color="231F20"/>
            </w:tcBorders>
          </w:tcPr>
          <w:p>
            <w:pPr>
              <w:ind w:left="40"/>
              <w:spacing w:after="0" w:line="149" w:lineRule="exact"/>
              <w:rPr>
                <w:sz w:val="20"/>
                <w:szCs w:val="20"/>
                <w:color w:val="auto"/>
              </w:rPr>
            </w:pPr>
            <w:r>
              <w:rPr>
                <w:rFonts w:ascii="Times New Roman" w:cs="Times New Roman" w:eastAsia="Times New Roman" w:hAnsi="Times New Roman"/>
                <w:sz w:val="14"/>
                <w:szCs w:val="14"/>
                <w:color w:val="231F20"/>
                <w:w w:val="85"/>
              </w:rPr>
              <w:t>$</w:t>
            </w:r>
          </w:p>
        </w:tc>
        <w:tc>
          <w:tcPr>
            <w:tcW w:w="102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4,052</w:t>
            </w:r>
          </w:p>
        </w:tc>
        <w:tc>
          <w:tcPr>
            <w:tcW w:w="100" w:type="dxa"/>
            <w:vAlign w:val="bottom"/>
            <w:gridSpan w:val="2"/>
          </w:tcPr>
          <w:p>
            <w:pPr>
              <w:spacing w:after="0"/>
              <w:rPr>
                <w:sz w:val="12"/>
                <w:szCs w:val="12"/>
                <w:color w:val="auto"/>
              </w:rPr>
            </w:pPr>
          </w:p>
        </w:tc>
        <w:tc>
          <w:tcPr>
            <w:tcW w:w="180" w:type="dxa"/>
            <w:vAlign w:val="bottom"/>
            <w:tcBorders>
              <w:top w:val="single" w:sz="8" w:color="231F20"/>
              <w:bottom w:val="single" w:sz="8" w:color="231F20"/>
            </w:tcBorders>
          </w:tcPr>
          <w:p>
            <w:pPr>
              <w:ind w:left="2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90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78,650</w:t>
            </w:r>
          </w:p>
        </w:tc>
        <w:tc>
          <w:tcPr>
            <w:tcW w:w="100" w:type="dxa"/>
            <w:vAlign w:val="bottom"/>
            <w:gridSpan w:val="2"/>
          </w:tcPr>
          <w:p>
            <w:pPr>
              <w:spacing w:after="0"/>
              <w:rPr>
                <w:sz w:val="12"/>
                <w:szCs w:val="12"/>
                <w:color w:val="auto"/>
              </w:rPr>
            </w:pPr>
          </w:p>
        </w:tc>
        <w:tc>
          <w:tcPr>
            <w:tcW w:w="200" w:type="dxa"/>
            <w:vAlign w:val="bottom"/>
            <w:tcBorders>
              <w:top w:val="single" w:sz="8" w:color="231F20"/>
              <w:bottom w:val="single" w:sz="8" w:color="231F20"/>
            </w:tcBorders>
          </w:tcPr>
          <w:p>
            <w:pPr>
              <w:jc w:val="right"/>
              <w:ind w:right="26"/>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top w:val="single" w:sz="8" w:color="231F20"/>
              <w:bottom w:val="single" w:sz="8" w:color="231F20"/>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3,042,159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-6181725</wp:posOffset>
            </wp:positionV>
            <wp:extent cx="417195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4171950" cy="12065"/>
                    </a:xfrm>
                    <a:prstGeom prst="rect">
                      <a:avLst/>
                    </a:prstGeom>
                    <a:noFill/>
                  </pic:spPr>
                </pic:pic>
              </a:graphicData>
            </a:graphic>
          </wp:anchor>
        </w:drawing>
        <w:drawing>
          <wp:anchor simplePos="0" relativeHeight="251657728" behindDoc="1" locked="0" layoutInCell="0" allowOverlap="1">
            <wp:simplePos x="0" y="0"/>
            <wp:positionH relativeFrom="column">
              <wp:posOffset>5136515</wp:posOffset>
            </wp:positionH>
            <wp:positionV relativeFrom="paragraph">
              <wp:posOffset>-5779135</wp:posOffset>
            </wp:positionV>
            <wp:extent cx="1290320"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1290320" cy="1206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-3848100</wp:posOffset>
            </wp:positionV>
            <wp:extent cx="565467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5654675" cy="12065"/>
                    </a:xfrm>
                    <a:prstGeom prst="rect">
                      <a:avLst/>
                    </a:prstGeom>
                    <a:noFill/>
                  </pic:spPr>
                </pic:pic>
              </a:graphicData>
            </a:graphic>
          </wp:anchor>
        </w:drawing>
      </w:r>
    </w:p>
    <w:p>
      <w:pPr>
        <w:spacing w:after="0" w:line="168" w:lineRule="exact"/>
        <w:rPr>
          <w:sz w:val="20"/>
          <w:szCs w:val="20"/>
          <w:color w:val="auto"/>
        </w:rPr>
      </w:pPr>
    </w:p>
    <w:p>
      <w:pPr>
        <w:sectPr>
          <w:pgSz w:w="15840" w:h="12240" w:orient="landscape"/>
          <w:cols w:equalWidth="0" w:num="2">
            <w:col w:w="218" w:space="587"/>
            <w:col w:w="13680"/>
          </w:cols>
          <w:pgMar w:left="455" w:top="401" w:right="900" w:bottom="341" w:gutter="0" w:footer="0" w:header="0"/>
        </w:sectPr>
      </w:pPr>
    </w:p>
    <w:p>
      <w:pPr>
        <w:ind w:left="4925"/>
        <w:spacing w:after="0"/>
        <w:rPr>
          <w:sz w:val="20"/>
          <w:szCs w:val="20"/>
          <w:color w:val="auto"/>
        </w:rPr>
      </w:pPr>
      <w:r>
        <w:rPr>
          <w:rFonts w:ascii="Times New Roman" w:cs="Times New Roman" w:eastAsia="Times New Roman" w:hAnsi="Times New Roman"/>
          <w:sz w:val="17"/>
          <w:szCs w:val="17"/>
          <w:color w:val="231F20"/>
        </w:rPr>
        <w:t>The accompanying notes are an integral part of these consolidated statements.</w:t>
      </w:r>
    </w:p>
    <w:p>
      <w:pPr>
        <w:sectPr>
          <w:pgSz w:w="15840" w:h="12240" w:orient="landscape"/>
          <w:cols w:equalWidth="0" w:num="1">
            <w:col w:w="14485"/>
          </w:cols>
          <w:pgMar w:left="455" w:top="401" w:right="900" w:bottom="341" w:gutter="0" w:footer="0" w:header="0"/>
          <w:type w:val="continuous"/>
        </w:sectPr>
      </w:pPr>
    </w:p>
    <w:bookmarkStart w:id="74" w:name="page75"/>
    <w:bookmarkEnd w:id="74"/>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Federal Realty Investment Trust</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w:t>
      </w:r>
    </w:p>
    <w:p>
      <w:pPr>
        <w:sectPr>
          <w:pgSz w:w="12240" w:h="15840" w:orient="portrait"/>
          <w:cols w:equalWidth="0" w:num="1">
            <w:col w:w="10180"/>
          </w:cols>
          <w:pgMar w:left="106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OPERATING ACTIVITIES</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Net income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Adjustments to reconcile net income to net cash provided by operating activities:</w:t>
      </w:r>
    </w:p>
    <w:p>
      <w:pPr>
        <w:spacing w:after="0" w:line="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Depreciation and amortization</w:t>
      </w:r>
    </w:p>
    <w:p>
      <w:pPr>
        <w:spacing w:after="0" w:line="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Gain on deconsolidation of VIE</w:t>
      </w:r>
    </w:p>
    <w:p>
      <w:pPr>
        <w:spacing w:after="0" w:line="25" w:lineRule="exact"/>
        <w:rPr>
          <w:sz w:val="20"/>
          <w:szCs w:val="20"/>
          <w:color w:val="auto"/>
        </w:rPr>
      </w:pPr>
    </w:p>
    <w:p>
      <w:pPr>
        <w:ind w:left="720" w:right="1400"/>
        <w:spacing w:after="0" w:line="279" w:lineRule="auto"/>
        <w:rPr>
          <w:sz w:val="20"/>
          <w:szCs w:val="20"/>
          <w:color w:val="auto"/>
        </w:rPr>
      </w:pPr>
      <w:r>
        <w:rPr>
          <w:rFonts w:ascii="Times New Roman" w:cs="Times New Roman" w:eastAsia="Times New Roman" w:hAnsi="Times New Roman"/>
          <w:sz w:val="20"/>
          <w:szCs w:val="20"/>
          <w:color w:val="231F20"/>
        </w:rPr>
        <w:t>Gain on sale of real estate and change in control of interest Income from partnerships</w:t>
      </w:r>
    </w:p>
    <w:p>
      <w:pPr>
        <w:ind w:left="720"/>
        <w:spacing w:after="0"/>
        <w:rPr>
          <w:sz w:val="20"/>
          <w:szCs w:val="20"/>
          <w:color w:val="auto"/>
        </w:rPr>
      </w:pPr>
      <w:r>
        <w:rPr>
          <w:rFonts w:ascii="Times New Roman" w:cs="Times New Roman" w:eastAsia="Times New Roman" w:hAnsi="Times New Roman"/>
          <w:sz w:val="20"/>
          <w:szCs w:val="20"/>
          <w:color w:val="231F20"/>
        </w:rPr>
        <w:t>Straight-line rent</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Share-based compensation expense</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Other, net</w:t>
      </w:r>
    </w:p>
    <w:p>
      <w:pPr>
        <w:spacing w:after="0" w:line="55"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0"/>
          <w:szCs w:val="20"/>
          <w:color w:val="231F20"/>
        </w:rPr>
        <w:t>Changes in assets and liabilities, net of effects of acquisitions and dispositions: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200977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2009775" cy="1270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4"/>
        </w:trPr>
        <w:tc>
          <w:tcPr>
            <w:tcW w:w="100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80" w:type="dxa"/>
            <w:vAlign w:val="bottom"/>
          </w:tcPr>
          <w:p>
            <w:pPr>
              <w:spacing w:after="0"/>
              <w:rPr>
                <w:sz w:val="18"/>
                <w:szCs w:val="18"/>
                <w:color w:val="auto"/>
              </w:rPr>
            </w:pPr>
          </w:p>
        </w:tc>
        <w:tc>
          <w:tcPr>
            <w:tcW w:w="1000" w:type="dxa"/>
            <w:vAlign w:val="bottom"/>
            <w:tcBorders>
              <w:top w:val="single" w:sz="8" w:color="231F20"/>
            </w:tcBorders>
          </w:tcPr>
          <w:p>
            <w:pPr>
              <w:spacing w:after="0"/>
              <w:rPr>
                <w:sz w:val="18"/>
                <w:szCs w:val="18"/>
                <w:color w:val="auto"/>
              </w:rPr>
            </w:pPr>
          </w:p>
        </w:tc>
      </w:tr>
      <w:tr>
        <w:trPr>
          <w:trHeight w:val="513"/>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$ 247,217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$ 395,661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$ 269,081</w:t>
            </w:r>
          </w:p>
        </w:tc>
      </w:tr>
      <w:tr>
        <w:trPr>
          <w:trHeight w:val="50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321,763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302,409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279,976</w:t>
            </w:r>
          </w:p>
        </w:tc>
      </w:tr>
      <w:tr>
        <w:trPr>
          <w:trHeight w:val="25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(70,374)</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0"/>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(93,483)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(89,950)</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(1,245)</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(18,326)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(9,397)</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13,704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13,009</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(3,223)</w:t>
            </w:r>
          </w:p>
        </w:tc>
      </w:tr>
    </w:tbl>
    <w:p>
      <w:pPr>
        <w:spacing w:after="0" w:line="303" w:lineRule="exact"/>
        <w:rPr>
          <w:sz w:val="20"/>
          <w:szCs w:val="20"/>
          <w:color w:val="auto"/>
        </w:rPr>
      </w:pPr>
    </w:p>
    <w:p>
      <w:pPr>
        <w:sectPr>
          <w:pgSz w:w="12240" w:h="15840" w:orient="portrait"/>
          <w:cols w:equalWidth="0" w:num="2">
            <w:col w:w="6820" w:space="200"/>
            <w:col w:w="3160"/>
          </w:cols>
          <w:pgMar w:left="1060" w:top="626" w:right="1000"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Decrease (increase) in accounts receivable, net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1,214</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Increase in prepaid expenses and other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(6,881)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(5,607)</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Increase in accounts payable and accrued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6,782</w:t>
            </w:r>
          </w:p>
        </w:tc>
        <w:tc>
          <w:tcPr>
            <w:tcW w:w="0" w:type="dxa"/>
            <w:vAlign w:val="bottom"/>
          </w:tcPr>
          <w:p>
            <w:pPr>
              <w:spacing w:after="0"/>
              <w:rPr>
                <w:sz w:val="1"/>
                <w:szCs w:val="1"/>
                <w:color w:val="auto"/>
              </w:rPr>
            </w:pPr>
          </w:p>
        </w:tc>
      </w:tr>
      <w:tr>
        <w:trPr>
          <w:trHeight w:val="288"/>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Increase in security deposits and other liabilities</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235</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10,373</w:t>
            </w:r>
          </w:p>
        </w:tc>
        <w:tc>
          <w:tcPr>
            <w:tcW w:w="80" w:type="dxa"/>
            <w:vAlign w:val="bottom"/>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10,712</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cash provided by operating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555,830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516,769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471,352</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INVESTING ACTIVITIES</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Acquisition of real estate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(438,494)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(366,466)</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Capital expenditures - development and redevelopment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(214,062)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(309,046)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(368,786)</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Capital expenditures - 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(97,058)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(107,655)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(71,728)</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Costs associated with property sold under threat of condemnation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(18,031)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Proceeds from sale of real estate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28,451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133,717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137,868</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Change in cash from deconsolidation of VIE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(4,192)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Investment in partnerships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(3,115)</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Distribution from partnerships in excess of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2,970</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Leasing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(21,990)</w:t>
            </w:r>
          </w:p>
        </w:tc>
        <w:tc>
          <w:tcPr>
            <w:tcW w:w="0" w:type="dxa"/>
            <w:vAlign w:val="bottom"/>
          </w:tcPr>
          <w:p>
            <w:pPr>
              <w:spacing w:after="0"/>
              <w:rPr>
                <w:sz w:val="1"/>
                <w:szCs w:val="1"/>
                <w:color w:val="auto"/>
              </w:rPr>
            </w:pPr>
          </w:p>
        </w:tc>
      </w:tr>
      <w:tr>
        <w:trPr>
          <w:trHeight w:val="288"/>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repayment of mortgage and other notes receivable, net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(3,465)</w:t>
            </w:r>
          </w:p>
        </w:tc>
        <w:tc>
          <w:tcPr>
            <w:tcW w:w="80" w:type="dxa"/>
            <w:vAlign w:val="bottom"/>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31,129</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(358,325)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(785,998)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(660,118)</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FINANCING ACTIVITIES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6"/>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Costs to amend revolving credit facility</w:t>
            </w: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of senior notes,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345,698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Repayment of senior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(275,000)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of mortgages and notes payable,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199,237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298,568</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Repayment of mortgages, finance leases, and notes payable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(58,472)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(277,643)</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of common shares,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131,895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307,275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172,981</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Dividends paid to common and preferred shareholders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(359,194)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(347,284)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(335,656)</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Shares withheld for 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(2,998)</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Contributions from noncontrolling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133</w:t>
            </w:r>
          </w:p>
        </w:tc>
        <w:tc>
          <w:tcPr>
            <w:tcW w:w="0" w:type="dxa"/>
            <w:vAlign w:val="bottom"/>
          </w:tcPr>
          <w:p>
            <w:pPr>
              <w:spacing w:after="0"/>
              <w:rPr>
                <w:sz w:val="1"/>
                <w:szCs w:val="1"/>
                <w:color w:val="auto"/>
              </w:rPr>
            </w:pPr>
          </w:p>
        </w:tc>
      </w:tr>
      <w:tr>
        <w:trPr>
          <w:trHeight w:val="263"/>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Distributions to and redemptions of noncontrolling interests</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(14,086)</w:t>
            </w:r>
          </w:p>
        </w:tc>
        <w:tc>
          <w:tcPr>
            <w:tcW w:w="8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(37,427)</w:t>
            </w:r>
          </w:p>
        </w:tc>
        <w:tc>
          <w:tcPr>
            <w:tcW w:w="80" w:type="dxa"/>
            <w:vAlign w:val="bottom"/>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(9,784)</w:t>
            </w:r>
          </w:p>
        </w:tc>
        <w:tc>
          <w:tcPr>
            <w:tcW w:w="0" w:type="dxa"/>
            <w:vAlign w:val="bottom"/>
          </w:tcPr>
          <w:p>
            <w:pPr>
              <w:spacing w:after="0"/>
              <w:rPr>
                <w:sz w:val="1"/>
                <w:szCs w:val="1"/>
                <w:color w:val="auto"/>
              </w:rPr>
            </w:pPr>
          </w:p>
        </w:tc>
      </w:tr>
      <w:tr>
        <w:trPr>
          <w:trHeight w:val="26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cash (used in) provided by financing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(33,849)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190,414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(452,967)</w:t>
            </w:r>
          </w:p>
        </w:tc>
        <w:tc>
          <w:tcPr>
            <w:tcW w:w="0" w:type="dxa"/>
            <w:vAlign w:val="bottom"/>
          </w:tcPr>
          <w:p>
            <w:pPr>
              <w:spacing w:after="0"/>
              <w:rPr>
                <w:sz w:val="1"/>
                <w:szCs w:val="1"/>
                <w:color w:val="auto"/>
              </w:rPr>
            </w:pPr>
          </w:p>
        </w:tc>
      </w:tr>
      <w:tr>
        <w:trPr>
          <w:trHeight w:val="227"/>
        </w:trPr>
        <w:tc>
          <w:tcPr>
            <w:tcW w:w="70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231F20"/>
              </w:rPr>
              <w:t>Increase (decrease) in cash, cash equivalents, and restricted cash</w:t>
            </w:r>
          </w:p>
        </w:tc>
        <w:tc>
          <w:tcPr>
            <w:tcW w:w="1000" w:type="dxa"/>
            <w:vAlign w:val="bottom"/>
            <w:tcBorders>
              <w:top w:val="single" w:sz="8" w:color="231F20"/>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163,656</w:t>
            </w:r>
          </w:p>
        </w:tc>
        <w:tc>
          <w:tcPr>
            <w:tcW w:w="80" w:type="dxa"/>
            <w:vAlign w:val="bottom"/>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820" w:type="dxa"/>
            <w:vAlign w:val="bottom"/>
            <w:tcBorders>
              <w:top w:val="single" w:sz="8" w:color="231F20"/>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(78,815)</w:t>
            </w:r>
          </w:p>
        </w:tc>
        <w:tc>
          <w:tcPr>
            <w:tcW w:w="80" w:type="dxa"/>
            <w:vAlign w:val="bottom"/>
          </w:tcPr>
          <w:p>
            <w:pPr>
              <w:spacing w:after="0"/>
              <w:rPr>
                <w:sz w:val="19"/>
                <w:szCs w:val="19"/>
                <w:color w:val="auto"/>
              </w:rPr>
            </w:pPr>
          </w:p>
        </w:tc>
        <w:tc>
          <w:tcPr>
            <w:tcW w:w="1000" w:type="dxa"/>
            <w:vAlign w:val="bottom"/>
            <w:tcBorders>
              <w:top w:val="single" w:sz="8" w:color="231F20"/>
            </w:tcBorders>
          </w:tcPr>
          <w:p>
            <w:pPr>
              <w:jc w:val="right"/>
              <w:spacing w:after="0" w:line="227" w:lineRule="exact"/>
              <w:rPr>
                <w:sz w:val="20"/>
                <w:szCs w:val="20"/>
                <w:color w:val="auto"/>
              </w:rPr>
            </w:pPr>
            <w:r>
              <w:rPr>
                <w:rFonts w:ascii="Times New Roman" w:cs="Times New Roman" w:eastAsia="Times New Roman" w:hAnsi="Times New Roman"/>
                <w:sz w:val="20"/>
                <w:szCs w:val="20"/>
                <w:color w:val="231F20"/>
              </w:rPr>
              <w:t>(641,733)</w:t>
            </w:r>
          </w:p>
        </w:tc>
        <w:tc>
          <w:tcPr>
            <w:tcW w:w="0" w:type="dxa"/>
            <w:vAlign w:val="bottom"/>
          </w:tcPr>
          <w:p>
            <w:pPr>
              <w:spacing w:after="0"/>
              <w:rPr>
                <w:sz w:val="1"/>
                <w:szCs w:val="1"/>
                <w:color w:val="auto"/>
              </w:rPr>
            </w:pPr>
          </w:p>
        </w:tc>
      </w:tr>
      <w:tr>
        <w:trPr>
          <w:trHeight w:val="263"/>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Cash, cash equivalents, and restricted cash at beginning of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175,163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816,896</w:t>
            </w:r>
          </w:p>
        </w:tc>
        <w:tc>
          <w:tcPr>
            <w:tcW w:w="0" w:type="dxa"/>
            <w:vAlign w:val="bottom"/>
          </w:tcPr>
          <w:p>
            <w:pPr>
              <w:spacing w:after="0"/>
              <w:rPr>
                <w:sz w:val="1"/>
                <w:szCs w:val="1"/>
                <w:color w:val="auto"/>
              </w:rPr>
            </w:pPr>
          </w:p>
        </w:tc>
      </w:tr>
      <w:tr>
        <w:trPr>
          <w:trHeight w:val="215"/>
        </w:trPr>
        <w:tc>
          <w:tcPr>
            <w:tcW w:w="70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Cash, cash equivalents, and restricted cash at end of year</w:t>
            </w:r>
          </w:p>
        </w:tc>
        <w:tc>
          <w:tcPr>
            <w:tcW w:w="1000" w:type="dxa"/>
            <w:vAlign w:val="bottom"/>
            <w:tcBorders>
              <w:top w:val="single" w:sz="8" w:color="231F20"/>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$ 260,004</w:t>
            </w:r>
          </w:p>
        </w:tc>
        <w:tc>
          <w:tcPr>
            <w:tcW w:w="80" w:type="dxa"/>
            <w:vAlign w:val="bottom"/>
          </w:tcPr>
          <w:p>
            <w:pPr>
              <w:spacing w:after="0"/>
              <w:rPr>
                <w:sz w:val="18"/>
                <w:szCs w:val="18"/>
                <w:color w:val="auto"/>
              </w:rPr>
            </w:pPr>
          </w:p>
        </w:tc>
        <w:tc>
          <w:tcPr>
            <w:tcW w:w="180" w:type="dxa"/>
            <w:vAlign w:val="bottom"/>
            <w:tcBorders>
              <w:top w:val="single" w:sz="8" w:color="231F20"/>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820" w:type="dxa"/>
            <w:vAlign w:val="bottom"/>
            <w:tcBorders>
              <w:top w:val="single" w:sz="8" w:color="231F20"/>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96,348</w:t>
            </w:r>
          </w:p>
        </w:tc>
        <w:tc>
          <w:tcPr>
            <w:tcW w:w="80" w:type="dxa"/>
            <w:vAlign w:val="bottom"/>
          </w:tcPr>
          <w:p>
            <w:pPr>
              <w:spacing w:after="0"/>
              <w:rPr>
                <w:sz w:val="18"/>
                <w:szCs w:val="18"/>
                <w:color w:val="auto"/>
              </w:rPr>
            </w:pPr>
          </w:p>
        </w:tc>
        <w:tc>
          <w:tcPr>
            <w:tcW w:w="1000" w:type="dxa"/>
            <w:vAlign w:val="bottom"/>
            <w:tcBorders>
              <w:top w:val="single" w:sz="8" w:color="231F20"/>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$ 175,163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statements.</w:t>
      </w:r>
    </w:p>
    <w:p>
      <w:pPr>
        <w:sectPr>
          <w:pgSz w:w="12240" w:h="15840" w:orient="portrait"/>
          <w:cols w:equalWidth="0" w:num="1">
            <w:col w:w="10180"/>
          </w:cols>
          <w:pgMar w:left="1060" w:top="626"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31F20"/>
        </w:rPr>
        <w:t>F-11</w:t>
      </w:r>
    </w:p>
    <w:p>
      <w:pPr>
        <w:sectPr>
          <w:pgSz w:w="12240" w:h="15840" w:orient="portrait"/>
          <w:cols w:equalWidth="0" w:num="1">
            <w:col w:w="10180"/>
          </w:cols>
          <w:pgMar w:left="1060" w:top="626" w:right="1000" w:bottom="0" w:gutter="0" w:footer="0" w:header="0"/>
          <w:type w:val="continuous"/>
        </w:sectPr>
      </w:pPr>
    </w:p>
    <w:bookmarkStart w:id="75" w:name="page76"/>
    <w:bookmarkEnd w:id="75"/>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2220" w:type="dxa"/>
            <w:vAlign w:val="bottom"/>
            <w:tcBorders>
              <w:bottom w:val="single" w:sz="8" w:color="231F20"/>
            </w:tcBorders>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5"/>
        </w:trPr>
        <w:tc>
          <w:tcPr>
            <w:tcW w:w="780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0" w:type="dxa"/>
            <w:vAlign w:val="bottom"/>
          </w:tcPr>
          <w:p>
            <w:pPr>
              <w:spacing w:after="0"/>
              <w:rPr>
                <w:sz w:val="1"/>
                <w:szCs w:val="1"/>
                <w:color w:val="auto"/>
              </w:rPr>
            </w:pPr>
          </w:p>
        </w:tc>
      </w:tr>
      <w:tr>
        <w:trPr>
          <w:trHeight w:val="349"/>
        </w:trPr>
        <w:tc>
          <w:tcPr>
            <w:tcW w:w="7800" w:type="dxa"/>
            <w:vAlign w:val="bottom"/>
          </w:tcPr>
          <w:p>
            <w:pPr>
              <w:spacing w:after="0"/>
              <w:rPr>
                <w:sz w:val="24"/>
                <w:szCs w:val="24"/>
                <w:color w:val="auto"/>
              </w:rPr>
            </w:pPr>
          </w:p>
        </w:tc>
        <w:tc>
          <w:tcPr>
            <w:tcW w:w="2380" w:type="dxa"/>
            <w:vAlign w:val="bottom"/>
            <w:gridSpan w:val="5"/>
          </w:tcPr>
          <w:p>
            <w:pPr>
              <w:jc w:val="right"/>
              <w:ind w:right="1"/>
              <w:spacing w:after="0"/>
              <w:rPr>
                <w:sz w:val="20"/>
                <w:szCs w:val="20"/>
                <w:color w:val="auto"/>
              </w:rPr>
            </w:pPr>
            <w:r>
              <w:rPr>
                <w:rFonts w:ascii="Times New Roman" w:cs="Times New Roman" w:eastAsia="Times New Roman" w:hAnsi="Times New Roman"/>
                <w:sz w:val="16"/>
                <w:szCs w:val="16"/>
                <w:b w:val="1"/>
                <w:bCs w:val="1"/>
                <w:color w:val="231F20"/>
              </w:rPr>
              <w:t>(In thousands, except unit data)</w:t>
            </w:r>
          </w:p>
        </w:tc>
        <w:tc>
          <w:tcPr>
            <w:tcW w:w="0" w:type="dxa"/>
            <w:vAlign w:val="bottom"/>
          </w:tcPr>
          <w:p>
            <w:pPr>
              <w:spacing w:after="0"/>
              <w:rPr>
                <w:sz w:val="1"/>
                <w:szCs w:val="1"/>
                <w:color w:val="auto"/>
              </w:rPr>
            </w:pPr>
          </w:p>
        </w:tc>
      </w:tr>
      <w:tr>
        <w:trPr>
          <w:trHeight w:val="262"/>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231F20"/>
              </w:rPr>
              <w:t>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Real estate, at cost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231F20"/>
              </w:rPr>
              <w:t>Operating (including $2,021,622 and $1,997,583 of consolidated variable interest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9,932,891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9,441,945</w:t>
            </w:r>
          </w:p>
        </w:tc>
        <w:tc>
          <w:tcPr>
            <w:tcW w:w="0" w:type="dxa"/>
            <w:vAlign w:val="bottom"/>
          </w:tcPr>
          <w:p>
            <w:pPr>
              <w:spacing w:after="0"/>
              <w:rPr>
                <w:sz w:val="1"/>
                <w:szCs w:val="1"/>
                <w:color w:val="auto"/>
              </w:rPr>
            </w:pPr>
          </w:p>
        </w:tc>
      </w:tr>
      <w:tr>
        <w:trPr>
          <w:trHeight w:val="26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720"/>
              <w:spacing w:after="0" w:line="204" w:lineRule="exact"/>
              <w:rPr>
                <w:sz w:val="20"/>
                <w:szCs w:val="20"/>
                <w:color w:val="auto"/>
              </w:rPr>
            </w:pPr>
            <w:r>
              <w:rPr>
                <w:rFonts w:ascii="Times New Roman" w:cs="Times New Roman" w:eastAsia="Times New Roman" w:hAnsi="Times New Roman"/>
                <w:sz w:val="20"/>
                <w:szCs w:val="20"/>
                <w:color w:val="231F20"/>
              </w:rPr>
              <w:t>Construction-in-progress (including $8,677 and $8,477 of consolidated variable interest</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613,296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662,554</w:t>
            </w:r>
          </w:p>
        </w:tc>
        <w:tc>
          <w:tcPr>
            <w:tcW w:w="0" w:type="dxa"/>
            <w:vAlign w:val="bottom"/>
          </w:tcPr>
          <w:p>
            <w:pPr>
              <w:spacing w:after="0"/>
              <w:rPr>
                <w:sz w:val="1"/>
                <w:szCs w:val="1"/>
                <w:color w:val="auto"/>
              </w:rPr>
            </w:pPr>
          </w:p>
        </w:tc>
      </w:tr>
      <w:tr>
        <w:trPr>
          <w:trHeight w:val="264"/>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entities, respectively)</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w w:val="99"/>
              </w:rPr>
              <w:t>10,546,187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231F20"/>
                <w:w w:val="97"/>
              </w:rPr>
              <w:t>10,104,499</w:t>
            </w: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231F20"/>
              </w:rPr>
              <w:t>Less accumulated depreciation and amortization (including $416,663 and $362,921 of</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(2,963,519)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(2,715,817)</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consolidated variable interest entities, respectively)</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vMerge w:val="continue"/>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00" w:type="dxa"/>
            <w:vAlign w:val="bottom"/>
          </w:tcPr>
          <w:p>
            <w:pPr>
              <w:ind w:left="360"/>
              <w:spacing w:after="0" w:line="212" w:lineRule="exact"/>
              <w:rPr>
                <w:sz w:val="20"/>
                <w:szCs w:val="20"/>
                <w:color w:val="auto"/>
              </w:rPr>
            </w:pPr>
            <w:r>
              <w:rPr>
                <w:rFonts w:ascii="Times New Roman" w:cs="Times New Roman" w:eastAsia="Times New Roman" w:hAnsi="Times New Roman"/>
                <w:sz w:val="20"/>
                <w:szCs w:val="20"/>
                <w:color w:val="231F20"/>
              </w:rPr>
              <w:t>Net real estate</w:t>
            </w:r>
          </w:p>
        </w:tc>
        <w:tc>
          <w:tcPr>
            <w:tcW w:w="160" w:type="dxa"/>
            <w:vAlign w:val="bottom"/>
          </w:tcPr>
          <w:p>
            <w:pPr>
              <w:spacing w:after="0"/>
              <w:rPr>
                <w:sz w:val="18"/>
                <w:szCs w:val="18"/>
                <w:color w:val="auto"/>
              </w:rPr>
            </w:pPr>
          </w:p>
        </w:tc>
        <w:tc>
          <w:tcPr>
            <w:tcW w:w="10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231F20"/>
              </w:rPr>
              <w:t>7,582,668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231F20"/>
              </w:rPr>
              <w:t>7,388,682</w:t>
            </w:r>
          </w:p>
        </w:tc>
        <w:tc>
          <w:tcPr>
            <w:tcW w:w="0" w:type="dxa"/>
            <w:vAlign w:val="bottom"/>
          </w:tcPr>
          <w:p>
            <w:pPr>
              <w:spacing w:after="0"/>
              <w:rPr>
                <w:sz w:val="1"/>
                <w:szCs w:val="1"/>
                <w:color w:val="auto"/>
              </w:rPr>
            </w:pPr>
          </w:p>
        </w:tc>
      </w:tr>
      <w:tr>
        <w:trPr>
          <w:trHeight w:val="24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250,825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85,558</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Accounts and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201,733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197,648</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Mortgage notes receivable,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9,456</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Investment in partnerships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145,205</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Operating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86,993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94,569</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Finance lease right of use assets,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45,467</w:t>
            </w:r>
          </w:p>
        </w:tc>
        <w:tc>
          <w:tcPr>
            <w:tcW w:w="0" w:type="dxa"/>
            <w:vAlign w:val="bottom"/>
          </w:tcPr>
          <w:p>
            <w:pPr>
              <w:spacing w:after="0"/>
              <w:rPr>
                <w:sz w:val="1"/>
                <w:szCs w:val="1"/>
                <w:color w:val="auto"/>
              </w:rPr>
            </w:pPr>
          </w:p>
        </w:tc>
      </w:tr>
      <w:tr>
        <w:trPr>
          <w:trHeight w:val="263"/>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263,377</w:t>
            </w:r>
          </w:p>
        </w:tc>
        <w:tc>
          <w:tcPr>
            <w:tcW w:w="8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267,406</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TOTAL ASSETS</w:t>
            </w:r>
          </w:p>
        </w:tc>
        <w:tc>
          <w:tcPr>
            <w:tcW w:w="16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8,436,512</w:t>
            </w:r>
          </w:p>
        </w:tc>
        <w:tc>
          <w:tcPr>
            <w:tcW w:w="240" w:type="dxa"/>
            <w:vAlign w:val="bottom"/>
            <w:tcBorders>
              <w:bottom w:val="single" w:sz="8" w:color="231F20"/>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8,233,991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LIABILITIES AND CAPITAL</w:t>
            </w:r>
          </w:p>
        </w:tc>
        <w:tc>
          <w:tcPr>
            <w:tcW w:w="1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Liabilities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720"/>
              <w:spacing w:after="0" w:line="200" w:lineRule="exact"/>
              <w:rPr>
                <w:sz w:val="20"/>
                <w:szCs w:val="20"/>
                <w:color w:val="auto"/>
              </w:rPr>
            </w:pPr>
            <w:r>
              <w:rPr>
                <w:rFonts w:ascii="Times New Roman" w:cs="Times New Roman" w:eastAsia="Times New Roman" w:hAnsi="Times New Roman"/>
                <w:sz w:val="20"/>
                <w:szCs w:val="20"/>
                <w:color w:val="231F20"/>
              </w:rPr>
              <w:t>Mortgages payable, net (including $189,286 and $191,827 of consolidated variable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516,936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320,615</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interest entities, respectively)</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Notes payable,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601,945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601,077</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Senior notes and debentures, net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3,480,296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3,407,701</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Accounts payable and accrued expenses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174,714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190,340</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Dividends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92,634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90,263</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Security deposits payable</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30,482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28,508</w:t>
            </w:r>
          </w:p>
        </w:tc>
        <w:tc>
          <w:tcPr>
            <w:tcW w:w="0" w:type="dxa"/>
            <w:vAlign w:val="bottom"/>
          </w:tcPr>
          <w:p>
            <w:pPr>
              <w:spacing w:after="0"/>
              <w:rPr>
                <w:sz w:val="1"/>
                <w:szCs w:val="1"/>
                <w:color w:val="auto"/>
              </w:rPr>
            </w:pPr>
          </w:p>
        </w:tc>
      </w:tr>
      <w:tr>
        <w:trPr>
          <w:trHeight w:val="24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77,743</w:t>
            </w:r>
          </w:p>
        </w:tc>
        <w:tc>
          <w:tcPr>
            <w:tcW w:w="0" w:type="dxa"/>
            <w:vAlign w:val="bottom"/>
          </w:tcPr>
          <w:p>
            <w:pPr>
              <w:spacing w:after="0"/>
              <w:rPr>
                <w:sz w:val="1"/>
                <w:szCs w:val="1"/>
                <w:color w:val="auto"/>
              </w:rPr>
            </w:pPr>
          </w:p>
        </w:tc>
      </w:tr>
      <w:tr>
        <w:trPr>
          <w:trHeight w:val="255"/>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Finance lease liabilities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67,660</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Other liabilities and deferred credits</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225,443</w:t>
            </w:r>
          </w:p>
        </w:tc>
        <w:tc>
          <w:tcPr>
            <w:tcW w:w="8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237,699</w:t>
            </w:r>
          </w:p>
        </w:tc>
        <w:tc>
          <w:tcPr>
            <w:tcW w:w="0" w:type="dxa"/>
            <w:vAlign w:val="bottom"/>
          </w:tcPr>
          <w:p>
            <w:pPr>
              <w:spacing w:after="0"/>
              <w:rPr>
                <w:sz w:val="1"/>
                <w:szCs w:val="1"/>
                <w:color w:val="auto"/>
              </w:rPr>
            </w:pPr>
          </w:p>
        </w:tc>
      </w:tr>
      <w:tr>
        <w:trPr>
          <w:trHeight w:val="221"/>
        </w:trPr>
        <w:tc>
          <w:tcPr>
            <w:tcW w:w="7800" w:type="dxa"/>
            <w:vAlign w:val="bottom"/>
          </w:tcPr>
          <w:p>
            <w:pPr>
              <w:ind w:left="360"/>
              <w:spacing w:after="0" w:line="221" w:lineRule="exact"/>
              <w:rPr>
                <w:sz w:val="20"/>
                <w:szCs w:val="20"/>
                <w:color w:val="auto"/>
              </w:rPr>
            </w:pPr>
            <w:r>
              <w:rPr>
                <w:rFonts w:ascii="Times New Roman" w:cs="Times New Roman" w:eastAsia="Times New Roman" w:hAnsi="Times New Roman"/>
                <w:sz w:val="20"/>
                <w:szCs w:val="20"/>
                <w:color w:val="231F20"/>
              </w:rPr>
              <w:t>Total liabilities</w:t>
            </w:r>
          </w:p>
        </w:tc>
        <w:tc>
          <w:tcPr>
            <w:tcW w:w="160" w:type="dxa"/>
            <w:vAlign w:val="bottom"/>
          </w:tcPr>
          <w:p>
            <w:pPr>
              <w:spacing w:after="0"/>
              <w:rPr>
                <w:sz w:val="19"/>
                <w:szCs w:val="19"/>
                <w:color w:val="auto"/>
              </w:rPr>
            </w:pP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5,210,990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5,021,606</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Commitments and contingencies (Note 7)</w:t>
            </w:r>
          </w:p>
        </w:tc>
        <w:tc>
          <w:tcPr>
            <w:tcW w:w="16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183,363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178,370</w:t>
            </w:r>
          </w:p>
        </w:tc>
        <w:tc>
          <w:tcPr>
            <w:tcW w:w="0" w:type="dxa"/>
            <w:vAlign w:val="bottom"/>
          </w:tcPr>
          <w:p>
            <w:pPr>
              <w:spacing w:after="0"/>
              <w:rPr>
                <w:sz w:val="1"/>
                <w:szCs w:val="1"/>
                <w:color w:val="auto"/>
              </w:rPr>
            </w:pPr>
          </w:p>
        </w:tc>
      </w:tr>
      <w:tr>
        <w:trPr>
          <w:trHeight w:val="25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Redeemable noncontrolling interests</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Partner capital</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Preferred units, 398,878 units issued and outstanding</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154,788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154,788</w:t>
            </w:r>
          </w:p>
        </w:tc>
        <w:tc>
          <w:tcPr>
            <w:tcW w:w="0" w:type="dxa"/>
            <w:vAlign w:val="bottom"/>
          </w:tcPr>
          <w:p>
            <w:pPr>
              <w:spacing w:after="0"/>
              <w:rPr>
                <w:sz w:val="1"/>
                <w:szCs w:val="1"/>
                <w:color w:val="auto"/>
              </w:rPr>
            </w:pPr>
          </w:p>
        </w:tc>
      </w:tr>
      <w:tr>
        <w:trPr>
          <w:trHeight w:val="280"/>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Common units, 82,775,286 and 81,342,959 units issued and outstanding, respectively</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2,804,669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2,793,467</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Accumulated other comprehensive income</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4,052</w:t>
            </w: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5,757</w:t>
            </w:r>
          </w:p>
        </w:tc>
        <w:tc>
          <w:tcPr>
            <w:tcW w:w="0" w:type="dxa"/>
            <w:vAlign w:val="bottom"/>
          </w:tcPr>
          <w:p>
            <w:pPr>
              <w:spacing w:after="0"/>
              <w:rPr>
                <w:sz w:val="1"/>
                <w:szCs w:val="1"/>
                <w:color w:val="auto"/>
              </w:rPr>
            </w:pPr>
          </w:p>
        </w:tc>
      </w:tr>
      <w:tr>
        <w:trPr>
          <w:trHeight w:val="227"/>
        </w:trPr>
        <w:tc>
          <w:tcPr>
            <w:tcW w:w="780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231F20"/>
              </w:rPr>
              <w:t>Total partner capital</w:t>
            </w:r>
          </w:p>
        </w:tc>
        <w:tc>
          <w:tcPr>
            <w:tcW w:w="160" w:type="dxa"/>
            <w:vAlign w:val="bottom"/>
          </w:tcPr>
          <w:p>
            <w:pPr>
              <w:spacing w:after="0"/>
              <w:rPr>
                <w:sz w:val="19"/>
                <w:szCs w:val="19"/>
                <w:color w:val="auto"/>
              </w:rPr>
            </w:pPr>
          </w:p>
        </w:tc>
        <w:tc>
          <w:tcPr>
            <w:tcW w:w="10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2,963,509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2,954,012</w:t>
            </w:r>
          </w:p>
        </w:tc>
        <w:tc>
          <w:tcPr>
            <w:tcW w:w="0" w:type="dxa"/>
            <w:vAlign w:val="bottom"/>
          </w:tcPr>
          <w:p>
            <w:pPr>
              <w:spacing w:after="0"/>
              <w:rPr>
                <w:sz w:val="1"/>
                <w:szCs w:val="1"/>
                <w:color w:val="auto"/>
              </w:rPr>
            </w:pPr>
          </w:p>
        </w:tc>
      </w:tr>
      <w:tr>
        <w:trPr>
          <w:trHeight w:val="263"/>
        </w:trPr>
        <w:tc>
          <w:tcPr>
            <w:tcW w:w="78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Noncontrolling interests in consolidated partnerships</w:t>
            </w:r>
          </w:p>
        </w:tc>
        <w:tc>
          <w:tcPr>
            <w:tcW w:w="1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78,650</w:t>
            </w: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80,003</w:t>
            </w:r>
          </w:p>
        </w:tc>
        <w:tc>
          <w:tcPr>
            <w:tcW w:w="0" w:type="dxa"/>
            <w:vAlign w:val="bottom"/>
          </w:tcPr>
          <w:p>
            <w:pPr>
              <w:spacing w:after="0"/>
              <w:rPr>
                <w:sz w:val="1"/>
                <w:szCs w:val="1"/>
                <w:color w:val="auto"/>
              </w:rPr>
            </w:pPr>
          </w:p>
        </w:tc>
      </w:tr>
      <w:tr>
        <w:trPr>
          <w:trHeight w:val="235"/>
        </w:trPr>
        <w:tc>
          <w:tcPr>
            <w:tcW w:w="78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Total capital</w:t>
            </w:r>
          </w:p>
        </w:tc>
        <w:tc>
          <w:tcPr>
            <w:tcW w:w="1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3,042,159</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3,034,015</w:t>
            </w:r>
          </w:p>
        </w:tc>
        <w:tc>
          <w:tcPr>
            <w:tcW w:w="0" w:type="dxa"/>
            <w:vAlign w:val="bottom"/>
          </w:tcPr>
          <w:p>
            <w:pPr>
              <w:spacing w:after="0"/>
              <w:rPr>
                <w:sz w:val="1"/>
                <w:szCs w:val="1"/>
                <w:color w:val="auto"/>
              </w:rPr>
            </w:pPr>
          </w:p>
        </w:tc>
      </w:tr>
      <w:tr>
        <w:trPr>
          <w:trHeight w:val="215"/>
        </w:trPr>
        <w:tc>
          <w:tcPr>
            <w:tcW w:w="7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TOTAL LIABILITIES AND CAPITAL</w:t>
            </w:r>
          </w:p>
        </w:tc>
        <w:tc>
          <w:tcPr>
            <w:tcW w:w="16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8,436,512</w:t>
            </w:r>
          </w:p>
        </w:tc>
        <w:tc>
          <w:tcPr>
            <w:tcW w:w="80" w:type="dxa"/>
            <w:vAlign w:val="bottom"/>
          </w:tcPr>
          <w:p>
            <w:pPr>
              <w:spacing w:after="0"/>
              <w:rPr>
                <w:sz w:val="18"/>
                <w:szCs w:val="18"/>
                <w:color w:val="auto"/>
              </w:rPr>
            </w:pPr>
          </w:p>
        </w:tc>
        <w:tc>
          <w:tcPr>
            <w:tcW w:w="16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8,233,991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statements.</w:t>
      </w:r>
    </w:p>
    <w:p>
      <w:pPr>
        <w:sectPr>
          <w:pgSz w:w="12240" w:h="15840" w:orient="portrait"/>
          <w:cols w:equalWidth="0" w:num="1">
            <w:col w:w="10180"/>
          </w:cols>
          <w:pgMar w:left="1060" w:top="86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31F20"/>
        </w:rPr>
        <w:t>F-12</w:t>
      </w:r>
    </w:p>
    <w:p>
      <w:pPr>
        <w:sectPr>
          <w:pgSz w:w="12240" w:h="15840" w:orient="portrait"/>
          <w:cols w:equalWidth="0" w:num="1">
            <w:col w:w="10180"/>
          </w:cols>
          <w:pgMar w:left="1060" w:top="866" w:right="1000" w:bottom="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OP LP</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560" w:type="dxa"/>
            <w:vAlign w:val="bottom"/>
            <w:tcBorders>
              <w:bottom w:val="single" w:sz="8" w:color="231F20"/>
            </w:tcBorders>
            <w:gridSpan w:val="6"/>
          </w:tcPr>
          <w:p>
            <w:pPr>
              <w:jc w:val="center"/>
              <w:ind w:left="54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rPr>
              <w:t>(In thousands, except per unit data)</w:t>
            </w:r>
          </w:p>
        </w:tc>
        <w:tc>
          <w:tcPr>
            <w:tcW w:w="0" w:type="dxa"/>
            <w:vAlign w:val="bottom"/>
          </w:tcPr>
          <w:p>
            <w:pPr>
              <w:spacing w:after="0"/>
              <w:rPr>
                <w:sz w:val="1"/>
                <w:szCs w:val="1"/>
                <w:color w:val="auto"/>
              </w:rPr>
            </w:pPr>
          </w:p>
        </w:tc>
      </w:tr>
      <w:tr>
        <w:trPr>
          <w:trHeight w:val="2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1,131,041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1,073,292</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948,842</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Rental income</w:t>
            </w:r>
          </w:p>
        </w:tc>
        <w:tc>
          <w:tcPr>
            <w:tcW w:w="2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Mortgage interest income</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1,113</w:t>
            </w:r>
          </w:p>
        </w:tc>
        <w:tc>
          <w:tcPr>
            <w:tcW w:w="80" w:type="dxa"/>
            <w:vAlign w:val="bottom"/>
            <w:tcBorders>
              <w:bottom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1,086</w:t>
            </w:r>
          </w:p>
        </w:tc>
        <w:tc>
          <w:tcPr>
            <w:tcW w:w="80" w:type="dxa"/>
            <w:vAlign w:val="bottom"/>
            <w:tcBorders>
              <w:bottom w:val="single" w:sz="8" w:color="231F20"/>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2,382</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Total revenue</w:t>
            </w:r>
          </w:p>
        </w:tc>
        <w:tc>
          <w:tcPr>
            <w:tcW w:w="2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1,132,154</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1,074,378</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951,224</w:t>
            </w:r>
          </w:p>
        </w:tc>
        <w:tc>
          <w:tcPr>
            <w:tcW w:w="0" w:type="dxa"/>
            <w:vAlign w:val="bottom"/>
          </w:tcPr>
          <w:p>
            <w:pPr>
              <w:spacing w:after="0"/>
              <w:rPr>
                <w:sz w:val="1"/>
                <w:szCs w:val="1"/>
                <w:color w:val="auto"/>
              </w:rPr>
            </w:pP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EXPENSES</w:t>
            </w:r>
          </w:p>
        </w:tc>
        <w:tc>
          <w:tcPr>
            <w:tcW w:w="2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231,666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228,958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198,121</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Rental expenses</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Real estate taxes</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131,429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127,824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118,496</w:t>
            </w: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50,707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52,636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49,856</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321,763</w:t>
            </w:r>
          </w:p>
        </w:tc>
        <w:tc>
          <w:tcPr>
            <w:tcW w:w="80" w:type="dxa"/>
            <w:vAlign w:val="bottom"/>
            <w:tcBorders>
              <w:bottom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302,409</w:t>
            </w:r>
          </w:p>
        </w:tc>
        <w:tc>
          <w:tcPr>
            <w:tcW w:w="80" w:type="dxa"/>
            <w:vAlign w:val="bottom"/>
            <w:tcBorders>
              <w:bottom w:val="single" w:sz="8" w:color="231F20"/>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279,976</w:t>
            </w:r>
          </w:p>
        </w:tc>
        <w:tc>
          <w:tcPr>
            <w:tcW w:w="0" w:type="dxa"/>
            <w:vAlign w:val="bottom"/>
          </w:tcPr>
          <w:p>
            <w:pPr>
              <w:spacing w:after="0"/>
              <w:rPr>
                <w:sz w:val="1"/>
                <w:szCs w:val="1"/>
                <w:color w:val="auto"/>
              </w:rPr>
            </w:pPr>
          </w:p>
        </w:tc>
      </w:tr>
      <w:tr>
        <w:trPr>
          <w:trHeight w:val="235"/>
        </w:trPr>
        <w:tc>
          <w:tcPr>
            <w:tcW w:w="656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20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735,565</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711,827</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646,449</w:t>
            </w:r>
          </w:p>
        </w:tc>
        <w:tc>
          <w:tcPr>
            <w:tcW w:w="0" w:type="dxa"/>
            <w:vAlign w:val="bottom"/>
          </w:tcPr>
          <w:p>
            <w:pPr>
              <w:spacing w:after="0"/>
              <w:rPr>
                <w:sz w:val="1"/>
                <w:szCs w:val="1"/>
                <w:color w:val="auto"/>
              </w:rPr>
            </w:pPr>
          </w:p>
        </w:tc>
      </w:tr>
      <w:tr>
        <w:trPr>
          <w:trHeight w:val="482"/>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Gain on deconsolidation of VIE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Gain on sale of real estate and change in control of interest</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9,881</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93,483</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89,950</w:t>
            </w:r>
          </w:p>
        </w:tc>
        <w:tc>
          <w:tcPr>
            <w:tcW w:w="0" w:type="dxa"/>
            <w:vAlign w:val="bottom"/>
          </w:tcPr>
          <w:p>
            <w:pPr>
              <w:spacing w:after="0"/>
              <w:rPr>
                <w:sz w:val="1"/>
                <w:szCs w:val="1"/>
                <w:color w:val="auto"/>
              </w:rPr>
            </w:pPr>
          </w:p>
        </w:tc>
      </w:tr>
      <w:tr>
        <w:trPr>
          <w:trHeight w:val="49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OPERATING INCOME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406,470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526,408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394,725</w:t>
            </w:r>
          </w:p>
        </w:tc>
        <w:tc>
          <w:tcPr>
            <w:tcW w:w="0" w:type="dxa"/>
            <w:vAlign w:val="bottom"/>
          </w:tcPr>
          <w:p>
            <w:pPr>
              <w:spacing w:after="0"/>
              <w:rPr>
                <w:sz w:val="1"/>
                <w:szCs w:val="1"/>
                <w:color w:val="auto"/>
              </w:rPr>
            </w:pPr>
          </w:p>
        </w:tc>
      </w:tr>
      <w:tr>
        <w:trPr>
          <w:trHeight w:val="50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OTHER INCOME/(EXPENSE)</w:t>
            </w:r>
          </w:p>
        </w:tc>
        <w:tc>
          <w:tcPr>
            <w:tcW w:w="2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4,687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809</w:t>
            </w:r>
          </w:p>
        </w:tc>
        <w:tc>
          <w:tcPr>
            <w:tcW w:w="0" w:type="dxa"/>
            <w:vAlign w:val="bottom"/>
          </w:tcPr>
          <w:p>
            <w:pPr>
              <w:spacing w:after="0"/>
              <w:rPr>
                <w:sz w:val="1"/>
                <w:szCs w:val="1"/>
                <w:color w:val="auto"/>
              </w:rPr>
            </w:pPr>
          </w:p>
        </w:tc>
      </w:tr>
      <w:tr>
        <w:trPr>
          <w:trHeight w:val="246"/>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Other interest income</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Interest expense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(167,809)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(136,989)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(127,698)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Income from partnerships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3,869</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5,170</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1,245</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231F20"/>
              </w:rPr>
              <w:t>NET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247,217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395,661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269,081</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attributable to noncontrolling interests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(10,232)</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(10,170)</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(7,583)</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231F20"/>
              </w:rPr>
              <w:t>NET INCOME ATTRIBUTABLE TO THE PARTNERSHIP</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236,985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385,491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261,498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Dividends on preferred units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(8,032)</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(8,034)</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(8,042)</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NET INCOME AVAILABLE FOR COMMON UNIT HOLDERS</w:t>
            </w:r>
          </w:p>
        </w:tc>
        <w:tc>
          <w:tcPr>
            <w:tcW w:w="2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228,953</w:t>
            </w:r>
          </w:p>
        </w:tc>
        <w:tc>
          <w:tcPr>
            <w:tcW w:w="80" w:type="dxa"/>
            <w:vAlign w:val="bottom"/>
          </w:tcPr>
          <w:p>
            <w:pPr>
              <w:spacing w:after="0"/>
              <w:rPr>
                <w:sz w:val="18"/>
                <w:szCs w:val="18"/>
                <w:color w:val="auto"/>
              </w:rPr>
            </w:pPr>
          </w:p>
        </w:tc>
        <w:tc>
          <w:tcPr>
            <w:tcW w:w="2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377,457</w:t>
            </w:r>
          </w:p>
        </w:tc>
        <w:tc>
          <w:tcPr>
            <w:tcW w:w="80" w:type="dxa"/>
            <w:vAlign w:val="bottom"/>
          </w:tcPr>
          <w:p>
            <w:pPr>
              <w:spacing w:after="0"/>
              <w:rPr>
                <w:sz w:val="18"/>
                <w:szCs w:val="18"/>
                <w:color w:val="auto"/>
              </w:rPr>
            </w:pPr>
          </w:p>
        </w:tc>
        <w:tc>
          <w:tcPr>
            <w:tcW w:w="300" w:type="dxa"/>
            <w:vAlign w:val="bottom"/>
            <w:tcBorders>
              <w:bottom w:val="single" w:sz="8" w:color="231F20"/>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253,456</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UNIT, BASIC</w:t>
            </w: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unit 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231F20"/>
              </w:rPr>
              <w:t>Weighted average number of common units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79,854</w:t>
            </w:r>
          </w:p>
        </w:tc>
        <w:tc>
          <w:tcPr>
            <w:tcW w:w="80" w:type="dxa"/>
            <w:vAlign w:val="bottom"/>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77,336</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UNIT, DILUTED</w:t>
            </w: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unit holders</w:t>
            </w: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231F20"/>
              </w:rPr>
              <w:t>Weighted average number of common units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80,508</w:t>
            </w:r>
          </w:p>
        </w:tc>
        <w:tc>
          <w:tcPr>
            <w:tcW w:w="80" w:type="dxa"/>
            <w:vAlign w:val="bottom"/>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spacing w:after="0" w:line="195" w:lineRule="exact"/>
              <w:rPr>
                <w:sz w:val="20"/>
                <w:szCs w:val="20"/>
                <w:color w:val="auto"/>
              </w:rPr>
            </w:pPr>
            <w:r>
              <w:rPr>
                <w:rFonts w:ascii="Times New Roman" w:cs="Times New Roman" w:eastAsia="Times New Roman" w:hAnsi="Times New Roman"/>
                <w:sz w:val="20"/>
                <w:szCs w:val="20"/>
                <w:color w:val="231F20"/>
              </w:rPr>
              <w:t>77,368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247,217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395,661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269,081</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Other comprehensive (loss) income - change in value of interest rate swaps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(1,824)</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8,569</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3,917</w:t>
            </w:r>
          </w:p>
        </w:tc>
        <w:tc>
          <w:tcPr>
            <w:tcW w:w="0" w:type="dxa"/>
            <w:vAlign w:val="bottom"/>
          </w:tcPr>
          <w:p>
            <w:pPr>
              <w:spacing w:after="0"/>
              <w:rPr>
                <w:sz w:val="1"/>
                <w:szCs w:val="1"/>
                <w:color w:val="auto"/>
              </w:rPr>
            </w:pPr>
          </w:p>
        </w:tc>
      </w:tr>
      <w:tr>
        <w:trPr>
          <w:trHeight w:val="227"/>
        </w:trPr>
        <w:tc>
          <w:tcPr>
            <w:tcW w:w="65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231F20"/>
              </w:rPr>
              <w:t>COMPREHENSIVE INCOME</w:t>
            </w:r>
          </w:p>
        </w:tc>
        <w:tc>
          <w:tcPr>
            <w:tcW w:w="20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245,393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404,230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272,998</w:t>
            </w:r>
          </w:p>
        </w:tc>
        <w:tc>
          <w:tcPr>
            <w:tcW w:w="0" w:type="dxa"/>
            <w:vAlign w:val="bottom"/>
          </w:tcPr>
          <w:p>
            <w:pPr>
              <w:spacing w:after="0"/>
              <w:rPr>
                <w:sz w:val="1"/>
                <w:szCs w:val="1"/>
                <w:color w:val="auto"/>
              </w:rPr>
            </w:pPr>
          </w:p>
        </w:tc>
      </w:tr>
      <w:tr>
        <w:trPr>
          <w:trHeight w:val="263"/>
        </w:trPr>
        <w:tc>
          <w:tcPr>
            <w:tcW w:w="65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Comprehensive income attributable to noncontrolling interests</w:t>
            </w:r>
          </w:p>
        </w:tc>
        <w:tc>
          <w:tcPr>
            <w:tcW w:w="2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(10,113)</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(10,935)</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(7,903)</w:t>
            </w:r>
          </w:p>
        </w:tc>
        <w:tc>
          <w:tcPr>
            <w:tcW w:w="0" w:type="dxa"/>
            <w:vAlign w:val="bottom"/>
          </w:tcPr>
          <w:p>
            <w:pPr>
              <w:spacing w:after="0"/>
              <w:rPr>
                <w:sz w:val="1"/>
                <w:szCs w:val="1"/>
                <w:color w:val="auto"/>
              </w:rPr>
            </w:pPr>
          </w:p>
        </w:tc>
      </w:tr>
      <w:tr>
        <w:trPr>
          <w:trHeight w:val="215"/>
        </w:trPr>
        <w:tc>
          <w:tcPr>
            <w:tcW w:w="65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231F20"/>
              </w:rPr>
              <w:t>COMPREHENSIVE INCOME ATTRIBUTABLE TO THE PARTNERSHIP</w:t>
            </w:r>
          </w:p>
        </w:tc>
        <w:tc>
          <w:tcPr>
            <w:tcW w:w="2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235,280</w:t>
            </w:r>
          </w:p>
        </w:tc>
        <w:tc>
          <w:tcPr>
            <w:tcW w:w="80" w:type="dxa"/>
            <w:vAlign w:val="bottom"/>
          </w:tcPr>
          <w:p>
            <w:pPr>
              <w:spacing w:after="0"/>
              <w:rPr>
                <w:sz w:val="18"/>
                <w:szCs w:val="18"/>
                <w:color w:val="auto"/>
              </w:rPr>
            </w:pPr>
          </w:p>
        </w:tc>
        <w:tc>
          <w:tcPr>
            <w:tcW w:w="2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393,295</w:t>
            </w:r>
          </w:p>
        </w:tc>
        <w:tc>
          <w:tcPr>
            <w:tcW w:w="80" w:type="dxa"/>
            <w:vAlign w:val="bottom"/>
          </w:tcPr>
          <w:p>
            <w:pPr>
              <w:spacing w:after="0"/>
              <w:rPr>
                <w:sz w:val="18"/>
                <w:szCs w:val="18"/>
                <w:color w:val="auto"/>
              </w:rPr>
            </w:pPr>
          </w:p>
        </w:tc>
        <w:tc>
          <w:tcPr>
            <w:tcW w:w="300" w:type="dxa"/>
            <w:vAlign w:val="bottom"/>
            <w:tcBorders>
              <w:bottom w:val="single" w:sz="8" w:color="231F20"/>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265,095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statements.</w:t>
      </w:r>
    </w:p>
    <w:p>
      <w:pPr>
        <w:sectPr>
          <w:pgSz w:w="12240" w:h="15840" w:orient="portrait"/>
          <w:cols w:equalWidth="0" w:num="1">
            <w:col w:w="10160"/>
          </w:cols>
          <w:pgMar w:left="1040" w:top="62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F-13</w:t>
      </w:r>
    </w:p>
    <w:p>
      <w:pPr>
        <w:sectPr>
          <w:pgSz w:w="12240" w:h="15840" w:orient="portrait"/>
          <w:cols w:equalWidth="0" w:num="1">
            <w:col w:w="10160"/>
          </w:cols>
          <w:pgMar w:left="1040" w:top="626" w:right="1040" w:bottom="0"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F-14</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Federal Realty OP LP</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Consolidated Statements of Capital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231F20"/>
                <w:w w:val="96"/>
              </w:rPr>
              <w:t>Accumulated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67"/>
              <w:spacing w:after="0"/>
              <w:rPr>
                <w:sz w:val="20"/>
                <w:szCs w:val="20"/>
                <w:color w:val="auto"/>
              </w:rPr>
            </w:pPr>
            <w:r>
              <w:rPr>
                <w:rFonts w:ascii="Times New Roman" w:cs="Times New Roman" w:eastAsia="Times New Roman" w:hAnsi="Times New Roman"/>
                <w:sz w:val="15"/>
                <w:szCs w:val="15"/>
                <w:b w:val="1"/>
                <w:bCs w:val="1"/>
                <w:color w:val="231F20"/>
                <w:w w:val="97"/>
              </w:rPr>
              <w:t>Noncontrolling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7"/>
              <w:spacing w:after="0" w:line="146" w:lineRule="exact"/>
              <w:rPr>
                <w:sz w:val="20"/>
                <w:szCs w:val="20"/>
                <w:color w:val="auto"/>
              </w:rPr>
            </w:pPr>
            <w:r>
              <w:rPr>
                <w:rFonts w:ascii="Times New Roman" w:cs="Times New Roman" w:eastAsia="Times New Roman" w:hAnsi="Times New Roman"/>
                <w:sz w:val="15"/>
                <w:szCs w:val="15"/>
                <w:b w:val="1"/>
                <w:bCs w:val="1"/>
                <w:color w:val="231F20"/>
                <w:w w:val="99"/>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b w:val="1"/>
                <w:bCs w:val="1"/>
                <w:color w:val="231F20"/>
              </w:rPr>
              <w:t>Total Partner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67"/>
              <w:spacing w:after="0" w:line="146" w:lineRule="exact"/>
              <w:rPr>
                <w:sz w:val="20"/>
                <w:szCs w:val="20"/>
                <w:color w:val="auto"/>
              </w:rPr>
            </w:pPr>
            <w:r>
              <w:rPr>
                <w:rFonts w:ascii="Times New Roman" w:cs="Times New Roman" w:eastAsia="Times New Roman" w:hAnsi="Times New Roman"/>
                <w:sz w:val="15"/>
                <w:szCs w:val="15"/>
                <w:b w:val="1"/>
                <w:bCs w:val="1"/>
                <w:color w:val="231F20"/>
                <w:w w:val="97"/>
              </w:rPr>
              <w:t>Interests 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b w:val="1"/>
                <w:bCs w:val="1"/>
                <w:color w:val="231F20"/>
                <w:w w:val="95"/>
              </w:rPr>
              <w:t>Preferred Units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b w:val="1"/>
                <w:bCs w:val="1"/>
                <w:color w:val="231F20"/>
                <w:w w:val="96"/>
              </w:rPr>
              <w:t>Common 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7"/>
              <w:spacing w:after="0" w:line="146" w:lineRule="exact"/>
              <w:rPr>
                <w:sz w:val="20"/>
                <w:szCs w:val="20"/>
                <w:color w:val="auto"/>
              </w:rPr>
            </w:pPr>
            <w:r>
              <w:rPr>
                <w:rFonts w:ascii="Times New Roman" w:cs="Times New Roman" w:eastAsia="Times New Roman" w:hAnsi="Times New Roman"/>
                <w:sz w:val="15"/>
                <w:szCs w:val="15"/>
                <w:b w:val="1"/>
                <w:bCs w:val="1"/>
                <w:color w:val="231F20"/>
                <w:w w:val="97"/>
              </w:rPr>
              <w:t>Comprehensive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67"/>
              <w:spacing w:after="0" w:line="146" w:lineRule="exact"/>
              <w:rPr>
                <w:sz w:val="20"/>
                <w:szCs w:val="20"/>
                <w:color w:val="auto"/>
              </w:rPr>
            </w:pPr>
            <w:r>
              <w:rPr>
                <w:rFonts w:ascii="Times New Roman" w:cs="Times New Roman" w:eastAsia="Times New Roman" w:hAnsi="Times New Roman"/>
                <w:sz w:val="15"/>
                <w:szCs w:val="15"/>
                <w:b w:val="1"/>
                <w:bCs w:val="1"/>
                <w:color w:val="231F20"/>
                <w:w w:val="97"/>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Total Capital</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center"/>
              <w:ind w:right="67"/>
              <w:spacing w:after="0"/>
              <w:rPr>
                <w:sz w:val="20"/>
                <w:szCs w:val="20"/>
                <w:color w:val="auto"/>
              </w:rPr>
            </w:pPr>
            <w:r>
              <w:rPr>
                <w:rFonts w:ascii="Times New Roman" w:cs="Times New Roman" w:eastAsia="Times New Roman" w:hAnsi="Times New Roman"/>
                <w:sz w:val="15"/>
                <w:szCs w:val="15"/>
                <w:b w:val="1"/>
                <w:bCs w:val="1"/>
                <w:color w:val="231F20"/>
                <w:w w:val="97"/>
              </w:rPr>
              <w:t>(Loss) Income</w:t>
            </w: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231F20"/>
              </w:rPr>
              <w:t>Capital</w:t>
            </w:r>
          </w:p>
        </w:tc>
        <w:tc>
          <w:tcPr>
            <w:tcW w:w="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5"/>
                <w:szCs w:val="15"/>
                <w:b w:val="1"/>
                <w:bCs w:val="1"/>
                <w:color w:val="231F20"/>
                <w:w w:val="96"/>
              </w:rPr>
              <w:t>Partnerships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BALANCE AT DECEMBER 31,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154,963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2,314,838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(5,644)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2,464,157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84,590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2,548,747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Net income, excluding $4,296 attributable to redeemable noncontrolling interests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253,456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261,498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3,287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264,785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comprehensive income - change in fair value of interest rate swaps, excluding $320</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3,597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3,597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3,597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231F20"/>
              </w:rPr>
              <w:t>attributable to redeemable noncontrolling interest</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common unit holders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(332,116)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(332,116)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(332,116)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preferred unit holders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noncontrolling interests in consolidated partnerships, excluding $5,268</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(4,341)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231F20"/>
              </w:rPr>
              <w:t>attributable to redeemable noncontrolling interests</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issued as a result of common stock issued by Parent Company, net of issuance costs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172,753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172,753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172,753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issued under dividend reinvestment plan</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1,955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Share-based compensation expense, net of forfeitures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14,434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14,434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14,434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withheld for employee taxes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(2,998)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(2,998)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(2,998)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Conversion of downREIT OP units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7,474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7,474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(7,573)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Contributions from noncontrolling interests, excluding $74,530 attributable to redeemable</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6,583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6,583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231F20"/>
              </w:rPr>
              <w:t>noncontrolling interests</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Adjustment to redeemable noncontrolling interests</w:t>
            </w:r>
          </w:p>
        </w:tc>
        <w:tc>
          <w:tcPr>
            <w:tcW w:w="12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(2,110)</w:t>
            </w:r>
          </w:p>
        </w:tc>
        <w:tc>
          <w:tcPr>
            <w:tcW w:w="8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(2,110)</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(2,110)</w:t>
            </w:r>
          </w:p>
        </w:tc>
        <w:tc>
          <w:tcPr>
            <w:tcW w:w="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0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231F20"/>
              </w:rPr>
              <w:t>BALANCE AT DECEMBER 31,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154,963</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2,427,686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(2,047)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2,580,602</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82,546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2,663,148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Net income, excluding $6,613 attributable to redeemable noncontrolling interests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377,457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385,491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3,557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389,048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comprehensive income - change in fair value of interest rate swaps, excluding $765</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7,804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7,804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231F20"/>
              </w:rPr>
              <w:t>attributable to redeemable noncontrolling interest</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common unit holders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(344,711)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(344,711)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(344,711)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preferred unit holders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noncontrolling interests in consolidated partnerships, excluding $8,090</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(5,007)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231F20"/>
              </w:rPr>
              <w:t>attributable to redeemable noncontrolling interests</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issued as a result of common stock issued by Parent Company, net of issuance costs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306,854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306,854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306,854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Exercise of stock options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issued under dividend reinvestment plan</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2,104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2,104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Share-based compensation expense, net of forfeitures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15,018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withheld for employee taxes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(4,900)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(4,900)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Conversion of preferred units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Conversion and redemption of downREIT OP units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1,367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Deconsolidation of VIE</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Adjustment to redeemable noncontrolling interests</w:t>
            </w: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12,382</w:t>
            </w:r>
          </w:p>
        </w:tc>
        <w:tc>
          <w:tcPr>
            <w:tcW w:w="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12,382</w:t>
            </w:r>
          </w:p>
        </w:tc>
        <w:tc>
          <w:tcPr>
            <w:tcW w:w="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12,382</w:t>
            </w:r>
          </w:p>
        </w:tc>
        <w:tc>
          <w:tcPr>
            <w:tcW w:w="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00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231F20"/>
              </w:rPr>
              <w:t>BALANCE AT DECEMBER 31, 2022</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w:t>
            </w: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154,788</w:t>
            </w:r>
          </w:p>
        </w:tc>
        <w:tc>
          <w:tcPr>
            <w:tcW w:w="6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w:t>
            </w: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2,793,467</w:t>
            </w:r>
          </w:p>
        </w:tc>
        <w:tc>
          <w:tcPr>
            <w:tcW w:w="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w:t>
            </w: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5,757</w:t>
            </w:r>
          </w:p>
        </w:tc>
        <w:tc>
          <w:tcPr>
            <w:tcW w:w="8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w:t>
            </w: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2,954,012</w:t>
            </w:r>
          </w:p>
        </w:tc>
        <w:tc>
          <w:tcPr>
            <w:tcW w:w="6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w:t>
            </w: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80,003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w:t>
            </w: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231F20"/>
              </w:rPr>
              <w:t>3,034,015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Net income, excluding $7,253 attributable to redeemable noncontrolling interests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228,953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236,985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2,979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239,964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comprehensive loss - change in fair value of interest rate swaps, excluding $119 attributable</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(1,705)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(1,705)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60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231F20"/>
              </w:rPr>
              <w:t>to redeemable noncontrolling interest</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common unit holders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(355,241)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(355,241)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(355,241)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preferred unit holders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Distributions declared to noncontrolling interests in consolidated partnerships, excluding $9,539</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(4,541)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(4,541)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0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231F20"/>
              </w:rPr>
              <w:t>attributable to redeemable noncontrolling interests</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issued as a result of common stock issued by Parent Company, net of issuance costs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131,729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131,729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131,729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issued under dividend reinvestment plan</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1,870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Share-based compensation expense, net of forfeitures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15,427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15,427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15,427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units withheld for employee taxes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Conversion and redemption of downREIT OP units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883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(883)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Contributions from noncontrolling interests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Adjustment to redeemable noncontrolling interests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(7,400)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(7,400)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231F20"/>
              </w:rPr>
              <w:t>BALANCE AT DECEMBER 31, 2023</w:t>
            </w:r>
          </w:p>
        </w:tc>
        <w:tc>
          <w:tcPr>
            <w:tcW w:w="20" w:type="dxa"/>
            <w:vAlign w:val="bottom"/>
            <w:tcBorders>
              <w:top w:val="single" w:sz="8" w:color="231F20"/>
            </w:tcBorders>
          </w:tcPr>
          <w:p>
            <w:pPr>
              <w:spacing w:after="0"/>
              <w:rPr>
                <w:sz w:val="16"/>
                <w:szCs w:val="16"/>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154,788</w:t>
            </w:r>
          </w:p>
        </w:tc>
        <w:tc>
          <w:tcPr>
            <w:tcW w:w="60" w:type="dxa"/>
            <w:vAlign w:val="bottom"/>
          </w:tcPr>
          <w:p>
            <w:pPr>
              <w:spacing w:after="0"/>
              <w:rPr>
                <w:sz w:val="16"/>
                <w:szCs w:val="16"/>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2,804,669</w:t>
            </w:r>
          </w:p>
        </w:tc>
        <w:tc>
          <w:tcPr>
            <w:tcW w:w="80" w:type="dxa"/>
            <w:vAlign w:val="bottom"/>
          </w:tcPr>
          <w:p>
            <w:pPr>
              <w:spacing w:after="0"/>
              <w:rPr>
                <w:sz w:val="16"/>
                <w:szCs w:val="16"/>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4,052</w:t>
            </w:r>
          </w:p>
        </w:tc>
        <w:tc>
          <w:tcPr>
            <w:tcW w:w="80" w:type="dxa"/>
            <w:vAlign w:val="bottom"/>
          </w:tcPr>
          <w:p>
            <w:pPr>
              <w:spacing w:after="0"/>
              <w:rPr>
                <w:sz w:val="16"/>
                <w:szCs w:val="16"/>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2,963,509</w:t>
            </w:r>
          </w:p>
        </w:tc>
        <w:tc>
          <w:tcPr>
            <w:tcW w:w="60" w:type="dxa"/>
            <w:vAlign w:val="bottom"/>
          </w:tcPr>
          <w:p>
            <w:pPr>
              <w:spacing w:after="0"/>
              <w:rPr>
                <w:sz w:val="16"/>
                <w:szCs w:val="16"/>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78,650</w:t>
            </w:r>
          </w:p>
        </w:tc>
        <w:tc>
          <w:tcPr>
            <w:tcW w:w="80" w:type="dxa"/>
            <w:vAlign w:val="bottom"/>
          </w:tcPr>
          <w:p>
            <w:pPr>
              <w:spacing w:after="0"/>
              <w:rPr>
                <w:sz w:val="16"/>
                <w:szCs w:val="16"/>
                <w:color w:val="auto"/>
              </w:rPr>
            </w:pPr>
          </w:p>
        </w:tc>
        <w:tc>
          <w:tcPr>
            <w:tcW w:w="16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3,042,159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5840" w:h="12240" w:orient="landscape"/>
          <w:cols w:equalWidth="0" w:num="2">
            <w:col w:w="218" w:space="467"/>
            <w:col w:w="13920"/>
          </w:cols>
          <w:pgMar w:left="455" w:top="426" w:right="780" w:bottom="641" w:gutter="0" w:footer="0" w:header="0"/>
        </w:sectPr>
      </w:pPr>
    </w:p>
    <w:p>
      <w:pPr>
        <w:ind w:left="4905"/>
        <w:spacing w:after="0"/>
        <w:rPr>
          <w:sz w:val="20"/>
          <w:szCs w:val="20"/>
          <w:color w:val="auto"/>
        </w:rPr>
      </w:pPr>
      <w:r>
        <w:rPr>
          <w:rFonts w:ascii="Times New Roman" w:cs="Times New Roman" w:eastAsia="Times New Roman" w:hAnsi="Times New Roman"/>
          <w:sz w:val="17"/>
          <w:szCs w:val="17"/>
          <w:color w:val="231F20"/>
        </w:rPr>
        <w:t>The accompanying notes are an integral part of these consolidated statements.</w:t>
      </w:r>
    </w:p>
    <w:p>
      <w:pPr>
        <w:sectPr>
          <w:pgSz w:w="15840" w:h="12240" w:orient="landscape"/>
          <w:cols w:equalWidth="0" w:num="1">
            <w:col w:w="14605"/>
          </w:cols>
          <w:pgMar w:left="455" w:top="426" w:right="780" w:bottom="641" w:gutter="0" w:footer="0" w:header="0"/>
          <w:type w:val="continuous"/>
        </w:sectPr>
      </w:pPr>
    </w:p>
    <w:bookmarkStart w:id="78" w:name="page79"/>
    <w:bookmarkEnd w:id="78"/>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w:t>
      </w:r>
    </w:p>
    <w:p>
      <w:pPr>
        <w:sectPr>
          <w:pgSz w:w="12240" w:h="15840" w:orient="portrait"/>
          <w:cols w:equalWidth="0" w:num="1">
            <w:col w:w="10180"/>
          </w:cols>
          <w:pgMar w:left="106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OPERATING ACTIVITIES</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Net income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Adjustments to reconcile net income to net cash provided by operating activities:</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Depreciation and amortization</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Gain on deconsolidation of VIE</w:t>
      </w:r>
    </w:p>
    <w:p>
      <w:pPr>
        <w:spacing w:after="0" w:line="25" w:lineRule="exact"/>
        <w:rPr>
          <w:sz w:val="20"/>
          <w:szCs w:val="20"/>
          <w:color w:val="auto"/>
        </w:rPr>
      </w:pPr>
    </w:p>
    <w:p>
      <w:pPr>
        <w:ind w:left="720" w:right="1400"/>
        <w:spacing w:after="0" w:line="279" w:lineRule="auto"/>
        <w:rPr>
          <w:sz w:val="20"/>
          <w:szCs w:val="20"/>
          <w:color w:val="auto"/>
        </w:rPr>
      </w:pPr>
      <w:r>
        <w:rPr>
          <w:rFonts w:ascii="Times New Roman" w:cs="Times New Roman" w:eastAsia="Times New Roman" w:hAnsi="Times New Roman"/>
          <w:sz w:val="20"/>
          <w:szCs w:val="20"/>
          <w:color w:val="231F20"/>
        </w:rPr>
        <w:t>Gain on sale of real estate and change in control of interest Income from partnerships</w:t>
      </w:r>
    </w:p>
    <w:p>
      <w:pPr>
        <w:ind w:left="720"/>
        <w:spacing w:after="0"/>
        <w:rPr>
          <w:sz w:val="20"/>
          <w:szCs w:val="20"/>
          <w:color w:val="auto"/>
        </w:rPr>
      </w:pPr>
      <w:r>
        <w:rPr>
          <w:rFonts w:ascii="Times New Roman" w:cs="Times New Roman" w:eastAsia="Times New Roman" w:hAnsi="Times New Roman"/>
          <w:sz w:val="20"/>
          <w:szCs w:val="20"/>
          <w:color w:val="231F20"/>
        </w:rPr>
        <w:t>Straight-line rent</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Share-based compensation expense</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Other, net</w:t>
      </w:r>
    </w:p>
    <w:p>
      <w:pPr>
        <w:spacing w:after="0" w:line="55"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0"/>
          <w:szCs w:val="20"/>
          <w:color w:val="231F20"/>
        </w:rPr>
        <w:t>Changes in assets and liabilities, net of effects of acquisitions and dispositions: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200977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2009775" cy="1270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1"/>
        </w:trPr>
        <w:tc>
          <w:tcPr>
            <w:tcW w:w="100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80" w:type="dxa"/>
            <w:vAlign w:val="bottom"/>
          </w:tcPr>
          <w:p>
            <w:pPr>
              <w:spacing w:after="0"/>
              <w:rPr>
                <w:sz w:val="18"/>
                <w:szCs w:val="18"/>
                <w:color w:val="auto"/>
              </w:rPr>
            </w:pPr>
          </w:p>
        </w:tc>
        <w:tc>
          <w:tcPr>
            <w:tcW w:w="1000" w:type="dxa"/>
            <w:vAlign w:val="bottom"/>
            <w:tcBorders>
              <w:top w:val="single" w:sz="8" w:color="231F20"/>
            </w:tcBorders>
          </w:tcPr>
          <w:p>
            <w:pPr>
              <w:spacing w:after="0"/>
              <w:rPr>
                <w:sz w:val="18"/>
                <w:szCs w:val="18"/>
                <w:color w:val="auto"/>
              </w:rPr>
            </w:pPr>
          </w:p>
        </w:tc>
      </w:tr>
      <w:tr>
        <w:trPr>
          <w:trHeight w:val="501"/>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$ 247,217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$ 395,661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$ 269,081</w:t>
            </w:r>
          </w:p>
        </w:tc>
      </w:tr>
      <w:tr>
        <w:trPr>
          <w:trHeight w:val="53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321,763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302,409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279,976</w:t>
            </w:r>
          </w:p>
        </w:tc>
      </w:tr>
      <w:tr>
        <w:trPr>
          <w:trHeight w:val="25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(70,374)</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0"/>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(93,483)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(89,950)</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(1,245)</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(18,326)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(9,397)</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13,704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13,009</w:t>
            </w:r>
          </w:p>
        </w:tc>
      </w:tr>
      <w:tr>
        <w:trPr>
          <w:trHeight w:val="285"/>
        </w:trPr>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(3,223)</w:t>
            </w:r>
          </w:p>
        </w:tc>
      </w:tr>
    </w:tbl>
    <w:p>
      <w:pPr>
        <w:spacing w:after="0" w:line="303" w:lineRule="exact"/>
        <w:rPr>
          <w:sz w:val="20"/>
          <w:szCs w:val="20"/>
          <w:color w:val="auto"/>
        </w:rPr>
      </w:pPr>
    </w:p>
    <w:p>
      <w:pPr>
        <w:sectPr>
          <w:pgSz w:w="12240" w:h="15840" w:orient="portrait"/>
          <w:cols w:equalWidth="0" w:num="2">
            <w:col w:w="6820" w:space="200"/>
            <w:col w:w="3160"/>
          </w:cols>
          <w:pgMar w:left="1060" w:top="626" w:right="1000"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Decrease (increase) in accounts receivable, net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1,214</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Increase in prepaid expenses and other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(6,881)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(5,607)</w:t>
            </w:r>
          </w:p>
        </w:tc>
        <w:tc>
          <w:tcPr>
            <w:tcW w:w="0" w:type="dxa"/>
            <w:vAlign w:val="bottom"/>
          </w:tcPr>
          <w:p>
            <w:pPr>
              <w:spacing w:after="0"/>
              <w:rPr>
                <w:sz w:val="1"/>
                <w:szCs w:val="1"/>
                <w:color w:val="auto"/>
              </w:rPr>
            </w:pPr>
          </w:p>
        </w:tc>
      </w:tr>
      <w:tr>
        <w:trPr>
          <w:trHeight w:val="285"/>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Increase in accounts payable and accrued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6,782</w:t>
            </w:r>
          </w:p>
        </w:tc>
        <w:tc>
          <w:tcPr>
            <w:tcW w:w="0" w:type="dxa"/>
            <w:vAlign w:val="bottom"/>
          </w:tcPr>
          <w:p>
            <w:pPr>
              <w:spacing w:after="0"/>
              <w:rPr>
                <w:sz w:val="1"/>
                <w:szCs w:val="1"/>
                <w:color w:val="auto"/>
              </w:rPr>
            </w:pPr>
          </w:p>
        </w:tc>
      </w:tr>
      <w:tr>
        <w:trPr>
          <w:trHeight w:val="288"/>
        </w:trPr>
        <w:tc>
          <w:tcPr>
            <w:tcW w:w="7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Increase in security deposits and other liabilities</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235</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10,373</w:t>
            </w:r>
          </w:p>
        </w:tc>
        <w:tc>
          <w:tcPr>
            <w:tcW w:w="80" w:type="dxa"/>
            <w:vAlign w:val="bottom"/>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10,712</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cash provided by operating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555,830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516,769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471,352</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INVESTING ACTIVITIES</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Acquisition of real estate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(438,494)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(366,466)</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Capital expenditures - development and redevelopment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(214,062)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(309,046)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(368,786)</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Capital expenditures - 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(97,058)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(107,655)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(71,728)</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Costs associated with property sold under threat of condemnation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(18,031)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Proceeds from sale of real estate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28,451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133,717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137,868</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Change in cash from deconsolidation of VIE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(4,192)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Investment in partnerships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(3,115)</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Distribution from partnerships in excess of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6,864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2,970</w:t>
            </w:r>
          </w:p>
        </w:tc>
        <w:tc>
          <w:tcPr>
            <w:tcW w:w="0" w:type="dxa"/>
            <w:vAlign w:val="bottom"/>
          </w:tcPr>
          <w:p>
            <w:pPr>
              <w:spacing w:after="0"/>
              <w:rPr>
                <w:sz w:val="1"/>
                <w:szCs w:val="1"/>
                <w:color w:val="auto"/>
              </w:rPr>
            </w:pPr>
          </w:p>
        </w:tc>
      </w:tr>
      <w:tr>
        <w:trPr>
          <w:trHeight w:val="28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Leasing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(21,990)</w:t>
            </w:r>
          </w:p>
        </w:tc>
        <w:tc>
          <w:tcPr>
            <w:tcW w:w="0" w:type="dxa"/>
            <w:vAlign w:val="bottom"/>
          </w:tcPr>
          <w:p>
            <w:pPr>
              <w:spacing w:after="0"/>
              <w:rPr>
                <w:sz w:val="1"/>
                <w:szCs w:val="1"/>
                <w:color w:val="auto"/>
              </w:rPr>
            </w:pPr>
          </w:p>
        </w:tc>
      </w:tr>
      <w:tr>
        <w:trPr>
          <w:trHeight w:val="288"/>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repayment of mortgage and other notes receivable, net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(3,465)</w:t>
            </w:r>
          </w:p>
        </w:tc>
        <w:tc>
          <w:tcPr>
            <w:tcW w:w="80" w:type="dxa"/>
            <w:vAlign w:val="bottom"/>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31,129</w:t>
            </w:r>
          </w:p>
        </w:tc>
        <w:tc>
          <w:tcPr>
            <w:tcW w:w="0" w:type="dxa"/>
            <w:vAlign w:val="bottom"/>
          </w:tcPr>
          <w:p>
            <w:pPr>
              <w:spacing w:after="0"/>
              <w:rPr>
                <w:sz w:val="1"/>
                <w:szCs w:val="1"/>
                <w:color w:val="auto"/>
              </w:rPr>
            </w:pPr>
          </w:p>
        </w:tc>
      </w:tr>
      <w:tr>
        <w:trPr>
          <w:trHeight w:val="262"/>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(358,325)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(785,998)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(660,118)</w:t>
            </w:r>
          </w:p>
        </w:tc>
        <w:tc>
          <w:tcPr>
            <w:tcW w:w="0" w:type="dxa"/>
            <w:vAlign w:val="bottom"/>
          </w:tcPr>
          <w:p>
            <w:pPr>
              <w:spacing w:after="0"/>
              <w:rPr>
                <w:sz w:val="1"/>
                <w:szCs w:val="1"/>
                <w:color w:val="auto"/>
              </w:rPr>
            </w:pPr>
          </w:p>
        </w:tc>
      </w:tr>
      <w:tr>
        <w:trPr>
          <w:trHeight w:val="25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FINANCING ACTIVITIES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6"/>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Costs to amend revolving credit facility</w:t>
            </w: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of senior notes,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345,698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Repayment of senior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(275,000)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of mortgages and notes payable,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199,237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298,568</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Repayment of mortgages, finance leases, and notes payable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(58,472)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(277,643)</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Issuance of common units,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131,895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307,275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172,981</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Dividends paid to common and preferred unit holders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(359,194)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(347,284)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(335,656)</w:t>
            </w:r>
          </w:p>
        </w:tc>
        <w:tc>
          <w:tcPr>
            <w:tcW w:w="0" w:type="dxa"/>
            <w:vAlign w:val="bottom"/>
          </w:tcPr>
          <w:p>
            <w:pPr>
              <w:spacing w:after="0"/>
              <w:rPr>
                <w:sz w:val="1"/>
                <w:szCs w:val="1"/>
                <w:color w:val="auto"/>
              </w:rPr>
            </w:pPr>
          </w:p>
        </w:tc>
      </w:tr>
      <w:tr>
        <w:trPr>
          <w:trHeight w:val="25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Common units withheld for 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(2,998)</w:t>
            </w:r>
          </w:p>
        </w:tc>
        <w:tc>
          <w:tcPr>
            <w:tcW w:w="0" w:type="dxa"/>
            <w:vAlign w:val="bottom"/>
          </w:tcPr>
          <w:p>
            <w:pPr>
              <w:spacing w:after="0"/>
              <w:rPr>
                <w:sz w:val="1"/>
                <w:szCs w:val="1"/>
                <w:color w:val="auto"/>
              </w:rPr>
            </w:pPr>
          </w:p>
        </w:tc>
      </w:tr>
      <w:tr>
        <w:trPr>
          <w:trHeight w:val="264"/>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Contributions from noncontrolling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133</w:t>
            </w:r>
          </w:p>
        </w:tc>
        <w:tc>
          <w:tcPr>
            <w:tcW w:w="0" w:type="dxa"/>
            <w:vAlign w:val="bottom"/>
          </w:tcPr>
          <w:p>
            <w:pPr>
              <w:spacing w:after="0"/>
              <w:rPr>
                <w:sz w:val="1"/>
                <w:szCs w:val="1"/>
                <w:color w:val="auto"/>
              </w:rPr>
            </w:pPr>
          </w:p>
        </w:tc>
      </w:tr>
      <w:tr>
        <w:trPr>
          <w:trHeight w:val="284"/>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Distributions to and redemptions of noncontrolling interests</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(14,086)</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(37,427)</w:t>
            </w:r>
          </w:p>
        </w:tc>
        <w:tc>
          <w:tcPr>
            <w:tcW w:w="80" w:type="dxa"/>
            <w:vAlign w:val="bottom"/>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(9,784)</w:t>
            </w:r>
          </w:p>
        </w:tc>
        <w:tc>
          <w:tcPr>
            <w:tcW w:w="0" w:type="dxa"/>
            <w:vAlign w:val="bottom"/>
          </w:tcPr>
          <w:p>
            <w:pPr>
              <w:spacing w:after="0"/>
              <w:rPr>
                <w:sz w:val="1"/>
                <w:szCs w:val="1"/>
                <w:color w:val="auto"/>
              </w:rPr>
            </w:pPr>
          </w:p>
        </w:tc>
      </w:tr>
      <w:tr>
        <w:trPr>
          <w:trHeight w:val="265"/>
        </w:trPr>
        <w:tc>
          <w:tcPr>
            <w:tcW w:w="702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cash (used in) provided by financing activities</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(33,849)</w:t>
            </w:r>
          </w:p>
        </w:tc>
        <w:tc>
          <w:tcPr>
            <w:tcW w:w="80" w:type="dxa"/>
            <w:vAlign w:val="bottom"/>
          </w:tcPr>
          <w:p>
            <w:pPr>
              <w:spacing w:after="0"/>
              <w:rPr>
                <w:sz w:val="23"/>
                <w:szCs w:val="23"/>
                <w:color w:val="auto"/>
              </w:rPr>
            </w:pPr>
          </w:p>
        </w:tc>
        <w:tc>
          <w:tcPr>
            <w:tcW w:w="18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190,414</w:t>
            </w:r>
          </w:p>
        </w:tc>
        <w:tc>
          <w:tcPr>
            <w:tcW w:w="80" w:type="dxa"/>
            <w:vAlign w:val="bottom"/>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(452,967)</w:t>
            </w:r>
          </w:p>
        </w:tc>
        <w:tc>
          <w:tcPr>
            <w:tcW w:w="0" w:type="dxa"/>
            <w:vAlign w:val="bottom"/>
          </w:tcPr>
          <w:p>
            <w:pPr>
              <w:spacing w:after="0"/>
              <w:rPr>
                <w:sz w:val="1"/>
                <w:szCs w:val="1"/>
                <w:color w:val="auto"/>
              </w:rPr>
            </w:pPr>
          </w:p>
        </w:tc>
      </w:tr>
      <w:tr>
        <w:trPr>
          <w:trHeight w:val="262"/>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Increase (decrease) in cash, cash equivalents, and restricted cash</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163,656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(641,733)</w:t>
            </w:r>
          </w:p>
        </w:tc>
        <w:tc>
          <w:tcPr>
            <w:tcW w:w="0" w:type="dxa"/>
            <w:vAlign w:val="bottom"/>
          </w:tcPr>
          <w:p>
            <w:pPr>
              <w:spacing w:after="0"/>
              <w:rPr>
                <w:sz w:val="1"/>
                <w:szCs w:val="1"/>
                <w:color w:val="auto"/>
              </w:rPr>
            </w:pP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Cash, cash equivalents, and restricted cash at beginning of year</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96,348</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175,163</w:t>
            </w:r>
          </w:p>
        </w:tc>
        <w:tc>
          <w:tcPr>
            <w:tcW w:w="80" w:type="dxa"/>
            <w:vAlign w:val="bottom"/>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816,896</w:t>
            </w:r>
          </w:p>
        </w:tc>
        <w:tc>
          <w:tcPr>
            <w:tcW w:w="0" w:type="dxa"/>
            <w:vAlign w:val="bottom"/>
          </w:tcPr>
          <w:p>
            <w:pPr>
              <w:spacing w:after="0"/>
              <w:rPr>
                <w:sz w:val="1"/>
                <w:szCs w:val="1"/>
                <w:color w:val="auto"/>
              </w:rPr>
            </w:pPr>
          </w:p>
        </w:tc>
      </w:tr>
      <w:tr>
        <w:trPr>
          <w:trHeight w:val="245"/>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Cash, cash equivalents, and restricted cash at end of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$ 260,004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$ 175,163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statements.</w:t>
      </w:r>
    </w:p>
    <w:p>
      <w:pPr>
        <w:sectPr>
          <w:pgSz w:w="12240" w:h="15840" w:orient="portrait"/>
          <w:cols w:equalWidth="0" w:num="1">
            <w:col w:w="10180"/>
          </w:cols>
          <w:pgMar w:left="1060" w:top="626"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31F20"/>
        </w:rPr>
        <w:t>F-15</w:t>
      </w:r>
    </w:p>
    <w:p>
      <w:pPr>
        <w:sectPr>
          <w:pgSz w:w="12240" w:h="15840" w:orient="portrait"/>
          <w:cols w:equalWidth="0" w:num="1">
            <w:col w:w="10180"/>
          </w:cols>
          <w:pgMar w:left="1060" w:top="626" w:right="100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OP LP</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December 31, 2023, 2022 and 2021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1—BUSINESS AND ORGANIZATION</w:t>
      </w:r>
    </w:p>
    <w:p>
      <w:pPr>
        <w:spacing w:after="0" w:line="11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231F20"/>
        </w:rPr>
        <w:t>Federal Realty Investment Trust (the “Parent Company” and "Trust") is an equity real estate investment trust (“REIT”). Federal Realty OP LP (the "Operating Partnership") is the entity through which the Parent Company conducts substantially all of its operating and owns all of its assets. The Parent Company owns 100% of the limited liability company interests of, is sole member of, and exercises control over Federal Realty GP LLC (the "General Partner"), which in turn, is the sole general partner of the Operating Partnership. The Parent Company specializes in the ownership, management, and redevelopment of retail and mixed-use properties through the Operating Partnership. Our properties are located primarily in communities where we believe retail demand exceeds supply, in strategically selected metropolitan markets in the Mid-Atlantic and Northeast regions of the United States, California, and South Florida. As of December 31, 2023, we owned or had a majority interest in community and neighborhood shopping centers and mixed-use properties which are operated as 102 predominantly retail real estate projects.</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Economic Conditions</w:t>
      </w:r>
    </w:p>
    <w:p>
      <w:pPr>
        <w:spacing w:after="0" w:line="1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The heightened levels of inflation, higher interest rates, and the potentially worsening of economic conditions presents risks for our business and our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spacing w:after="0" w:line="196" w:lineRule="exact"/>
        <w:rPr>
          <w:sz w:val="20"/>
          <w:szCs w:val="20"/>
          <w:color w:val="auto"/>
        </w:rPr>
      </w:pPr>
    </w:p>
    <w:p>
      <w:pPr>
        <w:ind w:right="4120"/>
        <w:spacing w:after="0" w:line="358" w:lineRule="auto"/>
        <w:rPr>
          <w:sz w:val="20"/>
          <w:szCs w:val="20"/>
          <w:color w:val="auto"/>
        </w:rPr>
      </w:pPr>
      <w:r>
        <w:rPr>
          <w:rFonts w:ascii="Times New Roman" w:cs="Times New Roman" w:eastAsia="Times New Roman" w:hAnsi="Times New Roman"/>
          <w:sz w:val="20"/>
          <w:szCs w:val="20"/>
          <w:b w:val="1"/>
          <w:bCs w:val="1"/>
          <w:color w:val="231F20"/>
        </w:rPr>
        <w:t>NOTE 2—SUMMARY OF SIGNIFICANT ACCOUNTING POLICIES Basis of Presentation</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In January 2022, we completed a reorganization into an umbrella partnership real estate investment trust, or "UPREIT."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Principles of Consolidation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As discussed in the Explanatory Note, we have combined the Annual Reports on Form 10-K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the primary beneficiary of a variable interest entity (“VIE”). The Parent Company's consolidated financial statements include the accounts of the Operating Partnership and its subsidiaries as the Parent, and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F-16</w:t>
      </w:r>
    </w:p>
    <w:p>
      <w:pPr>
        <w:sectPr>
          <w:pgSz w:w="12240" w:h="15840" w:orient="portrait"/>
          <w:cols w:equalWidth="0" w:num="1">
            <w:col w:w="10240"/>
          </w:cols>
          <w:pgMar w:left="1000" w:top="626" w:right="100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231F20"/>
        </w:rPr>
        <w:t>Revenue Recognition and Accounts Receivable</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December 31, 2023, we have collected approximately $40 million out of a total of $48 million from executed rent deferral agreements related to the COVID-19 pandemic. As of December 31, 2023, we had rent abatement agreements related to the COVID-19 pandemic, impacting rents in 2023, 2022, and 2021 of less than $1 million, $4 million, and $26 million, respectively.</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For the year ended December 31, 2023, our collectibility related adjustments resulted in a decrease to rental income of $0.4 million, an increase to rental income of $4.1 million for the year ended December 31, 2022, and a decrease to rental income of $24.0 million during the year ended December 31, 2021. This includes not only the impact of current period rent collections for leases classified as not probable but also collections of prior period rents for those tenants, changes in our collectibility assessments from probable to not probable, disputed rents, and any rent abatements directly related to COVID-19. As of December 31, 2023 and 2022, the revenue from approximately 28% and 31% of our tenants (based on total commercial leases), respectively, is being recognized on a cash basis. As of December 31, 2023 and 2022, our straight-line rent receivables balance was $138.4 million and $126.6 million, respectively, and is included in "accounts and notes receivable, net" on our consolidated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revenue recognition policies</w:t>
      </w:r>
    </w:p>
    <w:p>
      <w:pPr>
        <w:spacing w:after="0" w:line="11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231F20"/>
        </w:rPr>
        <w:t>Sales of real estate are recognized upon the transfer of control, which usually occurs when the real estate is legally sold. When we enter into a transaction to sell a property or a portion of a property, we evaluate the recognition of the sale under ASC</w:t>
      </w:r>
    </w:p>
    <w:p>
      <w:pPr>
        <w:spacing w:after="0" w:line="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231F20"/>
        </w:rPr>
        <w:t>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w:t>
      </w: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F-17</w:t>
      </w:r>
    </w:p>
    <w:p>
      <w:pPr>
        <w:sectPr>
          <w:pgSz w:w="12240" w:h="15840" w:orient="portrait"/>
          <w:cols w:equalWidth="0" w:num="1">
            <w:col w:w="10240"/>
          </w:cols>
          <w:pgMar w:left="1000" w:top="626" w:right="1000" w:bottom="0" w:gutter="0" w:footer="0" w:header="0"/>
          <w:type w:val="continuous"/>
        </w:sectPr>
      </w:pPr>
    </w:p>
    <w:bookmarkStart w:id="81" w:name="page82"/>
    <w:bookmarkEnd w:id="81"/>
    <w:p>
      <w:pPr>
        <w:ind w:right="340"/>
        <w:spacing w:after="0" w:line="281" w:lineRule="auto"/>
        <w:rPr>
          <w:sz w:val="20"/>
          <w:szCs w:val="20"/>
          <w:color w:val="auto"/>
        </w:rPr>
      </w:pPr>
      <w:r>
        <w:rPr>
          <w:rFonts w:ascii="Times New Roman" w:cs="Times New Roman" w:eastAsia="Times New Roman" w:hAnsi="Times New Roman"/>
          <w:sz w:val="20"/>
          <w:szCs w:val="20"/>
          <w:color w:val="231F20"/>
        </w:rPr>
        <w:t>variable consideration recognized in order to mitigate this risk. The estimation of variable consideration requires us to make assumptions and apply significant judgment.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Real Estate</w:t>
      </w:r>
    </w:p>
    <w:p>
      <w:pPr>
        <w:spacing w:after="0" w:line="11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231F20"/>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2023, 2022 and 2021, real estate depreciation expense was $282.0 million, $265.7 million and $245.1 million, respectively, including amounts from real estate sold.</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current assets acquired and current liabilities assumed,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231F20"/>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Long-Lived Assets and Impairment</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Cash and Cash Equivalents</w:t>
      </w:r>
    </w:p>
    <w:p>
      <w:pPr>
        <w:spacing w:after="0" w:line="117" w:lineRule="exact"/>
        <w:rPr>
          <w:sz w:val="20"/>
          <w:szCs w:val="20"/>
          <w:color w:val="auto"/>
        </w:rPr>
      </w:pPr>
    </w:p>
    <w:p>
      <w:pPr>
        <w:ind w:right="260"/>
        <w:spacing w:after="0" w:line="309" w:lineRule="auto"/>
        <w:rPr>
          <w:sz w:val="20"/>
          <w:szCs w:val="20"/>
          <w:color w:val="auto"/>
        </w:rPr>
      </w:pPr>
      <w:r>
        <w:rPr>
          <w:rFonts w:ascii="Times New Roman" w:cs="Times New Roman" w:eastAsia="Times New Roman" w:hAnsi="Times New Roman"/>
          <w:sz w:val="19"/>
          <w:szCs w:val="19"/>
          <w:color w:val="231F20"/>
        </w:rPr>
        <w:t>We define cash and cash equivalents as cash on hand, demand deposits with financial institutions and short term liquid investments with an initial maturity, when purchased, under three months. Cash balances in individual banks may exceed the</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F-18</w:t>
      </w:r>
    </w:p>
    <w:p>
      <w:pPr>
        <w:sectPr>
          <w:pgSz w:w="12240" w:h="15840" w:orient="portrait"/>
          <w:cols w:equalWidth="0" w:num="1">
            <w:col w:w="10240"/>
          </w:cols>
          <w:pgMar w:left="1000" w:top="633" w:right="1000" w:bottom="0" w:gutter="0" w:footer="0" w:header="0"/>
          <w:type w:val="continuous"/>
        </w:sectPr>
      </w:pPr>
    </w:p>
    <w:bookmarkStart w:id="82" w:name="page83"/>
    <w:bookmarkEnd w:id="82"/>
    <w:p>
      <w:pPr>
        <w:ind w:right="480"/>
        <w:spacing w:after="0" w:line="281" w:lineRule="auto"/>
        <w:rPr>
          <w:sz w:val="20"/>
          <w:szCs w:val="20"/>
          <w:color w:val="auto"/>
        </w:rPr>
      </w:pPr>
      <w:r>
        <w:rPr>
          <w:rFonts w:ascii="Times New Roman" w:cs="Times New Roman" w:eastAsia="Times New Roman" w:hAnsi="Times New Roman"/>
          <w:sz w:val="20"/>
          <w:szCs w:val="20"/>
          <w:color w:val="231F20"/>
        </w:rPr>
        <w:t>federally insured limit by the Federal Deposit Insurance Corporation (the “FDIC”). At December 31, 2023, we had $257.2 million in excess of the FDIC insured limit.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Prepaid Expenses and Other Assets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Debt Issuance Costs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Derivative Instruments</w:t>
      </w:r>
    </w:p>
    <w:p>
      <w:pPr>
        <w:spacing w:after="0" w:line="1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At December 31, 2023, we have two interest rate swap agreements that effectively fix the interest rate on a mortgage payable associated with our Hoboken property at 3.67%, and three interest rate swap agreements that effectively fix the interest rate on a mortgage payable secured by our Bethesda Row property at a weighted average interest rate of 5.03% through the initial maturity date. As of December 31, 2023, our Assembly Row hotel joint venture is a party to two interest rate swap agreements that effectively fix the interest rate on 100% of the joint venture's mortgage debt through May 2025 at 6.39%, and 50% of its outstanding debt from June 2025 through May 2028 at 6.03%. All swaps were designated and qualify as cash flow hedges. Hedge ineffectiveness has not impacted earnings in 2023, 2022 and 2021.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Mortgage Notes Receivable</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Mortgage notes receivable are recorded at cost, net of any valuation adjustments. We account for mortgage notes receivable using the "expected credit loss" model, and accordingly impairment losses are estimated and recorded for the entire life of the loan.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w:t>
      </w:r>
    </w:p>
    <w:p>
      <w:pPr>
        <w:sectPr>
          <w:pgSz w:w="12240" w:h="15840" w:orient="portrait"/>
          <w:cols w:equalWidth="0" w:num="1">
            <w:col w:w="10260"/>
          </w:cols>
          <w:pgMar w:left="1000" w:top="633" w:right="98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F-19</w:t>
      </w:r>
    </w:p>
    <w:p>
      <w:pPr>
        <w:sectPr>
          <w:pgSz w:w="12240" w:h="15840" w:orient="portrait"/>
          <w:cols w:equalWidth="0" w:num="1">
            <w:col w:w="10260"/>
          </w:cols>
          <w:pgMar w:left="1000" w:top="633" w:right="980" w:bottom="0" w:gutter="0" w:footer="0" w:header="0"/>
          <w:type w:val="continuous"/>
        </w:sectPr>
      </w:pPr>
    </w:p>
    <w:bookmarkStart w:id="83" w:name="page84"/>
    <w:bookmarkEnd w:id="83"/>
    <w:p>
      <w:pPr>
        <w:ind w:right="120"/>
        <w:spacing w:after="0" w:line="258" w:lineRule="auto"/>
        <w:rPr>
          <w:sz w:val="20"/>
          <w:szCs w:val="20"/>
          <w:color w:val="auto"/>
        </w:rPr>
      </w:pPr>
      <w:r>
        <w:rPr>
          <w:rFonts w:ascii="Times New Roman" w:cs="Times New Roman" w:eastAsia="Times New Roman" w:hAnsi="Times New Roman"/>
          <w:sz w:val="20"/>
          <w:szCs w:val="20"/>
          <w:color w:val="231F20"/>
        </w:rPr>
        <w:t>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spacing w:after="0" w:line="64" w:lineRule="exact"/>
        <w:rPr>
          <w:sz w:val="20"/>
          <w:szCs w:val="20"/>
          <w:color w:val="auto"/>
        </w:rPr>
      </w:pPr>
    </w:p>
    <w:p>
      <w:pPr>
        <w:ind w:right="980"/>
        <w:spacing w:after="0" w:line="281" w:lineRule="auto"/>
        <w:rPr>
          <w:sz w:val="20"/>
          <w:szCs w:val="20"/>
          <w:color w:val="auto"/>
        </w:rPr>
      </w:pPr>
      <w:r>
        <w:rPr>
          <w:rFonts w:ascii="Times New Roman" w:cs="Times New Roman" w:eastAsia="Times New Roman" w:hAnsi="Times New Roman"/>
          <w:sz w:val="20"/>
          <w:szCs w:val="20"/>
          <w:color w:val="231F20"/>
        </w:rPr>
        <w:t>At December 31, 2023, we had three mortgage notes receivable with an aggregate carrying amount, net of valuation adjustments of $9.2 million, and a weighted average interest rate of 10.9%.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Share Based Compensation</w:t>
      </w:r>
    </w:p>
    <w:p>
      <w:pPr>
        <w:spacing w:after="0" w:line="117"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9"/>
          <w:szCs w:val="19"/>
          <w:color w:val="231F20"/>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to the consolidated financial statements for further discussion regarding our share based compensation plans and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Variable Interest Entities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Our equity method investments in the Assembly Row hotel joint venture, the La Alameda shopping center, the Chandler Festival and Chandler Gateway shopping centers, and our mortgage notes receivable are considered variable interests in a VIE (see Note 3 to the consolidated financial statements for additional information on the Chandler Festival and Chandler Gateway shopping centers). As we do not control the activities that most significantly impact the economic performance of our equity method joint ventures or the borrower entities related to our mortgage notes receivable, we are not the primary beneficiary and do not consolidate. As of December 31, 2023 and 2022, our investment in the equity method joint ventures and maximum exposure to loss was $30.9 million and $34.0 million, respectively. As of December 31, 2023 and 2022, our investment in mortgage notes receivable and maximum exposure to loss was $9.2 million and $9.5 million, respectively. As of December 31, 2022, we had a 77.7% tenancy in common ("TIC") interest in Escondido Promenade which was recorded as an equity method investment and included in investments in partnerships" on our December 31, 2022 consolidated balance sheets. Our TIC interest in Escondido Promenade was not considered a variable interest in a VIE, and we subsequently purchased our co-owners interest on May 26, 2023, at which point we consolidated the property. See Note 3 to the consolidated financial statements for additional information.</w:t>
      </w:r>
    </w:p>
    <w:p>
      <w:pPr>
        <w:spacing w:after="0" w:line="14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In addition, we have 19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$1.6 billion as of both December 31, 2023 and 2022, and mortgages related to VIEs included in our consolidated balance sheets were approximately $189.3 million and $191.8 million, as of December 31, 2023 and 2022,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Redeemable Noncontrolling Interests</w:t>
      </w:r>
    </w:p>
    <w:p>
      <w:pPr>
        <w:spacing w:after="0" w:line="1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F-20</w:t>
      </w:r>
    </w:p>
    <w:p>
      <w:pPr>
        <w:sectPr>
          <w:pgSz w:w="12240" w:h="15840" w:orient="portrait"/>
          <w:cols w:equalWidth="0" w:num="1">
            <w:col w:w="10240"/>
          </w:cols>
          <w:pgMar w:left="1000" w:top="633" w:right="100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231F20"/>
        </w:rPr>
        <w:t>The following table provides a rollforward of the redeemable noncontrolling interests:</w:t>
      </w:r>
    </w:p>
    <w:p>
      <w:pPr>
        <w:spacing w:after="0" w:line="200" w:lineRule="exact"/>
        <w:rPr>
          <w:sz w:val="20"/>
          <w:szCs w:val="20"/>
          <w:color w:val="auto"/>
        </w:rPr>
      </w:pP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740" w:type="dxa"/>
            <w:vAlign w:val="bottom"/>
          </w:tcPr>
          <w:p>
            <w:pPr>
              <w:spacing w:after="0"/>
              <w:rPr>
                <w:sz w:val="18"/>
                <w:szCs w:val="18"/>
                <w:color w:val="auto"/>
              </w:rPr>
            </w:pPr>
          </w:p>
        </w:tc>
      </w:tr>
      <w:tr>
        <w:trPr>
          <w:trHeight w:val="261"/>
        </w:trPr>
        <w:tc>
          <w:tcPr>
            <w:tcW w:w="78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2040" w:type="dxa"/>
            <w:vAlign w:val="bottom"/>
            <w:tcBorders>
              <w:bottom w:val="single" w:sz="8" w:color="231F20"/>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35"/>
        </w:trPr>
        <w:tc>
          <w:tcPr>
            <w:tcW w:w="78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w w:val="99"/>
              </w:rPr>
              <w:t>2022</w:t>
            </w:r>
          </w:p>
        </w:tc>
      </w:tr>
      <w:tr>
        <w:trPr>
          <w:trHeight w:val="229"/>
        </w:trPr>
        <w:tc>
          <w:tcPr>
            <w:tcW w:w="7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4"/>
          </w:tcPr>
          <w:p>
            <w:pPr>
              <w:jc w:val="right"/>
              <w:ind w:right="603"/>
              <w:spacing w:after="0"/>
              <w:rPr>
                <w:sz w:val="20"/>
                <w:szCs w:val="20"/>
                <w:color w:val="auto"/>
              </w:rPr>
            </w:pPr>
            <w:r>
              <w:rPr>
                <w:rFonts w:ascii="Times New Roman" w:cs="Times New Roman" w:eastAsia="Times New Roman" w:hAnsi="Times New Roman"/>
                <w:sz w:val="16"/>
                <w:szCs w:val="16"/>
                <w:color w:val="231F20"/>
              </w:rPr>
              <w:t>(In thousands)</w:t>
            </w:r>
          </w:p>
        </w:tc>
      </w:tr>
      <w:tr>
        <w:trPr>
          <w:trHeight w:val="303"/>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Beginning balance</w:t>
            </w:r>
            <w:r>
              <w:rPr>
                <w:rFonts w:ascii="Times New Roman" w:cs="Times New Roman" w:eastAsia="Times New Roman" w:hAnsi="Times New Roman"/>
                <w:sz w:val="20"/>
                <w:szCs w:val="20"/>
                <w:color w:val="B8BABC"/>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178,370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213,708</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Net income</w:t>
            </w:r>
            <w:r>
              <w:rPr>
                <w:rFonts w:ascii="Times New Roman" w:cs="Times New Roman" w:eastAsia="Times New Roman" w:hAnsi="Times New Roman"/>
                <w:sz w:val="20"/>
                <w:szCs w:val="20"/>
                <w:color w:val="B8BABC"/>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7,253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6,613</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Contributions </w:t>
            </w:r>
            <w:r>
              <w:rPr>
                <w:rFonts w:ascii="Times New Roman" w:cs="Times New Roman" w:eastAsia="Times New Roman" w:hAnsi="Times New Roman"/>
                <w:sz w:val="20"/>
                <w:szCs w:val="20"/>
                <w:color w:val="B8BABC"/>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2,111</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comprehensive (loss) income - change in value of interest rate swaps </w:t>
            </w:r>
            <w:r>
              <w:rPr>
                <w:rFonts w:ascii="Times New Roman" w:cs="Times New Roman" w:eastAsia="Times New Roman" w:hAnsi="Times New Roman"/>
                <w:sz w:val="20"/>
                <w:szCs w:val="20"/>
                <w:color w:val="B8BABC"/>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765</w:t>
            </w:r>
          </w:p>
        </w:tc>
      </w:tr>
      <w:tr>
        <w:trPr>
          <w:trHeight w:val="30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Distributions &amp; redemptions</w:t>
            </w:r>
            <w:r>
              <w:rPr>
                <w:rFonts w:ascii="Times New Roman" w:cs="Times New Roman" w:eastAsia="Times New Roman" w:hAnsi="Times New Roman"/>
                <w:sz w:val="20"/>
                <w:szCs w:val="20"/>
                <w:color w:val="B8BABC"/>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(32,445)</w:t>
            </w:r>
          </w:p>
        </w:tc>
      </w:tr>
      <w:tr>
        <w:trPr>
          <w:trHeight w:val="303"/>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redemption value </w:t>
            </w:r>
            <w:r>
              <w:rPr>
                <w:rFonts w:ascii="Times New Roman" w:cs="Times New Roman" w:eastAsia="Times New Roman" w:hAnsi="Times New Roman"/>
                <w:sz w:val="20"/>
                <w:szCs w:val="20"/>
                <w:color w:val="B8BABC"/>
              </w:rPr>
              <w:t>..........................................................................................................</w:t>
            </w:r>
          </w:p>
        </w:tc>
        <w:tc>
          <w:tcPr>
            <w:tcW w:w="28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7,400</w:t>
            </w:r>
          </w:p>
        </w:tc>
        <w:tc>
          <w:tcPr>
            <w:tcW w:w="80" w:type="dxa"/>
            <w:vAlign w:val="bottom"/>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(12,382)</w:t>
            </w:r>
          </w:p>
        </w:tc>
      </w:tr>
      <w:tr>
        <w:trPr>
          <w:trHeight w:val="260"/>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Ending balance </w:t>
            </w:r>
            <w:r>
              <w:rPr>
                <w:rFonts w:ascii="Times New Roman" w:cs="Times New Roman" w:eastAsia="Times New Roman" w:hAnsi="Times New Roman"/>
                <w:sz w:val="20"/>
                <w:szCs w:val="20"/>
                <w:color w:val="B8BABC"/>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183,363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178,370</w:t>
            </w: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231F20"/>
        </w:rPr>
        <w:t>On July 13, 2022, we acquired the 21.8% redeemable noncontrolling interest in the partnership that owns our Plaza El Segundo shopping center for $23.6 million, bringing our ownership interest to 100%.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Leases</w:t>
      </w:r>
    </w:p>
    <w:p>
      <w:pPr>
        <w:spacing w:after="0" w:line="11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231F20"/>
        </w:rPr>
        <w:t>We have ground leases at 11 properties which are accounted for as operating leases. The operating lease right of use ("ROU") assets and related liabilities are shown separately on the face of our consolidated balance sheet and reflect the present value of the minimum lease payments. A key input in the calculation is the discount rate. As the rate implied in the lease agreements is not readily determinable, we utilize our incremental borrowing rate that corresponds to the remaining term of the lease, our credit spread, and an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do not record a ROU asset or lease liability for leases with terms of less than 12 months.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Income Taxes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4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With few exceptions, we are no longer subject to U.S. federal, state, and local tax examinations by tax authorities for years before 2019. As of December 31, 2023 and 2022, we had no material unrecognized tax benefits. While we currently have no material unrecognized tax benefits, as a policy, we recognize penalties and interest accrued related to unrecognized tax benefits as income tax expense.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Segment Information</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and mortgage interest income, less rental expenses and real estate taxes. 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ectPr>
          <w:pgSz w:w="12240" w:h="15840" w:orient="portrait"/>
          <w:cols w:equalWidth="0" w:num="1">
            <w:col w:w="10260"/>
          </w:cols>
          <w:pgMar w:left="1000" w:top="633" w:right="98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F-21</w:t>
      </w:r>
    </w:p>
    <w:p>
      <w:pPr>
        <w:sectPr>
          <w:pgSz w:w="12240" w:h="15840" w:orient="portrait"/>
          <w:cols w:equalWidth="0" w:num="1">
            <w:col w:w="10260"/>
          </w:cols>
          <w:pgMar w:left="1000" w:top="633" w:right="9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231F20"/>
        </w:rPr>
        <w:t>Forward Equity Sales</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Our at-the-market (“ATM”) equity program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stock method to determine the dilution, if any, from the forward sales contracts during the period of time prior to settlement. See Note 8 to the consolidated financial statements for details of our forward sales transactions.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ectPr>
          <w:pgSz w:w="12240" w:h="15840" w:orient="portrait"/>
          <w:cols w:equalWidth="0" w:num="1">
            <w:col w:w="10260"/>
          </w:cols>
          <w:pgMar w:left="100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1524000"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1524000" cy="1270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u w:val="single" w:color="auto"/>
          <w:color w:val="231F20"/>
        </w:rPr>
        <w:t>Adopted during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231F20"/>
              </w:rPr>
              <w:t>Description</w:t>
            </w:r>
          </w:p>
        </w:tc>
        <w:tc>
          <w:tcPr>
            <w:tcW w:w="60" w:type="dxa"/>
            <w:vAlign w:val="bottom"/>
          </w:tcPr>
          <w:p>
            <w:pPr>
              <w:spacing w:after="0"/>
              <w:rPr>
                <w:sz w:val="17"/>
                <w:szCs w:val="17"/>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Effect on the financial statements or</w:t>
            </w:r>
          </w:p>
        </w:tc>
        <w:tc>
          <w:tcPr>
            <w:tcW w:w="0" w:type="dxa"/>
            <w:vAlign w:val="bottom"/>
          </w:tcPr>
          <w:p>
            <w:pPr>
              <w:spacing w:after="0"/>
              <w:rPr>
                <w:sz w:val="1"/>
                <w:szCs w:val="1"/>
                <w:color w:val="auto"/>
              </w:rPr>
            </w:pPr>
          </w:p>
        </w:tc>
      </w:tr>
      <w:tr>
        <w:trPr>
          <w:trHeight w:val="239"/>
        </w:trPr>
        <w:tc>
          <w:tcPr>
            <w:tcW w:w="420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8"/>
                <w:szCs w:val="18"/>
                <w:b w:val="1"/>
                <w:bCs w:val="1"/>
                <w:color w:val="231F20"/>
              </w:rPr>
              <w:t>significant matters</w:t>
            </w:r>
          </w:p>
        </w:tc>
        <w:tc>
          <w:tcPr>
            <w:tcW w:w="0" w:type="dxa"/>
            <w:vAlign w:val="bottom"/>
          </w:tcPr>
          <w:p>
            <w:pPr>
              <w:spacing w:after="0"/>
              <w:rPr>
                <w:sz w:val="1"/>
                <w:szCs w:val="1"/>
                <w:color w:val="auto"/>
              </w:rPr>
            </w:pPr>
          </w:p>
        </w:tc>
      </w:tr>
    </w:tbl>
    <w:p>
      <w:pPr>
        <w:spacing w:after="0" w:line="362" w:lineRule="exact"/>
        <w:rPr>
          <w:sz w:val="20"/>
          <w:szCs w:val="20"/>
          <w:color w:val="auto"/>
        </w:rPr>
      </w:pPr>
    </w:p>
    <w:p>
      <w:pPr>
        <w:sectPr>
          <w:pgSz w:w="12240" w:h="15840" w:orient="portrait"/>
          <w:cols w:equalWidth="0" w:num="2">
            <w:col w:w="1740" w:space="720"/>
            <w:col w:w="7800"/>
          </w:cols>
          <w:pgMar w:left="1000" w:top="626" w:right="980" w:bottom="0" w:gutter="0" w:footer="0" w:header="0"/>
          <w:type w:val="continuous"/>
        </w:sectPr>
      </w:pPr>
    </w:p>
    <w:p>
      <w:pPr>
        <w:ind w:left="40"/>
        <w:spacing w:after="0" w:line="268" w:lineRule="auto"/>
        <w:rPr>
          <w:sz w:val="20"/>
          <w:szCs w:val="20"/>
          <w:color w:val="auto"/>
        </w:rPr>
      </w:pPr>
      <w:r>
        <w:rPr>
          <w:rFonts w:ascii="Times New Roman" w:cs="Times New Roman" w:eastAsia="Times New Roman" w:hAnsi="Times New Roman"/>
          <w:sz w:val="17"/>
          <w:szCs w:val="17"/>
          <w:color w:val="231F20"/>
        </w:rPr>
        <w:t>Reference Rate Reform (Topic 848) and related update:</w:t>
      </w:r>
    </w:p>
    <w:p>
      <w:pPr>
        <w:spacing w:after="0" w:line="103" w:lineRule="exact"/>
        <w:rPr>
          <w:sz w:val="20"/>
          <w:szCs w:val="20"/>
          <w:color w:val="auto"/>
        </w:rPr>
      </w:pPr>
    </w:p>
    <w:p>
      <w:pPr>
        <w:ind w:left="180" w:right="60"/>
        <w:spacing w:after="0" w:line="229" w:lineRule="auto"/>
        <w:rPr>
          <w:sz w:val="20"/>
          <w:szCs w:val="20"/>
          <w:color w:val="auto"/>
        </w:rPr>
      </w:pPr>
      <w:r>
        <w:rPr>
          <w:rFonts w:ascii="Times New Roman" w:cs="Times New Roman" w:eastAsia="Times New Roman" w:hAnsi="Times New Roman"/>
          <w:sz w:val="18"/>
          <w:szCs w:val="18"/>
          <w:color w:val="231F20"/>
        </w:rPr>
        <w:t xml:space="preserve">ASU 2020-04, March 2020, </w:t>
      </w:r>
      <w:r>
        <w:rPr>
          <w:rFonts w:ascii="Times New Roman" w:cs="Times New Roman" w:eastAsia="Times New Roman" w:hAnsi="Times New Roman"/>
          <w:sz w:val="18"/>
          <w:szCs w:val="18"/>
          <w:i w:val="1"/>
          <w:iCs w:val="1"/>
          <w:color w:val="231F20"/>
        </w:rPr>
        <w:t>Reference Rate Reform (Topic 848)</w:t>
      </w:r>
    </w:p>
    <w:p>
      <w:pPr>
        <w:spacing w:after="0" w:line="126" w:lineRule="exact"/>
        <w:rPr>
          <w:sz w:val="20"/>
          <w:szCs w:val="20"/>
          <w:color w:val="auto"/>
        </w:rPr>
      </w:pPr>
    </w:p>
    <w:p>
      <w:pPr>
        <w:ind w:left="180" w:right="40"/>
        <w:spacing w:after="0" w:line="230" w:lineRule="auto"/>
        <w:rPr>
          <w:sz w:val="20"/>
          <w:szCs w:val="20"/>
          <w:color w:val="auto"/>
        </w:rPr>
      </w:pPr>
      <w:r>
        <w:rPr>
          <w:rFonts w:ascii="Times New Roman" w:cs="Times New Roman" w:eastAsia="Times New Roman" w:hAnsi="Times New Roman"/>
          <w:sz w:val="18"/>
          <w:szCs w:val="18"/>
          <w:color w:val="231F20"/>
        </w:rPr>
        <w:t>ASU 2022-06</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December 2022, </w:t>
      </w:r>
      <w:r>
        <w:rPr>
          <w:rFonts w:ascii="Times New Roman" w:cs="Times New Roman" w:eastAsia="Times New Roman" w:hAnsi="Times New Roman"/>
          <w:sz w:val="18"/>
          <w:szCs w:val="18"/>
          <w:i w:val="1"/>
          <w:iCs w:val="1"/>
          <w:color w:val="231F20"/>
        </w:rPr>
        <w:t>Deferral of the Sunset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231F20"/>
        </w:rPr>
        <w:t>Issued in 2023:</w:t>
      </w:r>
    </w:p>
    <w:p>
      <w:pPr>
        <w:spacing w:after="0" w:line="20" w:lineRule="exact"/>
        <w:rPr>
          <w:sz w:val="20"/>
          <w:szCs w:val="20"/>
          <w:color w:val="auto"/>
        </w:rPr>
      </w:pPr>
      <w:r>
        <w:rPr>
          <w:sz w:val="20"/>
          <w:szCs w:val="20"/>
          <w:color w:val="auto"/>
        </w:rPr>
        <w:br w:type="column"/>
      </w:r>
    </w:p>
    <w:p>
      <w:pPr>
        <w:spacing w:after="0" w:line="213" w:lineRule="auto"/>
        <w:rPr>
          <w:sz w:val="20"/>
          <w:szCs w:val="20"/>
          <w:color w:val="auto"/>
        </w:rPr>
      </w:pPr>
      <w:r>
        <w:rPr>
          <w:rFonts w:ascii="Times New Roman" w:cs="Times New Roman" w:eastAsia="Times New Roman" w:hAnsi="Times New Roman"/>
          <w:sz w:val="18"/>
          <w:szCs w:val="18"/>
          <w:color w:val="231F20"/>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w:t>
      </w:r>
    </w:p>
    <w:p>
      <w:pPr>
        <w:spacing w:after="0" w:line="13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231F20"/>
        </w:rPr>
        <w:t>ASU 2022-06 extended the period for which this guidance can be immediately applied through December 31, 2024.</w:t>
      </w:r>
    </w:p>
    <w:p>
      <w:pPr>
        <w:spacing w:after="0" w:line="20" w:lineRule="exact"/>
        <w:rPr>
          <w:sz w:val="20"/>
          <w:szCs w:val="20"/>
          <w:color w:val="auto"/>
        </w:rPr>
      </w:pPr>
      <w:r>
        <w:rPr>
          <w:sz w:val="20"/>
          <w:szCs w:val="20"/>
          <w:color w:val="auto"/>
        </w:rPr>
        <w:br w:type="column"/>
      </w:r>
    </w:p>
    <w:p>
      <w:pPr>
        <w:ind w:right="120"/>
        <w:spacing w:after="0" w:line="212" w:lineRule="auto"/>
        <w:rPr>
          <w:sz w:val="20"/>
          <w:szCs w:val="20"/>
          <w:color w:val="auto"/>
        </w:rPr>
      </w:pPr>
      <w:r>
        <w:rPr>
          <w:rFonts w:ascii="Times New Roman" w:cs="Times New Roman" w:eastAsia="Times New Roman" w:hAnsi="Times New Roman"/>
          <w:sz w:val="18"/>
          <w:szCs w:val="18"/>
          <w:color w:val="231F20"/>
        </w:rPr>
        <w:t>During the second quarter of 2023, the LIBOR based mortgage loan related to our unconsolidated Assembly Row hotel investment was refinanced. The resulting new mortgage loan and related swaps are SOFR based. The mortgage loan at Hoboken and related interest rate swaps were transitioned from LIBOR to SOFR effective July 1, 2023. Consequently, we applied the related practical expedients to the hedging relationship for the Hoboken loan and continue to apply hedge accounting. The critical terms of the loan and interest rate swaps continue to match subsequent to the transition from LIBOR to SOFR and the transition did not have a significant impact to our financial results, financial position, or cash flows.</w:t>
      </w:r>
    </w:p>
    <w:p>
      <w:pPr>
        <w:spacing w:after="0" w:line="427" w:lineRule="exact"/>
        <w:rPr>
          <w:sz w:val="20"/>
          <w:szCs w:val="20"/>
          <w:color w:val="auto"/>
        </w:rPr>
      </w:pPr>
    </w:p>
    <w:p>
      <w:pPr>
        <w:sectPr>
          <w:pgSz w:w="12240" w:h="15840" w:orient="portrait"/>
          <w:cols w:equalWidth="0" w:num="3">
            <w:col w:w="2260" w:space="260"/>
            <w:col w:w="4060" w:space="200"/>
            <w:col w:w="3480"/>
          </w:cols>
          <w:pgMar w:left="1000" w:top="626" w:right="980" w:bottom="0" w:gutter="0" w:footer="0" w:header="0"/>
          <w:type w:val="continuous"/>
        </w:sectPr>
      </w:pPr>
    </w:p>
    <w:p>
      <w:pPr>
        <w:ind w:left="40"/>
        <w:spacing w:after="0" w:line="221" w:lineRule="auto"/>
        <w:rPr>
          <w:sz w:val="20"/>
          <w:szCs w:val="20"/>
          <w:color w:val="auto"/>
        </w:rPr>
      </w:pPr>
      <w:r>
        <w:rPr>
          <w:rFonts w:ascii="Times New Roman" w:cs="Times New Roman" w:eastAsia="Times New Roman" w:hAnsi="Times New Roman"/>
          <w:sz w:val="19"/>
          <w:szCs w:val="19"/>
          <w:color w:val="231F20"/>
        </w:rPr>
        <w:t xml:space="preserve">ASU 2023-07, November 2023, </w:t>
      </w:r>
      <w:r>
        <w:rPr>
          <w:rFonts w:ascii="Times New Roman" w:cs="Times New Roman" w:eastAsia="Times New Roman" w:hAnsi="Times New Roman"/>
          <w:sz w:val="19"/>
          <w:szCs w:val="19"/>
          <w:i w:val="1"/>
          <w:iCs w:val="1"/>
          <w:color w:val="231F20"/>
        </w:rPr>
        <w:t>Segment Reporting</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(Topic 280), Improvements to Reportable Segment Disclosures</w:t>
      </w:r>
    </w:p>
    <w:p>
      <w:pPr>
        <w:spacing w:after="0" w:line="20" w:lineRule="exact"/>
        <w:rPr>
          <w:sz w:val="20"/>
          <w:szCs w:val="20"/>
          <w:color w:val="auto"/>
        </w:rPr>
      </w:pPr>
      <w:r>
        <w:rPr>
          <w:sz w:val="20"/>
          <w:szCs w:val="20"/>
          <w:color w:val="auto"/>
        </w:rPr>
        <w:br w:type="column"/>
      </w:r>
    </w:p>
    <w:p>
      <w:pPr>
        <w:spacing w:after="0" w:line="215" w:lineRule="auto"/>
        <w:rPr>
          <w:sz w:val="20"/>
          <w:szCs w:val="20"/>
          <w:color w:val="auto"/>
        </w:rPr>
      </w:pPr>
      <w:r>
        <w:rPr>
          <w:rFonts w:ascii="Times New Roman" w:cs="Times New Roman" w:eastAsia="Times New Roman" w:hAnsi="Times New Roman"/>
          <w:sz w:val="19"/>
          <w:szCs w:val="19"/>
          <w:color w:val="231F20"/>
        </w:rPr>
        <w:t>This ASU requires public entities to provide disclosures of significant segment expense and other significant segment items, as well as provide in interim period all disclosures about a reportable segments's profit or loss and assets that are currently required annually. Additionally, public entities with a single reportable segment have to provide all of the disclosures required by ASC 280, including the significant segment expense disclosures.</w:t>
      </w:r>
    </w:p>
    <w:p>
      <w:pPr>
        <w:spacing w:after="0" w:line="139"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9"/>
          <w:szCs w:val="19"/>
          <w:color w:val="231F20"/>
        </w:rPr>
        <w:t>The guidance is applied retrospectively to all periods presented in financial statements, unless it is impracticable. The guidance applies to all public entities and is effective for fiscal years beginning after December 15, 2023, and for interim period beginning after December 15, 2024. Early adoption is permitted.</w:t>
      </w:r>
    </w:p>
    <w:p>
      <w:pPr>
        <w:spacing w:after="0" w:line="20" w:lineRule="exact"/>
        <w:rPr>
          <w:sz w:val="20"/>
          <w:szCs w:val="20"/>
          <w:color w:val="auto"/>
        </w:rPr>
      </w:pPr>
      <w:r>
        <w:rPr>
          <w:sz w:val="20"/>
          <w:szCs w:val="20"/>
          <w:color w:val="auto"/>
        </w:rPr>
        <w:br w:type="column"/>
      </w:r>
    </w:p>
    <w:p>
      <w:pPr>
        <w:ind w:right="100"/>
        <w:spacing w:after="0" w:line="225" w:lineRule="auto"/>
        <w:rPr>
          <w:sz w:val="20"/>
          <w:szCs w:val="20"/>
          <w:color w:val="auto"/>
        </w:rPr>
      </w:pPr>
      <w:r>
        <w:rPr>
          <w:rFonts w:ascii="Times New Roman" w:cs="Times New Roman" w:eastAsia="Times New Roman" w:hAnsi="Times New Roman"/>
          <w:sz w:val="19"/>
          <w:szCs w:val="19"/>
          <w:color w:val="231F20"/>
        </w:rPr>
        <w:t>While we are still assessing this ASU, we anticipate providing the disclosures required by ASC 280 for our single reportable segment.</w:t>
      </w:r>
    </w:p>
    <w:p>
      <w:pPr>
        <w:spacing w:after="0" w:line="2669" w:lineRule="exact"/>
        <w:rPr>
          <w:sz w:val="20"/>
          <w:szCs w:val="20"/>
          <w:color w:val="auto"/>
        </w:rPr>
      </w:pPr>
    </w:p>
    <w:p>
      <w:pPr>
        <w:sectPr>
          <w:pgSz w:w="12240" w:h="15840" w:orient="portrait"/>
          <w:cols w:equalWidth="0" w:num="3">
            <w:col w:w="2300" w:space="220"/>
            <w:col w:w="4060" w:space="200"/>
            <w:col w:w="3480"/>
          </w:cols>
          <w:pgMar w:left="1000" w:top="62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F-22</w:t>
      </w:r>
    </w:p>
    <w:p>
      <w:pPr>
        <w:sectPr>
          <w:pgSz w:w="12240" w:h="15840" w:orient="portrait"/>
          <w:cols w:equalWidth="0" w:num="1">
            <w:col w:w="10260"/>
          </w:cols>
          <w:pgMar w:left="1000" w:top="626" w:right="980" w:bottom="0" w:gutter="0" w:footer="0" w:header="0"/>
          <w:type w:val="continuous"/>
        </w:sectPr>
      </w:pPr>
    </w:p>
    <w:bookmarkStart w:id="86" w:name="page87"/>
    <w:bookmarkEnd w:id="86"/>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152400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1524000" cy="12700"/>
                    </a:xfrm>
                    <a:prstGeom prst="rect">
                      <a:avLst/>
                    </a:prstGeom>
                    <a:noFill/>
                  </pic:spPr>
                </pic:pic>
              </a:graphicData>
            </a:graphic>
          </wp:anchor>
        </w:drawing>
      </w:r>
    </w:p>
    <w:p>
      <w:pPr>
        <w:spacing w:after="0" w:line="19"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9"/>
          <w:szCs w:val="19"/>
          <w:color w:val="231F20"/>
        </w:rPr>
        <w:t xml:space="preserve">ASU 2023-06, October 2023, </w:t>
      </w:r>
      <w:r>
        <w:rPr>
          <w:rFonts w:ascii="Times New Roman" w:cs="Times New Roman" w:eastAsia="Times New Roman" w:hAnsi="Times New Roman"/>
          <w:sz w:val="19"/>
          <w:szCs w:val="19"/>
          <w:i w:val="1"/>
          <w:iCs w:val="1"/>
          <w:color w:val="231F20"/>
        </w:rPr>
        <w:t>Disclosure Improvements: Codification Amendments in Response to the SEC's Disclosure Update and Simplification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ASU 2023-01, March 2023,</w:t>
      </w:r>
    </w:p>
    <w:p>
      <w:pPr>
        <w:spacing w:after="0" w:line="208" w:lineRule="auto"/>
        <w:rPr>
          <w:sz w:val="20"/>
          <w:szCs w:val="20"/>
          <w:color w:val="auto"/>
        </w:rPr>
      </w:pPr>
      <w:r>
        <w:rPr>
          <w:rFonts w:ascii="Times New Roman" w:cs="Times New Roman" w:eastAsia="Times New Roman" w:hAnsi="Times New Roman"/>
          <w:sz w:val="19"/>
          <w:szCs w:val="19"/>
          <w:i w:val="1"/>
          <w:iCs w:val="1"/>
          <w:color w:val="231F20"/>
        </w:rPr>
        <w:t>Leases (Topic 842) Common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Control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31F20"/>
        </w:rPr>
        <w:t>Issued in 2022:</w:t>
      </w:r>
    </w:p>
    <w:p>
      <w:pPr>
        <w:spacing w:after="0" w:line="99"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9"/>
          <w:szCs w:val="19"/>
          <w:color w:val="231F20"/>
        </w:rPr>
        <w:t xml:space="preserve">ASU 2022-03, June 2022, </w:t>
      </w:r>
      <w:r>
        <w:rPr>
          <w:rFonts w:ascii="Times New Roman" w:cs="Times New Roman" w:eastAsia="Times New Roman" w:hAnsi="Times New Roman"/>
          <w:sz w:val="19"/>
          <w:szCs w:val="19"/>
          <w:i w:val="1"/>
          <w:iCs w:val="1"/>
          <w:color w:val="231F20"/>
        </w:rPr>
        <w:t>Fair Value Measurement of Equity Securities Subject to Contractual Sale Restrictions (Topic 820)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22860</wp:posOffset>
            </wp:positionV>
            <wp:extent cx="265747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2657475" cy="12700"/>
                    </a:xfrm>
                    <a:prstGeom prst="rect">
                      <a:avLst/>
                    </a:prstGeom>
                    <a:noFill/>
                  </pic:spPr>
                </pic:pic>
              </a:graphicData>
            </a:graphic>
          </wp:anchor>
        </w:drawing>
      </w:r>
    </w:p>
    <w:p>
      <w:pPr>
        <w:spacing w:after="0" w:line="19"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231F20"/>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r>
    </w:p>
    <w:p>
      <w:pPr>
        <w:spacing w:after="0" w:line="139"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231F20"/>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p>
      <w:pPr>
        <w:spacing w:after="0" w:line="58"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231F20"/>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r>
    </w:p>
    <w:p>
      <w:pPr>
        <w:spacing w:after="0" w:line="138"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9"/>
          <w:szCs w:val="19"/>
          <w:color w:val="231F20"/>
        </w:rPr>
        <w:t>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w:t>
      </w:r>
    </w:p>
    <w:p>
      <w:pPr>
        <w:spacing w:after="0" w:line="131" w:lineRule="exact"/>
        <w:rPr>
          <w:sz w:val="20"/>
          <w:szCs w:val="20"/>
          <w:color w:val="auto"/>
        </w:rPr>
      </w:pPr>
    </w:p>
    <w:p>
      <w:pPr>
        <w:ind w:right="240"/>
        <w:spacing w:after="0" w:line="225" w:lineRule="auto"/>
        <w:rPr>
          <w:sz w:val="20"/>
          <w:szCs w:val="20"/>
          <w:color w:val="auto"/>
        </w:rPr>
      </w:pPr>
      <w:r>
        <w:rPr>
          <w:rFonts w:ascii="Times New Roman" w:cs="Times New Roman" w:eastAsia="Times New Roman" w:hAnsi="Times New Roman"/>
          <w:sz w:val="19"/>
          <w:szCs w:val="19"/>
          <w:color w:val="231F20"/>
        </w:rPr>
        <w:t>The guidance is effective in fiscal years beginning after December 15, 2023, and interim periods withing those fiscal years. Early adoption is permitted.</w:t>
      </w:r>
    </w:p>
    <w:p>
      <w:pPr>
        <w:spacing w:after="0" w:line="381"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9"/>
          <w:szCs w:val="19"/>
          <w:color w:val="231F20"/>
        </w:rPr>
        <w:t>This ASU clarifies that contractual sale restrictions are not considered in measuring the fair value of equity securities, and requires specific disclosures for all entities with equity securities subject to a contractual sale restriction including (1) the fair value of such equity securities reflected in the balance sheet, (2) the nature and remaining duration of the corresponding restrictions, and (3) any circumstances that could cause a lapse in the restrictions. In addition, the ASU prohibits an entity from recognizing a contractual sale as a separate unit of account.</w:t>
      </w:r>
    </w:p>
    <w:p>
      <w:pPr>
        <w:spacing w:after="0" w:line="13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9"/>
          <w:szCs w:val="19"/>
          <w:color w:val="231F20"/>
        </w:rPr>
        <w:t>This guidance is effective in fiscal years beginning after December 15, 2023, and interim periods within those fiscal years, with early adoption permitted.</w:t>
      </w:r>
    </w:p>
    <w:p>
      <w:pPr>
        <w:spacing w:after="0" w:line="20" w:lineRule="exact"/>
        <w:rPr>
          <w:sz w:val="20"/>
          <w:szCs w:val="20"/>
          <w:color w:val="auto"/>
        </w:rPr>
      </w:pPr>
      <w:r>
        <w:rPr>
          <w:sz w:val="20"/>
          <w:szCs w:val="20"/>
          <w:color w:val="auto"/>
        </w:rPr>
        <w:br w:type="column"/>
      </w:r>
    </w:p>
    <w:p>
      <w:pPr>
        <w:ind w:right="400"/>
        <w:spacing w:after="0" w:line="245" w:lineRule="auto"/>
        <w:rPr>
          <w:sz w:val="20"/>
          <w:szCs w:val="20"/>
          <w:color w:val="auto"/>
        </w:rPr>
      </w:pPr>
      <w:r>
        <w:rPr>
          <w:rFonts w:ascii="Times New Roman" w:cs="Times New Roman" w:eastAsia="Times New Roman" w:hAnsi="Times New Roman"/>
          <w:sz w:val="18"/>
          <w:szCs w:val="18"/>
          <w:b w:val="1"/>
          <w:bCs w:val="1"/>
          <w:color w:val="231F20"/>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wp:posOffset>
            </wp:positionV>
            <wp:extent cx="223837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2238375" cy="12700"/>
                    </a:xfrm>
                    <a:prstGeom prst="rect">
                      <a:avLst/>
                    </a:prstGeom>
                    <a:noFill/>
                  </pic:spPr>
                </pic:pic>
              </a:graphicData>
            </a:graphic>
          </wp:anchor>
        </w:drawing>
      </w:r>
    </w:p>
    <w:p>
      <w:pPr>
        <w:jc w:val="both"/>
        <w:ind w:right="360"/>
        <w:spacing w:after="0" w:line="230" w:lineRule="auto"/>
        <w:rPr>
          <w:sz w:val="20"/>
          <w:szCs w:val="20"/>
          <w:color w:val="auto"/>
        </w:rPr>
      </w:pPr>
      <w:r>
        <w:rPr>
          <w:rFonts w:ascii="Times New Roman" w:cs="Times New Roman" w:eastAsia="Times New Roman" w:hAnsi="Times New Roman"/>
          <w:sz w:val="19"/>
          <w:szCs w:val="19"/>
          <w:color w:val="231F20"/>
        </w:rPr>
        <w:t>We do not expect this ASU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9"/>
          <w:szCs w:val="19"/>
          <w:color w:val="231F20"/>
        </w:rPr>
        <w:t>We do not expect this ASU to have an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231F20"/>
        </w:rPr>
        <w:t>We do not expect this ASU to have an impact on our consolidated financial statements. We will continue to assess the impact of this ASU on OP units issued as consideration in future acquisitions.</w:t>
      </w:r>
    </w:p>
    <w:p>
      <w:pPr>
        <w:spacing w:after="0" w:line="2289" w:lineRule="exact"/>
        <w:rPr>
          <w:sz w:val="20"/>
          <w:szCs w:val="20"/>
          <w:color w:val="auto"/>
        </w:rPr>
      </w:pPr>
    </w:p>
    <w:p>
      <w:pPr>
        <w:sectPr>
          <w:pgSz w:w="12240" w:h="15840" w:orient="portrait"/>
          <w:cols w:equalWidth="0" w:num="3">
            <w:col w:w="2260" w:space="220"/>
            <w:col w:w="4060" w:space="200"/>
            <w:col w:w="3180"/>
          </w:cols>
          <w:pgMar w:left="1040" w:top="68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231F20"/>
        </w:rPr>
        <w:t>F-23</w:t>
      </w:r>
    </w:p>
    <w:p>
      <w:pPr>
        <w:sectPr>
          <w:pgSz w:w="12240" w:h="15840" w:orient="portrait"/>
          <w:cols w:equalWidth="0" w:num="1">
            <w:col w:w="9920"/>
          </w:cols>
          <w:pgMar w:left="1040" w:top="681" w:right="1280" w:bottom="0" w:gutter="0" w:footer="0" w:header="0"/>
          <w:type w:val="continuous"/>
        </w:sectPr>
      </w:pPr>
    </w:p>
    <w:bookmarkStart w:id="87" w:name="page88"/>
    <w:bookmarkEnd w:id="87"/>
    <w:p>
      <w:pPr>
        <w:ind w:left="10"/>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Flows—Supplemental Disclosures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table provides supplemental disclosures related to the Consolidated Statements of Cash Flows:</w:t>
      </w:r>
    </w:p>
    <w:p>
      <w:pPr>
        <w:spacing w:after="0" w:line="1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700" w:type="dxa"/>
            <w:vAlign w:val="bottom"/>
            <w:tcBorders>
              <w:bottom w:val="single" w:sz="8" w:color="231F20"/>
            </w:tcBorders>
            <w:gridSpan w:val="6"/>
          </w:tcPr>
          <w:p>
            <w:pPr>
              <w:jc w:val="center"/>
              <w:ind w:left="364"/>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7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44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w w:val="93"/>
              </w:rPr>
              <w:t>2021</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SUPPLEMENTAL DISCLOSURES: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Total interest costs incurred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190,409</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155,659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150,324</w:t>
            </w:r>
          </w:p>
        </w:tc>
        <w:tc>
          <w:tcPr>
            <w:tcW w:w="0" w:type="dxa"/>
            <w:vAlign w:val="bottom"/>
          </w:tcPr>
          <w:p>
            <w:pPr>
              <w:spacing w:after="0"/>
              <w:rPr>
                <w:sz w:val="1"/>
                <w:szCs w:val="1"/>
                <w:color w:val="auto"/>
              </w:rPr>
            </w:pPr>
          </w:p>
        </w:tc>
      </w:tr>
      <w:tr>
        <w:trPr>
          <w:trHeight w:val="303"/>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Interest capitalized</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(22,600)</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(18,670)</w:t>
            </w:r>
          </w:p>
        </w:tc>
        <w:tc>
          <w:tcPr>
            <w:tcW w:w="8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(22,626)</w:t>
            </w:r>
          </w:p>
        </w:tc>
        <w:tc>
          <w:tcPr>
            <w:tcW w:w="0" w:type="dxa"/>
            <w:vAlign w:val="bottom"/>
          </w:tcPr>
          <w:p>
            <w:pPr>
              <w:spacing w:after="0"/>
              <w:rPr>
                <w:sz w:val="1"/>
                <w:szCs w:val="1"/>
                <w:color w:val="auto"/>
              </w:rPr>
            </w:pPr>
          </w:p>
        </w:tc>
      </w:tr>
      <w:tr>
        <w:trPr>
          <w:trHeight w:val="260"/>
        </w:trPr>
        <w:tc>
          <w:tcPr>
            <w:tcW w:w="644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Interest expense</w:t>
            </w:r>
          </w:p>
        </w:tc>
        <w:tc>
          <w:tcPr>
            <w:tcW w:w="28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167,809</w:t>
            </w:r>
          </w:p>
        </w:tc>
        <w:tc>
          <w:tcPr>
            <w:tcW w:w="60" w:type="dxa"/>
            <w:vAlign w:val="bottom"/>
          </w:tcPr>
          <w:p>
            <w:pPr>
              <w:spacing w:after="0"/>
              <w:rPr>
                <w:sz w:val="22"/>
                <w:szCs w:val="22"/>
                <w:color w:val="auto"/>
              </w:rPr>
            </w:pPr>
          </w:p>
        </w:tc>
        <w:tc>
          <w:tcPr>
            <w:tcW w:w="300" w:type="dxa"/>
            <w:vAlign w:val="bottom"/>
            <w:tcBorders>
              <w:bottom w:val="single" w:sz="8" w:color="231F20"/>
            </w:tcBorders>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136,989</w:t>
            </w:r>
          </w:p>
        </w:tc>
        <w:tc>
          <w:tcPr>
            <w:tcW w:w="80" w:type="dxa"/>
            <w:vAlign w:val="bottom"/>
          </w:tcPr>
          <w:p>
            <w:pPr>
              <w:spacing w:after="0"/>
              <w:rPr>
                <w:sz w:val="22"/>
                <w:szCs w:val="22"/>
                <w:color w:val="auto"/>
              </w:rPr>
            </w:pPr>
          </w:p>
        </w:tc>
        <w:tc>
          <w:tcPr>
            <w:tcW w:w="440" w:type="dxa"/>
            <w:vAlign w:val="bottom"/>
            <w:tcBorders>
              <w:bottom w:val="single" w:sz="8" w:color="231F20"/>
            </w:tcBorders>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127,698</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231F20"/>
              </w:rPr>
              <w:t>Cash paid for interest, net of amounts capitalized</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vMerge w:val="continue"/>
          </w:tcPr>
          <w:p>
            <w:pPr>
              <w:spacing w:after="0"/>
              <w:rPr>
                <w:sz w:val="20"/>
                <w:szCs w:val="20"/>
                <w:color w:val="auto"/>
              </w:rPr>
            </w:pPr>
          </w:p>
        </w:tc>
        <w:tc>
          <w:tcPr>
            <w:tcW w:w="280" w:type="dxa"/>
            <w:vAlign w:val="bottom"/>
            <w:tcBorders>
              <w:top w:val="single" w:sz="8" w:color="231F20"/>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top w:val="single" w:sz="8" w:color="231F20"/>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158,796</w:t>
            </w:r>
          </w:p>
        </w:tc>
        <w:tc>
          <w:tcPr>
            <w:tcW w:w="60" w:type="dxa"/>
            <w:vAlign w:val="bottom"/>
          </w:tcPr>
          <w:p>
            <w:pPr>
              <w:spacing w:after="0"/>
              <w:rPr>
                <w:sz w:val="20"/>
                <w:szCs w:val="20"/>
                <w:color w:val="auto"/>
              </w:rPr>
            </w:pPr>
          </w:p>
        </w:tc>
        <w:tc>
          <w:tcPr>
            <w:tcW w:w="300" w:type="dxa"/>
            <w:vAlign w:val="bottom"/>
            <w:tcBorders>
              <w:top w:val="single" w:sz="8" w:color="231F20"/>
              <w:bottom w:val="single" w:sz="8" w:color="231F20"/>
            </w:tcBorders>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130,912</w:t>
            </w:r>
          </w:p>
        </w:tc>
        <w:tc>
          <w:tcPr>
            <w:tcW w:w="80" w:type="dxa"/>
            <w:vAlign w:val="bottom"/>
          </w:tcPr>
          <w:p>
            <w:pPr>
              <w:spacing w:after="0"/>
              <w:rPr>
                <w:sz w:val="20"/>
                <w:szCs w:val="20"/>
                <w:color w:val="auto"/>
              </w:rPr>
            </w:pPr>
          </w:p>
        </w:tc>
        <w:tc>
          <w:tcPr>
            <w:tcW w:w="440" w:type="dxa"/>
            <w:vAlign w:val="bottom"/>
            <w:tcBorders>
              <w:top w:val="single" w:sz="8" w:color="231F20"/>
              <w:bottom w:val="single" w:sz="8" w:color="231F20"/>
            </w:tcBorders>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123,585</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231F20"/>
              </w:rPr>
              <w:t>Cash paid for income taxes</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vMerge w:val="continue"/>
          </w:tcPr>
          <w:p>
            <w:pPr>
              <w:spacing w:after="0"/>
              <w:rPr>
                <w:sz w:val="20"/>
                <w:szCs w:val="20"/>
                <w:color w:val="auto"/>
              </w:rPr>
            </w:pPr>
          </w:p>
        </w:tc>
        <w:tc>
          <w:tcPr>
            <w:tcW w:w="280" w:type="dxa"/>
            <w:vAlign w:val="bottom"/>
            <w:tcBorders>
              <w:top w:val="single" w:sz="8" w:color="231F20"/>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top w:val="single" w:sz="8" w:color="231F20"/>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284</w:t>
            </w:r>
          </w:p>
        </w:tc>
        <w:tc>
          <w:tcPr>
            <w:tcW w:w="60" w:type="dxa"/>
            <w:vAlign w:val="bottom"/>
          </w:tcPr>
          <w:p>
            <w:pPr>
              <w:spacing w:after="0"/>
              <w:rPr>
                <w:sz w:val="20"/>
                <w:szCs w:val="20"/>
                <w:color w:val="auto"/>
              </w:rPr>
            </w:pPr>
          </w:p>
        </w:tc>
        <w:tc>
          <w:tcPr>
            <w:tcW w:w="300" w:type="dxa"/>
            <w:vAlign w:val="bottom"/>
            <w:tcBorders>
              <w:top w:val="single" w:sz="8" w:color="231F20"/>
              <w:bottom w:val="single" w:sz="8" w:color="231F20"/>
            </w:tcBorders>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624</w:t>
            </w:r>
          </w:p>
        </w:tc>
        <w:tc>
          <w:tcPr>
            <w:tcW w:w="80" w:type="dxa"/>
            <w:vAlign w:val="bottom"/>
          </w:tcPr>
          <w:p>
            <w:pPr>
              <w:spacing w:after="0"/>
              <w:rPr>
                <w:sz w:val="20"/>
                <w:szCs w:val="20"/>
                <w:color w:val="auto"/>
              </w:rPr>
            </w:pPr>
          </w:p>
        </w:tc>
        <w:tc>
          <w:tcPr>
            <w:tcW w:w="440" w:type="dxa"/>
            <w:vAlign w:val="bottom"/>
            <w:tcBorders>
              <w:top w:val="single" w:sz="8" w:color="231F20"/>
              <w:bottom w:val="single" w:sz="8" w:color="231F20"/>
            </w:tcBorders>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NON-CASH INVESTING AND FINANCING TRANSACTIONS:</w:t>
            </w: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DownREIT operating partnership units redeemed for common shares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883</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7,545</w:t>
            </w:r>
          </w:p>
        </w:tc>
        <w:tc>
          <w:tcPr>
            <w:tcW w:w="0" w:type="dxa"/>
            <w:vAlign w:val="bottom"/>
          </w:tcPr>
          <w:p>
            <w:pPr>
              <w:spacing w:after="0"/>
              <w:rPr>
                <w:sz w:val="1"/>
                <w:szCs w:val="1"/>
                <w:color w:val="auto"/>
              </w:rPr>
            </w:pPr>
          </w:p>
        </w:tc>
      </w:tr>
      <w:tr>
        <w:trPr>
          <w:trHeight w:val="300"/>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Shares issued under dividend reinvestment plan</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1,704</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1,727</w:t>
            </w:r>
          </w:p>
        </w:tc>
        <w:tc>
          <w:tcPr>
            <w:tcW w:w="0" w:type="dxa"/>
            <w:vAlign w:val="bottom"/>
          </w:tcPr>
          <w:p>
            <w:pPr>
              <w:spacing w:after="0"/>
              <w:rPr>
                <w:sz w:val="1"/>
                <w:szCs w:val="1"/>
                <w:color w:val="auto"/>
              </w:rPr>
            </w:pPr>
          </w:p>
        </w:tc>
      </w:tr>
      <w:tr>
        <w:trPr>
          <w:trHeight w:val="204"/>
        </w:trPr>
        <w:tc>
          <w:tcPr>
            <w:tcW w:w="644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231F20"/>
              </w:rPr>
              <w:t>5.417% Series 1 Cumulative Convertible Preferred Shares redeemed for</w:t>
            </w: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175</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1"/>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common shares</w:t>
            </w:r>
          </w:p>
        </w:tc>
        <w:tc>
          <w:tcPr>
            <w:tcW w:w="28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32"/>
        </w:trPr>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80" w:type="dxa"/>
            <w:vAlign w:val="bottom"/>
          </w:tcPr>
          <w:p>
            <w:pPr>
              <w:spacing w:after="0"/>
              <w:rPr>
                <w:sz w:val="22"/>
                <w:szCs w:val="22"/>
                <w:color w:val="auto"/>
              </w:rPr>
            </w:pPr>
          </w:p>
        </w:tc>
        <w:tc>
          <w:tcPr>
            <w:tcW w:w="44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w w:val="93"/>
              </w:rPr>
              <w:t>2022</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4"/>
          </w:tcPr>
          <w:p>
            <w:pPr>
              <w:jc w:val="right"/>
              <w:ind w:right="643"/>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0" w:type="dxa"/>
            <w:vAlign w:val="bottom"/>
          </w:tcPr>
          <w:p>
            <w:pPr>
              <w:spacing w:after="0"/>
              <w:rPr>
                <w:sz w:val="1"/>
                <w:szCs w:val="1"/>
                <w:color w:val="auto"/>
              </w:rPr>
            </w:pPr>
          </w:p>
        </w:tc>
      </w:tr>
      <w:tr>
        <w:trPr>
          <w:trHeight w:val="262"/>
        </w:trPr>
        <w:tc>
          <w:tcPr>
            <w:tcW w:w="76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RECONCILIATION OF CASH, CASH EQUIVALENTS, AND RESTRICTED CASH:</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w w:val="86"/>
              </w:rPr>
              <w:t xml:space="preserve">Cash and cash equivalents </w:t>
            </w:r>
            <w:r>
              <w:rPr>
                <w:rFonts w:ascii="Times New Roman" w:cs="Times New Roman" w:eastAsia="Times New Roman" w:hAnsi="Times New Roman"/>
                <w:sz w:val="20"/>
                <w:szCs w:val="20"/>
                <w:color w:val="B8BABC"/>
                <w:w w:val="86"/>
              </w:rPr>
              <w:t>.......................................................................................................</w:t>
            </w:r>
          </w:p>
        </w:tc>
        <w:tc>
          <w:tcPr>
            <w:tcW w:w="920" w:type="dxa"/>
            <w:vAlign w:val="bottom"/>
          </w:tcPr>
          <w:p>
            <w:pPr>
              <w:spacing w:after="0"/>
              <w:rPr>
                <w:sz w:val="24"/>
                <w:szCs w:val="24"/>
                <w:color w:val="auto"/>
              </w:rPr>
            </w:pP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250,825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85,558</w:t>
            </w:r>
          </w:p>
        </w:tc>
        <w:tc>
          <w:tcPr>
            <w:tcW w:w="0" w:type="dxa"/>
            <w:vAlign w:val="bottom"/>
          </w:tcPr>
          <w:p>
            <w:pPr>
              <w:spacing w:after="0"/>
              <w:rPr>
                <w:sz w:val="1"/>
                <w:szCs w:val="1"/>
                <w:color w:val="auto"/>
              </w:rPr>
            </w:pPr>
          </w:p>
        </w:tc>
      </w:tr>
      <w:tr>
        <w:trPr>
          <w:trHeight w:val="303"/>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w w:val="86"/>
              </w:rPr>
              <w:t xml:space="preserve">Restricted cash (1) </w:t>
            </w:r>
            <w:r>
              <w:rPr>
                <w:rFonts w:ascii="Times New Roman" w:cs="Times New Roman" w:eastAsia="Times New Roman" w:hAnsi="Times New Roman"/>
                <w:sz w:val="20"/>
                <w:szCs w:val="20"/>
                <w:color w:val="B8BABC"/>
                <w:w w:val="86"/>
              </w:rPr>
              <w: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9,179</w:t>
            </w:r>
          </w:p>
        </w:tc>
        <w:tc>
          <w:tcPr>
            <w:tcW w:w="8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10,790</w:t>
            </w:r>
          </w:p>
        </w:tc>
        <w:tc>
          <w:tcPr>
            <w:tcW w:w="0" w:type="dxa"/>
            <w:vAlign w:val="bottom"/>
          </w:tcPr>
          <w:p>
            <w:pPr>
              <w:spacing w:after="0"/>
              <w:rPr>
                <w:sz w:val="1"/>
                <w:szCs w:val="1"/>
                <w:color w:val="auto"/>
              </w:rPr>
            </w:pPr>
          </w:p>
        </w:tc>
      </w:tr>
      <w:tr>
        <w:trPr>
          <w:trHeight w:val="260"/>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B8BABC"/>
                <w:w w:val="90"/>
              </w:rPr>
              <w:t>.....................................................................</w:t>
            </w:r>
            <w:r>
              <w:rPr>
                <w:rFonts w:ascii="Times New Roman" w:cs="Times New Roman" w:eastAsia="Times New Roman" w:hAnsi="Times New Roman"/>
                <w:sz w:val="20"/>
                <w:szCs w:val="20"/>
                <w:color w:val="231F20"/>
                <w:w w:val="90"/>
              </w:rPr>
              <w:t>Totalcash,cashequivalents,andrestrictedcash</w:t>
            </w:r>
          </w:p>
        </w:tc>
        <w:tc>
          <w:tcPr>
            <w:tcW w:w="920" w:type="dxa"/>
            <w:vAlign w:val="bottom"/>
          </w:tcPr>
          <w:p>
            <w:pPr>
              <w:spacing w:after="0"/>
              <w:rPr>
                <w:sz w:val="22"/>
                <w:szCs w:val="22"/>
                <w:color w:val="auto"/>
              </w:rPr>
            </w:pP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260,004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96,348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70" w:right="380" w:hanging="370"/>
        <w:spacing w:after="0" w:line="281" w:lineRule="auto"/>
        <w:tabs>
          <w:tab w:leader="none" w:pos="370" w:val="left"/>
        </w:tabs>
        <w:numPr>
          <w:ilvl w:val="0"/>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Restricted cash balances are included in "prepaid expenses and other assets" on our consolidated balance sheets, and is primarily related to escrow accounts.</w:t>
      </w:r>
    </w:p>
    <w:p>
      <w:pPr>
        <w:spacing w:after="0" w:line="3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NOTE 3—REAL ESTATE</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2023 Property Acquisitions</w:t>
      </w:r>
    </w:p>
    <w:p>
      <w:pPr>
        <w:spacing w:after="0" w:line="197" w:lineRule="exact"/>
        <w:rPr>
          <w:sz w:val="20"/>
          <w:szCs w:val="20"/>
          <w:color w:val="auto"/>
        </w:rPr>
      </w:pPr>
    </w:p>
    <w:p>
      <w:pPr>
        <w:ind w:left="10" w:right="200"/>
        <w:spacing w:after="0" w:line="256" w:lineRule="auto"/>
        <w:rPr>
          <w:sz w:val="20"/>
          <w:szCs w:val="20"/>
          <w:color w:val="auto"/>
        </w:rPr>
      </w:pPr>
      <w:r>
        <w:rPr>
          <w:rFonts w:ascii="Times New Roman" w:cs="Times New Roman" w:eastAsia="Times New Roman" w:hAnsi="Times New Roman"/>
          <w:sz w:val="20"/>
          <w:szCs w:val="20"/>
          <w:color w:val="231F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spacing w:after="0" w:line="148" w:lineRule="exact"/>
        <w:rPr>
          <w:sz w:val="20"/>
          <w:szCs w:val="20"/>
          <w:color w:val="auto"/>
        </w:rPr>
      </w:pPr>
    </w:p>
    <w:p>
      <w:pPr>
        <w:ind w:left="10" w:right="80"/>
        <w:spacing w:after="0" w:line="256" w:lineRule="auto"/>
        <w:rPr>
          <w:sz w:val="20"/>
          <w:szCs w:val="20"/>
          <w:color w:val="auto"/>
        </w:rPr>
      </w:pPr>
      <w:r>
        <w:rPr>
          <w:rFonts w:ascii="Times New Roman" w:cs="Times New Roman" w:eastAsia="Times New Roman" w:hAnsi="Times New Roman"/>
          <w:sz w:val="20"/>
          <w:szCs w:val="20"/>
          <w:color w:val="231F20"/>
        </w:rPr>
        <w:t>On May 26, 2023, we exercised our option and acquired the 22.3% tenancy in common ("TIC") interest from our co-owner at Escondido Promenade, as discussed in "2022 Other Transaction" below,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interest acquired were allocated to other liabilities for "below market leases."</w:t>
      </w:r>
    </w:p>
    <w:p>
      <w:pPr>
        <w:spacing w:after="0" w:line="148"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231F20"/>
        </w:rPr>
        <w:t>On October 12, 2023, we acquired the fee interest under a portion of our Mercer on One (formerly Mercer Mall) shopping center for $55.0 million pursuant to the purchase option included in the master lease. As a result of this transaction, "finance lease right of use assets, net" of $37.8 million were allocated to "operating real estate" and "finance lease liabilities" decreased by $55.0 million.</w:t>
      </w:r>
    </w:p>
    <w:p>
      <w:pPr>
        <w:spacing w:after="0" w:line="1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2023 Property Dispositions</w:t>
      </w:r>
    </w:p>
    <w:p>
      <w:pPr>
        <w:spacing w:after="0" w:line="117"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231F20"/>
        </w:rPr>
        <w:t>During the year ended December 31, 2023, we sold one retail property and one portion of a property for sales prices totaling $30.4 million, resulting in net gains totaling approximately $9.7 million.</w:t>
      </w:r>
    </w:p>
    <w:p>
      <w:pPr>
        <w:sectPr>
          <w:pgSz w:w="12240" w:h="15840" w:orient="portrait"/>
          <w:cols w:equalWidth="0" w:num="1">
            <w:col w:w="10230"/>
          </w:cols>
          <w:pgMar w:left="990" w:top="62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231F20"/>
        </w:rPr>
        <w:t>F-24</w:t>
      </w:r>
    </w:p>
    <w:p>
      <w:pPr>
        <w:sectPr>
          <w:pgSz w:w="12240" w:h="15840" w:orient="portrait"/>
          <w:cols w:equalWidth="0" w:num="1">
            <w:col w:w="10230"/>
          </w:cols>
          <w:pgMar w:left="990" w:top="626" w:right="1020" w:bottom="0" w:gutter="0" w:footer="0" w:header="0"/>
          <w:type w:val="continuous"/>
        </w:sectPr>
      </w:pPr>
    </w:p>
    <w:bookmarkStart w:id="88" w:name="page89"/>
    <w:bookmarkEnd w:id="88"/>
    <w:p>
      <w:pPr>
        <w:ind w:left="10"/>
        <w:spacing w:after="0"/>
        <w:rPr>
          <w:sz w:val="20"/>
          <w:szCs w:val="20"/>
          <w:color w:val="auto"/>
        </w:rPr>
      </w:pPr>
      <w:r>
        <w:rPr>
          <w:rFonts w:ascii="Times New Roman" w:cs="Times New Roman" w:eastAsia="Times New Roman" w:hAnsi="Times New Roman"/>
          <w:sz w:val="20"/>
          <w:szCs w:val="20"/>
          <w:b w:val="1"/>
          <w:bCs w:val="1"/>
          <w:color w:val="231F20"/>
        </w:rPr>
        <w:t>2022 Property Acquisitions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During the year ended December 31, 2022, we acquired the following properties: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231F20"/>
              </w:rPr>
              <w:t>Date Acquired</w:t>
            </w:r>
          </w:p>
        </w:tc>
        <w:tc>
          <w:tcPr>
            <w:tcW w:w="60" w:type="dxa"/>
            <w:vAlign w:val="bottom"/>
          </w:tcPr>
          <w:p>
            <w:pPr>
              <w:spacing w:after="0"/>
              <w:rPr>
                <w:sz w:val="19"/>
                <w:szCs w:val="19"/>
                <w:color w:val="auto"/>
              </w:rPr>
            </w:pPr>
          </w:p>
        </w:tc>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231F20"/>
              </w:rPr>
              <w:t>Property</w:t>
            </w:r>
          </w:p>
        </w:tc>
        <w:tc>
          <w:tcPr>
            <w:tcW w:w="6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231F20"/>
              </w:rPr>
              <w:t>City/State</w:t>
            </w:r>
          </w:p>
        </w:tc>
        <w:tc>
          <w:tcPr>
            <w:tcW w:w="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Gross Leasable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231F20"/>
              </w:rPr>
              <w:t>Purchase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7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Area (GLA)</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231F20"/>
                <w:w w:val="98"/>
              </w:rPr>
              <w:t>Price</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(in square feet)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231F20"/>
                <w:w w:val="99"/>
              </w:rPr>
              <w:t>(in millions)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40"/>
              <w:spacing w:after="0" w:line="206" w:lineRule="exact"/>
              <w:rPr>
                <w:sz w:val="20"/>
                <w:szCs w:val="20"/>
                <w:color w:val="auto"/>
              </w:rPr>
            </w:pPr>
            <w:r>
              <w:rPr>
                <w:rFonts w:ascii="Times New Roman" w:cs="Times New Roman" w:eastAsia="Times New Roman" w:hAnsi="Times New Roman"/>
                <w:sz w:val="20"/>
                <w:szCs w:val="20"/>
                <w:color w:val="231F20"/>
              </w:rPr>
              <w:t>April 20, 2022 &amp;</w:t>
            </w:r>
          </w:p>
        </w:tc>
        <w:tc>
          <w:tcPr>
            <w:tcW w:w="60" w:type="dxa"/>
            <w:vAlign w:val="bottom"/>
          </w:tcPr>
          <w:p>
            <w:pPr>
              <w:spacing w:after="0"/>
              <w:rPr>
                <w:sz w:val="17"/>
                <w:szCs w:val="17"/>
                <w:color w:val="auto"/>
              </w:rPr>
            </w:pPr>
          </w:p>
        </w:tc>
        <w:tc>
          <w:tcPr>
            <w:tcW w:w="2740" w:type="dxa"/>
            <w:vAlign w:val="bottom"/>
          </w:tcPr>
          <w:p>
            <w:pPr>
              <w:ind w:left="40"/>
              <w:spacing w:after="0" w:line="206" w:lineRule="exact"/>
              <w:rPr>
                <w:sz w:val="20"/>
                <w:szCs w:val="20"/>
                <w:color w:val="auto"/>
              </w:rPr>
            </w:pPr>
            <w:r>
              <w:rPr>
                <w:rFonts w:ascii="Times New Roman" w:cs="Times New Roman" w:eastAsia="Times New Roman" w:hAnsi="Times New Roman"/>
                <w:sz w:val="20"/>
                <w:szCs w:val="20"/>
                <w:color w:val="231F20"/>
              </w:rPr>
              <w:t>Kingstowne Towne Center</w:t>
            </w:r>
          </w:p>
        </w:tc>
        <w:tc>
          <w:tcPr>
            <w:tcW w:w="60" w:type="dxa"/>
            <w:vAlign w:val="bottom"/>
          </w:tcPr>
          <w:p>
            <w:pPr>
              <w:spacing w:after="0"/>
              <w:rPr>
                <w:sz w:val="17"/>
                <w:szCs w:val="17"/>
                <w:color w:val="auto"/>
              </w:rPr>
            </w:pPr>
          </w:p>
        </w:tc>
        <w:tc>
          <w:tcPr>
            <w:tcW w:w="2080" w:type="dxa"/>
            <w:vAlign w:val="bottom"/>
          </w:tcPr>
          <w:p>
            <w:pPr>
              <w:ind w:left="60"/>
              <w:spacing w:after="0" w:line="206" w:lineRule="exact"/>
              <w:rPr>
                <w:sz w:val="20"/>
                <w:szCs w:val="20"/>
                <w:color w:val="auto"/>
              </w:rPr>
            </w:pPr>
            <w:r>
              <w:rPr>
                <w:rFonts w:ascii="Times New Roman" w:cs="Times New Roman" w:eastAsia="Times New Roman" w:hAnsi="Times New Roman"/>
                <w:sz w:val="20"/>
                <w:szCs w:val="20"/>
                <w:color w:val="231F20"/>
              </w:rPr>
              <w:t>Kingstowne, Virginia</w:t>
            </w:r>
          </w:p>
        </w:tc>
        <w:tc>
          <w:tcPr>
            <w:tcW w:w="18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231F20"/>
              </w:rPr>
              <w:t>410,000</w:t>
            </w:r>
          </w:p>
        </w:tc>
        <w:tc>
          <w:tcPr>
            <w:tcW w:w="24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200.0</w:t>
            </w:r>
          </w:p>
        </w:tc>
        <w:tc>
          <w:tcPr>
            <w:tcW w:w="3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July 27, 2022</w:t>
            </w:r>
          </w:p>
        </w:tc>
        <w:tc>
          <w:tcPr>
            <w:tcW w:w="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July 18, 2022</w:t>
            </w:r>
          </w:p>
        </w:tc>
        <w:tc>
          <w:tcPr>
            <w:tcW w:w="6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Hilton Village (office building)</w:t>
            </w:r>
          </w:p>
        </w:tc>
        <w:tc>
          <w:tcPr>
            <w:tcW w:w="6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Scottsdale, Arizona</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212,000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53.6</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8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July 27, 2022</w:t>
            </w:r>
          </w:p>
        </w:tc>
        <w:tc>
          <w:tcPr>
            <w:tcW w:w="6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The Shops at Pembroke Gardens</w:t>
            </w:r>
          </w:p>
        </w:tc>
        <w:tc>
          <w:tcPr>
            <w:tcW w:w="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Pembroke Pines, Florida</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391,000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180.5</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31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November 18, 2022</w:t>
            </w:r>
          </w:p>
        </w:tc>
        <w:tc>
          <w:tcPr>
            <w:tcW w:w="6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Hoboken (301 Washington St.)</w:t>
            </w:r>
          </w:p>
        </w:tc>
        <w:tc>
          <w:tcPr>
            <w:tcW w:w="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Hoboken, New Jersey</w:t>
            </w:r>
          </w:p>
        </w:tc>
        <w:tc>
          <w:tcPr>
            <w:tcW w:w="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N/A</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370" w:right="220" w:hanging="370"/>
        <w:spacing w:after="0" w:line="257" w:lineRule="auto"/>
        <w:tabs>
          <w:tab w:leader="none" w:pos="37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Approximately $11.3 million and $0.3 million of net assets were allocated to other assets for "acquired lease costs" and "above market leases," respectively, and $20.2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231F20"/>
        </w:rPr>
      </w:pPr>
    </w:p>
    <w:p>
      <w:pPr>
        <w:ind w:left="370" w:right="60" w:hanging="370"/>
        <w:spacing w:after="0" w:line="250" w:lineRule="auto"/>
        <w:tabs>
          <w:tab w:leader="none" w:pos="37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w:t>
      </w:r>
    </w:p>
    <w:p>
      <w:pPr>
        <w:spacing w:after="0" w:line="2" w:lineRule="exact"/>
        <w:rPr>
          <w:rFonts w:ascii="Times New Roman" w:cs="Times New Roman" w:eastAsia="Times New Roman" w:hAnsi="Times New Roman"/>
          <w:sz w:val="20"/>
          <w:szCs w:val="20"/>
          <w:color w:val="231F20"/>
        </w:rPr>
      </w:pPr>
    </w:p>
    <w:p>
      <w:pPr>
        <w:ind w:left="370" w:right="260" w:hanging="370"/>
        <w:spacing w:after="0" w:line="257" w:lineRule="auto"/>
        <w:tabs>
          <w:tab w:leader="none" w:pos="37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Approximately $16.3 million and $1.6 million of net assets acquired were allocated to other assets for "acquired lease costs" and "above market leases," respectively, and $18.4 million of net assets acquired were allocated to other liabilities for "below market leases."</w:t>
      </w:r>
    </w:p>
    <w:p>
      <w:pPr>
        <w:spacing w:after="0" w:line="1" w:lineRule="exact"/>
        <w:rPr>
          <w:rFonts w:ascii="Times New Roman" w:cs="Times New Roman" w:eastAsia="Times New Roman" w:hAnsi="Times New Roman"/>
          <w:sz w:val="20"/>
          <w:szCs w:val="20"/>
          <w:color w:val="231F20"/>
        </w:rPr>
      </w:pPr>
    </w:p>
    <w:p>
      <w:pPr>
        <w:ind w:left="370" w:right="420" w:hanging="370"/>
        <w:spacing w:after="0" w:line="281" w:lineRule="auto"/>
        <w:tabs>
          <w:tab w:leader="none" w:pos="37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property, that we own a 90% ownership interest in, was acquired through our Hoboken joint venture, and is in the beginning stages of redevelopment.</w:t>
      </w:r>
    </w:p>
    <w:p>
      <w:pPr>
        <w:spacing w:after="0" w:line="221" w:lineRule="exact"/>
        <w:rPr>
          <w:sz w:val="20"/>
          <w:szCs w:val="20"/>
          <w:color w:val="auto"/>
        </w:rPr>
      </w:pPr>
    </w:p>
    <w:p>
      <w:pPr>
        <w:ind w:left="10" w:right="200"/>
        <w:spacing w:after="0" w:line="275" w:lineRule="auto"/>
        <w:rPr>
          <w:sz w:val="20"/>
          <w:szCs w:val="20"/>
          <w:color w:val="auto"/>
        </w:rPr>
      </w:pPr>
      <w:r>
        <w:rPr>
          <w:rFonts w:ascii="Times New Roman" w:cs="Times New Roman" w:eastAsia="Times New Roman" w:hAnsi="Times New Roman"/>
          <w:sz w:val="19"/>
          <w:szCs w:val="19"/>
          <w:color w:val="231F20"/>
        </w:rPr>
        <w:t>On October 6, 2022, we acquired a 47.5% net interest in an unconsolidated joint venture that owns two shopping centers for a combined price of $58.9 million. On the date of acquisition, the properties had combined mortgage debt of $76.1 million, of which, our share is approximately $36.2 million. Approximately $8.0 million and $2.0 million of net assets acquired were allocated to other assets for "acquired lease costs" and "above market leases," respectively, and $17.1 million of net assets acquired were allocated to other liabilities for "below market leases." Additional information on the properties is listed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231F20"/>
              </w:rPr>
              <w:t>Property</w:t>
            </w:r>
          </w:p>
        </w:tc>
        <w:tc>
          <w:tcPr>
            <w:tcW w:w="60" w:type="dxa"/>
            <w:vAlign w:val="bottom"/>
          </w:tcPr>
          <w:p>
            <w:pPr>
              <w:spacing w:after="0"/>
              <w:rPr>
                <w:sz w:val="19"/>
                <w:szCs w:val="19"/>
                <w:color w:val="auto"/>
              </w:rPr>
            </w:pPr>
          </w:p>
        </w:tc>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231F20"/>
              </w:rPr>
              <w:t>City/State</w:t>
            </w:r>
          </w:p>
        </w:tc>
        <w:tc>
          <w:tcPr>
            <w:tcW w:w="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Gross Leasable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ind w:right="122"/>
              <w:spacing w:after="0"/>
              <w:rPr>
                <w:sz w:val="20"/>
                <w:szCs w:val="20"/>
                <w:color w:val="auto"/>
              </w:rPr>
            </w:pPr>
            <w:r>
              <w:rPr>
                <w:rFonts w:ascii="Times New Roman" w:cs="Times New Roman" w:eastAsia="Times New Roman" w:hAnsi="Times New Roman"/>
                <w:sz w:val="20"/>
                <w:szCs w:val="20"/>
                <w:b w:val="1"/>
                <w:bCs w:val="1"/>
                <w:color w:val="231F20"/>
              </w:rPr>
              <w:t>Purchase Price</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Area (GLA)</w:t>
            </w:r>
          </w:p>
        </w:tc>
        <w:tc>
          <w:tcPr>
            <w:tcW w:w="6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600" w:type="dxa"/>
            <w:vAlign w:val="bottom"/>
            <w:tcBorders>
              <w:bottom w:val="single" w:sz="8" w:color="231F20"/>
            </w:tcBorders>
          </w:tcPr>
          <w:p>
            <w:pPr>
              <w:jc w:val="center"/>
              <w:ind w:right="122"/>
              <w:spacing w:after="0"/>
              <w:rPr>
                <w:sz w:val="20"/>
                <w:szCs w:val="20"/>
                <w:color w:val="auto"/>
              </w:rPr>
            </w:pPr>
            <w:r>
              <w:rPr>
                <w:rFonts w:ascii="Times New Roman" w:cs="Times New Roman" w:eastAsia="Times New Roman" w:hAnsi="Times New Roman"/>
                <w:sz w:val="20"/>
                <w:szCs w:val="20"/>
                <w:b w:val="1"/>
                <w:bCs w:val="1"/>
                <w:color w:val="231F20"/>
                <w:w w:val="98"/>
              </w:rPr>
              <w:t>(our share)</w:t>
            </w:r>
          </w:p>
        </w:tc>
        <w:tc>
          <w:tcPr>
            <w:tcW w:w="0" w:type="dxa"/>
            <w:vAlign w:val="bottom"/>
          </w:tcPr>
          <w:p>
            <w:pPr>
              <w:spacing w:after="0"/>
              <w:rPr>
                <w:sz w:val="1"/>
                <w:szCs w:val="1"/>
                <w:color w:val="auto"/>
              </w:rPr>
            </w:pPr>
          </w:p>
        </w:tc>
      </w:tr>
      <w:tr>
        <w:trPr>
          <w:trHeight w:val="290"/>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(in square feet)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231F20"/>
              </w:rPr>
              <w:t>(in millions)</w:t>
            </w:r>
          </w:p>
        </w:tc>
        <w:tc>
          <w:tcPr>
            <w:tcW w:w="0" w:type="dxa"/>
            <w:vAlign w:val="bottom"/>
          </w:tcPr>
          <w:p>
            <w:pPr>
              <w:spacing w:after="0"/>
              <w:rPr>
                <w:sz w:val="1"/>
                <w:szCs w:val="1"/>
                <w:color w:val="auto"/>
              </w:rPr>
            </w:pPr>
          </w:p>
        </w:tc>
      </w:tr>
      <w:tr>
        <w:trPr>
          <w:trHeight w:val="261"/>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Chandler Festival</w:t>
            </w:r>
          </w:p>
        </w:tc>
        <w:tc>
          <w:tcPr>
            <w:tcW w:w="60" w:type="dxa"/>
            <w:vAlign w:val="bottom"/>
          </w:tcPr>
          <w:p>
            <w:pPr>
              <w:spacing w:after="0"/>
              <w:rPr>
                <w:sz w:val="22"/>
                <w:szCs w:val="22"/>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Chandler, Arizona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355,000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40.8</w:t>
            </w:r>
          </w:p>
        </w:tc>
        <w:tc>
          <w:tcPr>
            <w:tcW w:w="0" w:type="dxa"/>
            <w:vAlign w:val="bottom"/>
          </w:tcPr>
          <w:p>
            <w:pPr>
              <w:spacing w:after="0"/>
              <w:rPr>
                <w:sz w:val="1"/>
                <w:szCs w:val="1"/>
                <w:color w:val="auto"/>
              </w:rPr>
            </w:pPr>
          </w:p>
        </w:tc>
      </w:tr>
      <w:tr>
        <w:trPr>
          <w:trHeight w:val="260"/>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Chandler Gateway</w:t>
            </w:r>
          </w:p>
        </w:tc>
        <w:tc>
          <w:tcPr>
            <w:tcW w:w="60" w:type="dxa"/>
            <w:vAlign w:val="bottom"/>
          </w:tcPr>
          <w:p>
            <w:pPr>
              <w:spacing w:after="0"/>
              <w:rPr>
                <w:sz w:val="22"/>
                <w:szCs w:val="22"/>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Chandler, Arizona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262,000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18.1</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2022 Property Dispositions</w:t>
      </w:r>
    </w:p>
    <w:p>
      <w:pPr>
        <w:spacing w:after="0" w:line="117"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231F20"/>
        </w:rPr>
        <w:t>During the year ended December 31, 2022, we sold two residential properties (one included an adjacent retail pad), one retail property, one parcel of land, and one portion of a property for sales prices totaling $136.2 million, resulting in net gains totaling approximately $84.1 million.</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2022 Other Transaction</w:t>
      </w:r>
    </w:p>
    <w:p>
      <w:pPr>
        <w:spacing w:after="0" w:line="117" w:lineRule="exact"/>
        <w:rPr>
          <w:sz w:val="20"/>
          <w:szCs w:val="20"/>
          <w:color w:val="auto"/>
        </w:rPr>
      </w:pPr>
    </w:p>
    <w:p>
      <w:pPr>
        <w:ind w:left="10" w:right="80"/>
        <w:spacing w:after="0" w:line="253" w:lineRule="auto"/>
        <w:rPr>
          <w:sz w:val="20"/>
          <w:szCs w:val="20"/>
          <w:color w:val="auto"/>
        </w:rPr>
      </w:pPr>
      <w:r>
        <w:rPr>
          <w:rFonts w:ascii="Times New Roman" w:cs="Times New Roman" w:eastAsia="Times New Roman" w:hAnsi="Times New Roman"/>
          <w:sz w:val="20"/>
          <w:szCs w:val="20"/>
          <w:color w:val="231F20"/>
        </w:rPr>
        <w:t>On August 25, 2022, we entered into a tenancy in common ("TIC") agreement with our partner in the partnership that owned Escondido Promenade. As a result, the Company owned a 77.7% TIC interest, and our former partner owned the remaining 22.3% interest. While the Company controlled and consolidated Escondido Promenade under the previous partnership arrangement, control is shared under the TIC agreement. The transaction was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December 31, 2022. As a part of this transaction, we made a $3.5 million loan to our co-owner, which is included in "accounts and notes receivable, net" on our consolidated balance sheet at December 31, 2022. In addition, we entered into a purchase option agreement to acquire the TIC</w:t>
      </w:r>
    </w:p>
    <w:p>
      <w:pPr>
        <w:sectPr>
          <w:pgSz w:w="12240" w:h="15840" w:orient="portrait"/>
          <w:cols w:equalWidth="0" w:num="1">
            <w:col w:w="10270"/>
          </w:cols>
          <w:pgMar w:left="990" w:top="6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231F20"/>
        </w:rPr>
        <w:t>F-25</w:t>
      </w:r>
    </w:p>
    <w:p>
      <w:pPr>
        <w:sectPr>
          <w:pgSz w:w="12240" w:h="15840" w:orient="portrait"/>
          <w:cols w:equalWidth="0" w:num="1">
            <w:col w:w="10270"/>
          </w:cols>
          <w:pgMar w:left="990" w:top="626" w:right="980" w:bottom="0" w:gutter="0" w:footer="0" w:header="0"/>
          <w:type w:val="continuous"/>
        </w:sectPr>
      </w:pPr>
    </w:p>
    <w:bookmarkStart w:id="89" w:name="page90"/>
    <w:bookmarkEnd w:id="89"/>
    <w:p>
      <w:pPr>
        <w:ind w:right="440"/>
        <w:spacing w:after="0" w:line="281" w:lineRule="auto"/>
        <w:rPr>
          <w:sz w:val="20"/>
          <w:szCs w:val="20"/>
          <w:color w:val="auto"/>
        </w:rPr>
      </w:pPr>
      <w:r>
        <w:rPr>
          <w:rFonts w:ascii="Times New Roman" w:cs="Times New Roman" w:eastAsia="Times New Roman" w:hAnsi="Times New Roman"/>
          <w:sz w:val="20"/>
          <w:szCs w:val="20"/>
          <w:color w:val="231F20"/>
        </w:rPr>
        <w:t>interest from our co-owner, which was secured through an option payment of $1.5 million, and settled on May 26, 2023 as discussed above.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4—ACQUIRED LEASES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Acquired lease assets comprise of above market leases where we are the lessor and below market leases where we are the lessee. Acquired lease liabilities comprise of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2680" w:type="dxa"/>
            <w:vAlign w:val="bottom"/>
            <w:tcBorders>
              <w:bottom w:val="single" w:sz="8" w:color="231F20"/>
            </w:tcBorders>
            <w:gridSpan w:val="4"/>
          </w:tcPr>
          <w:p>
            <w:pPr>
              <w:jc w:val="right"/>
              <w:ind w:right="788"/>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00" w:type="dxa"/>
            <w:vAlign w:val="bottom"/>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2500" w:type="dxa"/>
            <w:vAlign w:val="bottom"/>
            <w:tcBorders>
              <w:bottom w:val="single" w:sz="8" w:color="231F20"/>
            </w:tcBorders>
            <w:gridSpan w:val="4"/>
          </w:tcPr>
          <w:p>
            <w:pPr>
              <w:jc w:val="right"/>
              <w:ind w:right="766"/>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Cost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right"/>
              <w:ind w:right="188"/>
              <w:spacing w:after="0" w:line="126" w:lineRule="exact"/>
              <w:rPr>
                <w:sz w:val="20"/>
                <w:szCs w:val="20"/>
                <w:color w:val="auto"/>
              </w:rPr>
            </w:pPr>
            <w:r>
              <w:rPr>
                <w:rFonts w:ascii="Times New Roman" w:cs="Times New Roman" w:eastAsia="Times New Roman" w:hAnsi="Times New Roman"/>
                <w:sz w:val="14"/>
                <w:szCs w:val="14"/>
                <w:b w:val="1"/>
                <w:bCs w:val="1"/>
                <w:color w:val="231F20"/>
              </w:rPr>
              <w:t>Accumulated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vMerge w:val="restart"/>
          </w:tcPr>
          <w:p>
            <w:pPr>
              <w:jc w:val="right"/>
              <w:ind w:right="505"/>
              <w:spacing w:after="0"/>
              <w:rPr>
                <w:sz w:val="20"/>
                <w:szCs w:val="20"/>
                <w:color w:val="auto"/>
              </w:rPr>
            </w:pPr>
            <w:r>
              <w:rPr>
                <w:rFonts w:ascii="Times New Roman" w:cs="Times New Roman" w:eastAsia="Times New Roman" w:hAnsi="Times New Roman"/>
                <w:sz w:val="16"/>
                <w:szCs w:val="16"/>
                <w:b w:val="1"/>
                <w:bCs w:val="1"/>
                <w:color w:val="231F20"/>
              </w:rPr>
              <w:t>Cost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186"/>
              <w:spacing w:after="0" w:line="126" w:lineRule="exact"/>
              <w:rPr>
                <w:sz w:val="20"/>
                <w:szCs w:val="20"/>
                <w:color w:val="auto"/>
              </w:rPr>
            </w:pPr>
            <w:r>
              <w:rPr>
                <w:rFonts w:ascii="Times New Roman" w:cs="Times New Roman" w:eastAsia="Times New Roman" w:hAnsi="Times New Roman"/>
                <w:sz w:val="14"/>
                <w:szCs w:val="14"/>
                <w:b w:val="1"/>
                <w:bCs w:val="1"/>
                <w:color w:val="231F20"/>
              </w:rPr>
              <w:t>Accumulated</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tcPr>
          <w:p>
            <w:pPr>
              <w:jc w:val="right"/>
              <w:ind w:right="188"/>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100" w:type="dxa"/>
            <w:vAlign w:val="bottom"/>
          </w:tcPr>
          <w:p>
            <w:pPr>
              <w:spacing w:after="0"/>
              <w:rPr>
                <w:sz w:val="18"/>
                <w:szCs w:val="18"/>
                <w:color w:val="auto"/>
              </w:rPr>
            </w:pPr>
          </w:p>
        </w:tc>
        <w:tc>
          <w:tcPr>
            <w:tcW w:w="5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231F20"/>
              </w:rPr>
              <w:t>Above market leases, lessor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45,726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(35,209)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45,737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(33,892)</w:t>
            </w:r>
          </w:p>
        </w:tc>
        <w:tc>
          <w:tcPr>
            <w:tcW w:w="0" w:type="dxa"/>
            <w:vAlign w:val="bottom"/>
          </w:tcPr>
          <w:p>
            <w:pPr>
              <w:spacing w:after="0"/>
              <w:rPr>
                <w:sz w:val="1"/>
                <w:szCs w:val="1"/>
                <w:color w:val="auto"/>
              </w:rPr>
            </w:pPr>
          </w:p>
        </w:tc>
      </w:tr>
      <w:tr>
        <w:trPr>
          <w:trHeight w:val="288"/>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231F20"/>
              </w:rPr>
              <w:t>Below market leases, lessee</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28,101</w:t>
            </w:r>
          </w:p>
        </w:tc>
        <w:tc>
          <w:tcPr>
            <w:tcW w:w="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(5,411)</w:t>
            </w:r>
          </w:p>
        </w:tc>
        <w:tc>
          <w:tcPr>
            <w:tcW w:w="100" w:type="dxa"/>
            <w:vAlign w:val="bottom"/>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34,604</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(5,847)</w:t>
            </w:r>
          </w:p>
        </w:tc>
        <w:tc>
          <w:tcPr>
            <w:tcW w:w="0" w:type="dxa"/>
            <w:vAlign w:val="bottom"/>
          </w:tcPr>
          <w:p>
            <w:pPr>
              <w:spacing w:after="0"/>
              <w:rPr>
                <w:sz w:val="1"/>
                <w:szCs w:val="1"/>
                <w:color w:val="auto"/>
              </w:rPr>
            </w:pPr>
          </w:p>
        </w:tc>
      </w:tr>
      <w:tr>
        <w:trPr>
          <w:trHeight w:val="245"/>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36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73,827</w:t>
            </w:r>
          </w:p>
        </w:tc>
        <w:tc>
          <w:tcPr>
            <w:tcW w:w="80" w:type="dxa"/>
            <w:vAlign w:val="bottom"/>
          </w:tcPr>
          <w:p>
            <w:pPr>
              <w:spacing w:after="0"/>
              <w:rPr>
                <w:sz w:val="21"/>
                <w:szCs w:val="21"/>
                <w:color w:val="auto"/>
              </w:rPr>
            </w:pP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(40,620)</w:t>
            </w:r>
          </w:p>
        </w:tc>
        <w:tc>
          <w:tcPr>
            <w:tcW w:w="100" w:type="dxa"/>
            <w:vAlign w:val="bottom"/>
          </w:tcPr>
          <w:p>
            <w:pPr>
              <w:spacing w:after="0"/>
              <w:rPr>
                <w:sz w:val="21"/>
                <w:szCs w:val="21"/>
                <w:color w:val="auto"/>
              </w:rPr>
            </w:pPr>
          </w:p>
        </w:tc>
        <w:tc>
          <w:tcPr>
            <w:tcW w:w="52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80,341</w:t>
            </w:r>
          </w:p>
        </w:tc>
        <w:tc>
          <w:tcPr>
            <w:tcW w:w="60" w:type="dxa"/>
            <w:vAlign w:val="bottom"/>
          </w:tcPr>
          <w:p>
            <w:pPr>
              <w:spacing w:after="0"/>
              <w:rPr>
                <w:sz w:val="21"/>
                <w:szCs w:val="21"/>
                <w:color w:val="auto"/>
              </w:rPr>
            </w:pP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(39,739)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231F20"/>
              </w:rPr>
              <w:t>Below market leases, lessor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(269,268)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104,072</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(267,910)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91,989</w:t>
            </w:r>
          </w:p>
        </w:tc>
        <w:tc>
          <w:tcPr>
            <w:tcW w:w="0" w:type="dxa"/>
            <w:vAlign w:val="bottom"/>
          </w:tcPr>
          <w:p>
            <w:pPr>
              <w:spacing w:after="0"/>
              <w:rPr>
                <w:sz w:val="1"/>
                <w:szCs w:val="1"/>
                <w:color w:val="auto"/>
              </w:rPr>
            </w:pPr>
          </w:p>
        </w:tc>
      </w:tr>
      <w:tr>
        <w:trPr>
          <w:trHeight w:val="288"/>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231F20"/>
              </w:rPr>
              <w:t>Above market leases, lessee</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(11,127)</w:t>
            </w:r>
          </w:p>
        </w:tc>
        <w:tc>
          <w:tcPr>
            <w:tcW w:w="8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3,771</w:t>
            </w:r>
          </w:p>
        </w:tc>
        <w:tc>
          <w:tcPr>
            <w:tcW w:w="100" w:type="dxa"/>
            <w:vAlign w:val="bottom"/>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(11,127)</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3,208</w:t>
            </w:r>
          </w:p>
        </w:tc>
        <w:tc>
          <w:tcPr>
            <w:tcW w:w="0" w:type="dxa"/>
            <w:vAlign w:val="bottom"/>
          </w:tcPr>
          <w:p>
            <w:pPr>
              <w:spacing w:after="0"/>
              <w:rPr>
                <w:sz w:val="1"/>
                <w:szCs w:val="1"/>
                <w:color w:val="auto"/>
              </w:rPr>
            </w:pPr>
          </w:p>
        </w:tc>
      </w:tr>
      <w:tr>
        <w:trPr>
          <w:trHeight w:val="245"/>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(280,395)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107,843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(279,037)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95,197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spacing w:after="0"/>
              <w:rPr>
                <w:sz w:val="18"/>
                <w:szCs w:val="18"/>
                <w:color w:val="auto"/>
              </w:rPr>
            </w:pPr>
          </w:p>
        </w:tc>
        <w:tc>
          <w:tcPr>
            <w:tcW w:w="1820" w:type="dxa"/>
            <w:vAlign w:val="bottom"/>
            <w:tcBorders>
              <w:bottom w:val="single" w:sz="8" w:color="231F20"/>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42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tcPr>
          <w:p>
            <w:pPr>
              <w:spacing w:after="0"/>
              <w:rPr>
                <w:sz w:val="18"/>
                <w:szCs w:val="18"/>
                <w:color w:val="auto"/>
              </w:rPr>
            </w:pPr>
          </w:p>
        </w:tc>
      </w:tr>
      <w:tr>
        <w:trPr>
          <w:trHeight w:val="280"/>
        </w:trPr>
        <w:tc>
          <w:tcPr>
            <w:tcW w:w="5000" w:type="dxa"/>
            <w:vAlign w:val="bottom"/>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197"/>
        </w:trPr>
        <w:tc>
          <w:tcPr>
            <w:tcW w:w="5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of above market leases, lessor</w:t>
            </w:r>
          </w:p>
        </w:tc>
        <w:tc>
          <w:tcPr>
            <w:tcW w:w="1020" w:type="dxa"/>
            <w:vAlign w:val="bottom"/>
          </w:tcPr>
          <w:p>
            <w:pPr>
              <w:jc w:val="right"/>
              <w:ind w:right="784"/>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(3,437)</w:t>
            </w:r>
          </w:p>
        </w:tc>
        <w:tc>
          <w:tcPr>
            <w:tcW w:w="80" w:type="dxa"/>
            <w:vAlign w:val="bottom"/>
          </w:tcPr>
          <w:p>
            <w:pPr>
              <w:spacing w:after="0"/>
              <w:rPr>
                <w:sz w:val="22"/>
                <w:szCs w:val="22"/>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(3,150)</w:t>
            </w:r>
          </w:p>
        </w:tc>
      </w:tr>
      <w:tr>
        <w:trPr>
          <w:trHeight w:val="28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of below market leases, lessor</w:t>
            </w:r>
          </w:p>
        </w:tc>
        <w:tc>
          <w:tcPr>
            <w:tcW w:w="102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15,864</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14,543</w:t>
            </w:r>
          </w:p>
        </w:tc>
        <w:tc>
          <w:tcPr>
            <w:tcW w:w="8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11,897</w:t>
            </w:r>
          </w:p>
        </w:tc>
      </w:tr>
      <w:tr>
        <w:trPr>
          <w:trHeight w:val="245"/>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increase in rental income</w:t>
            </w:r>
          </w:p>
        </w:tc>
        <w:tc>
          <w:tcPr>
            <w:tcW w:w="1020" w:type="dxa"/>
            <w:vAlign w:val="bottom"/>
            <w:tcBorders>
              <w:bottom w:val="single" w:sz="8" w:color="231F20"/>
            </w:tcBorders>
          </w:tcPr>
          <w:p>
            <w:pPr>
              <w:jc w:val="right"/>
              <w:ind w:right="784"/>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12,610</w:t>
            </w:r>
          </w:p>
        </w:tc>
        <w:tc>
          <w:tcPr>
            <w:tcW w:w="60" w:type="dxa"/>
            <w:vAlign w:val="bottom"/>
          </w:tcPr>
          <w:p>
            <w:pPr>
              <w:spacing w:after="0"/>
              <w:rPr>
                <w:sz w:val="21"/>
                <w:szCs w:val="21"/>
                <w:color w:val="auto"/>
              </w:rPr>
            </w:pPr>
          </w:p>
        </w:tc>
        <w:tc>
          <w:tcPr>
            <w:tcW w:w="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11,106</w:t>
            </w:r>
          </w:p>
        </w:tc>
        <w:tc>
          <w:tcPr>
            <w:tcW w:w="80" w:type="dxa"/>
            <w:vAlign w:val="bottom"/>
          </w:tcPr>
          <w:p>
            <w:pPr>
              <w:spacing w:after="0"/>
              <w:rPr>
                <w:sz w:val="21"/>
                <w:szCs w:val="21"/>
                <w:color w:val="auto"/>
              </w:rPr>
            </w:pPr>
          </w:p>
        </w:tc>
        <w:tc>
          <w:tcPr>
            <w:tcW w:w="42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8,747</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r>
      <w:tr>
        <w:trPr>
          <w:trHeight w:val="407"/>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of below market leases, lessee</w:t>
            </w:r>
          </w:p>
        </w:tc>
        <w:tc>
          <w:tcPr>
            <w:tcW w:w="1020" w:type="dxa"/>
            <w:vAlign w:val="bottom"/>
          </w:tcPr>
          <w:p>
            <w:pPr>
              <w:jc w:val="right"/>
              <w:ind w:right="784"/>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828</w:t>
            </w:r>
          </w:p>
        </w:tc>
        <w:tc>
          <w:tcPr>
            <w:tcW w:w="80" w:type="dxa"/>
            <w:vAlign w:val="bottom"/>
          </w:tcPr>
          <w:p>
            <w:pPr>
              <w:spacing w:after="0"/>
              <w:rPr>
                <w:sz w:val="24"/>
                <w:szCs w:val="24"/>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828</w:t>
            </w:r>
          </w:p>
        </w:tc>
      </w:tr>
      <w:tr>
        <w:trPr>
          <w:trHeight w:val="28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of above market leases, lessee</w:t>
            </w:r>
          </w:p>
        </w:tc>
        <w:tc>
          <w:tcPr>
            <w:tcW w:w="102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(563)</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(554)</w:t>
            </w:r>
          </w:p>
        </w:tc>
        <w:tc>
          <w:tcPr>
            <w:tcW w:w="8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(538)</w:t>
            </w:r>
          </w:p>
        </w:tc>
      </w:tr>
      <w:tr>
        <w:trPr>
          <w:trHeight w:val="245"/>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increase in rental expense</w:t>
            </w:r>
          </w:p>
        </w:tc>
        <w:tc>
          <w:tcPr>
            <w:tcW w:w="1020" w:type="dxa"/>
            <w:vAlign w:val="bottom"/>
          </w:tcPr>
          <w:p>
            <w:pPr>
              <w:jc w:val="right"/>
              <w:ind w:right="784"/>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w:t>
            </w:r>
          </w:p>
        </w:tc>
        <w:tc>
          <w:tcPr>
            <w:tcW w:w="80" w:type="dxa"/>
            <w:vAlign w:val="bottom"/>
          </w:tcPr>
          <w:p>
            <w:pPr>
              <w:spacing w:after="0"/>
              <w:rPr>
                <w:sz w:val="21"/>
                <w:szCs w:val="21"/>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w:t>
            </w:r>
          </w:p>
        </w:tc>
      </w:tr>
      <w:tr>
        <w:trPr>
          <w:trHeight w:val="20"/>
        </w:trPr>
        <w:tc>
          <w:tcPr>
            <w:tcW w:w="5000" w:type="dxa"/>
            <w:vAlign w:val="bottom"/>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r>
    </w:tbl>
    <w:p>
      <w:pPr>
        <w:spacing w:after="0" w:line="8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231F20"/>
        </w:rPr>
        <w:t>The following is a summary of the remaining weighted average amortization period for our acquired lease assets and acquired lease liabilities: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500" w:type="dxa"/>
            <w:vAlign w:val="bottom"/>
          </w:tcPr>
          <w:p>
            <w:pPr>
              <w:spacing w:after="0"/>
              <w:rPr>
                <w:sz w:val="18"/>
                <w:szCs w:val="18"/>
                <w:color w:val="auto"/>
              </w:rPr>
            </w:pPr>
          </w:p>
        </w:tc>
        <w:tc>
          <w:tcPr>
            <w:tcW w:w="1680" w:type="dxa"/>
            <w:vAlign w:val="bottom"/>
            <w:tcBorders>
              <w:bottom w:val="single" w:sz="8" w:color="231F20"/>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December 31, 2023</w:t>
            </w:r>
          </w:p>
        </w:tc>
      </w:tr>
      <w:tr>
        <w:trPr>
          <w:trHeight w:val="352"/>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Above market leases, lessor</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 years</w:t>
            </w:r>
          </w:p>
        </w:tc>
      </w:tr>
      <w:tr>
        <w:trPr>
          <w:trHeight w:val="30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Below market leases, lessee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 years</w:t>
            </w:r>
          </w:p>
        </w:tc>
      </w:tr>
      <w:tr>
        <w:trPr>
          <w:trHeight w:val="30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Below market leases, lessor</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 years</w:t>
            </w:r>
          </w:p>
        </w:tc>
      </w:tr>
      <w:tr>
        <w:trPr>
          <w:trHeight w:val="30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Above market leases, lessee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 years</w:t>
            </w:r>
          </w:p>
        </w:tc>
      </w:tr>
    </w:tbl>
    <w:p>
      <w:pPr>
        <w:spacing w:after="0" w:line="13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231F20"/>
        </w:rPr>
        <w:t>The amortization for acquired leases during the next five years and thereafter, assuming no early lease terminations, is as follows:</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2240" w:h="15840" w:orient="portrait"/>
          <w:cols w:equalWidth="0" w:num="1">
            <w:col w:w="10240"/>
          </w:cols>
          <w:pgMar w:left="1000" w:top="633" w:right="100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Acquired Lease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Acquired Lease</w:t>
            </w:r>
          </w:p>
        </w:tc>
      </w:tr>
      <w:tr>
        <w:trPr>
          <w:trHeight w:val="214"/>
        </w:trPr>
        <w:tc>
          <w:tcPr>
            <w:tcW w:w="682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231F20"/>
              </w:rPr>
              <w:t>Assets</w:t>
            </w: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231F20"/>
              </w:rPr>
              <w:t>Liabilities</w:t>
            </w:r>
          </w:p>
        </w:tc>
      </w:tr>
      <w:tr>
        <w:trPr>
          <w:trHeight w:val="214"/>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4"/>
          </w:tcPr>
          <w:p>
            <w:pPr>
              <w:jc w:val="right"/>
              <w:ind w:right="1084"/>
              <w:spacing w:after="0"/>
              <w:rPr>
                <w:sz w:val="20"/>
                <w:szCs w:val="20"/>
                <w:color w:val="auto"/>
              </w:rPr>
            </w:pPr>
            <w:r>
              <w:rPr>
                <w:rFonts w:ascii="Times New Roman" w:cs="Times New Roman" w:eastAsia="Times New Roman" w:hAnsi="Times New Roman"/>
                <w:sz w:val="16"/>
                <w:szCs w:val="16"/>
                <w:b w:val="1"/>
                <w:bCs w:val="1"/>
                <w:color w:val="231F20"/>
              </w:rPr>
              <w:t>(In thousands)</w:t>
            </w:r>
          </w:p>
        </w:tc>
      </w:tr>
      <w:tr>
        <w:trPr>
          <w:trHeight w:val="268"/>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Year ending December 31,</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06"/>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15,291</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11,860</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11,392</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10,895</w:t>
            </w:r>
          </w:p>
        </w:tc>
      </w:tr>
      <w:tr>
        <w:trPr>
          <w:trHeight w:val="285"/>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10,105</w:t>
            </w:r>
          </w:p>
        </w:tc>
      </w:tr>
      <w:tr>
        <w:trPr>
          <w:trHeight w:val="288"/>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22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21,854</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113,009</w:t>
            </w:r>
          </w:p>
        </w:tc>
      </w:tr>
      <w:tr>
        <w:trPr>
          <w:trHeight w:val="245"/>
        </w:trPr>
        <w:tc>
          <w:tcPr>
            <w:tcW w:w="6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33,207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172,552</w:t>
            </w: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160"/>
          </w:cols>
          <w:pgMar w:left="1040" w:top="69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F-27</w:t>
      </w:r>
    </w:p>
    <w:p>
      <w:pPr>
        <w:sectPr>
          <w:pgSz w:w="12240" w:h="15840" w:orient="portrait"/>
          <w:cols w:equalWidth="0" w:num="1">
            <w:col w:w="10160"/>
          </w:cols>
          <w:pgMar w:left="1040" w:top="691" w:right="1040" w:bottom="0" w:gutter="0" w:footer="0" w:header="0"/>
          <w:type w:val="continuous"/>
        </w:sectPr>
      </w:pPr>
    </w:p>
    <w:bookmarkStart w:id="91" w:name="page92"/>
    <w:bookmarkEnd w:id="91"/>
    <w:p>
      <w:pPr>
        <w:ind w:left="10"/>
        <w:spacing w:after="0"/>
        <w:rPr>
          <w:sz w:val="20"/>
          <w:szCs w:val="20"/>
          <w:color w:val="auto"/>
        </w:rPr>
      </w:pPr>
      <w:r>
        <w:rPr>
          <w:rFonts w:ascii="Times New Roman" w:cs="Times New Roman" w:eastAsia="Times New Roman" w:hAnsi="Times New Roman"/>
          <w:sz w:val="20"/>
          <w:szCs w:val="20"/>
          <w:b w:val="1"/>
          <w:bCs w:val="1"/>
          <w:color w:val="231F20"/>
        </w:rPr>
        <w:t>NOTE 5—DEBT</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is a summary of our total debt outstanding as of December 31, 2023 and 2022:</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231F20"/>
              </w:rPr>
              <w:t>Principal Balance as of</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Stated Interest</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Stated Maturity Date</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920" w:type="dxa"/>
            <w:vAlign w:val="bottom"/>
            <w:tcBorders>
              <w:bottom w:val="single" w:sz="8" w:color="231F20"/>
            </w:tcBorders>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Rate as of</w:t>
            </w: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4"/>
              </w:rPr>
              <w:t>as of</w:t>
            </w:r>
          </w:p>
        </w:tc>
        <w:tc>
          <w:tcPr>
            <w:tcW w:w="0" w:type="dxa"/>
            <w:vAlign w:val="bottom"/>
          </w:tcPr>
          <w:p>
            <w:pPr>
              <w:spacing w:after="0"/>
              <w:rPr>
                <w:sz w:val="1"/>
                <w:szCs w:val="1"/>
                <w:color w:val="auto"/>
              </w:rPr>
            </w:pPr>
          </w:p>
        </w:tc>
      </w:tr>
      <w:tr>
        <w:trPr>
          <w:trHeight w:val="211"/>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Description of Debt</w:t>
            </w:r>
          </w:p>
        </w:tc>
        <w:tc>
          <w:tcPr>
            <w:tcW w:w="18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0" w:type="dxa"/>
            <w:vAlign w:val="bottom"/>
          </w:tcPr>
          <w:p>
            <w:pPr>
              <w:spacing w:after="0"/>
              <w:rPr>
                <w:sz w:val="1"/>
                <w:szCs w:val="1"/>
                <w:color w:val="auto"/>
              </w:rPr>
            </w:pPr>
          </w:p>
        </w:tc>
      </w:tr>
      <w:tr>
        <w:trPr>
          <w:trHeight w:val="24"/>
        </w:trPr>
        <w:tc>
          <w:tcPr>
            <w:tcW w:w="4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320" w:type="dxa"/>
            <w:vAlign w:val="bottom"/>
            <w:tcBorders>
              <w:top w:val="single" w:sz="8" w:color="231F20"/>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Mortgages payable</w:t>
            </w:r>
          </w:p>
        </w:tc>
        <w:tc>
          <w:tcPr>
            <w:tcW w:w="480" w:type="dxa"/>
            <w:vAlign w:val="bottom"/>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8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(Dollars in</w:t>
            </w:r>
          </w:p>
        </w:tc>
        <w:tc>
          <w:tcPr>
            <w:tcW w:w="60" w:type="dxa"/>
            <w:vAlign w:val="bottom"/>
          </w:tcPr>
          <w:p>
            <w:pPr>
              <w:spacing w:after="0"/>
              <w:rPr>
                <w:sz w:val="20"/>
                <w:szCs w:val="20"/>
                <w:color w:val="auto"/>
              </w:rPr>
            </w:pPr>
          </w:p>
        </w:tc>
        <w:tc>
          <w:tcPr>
            <w:tcW w:w="1020" w:type="dxa"/>
            <w:vAlign w:val="bottom"/>
            <w:tcBorders>
              <w:top w:val="single" w:sz="8" w:color="231F20"/>
            </w:tcBorders>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231F20"/>
                <w:w w:val="93"/>
              </w:rPr>
              <w:t>thousands)</w:t>
            </w:r>
          </w:p>
        </w:tc>
        <w:tc>
          <w:tcPr>
            <w:tcW w:w="80" w:type="dxa"/>
            <w:vAlign w:val="bottom"/>
          </w:tcPr>
          <w:p>
            <w:pPr>
              <w:spacing w:after="0"/>
              <w:rPr>
                <w:sz w:val="20"/>
                <w:szCs w:val="20"/>
                <w:color w:val="auto"/>
              </w:rPr>
            </w:pPr>
          </w:p>
        </w:tc>
        <w:tc>
          <w:tcPr>
            <w:tcW w:w="142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Azalea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3.73 %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November 1, 2025</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Bethesda Row (1)</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SOFR + 0.95%</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December 28, 2025</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Bell Gardens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11,835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4.06 %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 2026</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Plaza El Segundo</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3.83 %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June 5,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The Grove at Shrewsbury (East)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43,600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43,600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3.77 %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September 1,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Brook 35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4.65 %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July 1, 2029</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Hoboken (24 Buildings) (2)</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53,617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55,060</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SOFR + 1.95%</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December 15, 2029</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Various Hoboken (14 Buildings)(3)</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29,878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30,876</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 through 2029</w:t>
            </w:r>
          </w:p>
        </w:tc>
        <w:tc>
          <w:tcPr>
            <w:tcW w:w="0" w:type="dxa"/>
            <w:vAlign w:val="bottom"/>
          </w:tcPr>
          <w:p>
            <w:pPr>
              <w:spacing w:after="0"/>
              <w:rPr>
                <w:sz w:val="1"/>
                <w:szCs w:val="1"/>
                <w:color w:val="auto"/>
              </w:rPr>
            </w:pPr>
          </w:p>
        </w:tc>
      </w:tr>
      <w:tr>
        <w:trPr>
          <w:trHeight w:val="239"/>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Chelsea</w:t>
            </w: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4,018</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4,446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5.36 %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15, 2031</w:t>
            </w:r>
          </w:p>
        </w:tc>
        <w:tc>
          <w:tcPr>
            <w:tcW w:w="0" w:type="dxa"/>
            <w:vAlign w:val="bottom"/>
          </w:tcPr>
          <w:p>
            <w:pPr>
              <w:spacing w:after="0"/>
              <w:rPr>
                <w:sz w:val="1"/>
                <w:szCs w:val="1"/>
                <w:color w:val="auto"/>
              </w:rPr>
            </w:pPr>
          </w:p>
        </w:tc>
      </w:tr>
      <w:tr>
        <w:trPr>
          <w:trHeight w:val="227"/>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31F20"/>
              </w:rPr>
              <w:t>Subtotal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519,144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322,317</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800" w:type="dxa"/>
            <w:vAlign w:val="bottom"/>
            <w:gridSpan w:val="2"/>
          </w:tcPr>
          <w:p>
            <w:pPr>
              <w:ind w:left="980"/>
              <w:spacing w:after="0" w:line="181" w:lineRule="exact"/>
              <w:rPr>
                <w:sz w:val="20"/>
                <w:szCs w:val="20"/>
                <w:color w:val="auto"/>
              </w:rPr>
            </w:pPr>
            <w:r>
              <w:rPr>
                <w:rFonts w:ascii="Times New Roman" w:cs="Times New Roman" w:eastAsia="Times New Roman" w:hAnsi="Times New Roman"/>
                <w:sz w:val="18"/>
                <w:szCs w:val="18"/>
                <w:color w:val="231F20"/>
              </w:rPr>
              <w:t>Net unamortized debt issuance costs and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(2,208)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(1,702)</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231F20"/>
              </w:rPr>
              <w:t>discount</w:t>
            </w:r>
          </w:p>
        </w:tc>
        <w:tc>
          <w:tcPr>
            <w:tcW w:w="1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31F20"/>
              </w:rPr>
              <w:t>Total mortgages payable, net</w:t>
            </w:r>
          </w:p>
        </w:tc>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516,936</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320,615</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231F20"/>
              </w:rPr>
              <w:t>Notes payable</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8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SOFR + 0.85%</w:t>
            </w:r>
          </w:p>
        </w:tc>
        <w:tc>
          <w:tcPr>
            <w:tcW w:w="8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April 16, 2024</w:t>
            </w:r>
          </w:p>
        </w:tc>
        <w:tc>
          <w:tcPr>
            <w:tcW w:w="0" w:type="dxa"/>
            <w:vAlign w:val="bottom"/>
          </w:tcPr>
          <w:p>
            <w:pPr>
              <w:spacing w:after="0"/>
              <w:rPr>
                <w:sz w:val="1"/>
                <w:szCs w:val="1"/>
                <w:color w:val="auto"/>
              </w:rPr>
            </w:pPr>
          </w:p>
        </w:tc>
      </w:tr>
      <w:tr>
        <w:trPr>
          <w:trHeight w:val="242"/>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Term Loan (4)(5)(7)</w:t>
            </w: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Revolving credit facility (5)(6)(7)</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SOFR + 0.775%</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April 5, 2027</w:t>
            </w:r>
          </w:p>
        </w:tc>
        <w:tc>
          <w:tcPr>
            <w:tcW w:w="0" w:type="dxa"/>
            <w:vAlign w:val="bottom"/>
          </w:tcPr>
          <w:p>
            <w:pPr>
              <w:spacing w:after="0"/>
              <w:rPr>
                <w:sz w:val="1"/>
                <w:szCs w:val="1"/>
                <w:color w:val="auto"/>
              </w:rPr>
            </w:pPr>
          </w:p>
        </w:tc>
      </w:tr>
      <w:tr>
        <w:trPr>
          <w:trHeight w:val="239"/>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Various</w:t>
            </w: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2,387</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2,957</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Various through 2059</w:t>
            </w:r>
          </w:p>
        </w:tc>
        <w:tc>
          <w:tcPr>
            <w:tcW w:w="0" w:type="dxa"/>
            <w:vAlign w:val="bottom"/>
          </w:tcPr>
          <w:p>
            <w:pPr>
              <w:spacing w:after="0"/>
              <w:rPr>
                <w:sz w:val="1"/>
                <w:szCs w:val="1"/>
                <w:color w:val="auto"/>
              </w:rPr>
            </w:pPr>
          </w:p>
        </w:tc>
      </w:tr>
      <w:tr>
        <w:trPr>
          <w:trHeight w:val="221"/>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31F20"/>
              </w:rPr>
              <w:t>Subtotal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602,387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602,957</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231F20"/>
              </w:rPr>
              <w:t>Net unamortized debt issuance costs</w:t>
            </w: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(442)</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(1,880)</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31F20"/>
              </w:rPr>
              <w:t>Total notes payable, net</w:t>
            </w:r>
          </w:p>
        </w:tc>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601,945</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601,077</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231F20"/>
              </w:rPr>
              <w:t>Senior notes and debentures (7)</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275,000</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2.75 %</w:t>
            </w:r>
          </w:p>
        </w:tc>
        <w:tc>
          <w:tcPr>
            <w:tcW w:w="8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June 1, 2023</w:t>
            </w:r>
          </w:p>
        </w:tc>
        <w:tc>
          <w:tcPr>
            <w:tcW w:w="0" w:type="dxa"/>
            <w:vAlign w:val="bottom"/>
          </w:tcPr>
          <w:p>
            <w:pPr>
              <w:spacing w:after="0"/>
              <w:rPr>
                <w:sz w:val="1"/>
                <w:szCs w:val="1"/>
                <w:color w:val="auto"/>
              </w:rPr>
            </w:pPr>
          </w:p>
        </w:tc>
      </w:tr>
      <w:tr>
        <w:trPr>
          <w:trHeight w:val="242"/>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2.75% notes</w:t>
            </w: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3.95%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3.95 %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15, 2024</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1.25%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1.25 %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February 15, 2026</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7.48% debentures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29,200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29,200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7.48 %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15, 2026</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3.25%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475,000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475,000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3.25 %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July 15,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6.82% medium term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6.82 %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 2027</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5.375%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5.375 %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May 1, 2028</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3.20%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3.20 %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June 15, 2029</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3.50%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3.50 %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June 1, 2030</w:t>
            </w:r>
          </w:p>
        </w:tc>
        <w:tc>
          <w:tcPr>
            <w:tcW w:w="0" w:type="dxa"/>
            <w:vAlign w:val="bottom"/>
          </w:tcPr>
          <w:p>
            <w:pPr>
              <w:spacing w:after="0"/>
              <w:rPr>
                <w:sz w:val="1"/>
                <w:szCs w:val="1"/>
                <w:color w:val="auto"/>
              </w:rPr>
            </w:pPr>
          </w:p>
        </w:tc>
      </w:tr>
      <w:tr>
        <w:trPr>
          <w:trHeight w:val="240"/>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4.50%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4.50 %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December 1, 2044</w:t>
            </w:r>
          </w:p>
        </w:tc>
        <w:tc>
          <w:tcPr>
            <w:tcW w:w="0" w:type="dxa"/>
            <w:vAlign w:val="bottom"/>
          </w:tcPr>
          <w:p>
            <w:pPr>
              <w:spacing w:after="0"/>
              <w:rPr>
                <w:sz w:val="1"/>
                <w:szCs w:val="1"/>
                <w:color w:val="auto"/>
              </w:rPr>
            </w:pPr>
          </w:p>
        </w:tc>
      </w:tr>
      <w:tr>
        <w:trPr>
          <w:trHeight w:val="239"/>
        </w:trPr>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231F20"/>
              </w:rPr>
              <w:t>3.625% notes</w:t>
            </w: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250,000</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3.625 %</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 2046</w:t>
            </w:r>
          </w:p>
        </w:tc>
        <w:tc>
          <w:tcPr>
            <w:tcW w:w="0" w:type="dxa"/>
            <w:vAlign w:val="bottom"/>
          </w:tcPr>
          <w:p>
            <w:pPr>
              <w:spacing w:after="0"/>
              <w:rPr>
                <w:sz w:val="1"/>
                <w:szCs w:val="1"/>
                <w:color w:val="auto"/>
              </w:rPr>
            </w:pPr>
          </w:p>
        </w:tc>
      </w:tr>
      <w:tr>
        <w:trPr>
          <w:trHeight w:val="227"/>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31F20"/>
              </w:rPr>
              <w:t>Subtotal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3,494,200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3,419,200</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800" w:type="dxa"/>
            <w:vAlign w:val="bottom"/>
            <w:gridSpan w:val="2"/>
          </w:tcPr>
          <w:p>
            <w:pPr>
              <w:ind w:left="980"/>
              <w:spacing w:after="0" w:line="181" w:lineRule="exact"/>
              <w:rPr>
                <w:sz w:val="20"/>
                <w:szCs w:val="20"/>
                <w:color w:val="auto"/>
              </w:rPr>
            </w:pPr>
            <w:r>
              <w:rPr>
                <w:rFonts w:ascii="Times New Roman" w:cs="Times New Roman" w:eastAsia="Times New Roman" w:hAnsi="Times New Roman"/>
                <w:sz w:val="18"/>
                <w:szCs w:val="18"/>
                <w:color w:val="231F20"/>
              </w:rPr>
              <w:t>Net unamortized debt issuance costs and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(13,904)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(11,499)</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231F20"/>
              </w:rPr>
              <w:t>premium</w:t>
            </w:r>
          </w:p>
        </w:tc>
        <w:tc>
          <w:tcPr>
            <w:tcW w:w="1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31F20"/>
              </w:rPr>
              <w:t>Total senior notes and debentures, net</w:t>
            </w:r>
          </w:p>
        </w:tc>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3,480,296</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3,407,701</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231F20"/>
              </w:rPr>
              <w:t>Total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4,599,177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4,329,393</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_____________________</w:t>
            </w:r>
          </w:p>
        </w:tc>
        <w:tc>
          <w:tcPr>
            <w:tcW w:w="4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32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30" w:right="200" w:hanging="730"/>
        <w:spacing w:after="0" w:line="281" w:lineRule="auto"/>
        <w:tabs>
          <w:tab w:leader="none" w:pos="73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December 29, 2023, we entered into three interest rate swap agreements that fix the interest rate on the mortgage loan at a weighted average interest rate of 5.03% through the initial maturity date.</w:t>
      </w:r>
    </w:p>
    <w:p>
      <w:pPr>
        <w:spacing w:after="0" w:line="1" w:lineRule="exact"/>
        <w:rPr>
          <w:rFonts w:ascii="Times New Roman" w:cs="Times New Roman" w:eastAsia="Times New Roman" w:hAnsi="Times New Roman"/>
          <w:sz w:val="20"/>
          <w:szCs w:val="20"/>
          <w:color w:val="231F20"/>
        </w:rPr>
      </w:pPr>
    </w:p>
    <w:p>
      <w:pPr>
        <w:ind w:left="730" w:hanging="730"/>
        <w:spacing w:after="0" w:line="266" w:lineRule="auto"/>
        <w:tabs>
          <w:tab w:leader="none" w:pos="73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November 26, 2019, we entered into two interest rate swap agreements that fix the interest rate on the mortgage loan at 3.67%. The reference rate for the mortgage loan and related swaps was amended from LIBOR to SOFR in May 2023. The amendment was effective for interest payments subsequent to July 1, 2023.</w:t>
      </w:r>
    </w:p>
    <w:p>
      <w:pPr>
        <w:spacing w:after="0" w:line="15" w:lineRule="exact"/>
        <w:rPr>
          <w:rFonts w:ascii="Times New Roman" w:cs="Times New Roman" w:eastAsia="Times New Roman" w:hAnsi="Times New Roman"/>
          <w:sz w:val="20"/>
          <w:szCs w:val="20"/>
          <w:color w:val="231F20"/>
        </w:rPr>
      </w:pPr>
    </w:p>
    <w:p>
      <w:pPr>
        <w:ind w:left="710" w:hanging="710"/>
        <w:spacing w:after="0"/>
        <w:tabs>
          <w:tab w:leader="none" w:pos="71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interest rates on these mortgages range from 3.91% to 5.00%.</w:t>
      </w:r>
    </w:p>
    <w:p>
      <w:pPr>
        <w:spacing w:after="0" w:line="70" w:lineRule="exact"/>
        <w:rPr>
          <w:rFonts w:ascii="Times New Roman" w:cs="Times New Roman" w:eastAsia="Times New Roman" w:hAnsi="Times New Roman"/>
          <w:sz w:val="20"/>
          <w:szCs w:val="20"/>
          <w:color w:val="231F20"/>
        </w:rPr>
      </w:pPr>
    </w:p>
    <w:p>
      <w:pPr>
        <w:ind w:left="730" w:right="300" w:hanging="730"/>
        <w:spacing w:after="0" w:line="281" w:lineRule="auto"/>
        <w:tabs>
          <w:tab w:leader="none" w:pos="73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February 6, 2024, we extended the maturity date to April 16, 2025, with an additional one year extension at our option still available to further extend the loan to April 16, 2026.</w:t>
      </w:r>
    </w:p>
    <w:p>
      <w:pPr>
        <w:spacing w:after="0" w:line="1" w:lineRule="exact"/>
        <w:rPr>
          <w:rFonts w:ascii="Times New Roman" w:cs="Times New Roman" w:eastAsia="Times New Roman" w:hAnsi="Times New Roman"/>
          <w:sz w:val="20"/>
          <w:szCs w:val="20"/>
          <w:color w:val="231F20"/>
        </w:rPr>
      </w:pPr>
    </w:p>
    <w:p>
      <w:pPr>
        <w:jc w:val="both"/>
        <w:ind w:left="730" w:right="120" w:hanging="730"/>
        <w:spacing w:after="0" w:line="266" w:lineRule="auto"/>
        <w:tabs>
          <w:tab w:leader="none" w:pos="73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revolving credit facility SOFR loans bear interest at Daily Simple SOFR or Term SOFR and our term loan bears interest at Term SOFR as defined in the respective credit agreements, plus 0.10%, plus a spread, based on our current credit rating.</w:t>
      </w:r>
    </w:p>
    <w:p>
      <w:pPr>
        <w:sectPr>
          <w:pgSz w:w="12240" w:h="15840" w:orient="portrait"/>
          <w:cols w:equalWidth="0" w:num="1">
            <w:col w:w="10230"/>
          </w:cols>
          <w:pgMar w:left="990" w:top="62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231F20"/>
        </w:rPr>
        <w:t>F-28</w:t>
      </w:r>
    </w:p>
    <w:p>
      <w:pPr>
        <w:sectPr>
          <w:pgSz w:w="12240" w:h="15840" w:orient="portrait"/>
          <w:cols w:equalWidth="0" w:num="1">
            <w:col w:w="10230"/>
          </w:cols>
          <w:pgMar w:left="990" w:top="626" w:right="1020" w:bottom="0" w:gutter="0" w:footer="0" w:header="0"/>
          <w:type w:val="continuous"/>
        </w:sectPr>
      </w:pPr>
    </w:p>
    <w:bookmarkStart w:id="92" w:name="page93"/>
    <w:bookmarkEnd w:id="92"/>
    <w:p>
      <w:pPr>
        <w:jc w:val="both"/>
        <w:ind w:left="730" w:right="20" w:hanging="730"/>
        <w:spacing w:after="0" w:line="266" w:lineRule="auto"/>
        <w:tabs>
          <w:tab w:leader="none" w:pos="730"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maximum amount drawn under our revolving credit facility during the year ended December 31, 2023 was $115.5 million and the weighted average interest rate on borrowings under our revolving credit facility, before amortization of debt fees, was 5.9%.</w:t>
      </w:r>
    </w:p>
    <w:p>
      <w:pPr>
        <w:spacing w:after="0" w:line="15" w:lineRule="exact"/>
        <w:rPr>
          <w:rFonts w:ascii="Times New Roman" w:cs="Times New Roman" w:eastAsia="Times New Roman" w:hAnsi="Times New Roman"/>
          <w:sz w:val="20"/>
          <w:szCs w:val="20"/>
          <w:color w:val="231F20"/>
        </w:rPr>
      </w:pPr>
    </w:p>
    <w:p>
      <w:pPr>
        <w:ind w:left="730" w:right="940" w:hanging="730"/>
        <w:spacing w:after="0" w:line="281" w:lineRule="auto"/>
        <w:tabs>
          <w:tab w:leader="none" w:pos="730"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Operating Partnership is the obligor under our revolving credit facility, term loan, and senior notes and debentures.</w:t>
      </w:r>
    </w:p>
    <w:p>
      <w:pPr>
        <w:spacing w:after="0" w:line="41"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231F20"/>
        </w:rPr>
        <w:t>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On June 1, 2023, we repaid our $275.0 million 2.75% senior unsecured notes at maturity.</w:t>
      </w:r>
    </w:p>
    <w:p>
      <w:pPr>
        <w:spacing w:after="0" w:line="11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231F20"/>
        </w:rPr>
        <w:t>On December 28, 2023, one of our wholly-owned subsidiaries entered into a $200.0 million mortgage loan, which bears interest at SOFR plus a 95 basis point spread, matures on December 28, 2025, plus two one-year extensions, at our option, and is secured by our Bethesda Row property. The interest rate is effectively fixed at 5.03% through the initial maturity date, as a result of three interest rate swap agreements. Our net proceeds were $199.1 million, after debt issuance costs. Our subsidiary's obligations under the mortgage loan are guaranteed by the Operating Partnership.</w:t>
      </w:r>
    </w:p>
    <w:p>
      <w:pPr>
        <w:spacing w:after="0" w:line="144" w:lineRule="exact"/>
        <w:rPr>
          <w:sz w:val="20"/>
          <w:szCs w:val="20"/>
          <w:color w:val="auto"/>
        </w:rPr>
      </w:pPr>
    </w:p>
    <w:p>
      <w:pPr>
        <w:ind w:left="10" w:right="60"/>
        <w:spacing w:after="0" w:line="256" w:lineRule="auto"/>
        <w:rPr>
          <w:sz w:val="20"/>
          <w:szCs w:val="20"/>
          <w:color w:val="auto"/>
        </w:rPr>
      </w:pPr>
      <w:r>
        <w:rPr>
          <w:rFonts w:ascii="Times New Roman" w:cs="Times New Roman" w:eastAsia="Times New Roman" w:hAnsi="Times New Roman"/>
          <w:sz w:val="20"/>
          <w:szCs w:val="20"/>
          <w:color w:val="231F20"/>
        </w:rPr>
        <w:t>During 2023, 2022 and 2021, the maximum amount of borrowings outstanding under our revolving credit facility was $115.5 million, $330.0 million and $150.0 million, respectively. The weighted average amount of borrowings outstanding was $44.7 million, $80.3 million and $19.6 million, respectively, and the weighted average interest rate, before amortization of debt fees, was 5.9%, 3.2% and 0.9%, respectively. The revolving credit facility requires an annual facility fee which is $1.9 million under the amended credit agreement. At December 31, 2023 and December 31, 2022, our revolving credit facility had no balance outstanding.</w:t>
      </w:r>
    </w:p>
    <w:p>
      <w:pPr>
        <w:spacing w:after="0" w:line="148" w:lineRule="exact"/>
        <w:rPr>
          <w:sz w:val="20"/>
          <w:szCs w:val="20"/>
          <w:color w:val="auto"/>
        </w:rPr>
      </w:pPr>
    </w:p>
    <w:p>
      <w:pPr>
        <w:ind w:left="10" w:right="200"/>
        <w:spacing w:after="0" w:line="266" w:lineRule="auto"/>
        <w:rPr>
          <w:sz w:val="20"/>
          <w:szCs w:val="20"/>
          <w:color w:val="auto"/>
        </w:rPr>
      </w:pPr>
      <w:r>
        <w:rPr>
          <w:rFonts w:ascii="Times New Roman" w:cs="Times New Roman" w:eastAsia="Times New Roman" w:hAnsi="Times New Roman"/>
          <w:sz w:val="20"/>
          <w:szCs w:val="20"/>
          <w:color w:val="231F20"/>
        </w:rPr>
        <w:t>Our revolving credit facility, term loan, and certain notes require us to comply with various financial covenants, including the maintenance of minimum shareholders’ equity and debt coverage ratios and a maximum ratio of debt to net worth. As of December 31, 2023, we were in compliance with all default related debt covenants.</w:t>
      </w:r>
    </w:p>
    <w:p>
      <w:pPr>
        <w:spacing w:after="0" w:line="135" w:lineRule="exact"/>
        <w:rPr>
          <w:sz w:val="20"/>
          <w:szCs w:val="20"/>
          <w:color w:val="auto"/>
        </w:rPr>
      </w:pPr>
    </w:p>
    <w:p>
      <w:pPr>
        <w:ind w:left="10" w:right="180"/>
        <w:spacing w:after="0" w:line="281" w:lineRule="auto"/>
        <w:rPr>
          <w:sz w:val="20"/>
          <w:szCs w:val="20"/>
          <w:color w:val="auto"/>
        </w:rPr>
      </w:pPr>
      <w:r>
        <w:rPr>
          <w:rFonts w:ascii="Times New Roman" w:cs="Times New Roman" w:eastAsia="Times New Roman" w:hAnsi="Times New Roman"/>
          <w:sz w:val="20"/>
          <w:szCs w:val="20"/>
          <w:color w:val="231F20"/>
        </w:rPr>
        <w:t>Scheduled principal payments on mortgages payable, notes payable, senior notes and debentures as of December 31, 2023 are as follows:</w:t>
      </w:r>
    </w:p>
    <w:p>
      <w:pPr>
        <w:spacing w:after="0" w:line="115"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Mortgages</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86"/>
              <w:spacing w:after="0"/>
              <w:rPr>
                <w:sz w:val="20"/>
                <w:szCs w:val="20"/>
                <w:color w:val="auto"/>
              </w:rPr>
            </w:pPr>
            <w:r>
              <w:rPr>
                <w:rFonts w:ascii="Times New Roman" w:cs="Times New Roman" w:eastAsia="Times New Roman" w:hAnsi="Times New Roman"/>
                <w:sz w:val="16"/>
                <w:szCs w:val="16"/>
                <w:b w:val="1"/>
                <w:bCs w:val="1"/>
                <w:color w:val="231F20"/>
              </w:rPr>
              <w:t>Notes</w:t>
            </w:r>
          </w:p>
        </w:tc>
        <w:tc>
          <w:tcPr>
            <w:tcW w:w="6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Senior Notes and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231F20"/>
              </w:rPr>
              <w:t>Payable</w:t>
            </w:r>
          </w:p>
        </w:tc>
        <w:tc>
          <w:tcPr>
            <w:tcW w:w="6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231F20"/>
              </w:rPr>
              <w:t>Payable</w:t>
            </w:r>
          </w:p>
        </w:tc>
        <w:tc>
          <w:tcPr>
            <w:tcW w:w="6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Debentures</w:t>
            </w:r>
          </w:p>
        </w:tc>
        <w:tc>
          <w:tcPr>
            <w:tcW w:w="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231F20"/>
              </w:rPr>
              <w:t>Year ending December 31,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231F20"/>
              </w:rPr>
              <w:t>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3,262</w:t>
            </w:r>
          </w:p>
        </w:tc>
        <w:tc>
          <w:tcPr>
            <w:tcW w:w="6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600,674</w:t>
            </w:r>
          </w:p>
        </w:tc>
        <w:tc>
          <w:tcPr>
            <w:tcW w:w="6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231F20"/>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600,000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1,203,936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247,630</w:t>
            </w:r>
          </w:p>
        </w:tc>
        <w:tc>
          <w:tcPr>
            <w:tcW w:w="6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rPr>
              <w:t>(2)</w:t>
            </w: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490</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248,120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26,282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144</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429,200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455,626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178,282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79</w:t>
            </w:r>
          </w:p>
        </w:tc>
        <w:tc>
          <w:tcPr>
            <w:tcW w:w="6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231F20"/>
              </w:rPr>
              <w:t>(3)</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515,000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693,361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352,511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2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61,177</w:t>
            </w:r>
          </w:p>
        </w:tc>
        <w:tc>
          <w:tcPr>
            <w:tcW w:w="6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1,000</w:t>
            </w:r>
          </w:p>
        </w:tc>
        <w:tc>
          <w:tcPr>
            <w:tcW w:w="6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1,600,000</w:t>
            </w:r>
          </w:p>
        </w:tc>
        <w:tc>
          <w:tcPr>
            <w:tcW w:w="8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1,662,177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1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519,144</w:t>
            </w:r>
          </w:p>
        </w:tc>
        <w:tc>
          <w:tcPr>
            <w:tcW w:w="660" w:type="dxa"/>
            <w:vAlign w:val="bottom"/>
          </w:tcPr>
          <w:p>
            <w:pPr>
              <w:spacing w:after="0"/>
              <w:rPr>
                <w:sz w:val="22"/>
                <w:szCs w:val="22"/>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602,387</w:t>
            </w:r>
          </w:p>
        </w:tc>
        <w:tc>
          <w:tcPr>
            <w:tcW w:w="6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3,494,200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4,615,731</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_____________________</w:t>
            </w: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70" w:right="40" w:hanging="370"/>
        <w:spacing w:after="0" w:line="250" w:lineRule="auto"/>
        <w:tabs>
          <w:tab w:leader="none" w:pos="370"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$600.0 million term loan had an original maturity date of April 16, 2024. On February 6, 2024, we extended the maturity date to April 16, 2025, with an additional one year extension at our option still available to further extend the loan to April 16, 2026.</w:t>
      </w:r>
    </w:p>
    <w:p>
      <w:pPr>
        <w:spacing w:after="0" w:line="1" w:lineRule="exact"/>
        <w:rPr>
          <w:rFonts w:ascii="Times New Roman" w:cs="Times New Roman" w:eastAsia="Times New Roman" w:hAnsi="Times New Roman"/>
          <w:sz w:val="20"/>
          <w:szCs w:val="20"/>
          <w:color w:val="231F20"/>
        </w:rPr>
      </w:pPr>
    </w:p>
    <w:p>
      <w:pPr>
        <w:ind w:left="370" w:right="60" w:hanging="370"/>
        <w:spacing w:after="0" w:line="250" w:lineRule="auto"/>
        <w:tabs>
          <w:tab w:leader="none" w:pos="370"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$200.0 million mortgage loan secured by Bethesda Row matures on December 28, 2025 plus two one-year extensions, at our option to December 28, 2027.</w:t>
      </w:r>
    </w:p>
    <w:p>
      <w:pPr>
        <w:ind w:left="370" w:right="40" w:hanging="370"/>
        <w:spacing w:after="0" w:line="250" w:lineRule="auto"/>
        <w:tabs>
          <w:tab w:leader="none" w:pos="370"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$1.25 billion revolving credit facility matures on April 5, 2027 plus two six-month extensions, at our option to April 5, 2028. As of December 31, 2023, there was no balance outstanding under this credit facility.</w:t>
      </w:r>
    </w:p>
    <w:p>
      <w:pPr>
        <w:ind w:left="370" w:right="280" w:hanging="370"/>
        <w:spacing w:after="0" w:line="260" w:lineRule="auto"/>
        <w:tabs>
          <w:tab w:leader="none" w:pos="370"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total debt maturities differ from the total reported on the consolidated balance sheet due to the unamortized net debt issuance costs and premium/discount on mortgage loans, notes payable, and senior notes as of December 31, 2023.</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NOTE 6—FAIR VALUE OF FINANCIAL INSTRUMENTS</w:t>
      </w:r>
    </w:p>
    <w:p>
      <w:pPr>
        <w:spacing w:after="0" w:line="117"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231F20"/>
        </w:rPr>
        <w:t>A fair value measurement is based on the assumptions that market participants would use in pricing an asset or liability in an orderly transaction. The hierarchy for inputs used in measuring fair value are as follows:</w:t>
      </w:r>
    </w:p>
    <w:p>
      <w:pPr>
        <w:spacing w:after="0" w:line="94" w:lineRule="exact"/>
        <w:rPr>
          <w:sz w:val="20"/>
          <w:szCs w:val="20"/>
          <w:color w:val="auto"/>
        </w:rPr>
      </w:pPr>
    </w:p>
    <w:p>
      <w:pPr>
        <w:ind w:left="650" w:hanging="597"/>
        <w:spacing w:after="0"/>
        <w:tabs>
          <w:tab w:leader="none" w:pos="650" w:val="left"/>
        </w:tabs>
        <w:numPr>
          <w:ilvl w:val="0"/>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1 Inputs—quoted prices in active markets for identical assets or liabilities</w:t>
      </w:r>
    </w:p>
    <w:p>
      <w:pPr>
        <w:sectPr>
          <w:pgSz w:w="12240" w:h="15840" w:orient="portrait"/>
          <w:cols w:equalWidth="0" w:num="1">
            <w:col w:w="10250"/>
          </w:cols>
          <w:pgMar w:left="990" w:top="633" w:right="10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231F20"/>
        </w:rPr>
        <w:t>F-29</w:t>
      </w:r>
    </w:p>
    <w:p>
      <w:pPr>
        <w:sectPr>
          <w:pgSz w:w="12240" w:h="15840" w:orient="portrait"/>
          <w:cols w:equalWidth="0" w:num="1">
            <w:col w:w="10250"/>
          </w:cols>
          <w:pgMar w:left="990" w:top="633" w:right="1000" w:bottom="0" w:gutter="0" w:footer="0" w:header="0"/>
          <w:type w:val="continuous"/>
        </w:sectPr>
      </w:pPr>
    </w:p>
    <w:bookmarkStart w:id="93" w:name="page94"/>
    <w:bookmarkEnd w:id="93"/>
    <w:p>
      <w:pPr>
        <w:ind w:left="640" w:hanging="597"/>
        <w:spacing w:after="0"/>
        <w:tabs>
          <w:tab w:leader="none" w:pos="640" w:val="left"/>
        </w:tabs>
        <w:numPr>
          <w:ilvl w:val="0"/>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2 Inputs—observable inputs other than quoted prices in active markets for identical assets and liabilities</w:t>
      </w:r>
    </w:p>
    <w:p>
      <w:pPr>
        <w:spacing w:after="0" w:line="170" w:lineRule="exact"/>
        <w:rPr>
          <w:rFonts w:ascii="Times New Roman" w:cs="Times New Roman" w:eastAsia="Times New Roman" w:hAnsi="Times New Roman"/>
          <w:sz w:val="20"/>
          <w:szCs w:val="20"/>
          <w:color w:val="231F20"/>
        </w:rPr>
      </w:pPr>
    </w:p>
    <w:p>
      <w:pPr>
        <w:ind w:left="640" w:right="1080" w:hanging="597"/>
        <w:spacing w:after="0"/>
        <w:tabs>
          <w:tab w:leader="none" w:pos="640" w:val="left"/>
        </w:tabs>
        <w:numPr>
          <w:ilvl w:val="0"/>
          <w:numId w:val="6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3 Inputs—prices or valuation techniques that require inputs that are both significant to the fair value measurement and unobservable</w:t>
      </w:r>
    </w:p>
    <w:p>
      <w:pPr>
        <w:spacing w:after="0" w:line="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231F20"/>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2260" w:type="dxa"/>
            <w:vAlign w:val="bottom"/>
            <w:tcBorders>
              <w:bottom w:val="single" w:sz="8" w:color="231F20"/>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2260" w:type="dxa"/>
            <w:vAlign w:val="bottom"/>
            <w:tcBorders>
              <w:bottom w:val="single" w:sz="8" w:color="231F20"/>
            </w:tcBorders>
            <w:gridSpan w:val="4"/>
          </w:tcPr>
          <w:p>
            <w:pPr>
              <w:jc w:val="right"/>
              <w:ind w:right="507"/>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231F20"/>
              </w:rPr>
              <w:t>Carrying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231F20"/>
              </w:rPr>
              <w:t>Carrying</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231F20"/>
              </w:rPr>
              <w:t>Mortgages and notes payable</w:t>
            </w:r>
            <w:r>
              <w:rPr>
                <w:rFonts w:ascii="Times New Roman" w:cs="Times New Roman" w:eastAsia="Times New Roman" w:hAnsi="Times New Roman"/>
                <w:sz w:val="20"/>
                <w:szCs w:val="20"/>
                <w:color w:val="B8BABC"/>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1,118,881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1,101,479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921,692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895,654</w:t>
            </w:r>
          </w:p>
        </w:tc>
        <w:tc>
          <w:tcPr>
            <w:tcW w:w="0" w:type="dxa"/>
            <w:vAlign w:val="bottom"/>
          </w:tcPr>
          <w:p>
            <w:pPr>
              <w:spacing w:after="0"/>
              <w:rPr>
                <w:sz w:val="1"/>
                <w:szCs w:val="1"/>
                <w:color w:val="auto"/>
              </w:rPr>
            </w:pPr>
          </w:p>
        </w:tc>
      </w:tr>
      <w:tr>
        <w:trPr>
          <w:trHeight w:val="30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231F20"/>
              </w:rPr>
              <w:t>Senior notes and debentures</w:t>
            </w:r>
            <w:r>
              <w:rPr>
                <w:rFonts w:ascii="Times New Roman" w:cs="Times New Roman" w:eastAsia="Times New Roman" w:hAnsi="Times New Roman"/>
                <w:sz w:val="20"/>
                <w:szCs w:val="20"/>
                <w:color w:val="B8BABC"/>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3,480,296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3,201,174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3,407,701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3,048,456</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As of December 31, 2023, we have five interest rate swap agreements with total notional amounts of $253.6 million that are measured at fair value on a recurring basis. We have two interest rate swap agreements associated with our Hoboken portfolio that fix the interest rate on $53.6 million of mortgage payables at 3.67% through December 15, 2029. During December 2023, we entered into three interest rate swap agreements associated with our Bethesda Row property that fix the interest rate on a $200.0 million mortgage payable at a weighted average interest rate of 5.03% through December 28, 2025.</w:t>
      </w:r>
    </w:p>
    <w:p>
      <w:pPr>
        <w:spacing w:after="0" w:line="2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2023 was an asset of $4.7 million and is included in "prepaid expenses and other assets" on our consolidated balance sheet. During 2023, the value of our interest rate swaps decreased $1.5 million (including $1.9 million reclassified from other comprehensive income as a decrease to interest expense). A summary of our financial assets that are measured at fair value on a recurring basis, by level within the fair value hierarchy is as follows:</w:t>
      </w: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820" w:type="dxa"/>
            <w:vAlign w:val="bottom"/>
            <w:tcBorders>
              <w:bottom w:val="single" w:sz="8" w:color="231F20"/>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800" w:type="dxa"/>
            <w:vAlign w:val="bottom"/>
            <w:tcBorders>
              <w:bottom w:val="single" w:sz="8" w:color="231F20"/>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8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r>
      <w:tr>
        <w:trPr>
          <w:trHeight w:val="235"/>
        </w:trPr>
        <w:tc>
          <w:tcPr>
            <w:tcW w:w="25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80" w:type="dxa"/>
            <w:vAlign w:val="bottom"/>
          </w:tcPr>
          <w:p>
            <w:pPr>
              <w:spacing w:after="0"/>
              <w:rPr>
                <w:sz w:val="20"/>
                <w:szCs w:val="20"/>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80" w:type="dxa"/>
            <w:vAlign w:val="bottom"/>
          </w:tcPr>
          <w:p>
            <w:pPr>
              <w:spacing w:after="0"/>
              <w:rPr>
                <w:sz w:val="20"/>
                <w:szCs w:val="20"/>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80" w:type="dxa"/>
            <w:vAlign w:val="bottom"/>
          </w:tcPr>
          <w:p>
            <w:pPr>
              <w:spacing w:after="0"/>
              <w:rPr>
                <w:sz w:val="20"/>
                <w:szCs w:val="20"/>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80" w:type="dxa"/>
            <w:vAlign w:val="bottom"/>
          </w:tcPr>
          <w:p>
            <w:pPr>
              <w:spacing w:after="0"/>
              <w:rPr>
                <w:sz w:val="20"/>
                <w:szCs w:val="20"/>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Total</w:t>
            </w:r>
          </w:p>
        </w:tc>
      </w:tr>
      <w:tr>
        <w:trPr>
          <w:trHeight w:val="229"/>
        </w:trPr>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3"/>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Interest rate swaps </w:t>
            </w:r>
            <w:r>
              <w:rPr>
                <w:rFonts w:ascii="Times New Roman" w:cs="Times New Roman" w:eastAsia="Times New Roman" w:hAnsi="Times New Roman"/>
                <w:sz w:val="20"/>
                <w:szCs w:val="20"/>
                <w:color w:val="B8BABC"/>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4,668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4,668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6,144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6,144</w:t>
            </w:r>
          </w:p>
        </w:tc>
      </w:tr>
    </w:tbl>
    <w:p>
      <w:pPr>
        <w:spacing w:after="0" w:line="1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231F20"/>
        </w:rPr>
        <w:t>One of our equity method investees has two interest rate swaps which qualify as cash flow hedges. At December 31, 2023 and December 31, 2022, our share of the change in fair value of the related swaps included in "accumulated other comprehensive (loss) income" was a loss of $0.3 million and income of $0.9 million,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7—COMMITMENTS AND CONTINGENCIES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231F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w:t>
      </w:r>
    </w:p>
    <w:p>
      <w:pPr>
        <w:sectPr>
          <w:pgSz w:w="12240" w:h="15840" w:orient="portrait"/>
          <w:cols w:equalWidth="0" w:num="1">
            <w:col w:w="10220"/>
          </w:cols>
          <w:pgMar w:left="1000" w:top="686" w:right="102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F-30</w:t>
      </w:r>
    </w:p>
    <w:p>
      <w:pPr>
        <w:sectPr>
          <w:pgSz w:w="12240" w:h="15840" w:orient="portrait"/>
          <w:cols w:equalWidth="0" w:num="1">
            <w:col w:w="10220"/>
          </w:cols>
          <w:pgMar w:left="1000" w:top="686" w:right="1020" w:bottom="0" w:gutter="0" w:footer="0" w:header="0"/>
          <w:type w:val="continuous"/>
        </w:sectPr>
      </w:pPr>
    </w:p>
    <w:bookmarkStart w:id="94" w:name="page95"/>
    <w:bookmarkEnd w:id="94"/>
    <w:p>
      <w:pPr>
        <w:ind w:right="120"/>
        <w:spacing w:after="0" w:line="281" w:lineRule="auto"/>
        <w:rPr>
          <w:sz w:val="20"/>
          <w:szCs w:val="20"/>
          <w:color w:val="auto"/>
        </w:rPr>
      </w:pPr>
      <w:r>
        <w:rPr>
          <w:rFonts w:ascii="Times New Roman" w:cs="Times New Roman" w:eastAsia="Times New Roman" w:hAnsi="Times New Roman"/>
          <w:sz w:val="20"/>
          <w:szCs w:val="20"/>
          <w:color w:val="231F20"/>
        </w:rPr>
        <w:t>tenant, and (2) where appropriate, due to certain matters relating to the ownership of the properties prior to their acquisition by us.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w:t>
      </w:r>
    </w:p>
    <w:p>
      <w:pPr>
        <w:spacing w:after="0" w:line="14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At December 31, 2023 and 2022, our reserves for general liability costs were $3.5 million and $3.3 million, respectively, and are included in “accounts payable and accrued expenses” in our consolidated balance sheets. Any potential losses which exceed our estimates would result in a decrease in our net income. During 2023 and 2022, we made payments from these reserves of $2.0 million and $2.3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On December 11, 2019, we received proceeds related to the sale under the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During 2022, we recorded a net reduction of our liability for condemnation and transaction costs to reflect the impact of tenant settlement and our current estimate of remaining costs. As a result, for the year ended December 31, 2022, we recognized a gain of $9.3 million. During 2023 and 2022, we incurred $1.4 million and $18.0 million of payments to tenants, respectively. At December 31, 2023, we have a liability of $3.6 million to reflect our estimate of the remaining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At December 31, 2023, we had letters of credit outstanding of approximately $6.5 million.</w:t>
      </w:r>
    </w:p>
    <w:p>
      <w:pPr>
        <w:spacing w:after="0" w:line="190"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20"/>
          <w:szCs w:val="20"/>
          <w:color w:val="231F20"/>
        </w:rPr>
        <w:t>As of December 31, 2023 in connection with capital improvement, development, and redevelopment projects, we have contractual obligations of approximately $168.4 million.</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We are obligated under operating lease agreements on several shopping centers and one office lease requiring minimum annual payments as follows, as of December 31, 2023:</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90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(In thousands)</w:t>
            </w:r>
          </w:p>
        </w:tc>
      </w:tr>
      <w:tr>
        <w:trPr>
          <w:trHeight w:val="26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Year ending December 31,</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6"/>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2024</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5,819</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5,772</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5,406</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5,042</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5,100</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194,040</w:t>
            </w:r>
          </w:p>
        </w:tc>
      </w:tr>
      <w:tr>
        <w:trPr>
          <w:trHeight w:val="262"/>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Total future minimum operating lease payments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221,179</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Less amount representing interest</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(145,309)</w:t>
            </w:r>
          </w:p>
        </w:tc>
      </w:tr>
      <w:tr>
        <w:trPr>
          <w:trHeight w:val="24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280" w:type="dxa"/>
            <w:vAlign w:val="bottom"/>
            <w:tcBorders>
              <w:bottom w:val="single" w:sz="8" w:color="231F20"/>
            </w:tcBorders>
          </w:tcPr>
          <w:p>
            <w:pPr>
              <w:jc w:val="right"/>
              <w:ind w:right="47"/>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75,870</w:t>
            </w:r>
          </w:p>
        </w:tc>
      </w:tr>
      <w:tr>
        <w:trPr>
          <w:trHeight w:val="20"/>
        </w:trPr>
        <w:tc>
          <w:tcPr>
            <w:tcW w:w="90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p>
      <w:pPr>
        <w:sectPr>
          <w:pgSz w:w="12240" w:h="15840" w:orient="portrait"/>
          <w:cols w:equalWidth="0" w:num="1">
            <w:col w:w="10240"/>
          </w:cols>
          <w:pgMar w:left="1000" w:top="633" w:right="1000" w:bottom="0" w:gutter="0" w:footer="0" w:header="0"/>
          <w:type w:val="continuous"/>
        </w:sectPr>
      </w:pPr>
    </w:p>
    <w:bookmarkStart w:id="95" w:name="page96"/>
    <w:bookmarkEnd w:id="95"/>
    <w:p>
      <w:pPr>
        <w:ind w:right="360"/>
        <w:spacing w:after="0" w:line="281" w:lineRule="auto"/>
        <w:rPr>
          <w:sz w:val="20"/>
          <w:szCs w:val="20"/>
          <w:color w:val="auto"/>
        </w:rPr>
      </w:pPr>
      <w:r>
        <w:rPr>
          <w:rFonts w:ascii="Times New Roman" w:cs="Times New Roman" w:eastAsia="Times New Roman" w:hAnsi="Times New Roman"/>
          <w:sz w:val="20"/>
          <w:szCs w:val="20"/>
          <w:color w:val="231F20"/>
        </w:rPr>
        <w:t>Future minimum lease payments and their present value for properties under finance leases as of December 31, 2023, are as follows:</w:t>
      </w: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90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(In thousands)</w:t>
            </w:r>
          </w:p>
        </w:tc>
      </w:tr>
      <w:tr>
        <w:trPr>
          <w:trHeight w:val="26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Year ending December 31,</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6"/>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2024</w:t>
            </w:r>
          </w:p>
        </w:tc>
        <w:tc>
          <w:tcPr>
            <w:tcW w:w="32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801</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67,875</w:t>
            </w:r>
          </w:p>
        </w:tc>
      </w:tr>
      <w:tr>
        <w:trPr>
          <w:trHeight w:val="262"/>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Total future minimum finance lease payments</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71,563</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Less amount representing interest</w:t>
            </w: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(58,893)</w:t>
            </w:r>
          </w:p>
        </w:tc>
      </w:tr>
      <w:tr>
        <w:trPr>
          <w:trHeight w:val="24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Finance lease liabilities</w:t>
            </w:r>
          </w:p>
        </w:tc>
        <w:tc>
          <w:tcPr>
            <w:tcW w:w="320" w:type="dxa"/>
            <w:vAlign w:val="bottom"/>
            <w:tcBorders>
              <w:bottom w:val="single" w:sz="8" w:color="231F20"/>
            </w:tcBorders>
          </w:tcPr>
          <w:p>
            <w:pPr>
              <w:jc w:val="right"/>
              <w:ind w:right="87"/>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12,670</w:t>
            </w:r>
          </w:p>
        </w:tc>
      </w:tr>
      <w:tr>
        <w:trPr>
          <w:trHeight w:val="20"/>
        </w:trPr>
        <w:tc>
          <w:tcPr>
            <w:tcW w:w="900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r>
    </w:tbl>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2023, our estimated maximum liability upon exercise of the put option would range from approximately $66 million to $69 million.</w:t>
      </w:r>
    </w:p>
    <w:p>
      <w:pPr>
        <w:spacing w:after="0" w:line="64"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20"/>
          <w:szCs w:val="20"/>
          <w:color w:val="231F20"/>
        </w:rPr>
        <w:t>A master lease for Melville Mall, as amended on October 14, 2021, includes a fixed price put option at any time prior to June 30, 2025, requiring us to purchase Melville Mall for approximately $3.6 million. Additionally, we have the right to purchase Melville Mall in 2026 for approximately $3.6 million. The consideration is net of a contract amendment fee to be paid by the landlord.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other member in The Grove at Shrewsbury and Brook 35 has the right to require us to purchase all of its approximately</w:t>
      </w:r>
    </w:p>
    <w:p>
      <w:pPr>
        <w:spacing w:after="0" w:line="3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0"/>
          <w:szCs w:val="20"/>
          <w:color w:val="231F20"/>
        </w:rPr>
        <w:t>4.1% interest in The Grove at Shrewsbury and approximately 6.5% interest in Brook 35 at the interests' then-current fair market value. Based on management's current estimate of fair market value as of December 31, 2023, our estimated maximum liability upon exercise of the put option would range from $6 million to $7 million.</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231F20"/>
        </w:rPr>
        <w:t>The other member in Hoboken has the right to require us to purchase all of its 10.0% ownership interest at the interest's then-current fair market value. Based on management's current estimate of fair market value as of December 31, 2023, our estimated maximum liability upon exercise of the put option would range from $10 million to $11 million.</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2023, our estimated maximum liability upon exercise of the put option would range from $4 million to $5 million.</w:t>
      </w:r>
    </w:p>
    <w:p>
      <w:pPr>
        <w:spacing w:after="0" w:line="6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2023, our estimated maximum liability upon exercise of the put option would range from $1 million and $2 million.</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31F20"/>
        </w:rPr>
        <w:t>Effective June 1, 2029, the other member in Grossmont Center has the right to require us to purchase all of its 40.0% ownership interest at the interest's then-current fair market value. Based on management's current estimate of fair value as of December 31, 2023, our estimated maximum liability upon exercise of the put option would range from $68 million to $73 million.</w:t>
      </w:r>
    </w:p>
    <w:p>
      <w:pPr>
        <w:spacing w:after="0" w:line="5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231F20"/>
        </w:rPr>
        <w:t>Under the terms of certain partnership agreements, the partners have the right to exchange their operating partnership units for cash or the same number of our common shares, at our option. A total of 635,431 downREIT operating partnership units are outstanding which have a total fair value of $65.5 million, based on our closing stock price on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8—SHAREHOLDERS’ EQUITY</w:t>
      </w:r>
    </w:p>
    <w:p>
      <w:pPr>
        <w:spacing w:after="0" w:line="11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0"/>
          <w:szCs w:val="20"/>
          <w:color w:val="231F20"/>
        </w:rPr>
        <w:t>We have a Dividend Reinvestment Plan (the “Plan”), whereby shareholders may use their dividends and optional cash payments to purchase shares. In 2023, 2022 and 2021, 19,847 shares, 19,502 shares, and 19,758 shares, respectively, were issued under the Plan.</w:t>
      </w:r>
    </w:p>
    <w:p>
      <w:pPr>
        <w:spacing w:after="0" w:line="55"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9"/>
          <w:szCs w:val="19"/>
          <w:color w:val="231F20"/>
        </w:rPr>
        <w:t>As of December 31, 2023, 2022, and 2021, we had 6,000,000 Depositary Shares outstanding, each representing 1/1000th interest of 5.0% Series C Cumulative Redeemable Preferred Share, par value $0.01 per share ("Series C Preferred Shares"), at</w:t>
      </w:r>
    </w:p>
    <w:p>
      <w:pPr>
        <w:sectPr>
          <w:pgSz w:w="12240" w:h="15840" w:orient="portrait"/>
          <w:cols w:equalWidth="0" w:num="1">
            <w:col w:w="10240"/>
          </w:cols>
          <w:pgMar w:left="1000" w:top="633" w:right="100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F-32</w:t>
      </w:r>
    </w:p>
    <w:p>
      <w:pPr>
        <w:sectPr>
          <w:pgSz w:w="12240" w:h="15840" w:orient="portrait"/>
          <w:cols w:equalWidth="0" w:num="1">
            <w:col w:w="10240"/>
          </w:cols>
          <w:pgMar w:left="1000" w:top="633" w:right="1000" w:bottom="0" w:gutter="0" w:footer="0" w:header="0"/>
          <w:type w:val="continuous"/>
        </w:sectPr>
      </w:pPr>
    </w:p>
    <w:bookmarkStart w:id="96" w:name="page97"/>
    <w:bookmarkEnd w:id="96"/>
    <w:p>
      <w:pPr>
        <w:ind w:right="460"/>
        <w:spacing w:after="0" w:line="260" w:lineRule="auto"/>
        <w:rPr>
          <w:sz w:val="20"/>
          <w:szCs w:val="20"/>
          <w:color w:val="auto"/>
        </w:rPr>
      </w:pPr>
      <w:r>
        <w:rPr>
          <w:rFonts w:ascii="Times New Roman" w:cs="Times New Roman" w:eastAsia="Times New Roman" w:hAnsi="Times New Roman"/>
          <w:sz w:val="20"/>
          <w:szCs w:val="20"/>
          <w:color w:val="231F20"/>
        </w:rPr>
        <w:t>the liquidation preference of $25.00 per depositary share (or $25,000 per Series C Preferred share). The Series C Preferred Shares accrue dividends at a rate of 5.0% of the $25,000 liquidation preference per year and are redeemable at our option. Additionally, they are not convertible and holders of these shares generally have no voting rights, unless we fail to pay dividends for six or more quarters.</w:t>
      </w:r>
    </w:p>
    <w:p>
      <w:pPr>
        <w:spacing w:after="0" w:line="12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231F20"/>
        </w:rPr>
        <w:t>As of December 31, 2023 and 2022, we had 392,878 shares of 5.417% Series 1 Cumulative Convertible Preferred Shares (“Series 1 Preferred Shares”) outstanding that have a liquidation preference of $25 per share and par value $0.01 per share, and 399,896 shares at December 31, 2021. The Series 1 Preferred Shares accrue dividends at a rate of 5.417% per year and are convertible at any time by the holders to our common shares at a conversion rate of $104.69 per share. On June 15, 2022, one of our Series 1 Preferred shareholders converted 7,018 preferred shares to 1,675 common shares. The Series 1 Preferred Shares are also convertible under certain circumstances at our election. The holders of the Series 1 Preferred Shares have no voting rights.</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On February 14, 2022, we replaced our existing at-the-market (“ATM”) equity program with a new ATM equity program in which we may from time to time offer and sell common shares having an aggregate offering price of up to $500.0 million. The ATM equity program also allows shares to be sold through forward sales contracts. We intend to use the net proceeds from ATM equity program issuances to fund potential acquisition opportunities, fund our development and redevelopment pipeline, repay indebtedness and/or for general corporate purposes.</w:t>
      </w:r>
    </w:p>
    <w:p>
      <w:pPr>
        <w:spacing w:after="0" w:line="6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For the year ended December 31, 2023, we sold 1,372,889 common shares (of which, 62,895 settled on January 2, 2024) at a weighted average price per share of $101.89 for net cash proceeds of $138.3 million including paying $1.4 million in commissions and $0.2 million in additional offering expenses related to the sales of these common shares. For the year ended December 31, 2022, we issued 430,473 common shares at a weighted average price per share of $111.49 for net cash proceeds of $47.4 million and paid $0.5 million in commissions and $0.1 million in additional offering expenses related to the sales of these common shares. As of December 31, 2023, we have the remaining capacity to issue up to $312.1 million in common shares under our ATM equity program.</w:t>
      </w:r>
    </w:p>
    <w:p>
      <w:pPr>
        <w:spacing w:after="0" w:line="7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During 2022, we settled forward sales contracts by issuing 2,203,655 common shares for net proceeds of $259.4 million. We have no outstanding forward sales agreements as of December 31, 2023.</w:t>
      </w:r>
    </w:p>
    <w:p>
      <w:pPr>
        <w:spacing w:after="0" w:line="41"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231F20"/>
        </w:rPr>
        <w:t>Effective May 4, 2023, our Declaration of Trust was amended to increase the number of authorized common shares of beneficial interest to 200,000,000.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9—DIVIDENDS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provides a summary of dividends declared and paid per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1880" w:type="dxa"/>
            <w:vAlign w:val="bottom"/>
            <w:tcBorders>
              <w:bottom w:val="single" w:sz="8" w:color="231F20"/>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2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r>
      <w:tr>
        <w:trPr>
          <w:trHeight w:val="235"/>
        </w:trPr>
        <w:tc>
          <w:tcPr>
            <w:tcW w:w="49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2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62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20" w:type="dxa"/>
            <w:vAlign w:val="bottom"/>
            <w:tcBorders>
              <w:bottom w:val="single" w:sz="8" w:color="231F20"/>
            </w:tcBorders>
          </w:tcPr>
          <w:p>
            <w:pPr>
              <w:spacing w:after="0"/>
              <w:rPr>
                <w:sz w:val="20"/>
                <w:szCs w:val="20"/>
                <w:color w:val="auto"/>
              </w:rPr>
            </w:pPr>
          </w:p>
        </w:tc>
      </w:tr>
      <w:tr>
        <w:trPr>
          <w:trHeight w:val="235"/>
        </w:trPr>
        <w:tc>
          <w:tcPr>
            <w:tcW w:w="4920" w:type="dxa"/>
            <w:vAlign w:val="bottom"/>
          </w:tcPr>
          <w:p>
            <w:pPr>
              <w:spacing w:after="0"/>
              <w:rPr>
                <w:sz w:val="20"/>
                <w:szCs w:val="20"/>
                <w:color w:val="auto"/>
              </w:rPr>
            </w:pPr>
          </w:p>
        </w:tc>
        <w:tc>
          <w:tcPr>
            <w:tcW w:w="820" w:type="dxa"/>
            <w:vAlign w:val="bottom"/>
            <w:tcBorders>
              <w:bottom w:val="single" w:sz="8" w:color="231F20"/>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rPr>
              <w:t>Declared</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Paid</w:t>
            </w:r>
          </w:p>
        </w:tc>
        <w:tc>
          <w:tcPr>
            <w:tcW w:w="80" w:type="dxa"/>
            <w:vAlign w:val="bottom"/>
          </w:tcPr>
          <w:p>
            <w:pPr>
              <w:spacing w:after="0"/>
              <w:rPr>
                <w:sz w:val="20"/>
                <w:szCs w:val="20"/>
                <w:color w:val="auto"/>
              </w:rPr>
            </w:pPr>
          </w:p>
        </w:tc>
        <w:tc>
          <w:tcPr>
            <w:tcW w:w="820" w:type="dxa"/>
            <w:vAlign w:val="bottom"/>
            <w:tcBorders>
              <w:bottom w:val="single" w:sz="8" w:color="231F20"/>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rPr>
              <w:t>Declared</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Paid</w:t>
            </w:r>
          </w:p>
        </w:tc>
        <w:tc>
          <w:tcPr>
            <w:tcW w:w="80" w:type="dxa"/>
            <w:vAlign w:val="bottom"/>
          </w:tcPr>
          <w:p>
            <w:pPr>
              <w:spacing w:after="0"/>
              <w:rPr>
                <w:sz w:val="20"/>
                <w:szCs w:val="20"/>
                <w:color w:val="auto"/>
              </w:rPr>
            </w:pPr>
          </w:p>
        </w:tc>
        <w:tc>
          <w:tcPr>
            <w:tcW w:w="820" w:type="dxa"/>
            <w:vAlign w:val="bottom"/>
            <w:tcBorders>
              <w:bottom w:val="single" w:sz="8" w:color="231F20"/>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rPr>
              <w:t>Declared</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Paid</w:t>
            </w:r>
          </w:p>
        </w:tc>
      </w:tr>
      <w:tr>
        <w:trPr>
          <w:trHeight w:val="277"/>
        </w:trPr>
        <w:tc>
          <w:tcPr>
            <w:tcW w:w="49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Commonshares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4.340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4.290</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4.260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4.250</w:t>
            </w:r>
          </w:p>
        </w:tc>
      </w:tr>
      <w:tr>
        <w:trPr>
          <w:trHeight w:val="300"/>
        </w:trPr>
        <w:tc>
          <w:tcPr>
            <w:tcW w:w="4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5.417% Series 1 Cumulative Convertible Preferred shares </w:t>
            </w:r>
            <w:r>
              <w:rPr>
                <w:rFonts w:ascii="Times New Roman" w:cs="Times New Roman" w:eastAsia="Times New Roman" w:hAnsi="Times New Roman"/>
                <w:sz w:val="20"/>
                <w:szCs w:val="20"/>
                <w:color w:val="B8BABC"/>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r>
      <w:tr>
        <w:trPr>
          <w:trHeight w:val="303"/>
        </w:trPr>
        <w:tc>
          <w:tcPr>
            <w:tcW w:w="4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 Series C Cumulative Redeemable Preferred shares (1)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r>
    </w:tbl>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(1) Amount represents dividends per depositary share, each representing 1/1000th of a share.</w:t>
      </w: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F-33</w:t>
      </w:r>
    </w:p>
    <w:p>
      <w:pPr>
        <w:sectPr>
          <w:pgSz w:w="12240" w:h="15840" w:orient="portrait"/>
          <w:cols w:equalWidth="0" w:num="1">
            <w:col w:w="10240"/>
          </w:cols>
          <w:pgMar w:left="1000" w:top="633" w:right="100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231F20"/>
        </w:rPr>
        <w:t>A summary of the income tax status of dividends per share paid is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600" w:type="dxa"/>
            <w:vAlign w:val="bottom"/>
            <w:tcBorders>
              <w:bottom w:val="single" w:sz="8" w:color="231F20"/>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4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4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Common shares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Ordinary dividend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3.551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3.358</w:t>
            </w:r>
          </w:p>
        </w:tc>
        <w:tc>
          <w:tcPr>
            <w:tcW w:w="0" w:type="dxa"/>
            <w:vAlign w:val="bottom"/>
          </w:tcPr>
          <w:p>
            <w:pPr>
              <w:spacing w:after="0"/>
              <w:rPr>
                <w:sz w:val="1"/>
                <w:szCs w:val="1"/>
                <w:color w:val="auto"/>
              </w:rPr>
            </w:pPr>
          </w:p>
        </w:tc>
      </w:tr>
      <w:tr>
        <w:trPr>
          <w:trHeight w:val="285"/>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Capital gain</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0.130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0.772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0.680</w:t>
            </w:r>
          </w:p>
        </w:tc>
        <w:tc>
          <w:tcPr>
            <w:tcW w:w="0" w:type="dxa"/>
            <w:vAlign w:val="bottom"/>
          </w:tcPr>
          <w:p>
            <w:pPr>
              <w:spacing w:after="0"/>
              <w:rPr>
                <w:sz w:val="1"/>
                <w:szCs w:val="1"/>
                <w:color w:val="auto"/>
              </w:rPr>
            </w:pPr>
          </w:p>
        </w:tc>
      </w:tr>
      <w:tr>
        <w:trPr>
          <w:trHeight w:val="288"/>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Return of capital</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0.649</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0.212</w:t>
            </w: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4.330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5.417% Series 1 Cumulative Convertible Preferred shares</w:t>
            </w: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Ordinary dividend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1.313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1.124</w:t>
            </w:r>
          </w:p>
        </w:tc>
        <w:tc>
          <w:tcPr>
            <w:tcW w:w="0" w:type="dxa"/>
            <w:vAlign w:val="bottom"/>
          </w:tcPr>
          <w:p>
            <w:pPr>
              <w:spacing w:after="0"/>
              <w:rPr>
                <w:sz w:val="1"/>
                <w:szCs w:val="1"/>
                <w:color w:val="auto"/>
              </w:rPr>
            </w:pPr>
          </w:p>
        </w:tc>
      </w:tr>
      <w:tr>
        <w:trPr>
          <w:trHeight w:val="288"/>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Capital gain</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0.041</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0.244</w:t>
            </w:r>
          </w:p>
        </w:tc>
        <w:tc>
          <w:tcPr>
            <w:tcW w:w="8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0.230</w:t>
            </w: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1.354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1.354</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5.0% Series C Cumulative Redeemable Preferred shares</w:t>
            </w: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Ordinary dividend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1.213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1.038</w:t>
            </w:r>
          </w:p>
        </w:tc>
        <w:tc>
          <w:tcPr>
            <w:tcW w:w="0" w:type="dxa"/>
            <w:vAlign w:val="bottom"/>
          </w:tcPr>
          <w:p>
            <w:pPr>
              <w:spacing w:after="0"/>
              <w:rPr>
                <w:sz w:val="1"/>
                <w:szCs w:val="1"/>
                <w:color w:val="auto"/>
              </w:rPr>
            </w:pPr>
          </w:p>
        </w:tc>
      </w:tr>
      <w:tr>
        <w:trPr>
          <w:trHeight w:val="288"/>
        </w:trPr>
        <w:tc>
          <w:tcPr>
            <w:tcW w:w="64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Capital gain</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0.037</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0.225</w:t>
            </w:r>
          </w:p>
        </w:tc>
        <w:tc>
          <w:tcPr>
            <w:tcW w:w="8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0.212</w:t>
            </w: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1.250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On November 2, 2023, the Trustees declared a quarterly cash dividend of $1.09 per common share, payable January 16, 2024 to common shareholders of record on January 2,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10— LEASES</w:t>
      </w:r>
    </w:p>
    <w:p>
      <w:pPr>
        <w:spacing w:after="0" w:line="1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At December 31, 2023, our 102 predominantly retail shopping center and mixed-use properties are located in 12 states and the District of Columbia. There are approximately 3,300 commercial leases and 3,100 residential leases. Our commercial tenants range from sole proprietorships to national retailers and corporations. At December 31, 2023, no one tenant or corporate group of tenants accounted for more than 2.7% of annualized base rent.</w:t>
      </w:r>
    </w:p>
    <w:p>
      <w:pPr>
        <w:spacing w:after="0" w:line="14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231F20"/>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14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As of December 31, 2023, future minimum rentals from noncancelable commercial operating leases (excluding both tenant reimbursements of operating expenses and percentage rent based on tenants' sales)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90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(In thousands)</w:t>
            </w:r>
          </w:p>
        </w:tc>
      </w:tr>
      <w:tr>
        <w:trPr>
          <w:trHeight w:val="26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Year ending December 31,</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6"/>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2024</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725,458</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667,483</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601,092</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528,854</w:t>
            </w:r>
          </w:p>
        </w:tc>
      </w:tr>
      <w:tr>
        <w:trPr>
          <w:trHeight w:val="28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424,229</w:t>
            </w:r>
          </w:p>
        </w:tc>
      </w:tr>
      <w:tr>
        <w:trPr>
          <w:trHeight w:val="288"/>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1,680,181</w:t>
            </w:r>
          </w:p>
        </w:tc>
      </w:tr>
      <w:tr>
        <w:trPr>
          <w:trHeight w:val="245"/>
        </w:trPr>
        <w:tc>
          <w:tcPr>
            <w:tcW w:w="9000" w:type="dxa"/>
            <w:vAlign w:val="bottom"/>
          </w:tcPr>
          <w:p>
            <w:pPr>
              <w:spacing w:after="0"/>
              <w:rPr>
                <w:sz w:val="21"/>
                <w:szCs w:val="21"/>
                <w:color w:val="auto"/>
              </w:rPr>
            </w:pPr>
          </w:p>
        </w:tc>
        <w:tc>
          <w:tcPr>
            <w:tcW w:w="24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4,627,297</w:t>
            </w:r>
          </w:p>
        </w:tc>
      </w:tr>
      <w:tr>
        <w:trPr>
          <w:trHeight w:val="20"/>
        </w:trPr>
        <w:tc>
          <w:tcPr>
            <w:tcW w:w="90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F-34</w:t>
      </w:r>
    </w:p>
    <w:p>
      <w:pPr>
        <w:sectPr>
          <w:pgSz w:w="12240" w:h="15840" w:orient="portrait"/>
          <w:cols w:equalWidth="0" w:num="1">
            <w:col w:w="10240"/>
          </w:cols>
          <w:pgMar w:left="1000" w:top="633" w:right="10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231F20"/>
        </w:rPr>
        <w:t>The following table provides additional information on our operating and finance leases where we are the lessee: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2100" w:type="dxa"/>
            <w:vAlign w:val="bottom"/>
            <w:tcBorders>
              <w:bottom w:val="single" w:sz="8" w:color="231F20"/>
            </w:tcBorders>
            <w:gridSpan w:val="9"/>
          </w:tcPr>
          <w:p>
            <w:pPr>
              <w:jc w:val="center"/>
              <w:ind w:left="4"/>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Borders>
              <w:bottom w:val="single" w:sz="8" w:color="231F20"/>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3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60" w:type="dxa"/>
            <w:vAlign w:val="bottom"/>
            <w:tcBorders>
              <w:bottom w:val="single" w:sz="8" w:color="231F20"/>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LEASE COST:</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Finance lease cost:</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Amortization of right-of-use assets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998</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1,251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1,284</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Interest on lease liabilities</w:t>
            </w:r>
          </w:p>
        </w:tc>
        <w:tc>
          <w:tcPr>
            <w:tcW w:w="3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4,332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5,743</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5,828</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Operating lease cost</w:t>
            </w:r>
          </w:p>
        </w:tc>
        <w:tc>
          <w:tcPr>
            <w:tcW w:w="3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6,232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6,138</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5,687</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Variable lease cost</w:t>
            </w:r>
          </w:p>
        </w:tc>
        <w:tc>
          <w:tcPr>
            <w:tcW w:w="36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3"/>
              </w:rPr>
              <w:t>348</w:t>
            </w:r>
          </w:p>
        </w:tc>
        <w:tc>
          <w:tcPr>
            <w:tcW w:w="60" w:type="dxa"/>
            <w:vAlign w:val="bottom"/>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309</w:t>
            </w:r>
          </w:p>
        </w:tc>
        <w:tc>
          <w:tcPr>
            <w:tcW w:w="260" w:type="dxa"/>
            <w:vAlign w:val="bottom"/>
            <w:tcBorders>
              <w:bottom w:val="single" w:sz="8" w:color="231F20"/>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246</w:t>
            </w:r>
          </w:p>
        </w:tc>
        <w:tc>
          <w:tcPr>
            <w:tcW w:w="18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231F20"/>
              </w:rPr>
              <w:t>Total lease cost</w:t>
            </w:r>
          </w:p>
        </w:tc>
        <w:tc>
          <w:tcPr>
            <w:tcW w:w="360" w:type="dxa"/>
            <w:vAlign w:val="bottom"/>
            <w:tcBorders>
              <w:bottom w:val="single" w:sz="8" w:color="231F20"/>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231F20"/>
              </w:rPr>
              <w:t>11,910</w:t>
            </w:r>
          </w:p>
        </w:tc>
        <w:tc>
          <w:tcPr>
            <w:tcW w:w="60" w:type="dxa"/>
            <w:vAlign w:val="bottom"/>
          </w:tcPr>
          <w:p>
            <w:pPr>
              <w:spacing w:after="0"/>
              <w:rPr>
                <w:sz w:val="18"/>
                <w:szCs w:val="18"/>
                <w:color w:val="auto"/>
              </w:rPr>
            </w:pPr>
          </w:p>
        </w:tc>
        <w:tc>
          <w:tcPr>
            <w:tcW w:w="480" w:type="dxa"/>
            <w:vAlign w:val="bottom"/>
            <w:tcBorders>
              <w:bottom w:val="single" w:sz="8" w:color="231F20"/>
            </w:tcBorders>
          </w:tcPr>
          <w:p>
            <w:pPr>
              <w:jc w:val="right"/>
              <w:ind w:right="233"/>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640" w:type="dxa"/>
            <w:vAlign w:val="bottom"/>
            <w:tcBorders>
              <w:bottom w:val="single" w:sz="8" w:color="231F20"/>
            </w:tcBorders>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231F20"/>
              </w:rPr>
              <w:t>13,441</w:t>
            </w:r>
          </w:p>
        </w:tc>
        <w:tc>
          <w:tcPr>
            <w:tcW w:w="26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13,045</w:t>
            </w:r>
          </w:p>
        </w:tc>
        <w:tc>
          <w:tcPr>
            <w:tcW w:w="18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OTHER INFORMATION:</w:t>
            </w:r>
          </w:p>
        </w:tc>
        <w:tc>
          <w:tcPr>
            <w:tcW w:w="36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Cash paid for amounts included in the measurement of lease liabilities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Operating cash flows for finance leases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4,227</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5,642</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5,723</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Operating cash flows for operating leases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6,146</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5,644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5,288</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4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Financing cash flows for finance leases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55,228</w:t>
            </w: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70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Weighted-average remaining term - finance leases</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Borders>
              <w:bottom w:val="single" w:sz="8" w:color="231F20"/>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0"/>
                <w:szCs w:val="20"/>
                <w:color w:val="231F20"/>
                <w:w w:val="99"/>
              </w:rPr>
              <w:t>70.6 years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0"/>
                <w:szCs w:val="20"/>
                <w:color w:val="231F20"/>
              </w:rPr>
              <w:t>13.9 years</w:t>
            </w: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Weighted-average remaining term - operating leases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gridSpan w:val="6"/>
          </w:tcPr>
          <w:p>
            <w:pPr>
              <w:jc w:val="right"/>
              <w:ind w:right="240"/>
              <w:spacing w:after="0"/>
              <w:rPr>
                <w:sz w:val="20"/>
                <w:szCs w:val="20"/>
                <w:color w:val="auto"/>
              </w:rPr>
            </w:pPr>
            <w:r>
              <w:rPr>
                <w:rFonts w:ascii="Times New Roman" w:cs="Times New Roman" w:eastAsia="Times New Roman" w:hAnsi="Times New Roman"/>
                <w:sz w:val="20"/>
                <w:szCs w:val="20"/>
                <w:color w:val="231F20"/>
                <w:w w:val="99"/>
              </w:rPr>
              <w:t>53.6 years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53.3 years</w:t>
            </w:r>
          </w:p>
        </w:tc>
        <w:tc>
          <w:tcPr>
            <w:tcW w:w="0" w:type="dxa"/>
            <w:vAlign w:val="bottom"/>
          </w:tcPr>
          <w:p>
            <w:pPr>
              <w:spacing w:after="0"/>
              <w:rPr>
                <w:sz w:val="1"/>
                <w:szCs w:val="1"/>
                <w:color w:val="auto"/>
              </w:rPr>
            </w:pPr>
          </w:p>
        </w:tc>
      </w:tr>
      <w:tr>
        <w:trPr>
          <w:trHeight w:val="255"/>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Weighted-average discount rate - finance leases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6.5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Weighted-average discount rate - operating leases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4.8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4"/>
        </w:trPr>
        <w:tc>
          <w:tcPr>
            <w:tcW w:w="5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ROU assets obtained in exchange for operating lease liabilities</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gridSpan w:val="2"/>
          </w:tcPr>
          <w:p>
            <w:pPr>
              <w:jc w:val="right"/>
              <w:ind w:right="233"/>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6,476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9"/>
        </w:trPr>
        <w:tc>
          <w:tcPr>
            <w:tcW w:w="58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NOTE 11—COMPONENTS OF RENTAL EXPENSES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231F20"/>
              </w:rPr>
              <w:t>The principal components of rental expenses are as follows: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640" w:type="dxa"/>
            <w:vAlign w:val="bottom"/>
            <w:tcBorders>
              <w:bottom w:val="single" w:sz="8" w:color="231F20"/>
            </w:tcBorders>
            <w:gridSpan w:val="10"/>
          </w:tcPr>
          <w:p>
            <w:pPr>
              <w:jc w:val="center"/>
              <w:ind w:right="322"/>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18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gridSpan w:val="3"/>
          </w:tcPr>
          <w:p>
            <w:pPr>
              <w:jc w:val="right"/>
              <w:ind w:right="29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6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Borders>
              <w:bottom w:val="single" w:sz="8" w:color="231F2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Repairs and maintenance</w:t>
            </w:r>
          </w:p>
        </w:tc>
        <w:tc>
          <w:tcPr>
            <w:tcW w:w="3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87,349</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90,343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78,028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Utilities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35,109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34,226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27,808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Management fees and costs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30,203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27,416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24,919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Payroll</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20,598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19,693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18,341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Insurance</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18,273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16,380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14,406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Marketing</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7,978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7"/>
              </w:rPr>
              <w:t>7,814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7,481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Ground rent</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7"/>
              </w:rPr>
              <w:t>5,303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7"/>
              </w:rPr>
              <w:t>5,092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Other operating</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26,853</w:t>
            </w:r>
          </w:p>
        </w:tc>
        <w:tc>
          <w:tcPr>
            <w:tcW w:w="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20"/>
                <w:szCs w:val="20"/>
                <w:color w:val="231F20"/>
              </w:rPr>
              <w:t>27,994</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22,567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Total rental expenses</w:t>
            </w:r>
          </w:p>
        </w:tc>
        <w:tc>
          <w:tcPr>
            <w:tcW w:w="3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231,666</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228,958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198,121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-1812290</wp:posOffset>
            </wp:positionV>
            <wp:extent cx="72072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720725" cy="254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12—SHARE-BASED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share-based compensation expense included in net income is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600" w:type="dxa"/>
            <w:vAlign w:val="bottom"/>
            <w:tcBorders>
              <w:bottom w:val="single" w:sz="8" w:color="231F20"/>
            </w:tcBorders>
            <w:gridSpan w:val="6"/>
          </w:tcPr>
          <w:p>
            <w:pPr>
              <w:jc w:val="center"/>
              <w:ind w:left="468"/>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Borders>
              <w:bottom w:val="single" w:sz="8" w:color="231F20"/>
            </w:tcBorders>
          </w:tcPr>
          <w:p>
            <w:pPr>
              <w:spacing w:after="0"/>
              <w:rPr>
                <w:sz w:val="18"/>
                <w:szCs w:val="18"/>
                <w:color w:val="auto"/>
              </w:rPr>
            </w:pPr>
          </w:p>
        </w:tc>
      </w:tr>
      <w:tr>
        <w:trPr>
          <w:trHeight w:val="235"/>
        </w:trPr>
        <w:tc>
          <w:tcPr>
            <w:tcW w:w="644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center"/>
              <w:ind w:right="205"/>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29"/>
        </w:trPr>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60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Grants of common shares, restricted stock units, and options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15,427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15,018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14,434</w:t>
            </w:r>
          </w:p>
        </w:tc>
      </w:tr>
      <w:tr>
        <w:trPr>
          <w:trHeight w:val="30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Capitalized share-based compensation</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(1,119)</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(1,314)</w:t>
            </w:r>
          </w:p>
        </w:tc>
        <w:tc>
          <w:tcPr>
            <w:tcW w:w="8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(1,425)</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Share-based compensation expense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14,308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13,704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13,009</w:t>
            </w:r>
          </w:p>
        </w:tc>
      </w:tr>
      <w:tr>
        <w:trPr>
          <w:trHeight w:val="20"/>
        </w:trPr>
        <w:tc>
          <w:tcPr>
            <w:tcW w:w="64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633" w:right="100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F-35</w:t>
      </w:r>
    </w:p>
    <w:p>
      <w:pPr>
        <w:sectPr>
          <w:pgSz w:w="12240" w:h="15840" w:orient="portrait"/>
          <w:cols w:equalWidth="0" w:num="1">
            <w:col w:w="10240"/>
          </w:cols>
          <w:pgMar w:left="1000" w:top="633" w:right="1000" w:bottom="0" w:gutter="0" w:footer="0" w:header="0"/>
          <w:type w:val="continuous"/>
        </w:sectPr>
      </w:pPr>
    </w:p>
    <w:bookmarkStart w:id="99" w:name="page100"/>
    <w:bookmarkEnd w:id="99"/>
    <w:p>
      <w:pPr>
        <w:ind w:right="140"/>
        <w:spacing w:after="0" w:line="258" w:lineRule="auto"/>
        <w:rPr>
          <w:sz w:val="20"/>
          <w:szCs w:val="20"/>
          <w:color w:val="auto"/>
        </w:rPr>
      </w:pPr>
      <w:r>
        <w:rPr>
          <w:rFonts w:ascii="Times New Roman" w:cs="Times New Roman" w:eastAsia="Times New Roman" w:hAnsi="Times New Roman"/>
          <w:sz w:val="20"/>
          <w:szCs w:val="20"/>
          <w:color w:val="231F20"/>
        </w:rPr>
        <w:t>As of December 31, 2023, we have grants outstanding under two share-based compensation plans. In May 2020, our shareholders approved the 2020 Performance Incentive Plan ("the 2020 Plan"), which authorized the grant of share options, 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spacing w:after="0" w:line="14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2023 and 2022. The following table provides a summary of the assumptions used to value options granted in 2021:</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r>
      <w:tr>
        <w:trPr>
          <w:trHeight w:val="214"/>
        </w:trPr>
        <w:tc>
          <w:tcPr>
            <w:tcW w:w="8980" w:type="dxa"/>
            <w:vAlign w:val="bottom"/>
          </w:tcPr>
          <w:p>
            <w:pPr>
              <w:spacing w:after="0"/>
              <w:rPr>
                <w:sz w:val="18"/>
                <w:szCs w:val="18"/>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r>
      <w:tr>
        <w:trPr>
          <w:trHeight w:val="280"/>
        </w:trPr>
        <w:tc>
          <w:tcPr>
            <w:tcW w:w="8980" w:type="dxa"/>
            <w:vAlign w:val="bottom"/>
          </w:tcPr>
          <w:p>
            <w:pPr>
              <w:spacing w:after="0"/>
              <w:rPr>
                <w:sz w:val="24"/>
                <w:szCs w:val="24"/>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2021</w:t>
            </w:r>
          </w:p>
        </w:tc>
      </w:tr>
      <w:tr>
        <w:trPr>
          <w:trHeight w:val="277"/>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231F20"/>
              </w:rPr>
              <w:t>Volatility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29.3 %</w:t>
            </w:r>
          </w:p>
        </w:tc>
      </w:tr>
      <w:tr>
        <w:trPr>
          <w:trHeight w:val="300"/>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4.1 %</w:t>
            </w:r>
          </w:p>
        </w:tc>
      </w:tr>
      <w:tr>
        <w:trPr>
          <w:trHeight w:val="300"/>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231F20"/>
              </w:rPr>
              <w:t>Expected term (in years)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r>
      <w:tr>
        <w:trPr>
          <w:trHeight w:val="300"/>
        </w:trPr>
        <w:tc>
          <w:tcPr>
            <w:tcW w:w="8980" w:type="dxa"/>
            <w:vAlign w:val="bottom"/>
          </w:tcPr>
          <w:p>
            <w:pPr>
              <w:spacing w:after="0"/>
              <w:rPr>
                <w:sz w:val="20"/>
                <w:szCs w:val="20"/>
                <w:color w:val="auto"/>
              </w:rPr>
            </w:pPr>
            <w:r>
              <w:rPr>
                <w:rFonts w:ascii="Times New Roman" w:cs="Times New Roman" w:eastAsia="Times New Roman" w:hAnsi="Times New Roman"/>
                <w:sz w:val="20"/>
                <w:szCs w:val="20"/>
                <w:color w:val="231F20"/>
              </w:rPr>
              <w:t>Risk free interest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0.9 %</w:t>
            </w:r>
          </w:p>
        </w:tc>
      </w:tr>
    </w:tbl>
    <w:p>
      <w:pPr>
        <w:spacing w:after="0" w:line="13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231F20"/>
        </w:rPr>
        <w:t>The weighted-average grant-date fair value of options granted in 2021 was $16.40 per share. The following table provides a summary of option activity for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4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center"/>
              <w:ind w:right="248"/>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400" w:type="dxa"/>
            <w:vAlign w:val="bottom"/>
          </w:tcPr>
          <w:p>
            <w:pPr>
              <w:ind w:left="480"/>
              <w:spacing w:after="0" w:line="160" w:lineRule="exact"/>
              <w:rPr>
                <w:sz w:val="20"/>
                <w:szCs w:val="20"/>
                <w:color w:val="auto"/>
              </w:rPr>
            </w:pPr>
            <w:r>
              <w:rPr>
                <w:rFonts w:ascii="Times New Roman" w:cs="Times New Roman" w:eastAsia="Times New Roman" w:hAnsi="Times New Roman"/>
                <w:sz w:val="16"/>
                <w:szCs w:val="16"/>
                <w:b w:val="1"/>
                <w:bCs w:val="1"/>
                <w:color w:val="231F20"/>
              </w:rPr>
              <w:t>Under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Remaining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Intrinsic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400" w:type="dxa"/>
            <w:vAlign w:val="bottom"/>
            <w:tcBorders>
              <w:bottom w:val="single" w:sz="8" w:color="231F20"/>
            </w:tcBorders>
          </w:tcPr>
          <w:p>
            <w:pPr>
              <w:ind w:left="460"/>
              <w:spacing w:after="0"/>
              <w:rPr>
                <w:sz w:val="20"/>
                <w:szCs w:val="20"/>
                <w:color w:val="auto"/>
              </w:rPr>
            </w:pPr>
            <w:r>
              <w:rPr>
                <w:rFonts w:ascii="Times New Roman" w:cs="Times New Roman" w:eastAsia="Times New Roman" w:hAnsi="Times New Roman"/>
                <w:sz w:val="16"/>
                <w:szCs w:val="16"/>
                <w:b w:val="1"/>
                <w:bCs w:val="1"/>
                <w:color w:val="231F20"/>
              </w:rPr>
              <w:t>Option</w:t>
            </w:r>
          </w:p>
        </w:tc>
        <w:tc>
          <w:tcPr>
            <w:tcW w:w="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center"/>
              <w:ind w:right="228"/>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60" w:type="dxa"/>
            <w:vAlign w:val="bottom"/>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Contractual Term</w:t>
            </w:r>
          </w:p>
        </w:tc>
        <w:tc>
          <w:tcPr>
            <w:tcW w:w="80" w:type="dxa"/>
            <w:vAlign w:val="bottom"/>
            <w:gridSpan w:val="2"/>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Outstanding at December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95.77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Forfeited or expired</w:t>
            </w: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Outstanding at December 31, 2023</w:t>
            </w: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1,829</w:t>
            </w:r>
          </w:p>
        </w:tc>
        <w:tc>
          <w:tcPr>
            <w:tcW w:w="80" w:type="dxa"/>
            <w:vAlign w:val="bottom"/>
          </w:tcPr>
          <w:p>
            <w:pPr>
              <w:spacing w:after="0"/>
              <w:rPr>
                <w:sz w:val="21"/>
                <w:szCs w:val="21"/>
                <w:color w:val="auto"/>
              </w:rPr>
            </w:pPr>
          </w:p>
        </w:tc>
        <w:tc>
          <w:tcPr>
            <w:tcW w:w="32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95.77</w:t>
            </w:r>
          </w:p>
        </w:tc>
        <w:tc>
          <w:tcPr>
            <w:tcW w:w="60" w:type="dxa"/>
            <w:vAlign w:val="bottom"/>
          </w:tcPr>
          <w:p>
            <w:pPr>
              <w:spacing w:after="0"/>
              <w:rPr>
                <w:sz w:val="21"/>
                <w:szCs w:val="21"/>
                <w:color w:val="auto"/>
              </w:rPr>
            </w:pPr>
          </w:p>
        </w:tc>
        <w:tc>
          <w:tcPr>
            <w:tcW w:w="14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231F20"/>
              </w:rPr>
              <w:t>Exercisable at December 31, 2023</w:t>
            </w:r>
          </w:p>
        </w:tc>
        <w:tc>
          <w:tcPr>
            <w:tcW w:w="1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380" w:type="dxa"/>
            <w:vAlign w:val="bottom"/>
            <w:vMerge w:val="continue"/>
          </w:tcPr>
          <w:p>
            <w:pPr>
              <w:spacing w:after="0"/>
              <w:rPr>
                <w:sz w:val="19"/>
                <w:szCs w:val="19"/>
                <w:color w:val="auto"/>
              </w:rPr>
            </w:pPr>
          </w:p>
        </w:tc>
        <w:tc>
          <w:tcPr>
            <w:tcW w:w="140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732</w:t>
            </w:r>
          </w:p>
        </w:tc>
        <w:tc>
          <w:tcPr>
            <w:tcW w:w="80" w:type="dxa"/>
            <w:vAlign w:val="bottom"/>
          </w:tcPr>
          <w:p>
            <w:pPr>
              <w:spacing w:after="0"/>
              <w:rPr>
                <w:sz w:val="19"/>
                <w:szCs w:val="19"/>
                <w:color w:val="auto"/>
              </w:rPr>
            </w:pPr>
          </w:p>
        </w:tc>
        <w:tc>
          <w:tcPr>
            <w:tcW w:w="320" w:type="dxa"/>
            <w:vAlign w:val="bottom"/>
            <w:tcBorders>
              <w:top w:val="single" w:sz="8" w:color="231F20"/>
              <w:bottom w:val="single" w:sz="8" w:color="231F20"/>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top w:val="single" w:sz="8" w:color="231F20"/>
              <w:bottom w:val="single" w:sz="8" w:color="231F20"/>
            </w:tcBorders>
          </w:tcPr>
          <w:p>
            <w:pPr>
              <w:jc w:val="right"/>
              <w:ind w:right="8"/>
              <w:spacing w:after="0" w:line="225" w:lineRule="exact"/>
              <w:rPr>
                <w:sz w:val="20"/>
                <w:szCs w:val="20"/>
                <w:color w:val="auto"/>
              </w:rPr>
            </w:pPr>
            <w:r>
              <w:rPr>
                <w:rFonts w:ascii="Times New Roman" w:cs="Times New Roman" w:eastAsia="Times New Roman" w:hAnsi="Times New Roman"/>
                <w:sz w:val="20"/>
                <w:szCs w:val="20"/>
                <w:color w:val="231F20"/>
              </w:rPr>
              <w:t>95.77</w:t>
            </w:r>
          </w:p>
        </w:tc>
        <w:tc>
          <w:tcPr>
            <w:tcW w:w="60" w:type="dxa"/>
            <w:vAlign w:val="bottom"/>
          </w:tcPr>
          <w:p>
            <w:pPr>
              <w:spacing w:after="0"/>
              <w:rPr>
                <w:sz w:val="19"/>
                <w:szCs w:val="19"/>
                <w:color w:val="auto"/>
              </w:rPr>
            </w:pPr>
          </w:p>
        </w:tc>
        <w:tc>
          <w:tcPr>
            <w:tcW w:w="1400" w:type="dxa"/>
            <w:vAlign w:val="bottom"/>
            <w:tcBorders>
              <w:top w:val="single" w:sz="8" w:color="231F20"/>
              <w:bottom w:val="single" w:sz="8" w:color="231F20"/>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7.1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231F20"/>
              <w:bottom w:val="single" w:sz="8" w:color="231F20"/>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20" w:type="dxa"/>
            <w:vAlign w:val="bottom"/>
            <w:tcBorders>
              <w:top w:val="single" w:sz="8" w:color="231F20"/>
              <w:bottom w:val="single" w:sz="8" w:color="231F20"/>
            </w:tcBorders>
          </w:tcPr>
          <w:p>
            <w:pPr>
              <w:jc w:val="right"/>
              <w:ind w:right="8"/>
              <w:spacing w:after="0" w:line="225" w:lineRule="exact"/>
              <w:rPr>
                <w:sz w:val="20"/>
                <w:szCs w:val="20"/>
                <w:color w:val="auto"/>
              </w:rPr>
            </w:pPr>
            <w:r>
              <w:rPr>
                <w:rFonts w:ascii="Times New Roman" w:cs="Times New Roman" w:eastAsia="Times New Roman" w:hAnsi="Times New Roman"/>
                <w:sz w:val="20"/>
                <w:szCs w:val="20"/>
                <w:color w:val="231F20"/>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180" w:type="dxa"/>
            <w:vAlign w:val="bottom"/>
            <w:gridSpan w:val="4"/>
          </w:tcPr>
          <w:p>
            <w:pPr>
              <w:spacing w:after="0"/>
              <w:rPr>
                <w:sz w:val="20"/>
                <w:szCs w:val="20"/>
                <w:color w:val="auto"/>
              </w:rPr>
            </w:pPr>
            <w:r>
              <w:rPr>
                <w:rFonts w:ascii="Times New Roman" w:cs="Times New Roman" w:eastAsia="Times New Roman" w:hAnsi="Times New Roman"/>
                <w:sz w:val="20"/>
                <w:szCs w:val="20"/>
                <w:color w:val="231F20"/>
                <w:w w:val="99"/>
              </w:rPr>
              <w:t>The following table provides a summary of restricted share activity for 2023:</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Weighted-Average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4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right"/>
              <w:ind w:right="28"/>
              <w:spacing w:after="0" w:line="160" w:lineRule="exact"/>
              <w:rPr>
                <w:sz w:val="20"/>
                <w:szCs w:val="20"/>
                <w:color w:val="auto"/>
              </w:rPr>
            </w:pPr>
            <w:r>
              <w:rPr>
                <w:rFonts w:ascii="Times New Roman" w:cs="Times New Roman" w:eastAsia="Times New Roman" w:hAnsi="Times New Roman"/>
                <w:sz w:val="16"/>
                <w:szCs w:val="16"/>
                <w:b w:val="1"/>
                <w:bCs w:val="1"/>
                <w:color w:val="231F20"/>
              </w:rPr>
              <w:t>Grant-Date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Borders>
              <w:bottom w:val="single" w:sz="8" w:color="231F20"/>
            </w:tcBorders>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Unvested at December 31, 2022</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279,745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Granted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145,178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Vested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(132,788)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Forfeited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4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(5,930)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Unvested at December 31, 2023</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286,205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231F20"/>
        </w:rPr>
        <w:t>The weighted-average grant-date fair value of stock awarded in 2023, 2022 and 2021 was $109.44, $125.34 and $97.46, respectively. The total vesting-date fair value of shares vested during the year ended December 31, 2023, 2022 and 2021, was $14.4 million, $14.3 million and $11.0 million, respectively.</w:t>
      </w:r>
    </w:p>
    <w:p>
      <w:pPr>
        <w:spacing w:after="0" w:line="5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On February 10, 2021, 10,441 restricted stock units were awarded to an officer that vest at the end of four years. The final awards earned are based on meeting certain market based performance criteria, and may vary from 0% to 200% of the original award. The weighted-average grant-date fair value of the restricted stock units awarded in 2021 was $97.01. There has been no activity in 2023.</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F-36</w:t>
      </w:r>
    </w:p>
    <w:p>
      <w:pPr>
        <w:sectPr>
          <w:pgSz w:w="12240" w:h="15840" w:orient="portrait"/>
          <w:cols w:equalWidth="0" w:num="1">
            <w:col w:w="10240"/>
          </w:cols>
          <w:pgMar w:left="1000" w:top="633" w:right="1000" w:bottom="0" w:gutter="0" w:footer="0" w:header="0"/>
        </w:sectPr>
      </w:pPr>
    </w:p>
    <w:bookmarkStart w:id="100" w:name="page101"/>
    <w:bookmarkEnd w:id="100"/>
    <w:p>
      <w:pPr>
        <w:ind w:right="200"/>
        <w:spacing w:after="0" w:line="266" w:lineRule="auto"/>
        <w:rPr>
          <w:sz w:val="20"/>
          <w:szCs w:val="20"/>
          <w:color w:val="auto"/>
        </w:rPr>
      </w:pPr>
      <w:r>
        <w:rPr>
          <w:rFonts w:ascii="Times New Roman" w:cs="Times New Roman" w:eastAsia="Times New Roman" w:hAnsi="Times New Roman"/>
          <w:sz w:val="20"/>
          <w:szCs w:val="20"/>
          <w:color w:val="231F20"/>
        </w:rPr>
        <w:t>As of December 31, 2023, there was $18.8 million of total unrecognized compensation cost related to unvested share-based compensation arrangements (i.e. options and unvested shares) granted under our plans. This cost is expected to be recognized over the next 4.5 years with a weighted-average period of 2.0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Subsequent to December 31, 2023, common shares were awarded under various compensation plans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40" w:type="dxa"/>
            <w:vAlign w:val="bottom"/>
            <w:tcBorders>
              <w:bottom w:val="single" w:sz="8" w:color="231F20"/>
            </w:tcBorders>
          </w:tcPr>
          <w:p>
            <w:pPr>
              <w:ind w:left="860"/>
              <w:spacing w:after="0"/>
              <w:rPr>
                <w:sz w:val="20"/>
                <w:szCs w:val="20"/>
                <w:color w:val="auto"/>
              </w:rPr>
            </w:pPr>
            <w:r>
              <w:rPr>
                <w:rFonts w:ascii="Times New Roman" w:cs="Times New Roman" w:eastAsia="Times New Roman" w:hAnsi="Times New Roman"/>
                <w:sz w:val="16"/>
                <w:szCs w:val="16"/>
                <w:b w:val="1"/>
                <w:bCs w:val="1"/>
                <w:color w:val="231F20"/>
              </w:rPr>
              <w:t>Date</w:t>
            </w:r>
          </w:p>
        </w:tc>
        <w:tc>
          <w:tcPr>
            <w:tcW w:w="80" w:type="dxa"/>
            <w:vAlign w:val="bottom"/>
          </w:tcPr>
          <w:p>
            <w:pPr>
              <w:spacing w:after="0"/>
              <w:rPr>
                <w:sz w:val="18"/>
                <w:szCs w:val="18"/>
                <w:color w:val="auto"/>
              </w:rPr>
            </w:pPr>
          </w:p>
        </w:tc>
        <w:tc>
          <w:tcPr>
            <w:tcW w:w="1000" w:type="dxa"/>
            <w:vAlign w:val="bottom"/>
            <w:tcBorders>
              <w:bottom w:val="single" w:sz="8" w:color="231F20"/>
            </w:tcBorders>
          </w:tcPr>
          <w:p>
            <w:pPr>
              <w:spacing w:after="0"/>
              <w:rPr>
                <w:sz w:val="18"/>
                <w:szCs w:val="18"/>
                <w:color w:val="auto"/>
              </w:rPr>
            </w:pPr>
          </w:p>
        </w:tc>
        <w:tc>
          <w:tcPr>
            <w:tcW w:w="2000" w:type="dxa"/>
            <w:vAlign w:val="bottom"/>
            <w:tcBorders>
              <w:bottom w:val="single" w:sz="8" w:color="231F20"/>
            </w:tcBorders>
          </w:tcPr>
          <w:p>
            <w:pPr>
              <w:ind w:left="260"/>
              <w:spacing w:after="0"/>
              <w:rPr>
                <w:sz w:val="20"/>
                <w:szCs w:val="20"/>
                <w:color w:val="auto"/>
              </w:rPr>
            </w:pPr>
            <w:r>
              <w:rPr>
                <w:rFonts w:ascii="Times New Roman" w:cs="Times New Roman" w:eastAsia="Times New Roman" w:hAnsi="Times New Roman"/>
                <w:sz w:val="16"/>
                <w:szCs w:val="16"/>
                <w:b w:val="1"/>
                <w:bCs w:val="1"/>
                <w:color w:val="231F20"/>
              </w:rPr>
              <w:t>Award</w:t>
            </w:r>
          </w:p>
        </w:tc>
        <w:tc>
          <w:tcPr>
            <w:tcW w:w="80" w:type="dxa"/>
            <w:vAlign w:val="bottom"/>
          </w:tcPr>
          <w:p>
            <w:pPr>
              <w:spacing w:after="0"/>
              <w:rPr>
                <w:sz w:val="18"/>
                <w:szCs w:val="18"/>
                <w:color w:val="auto"/>
              </w:rPr>
            </w:pPr>
          </w:p>
        </w:tc>
        <w:tc>
          <w:tcPr>
            <w:tcW w:w="2080" w:type="dxa"/>
            <w:vAlign w:val="bottom"/>
            <w:tcBorders>
              <w:bottom w:val="single" w:sz="8" w:color="231F20"/>
            </w:tcBorders>
          </w:tcPr>
          <w:p>
            <w:pPr>
              <w:ind w:left="560"/>
              <w:spacing w:after="0"/>
              <w:rPr>
                <w:sz w:val="20"/>
                <w:szCs w:val="20"/>
                <w:color w:val="auto"/>
              </w:rPr>
            </w:pPr>
            <w:r>
              <w:rPr>
                <w:rFonts w:ascii="Times New Roman" w:cs="Times New Roman" w:eastAsia="Times New Roman" w:hAnsi="Times New Roman"/>
                <w:sz w:val="16"/>
                <w:szCs w:val="16"/>
                <w:b w:val="1"/>
                <w:bCs w:val="1"/>
                <w:color w:val="231F20"/>
              </w:rPr>
              <w:t>Vesting Term</w:t>
            </w:r>
          </w:p>
        </w:tc>
        <w:tc>
          <w:tcPr>
            <w:tcW w:w="80" w:type="dxa"/>
            <w:vAlign w:val="bottom"/>
          </w:tcPr>
          <w:p>
            <w:pPr>
              <w:spacing w:after="0"/>
              <w:rPr>
                <w:sz w:val="18"/>
                <w:szCs w:val="18"/>
                <w:color w:val="auto"/>
              </w:rPr>
            </w:pPr>
          </w:p>
        </w:tc>
        <w:tc>
          <w:tcPr>
            <w:tcW w:w="2860" w:type="dxa"/>
            <w:vAlign w:val="bottom"/>
            <w:tcBorders>
              <w:bottom w:val="single" w:sz="8" w:color="231F20"/>
            </w:tcBorders>
          </w:tcPr>
          <w:p>
            <w:pPr>
              <w:ind w:left="1040"/>
              <w:spacing w:after="0"/>
              <w:rPr>
                <w:sz w:val="20"/>
                <w:szCs w:val="20"/>
                <w:color w:val="auto"/>
              </w:rPr>
            </w:pPr>
            <w:r>
              <w:rPr>
                <w:rFonts w:ascii="Times New Roman" w:cs="Times New Roman" w:eastAsia="Times New Roman" w:hAnsi="Times New Roman"/>
                <w:sz w:val="16"/>
                <w:szCs w:val="16"/>
                <w:b w:val="1"/>
                <w:bCs w:val="1"/>
                <w:color w:val="231F20"/>
              </w:rPr>
              <w:t>Beneficiary</w:t>
            </w:r>
          </w:p>
        </w:tc>
      </w:tr>
      <w:tr>
        <w:trPr>
          <w:trHeight w:val="277"/>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January 2, 2024</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6,693</w:t>
            </w: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Shares</w:t>
            </w: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Immediate</w:t>
            </w:r>
          </w:p>
        </w:tc>
        <w:tc>
          <w:tcPr>
            <w:tcW w:w="8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Trustees</w:t>
            </w:r>
          </w:p>
        </w:tc>
      </w:tr>
      <w:tr>
        <w:trPr>
          <w:trHeight w:val="300"/>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February 6, 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141,002</w:t>
            </w: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Restricted Shares</w:t>
            </w:r>
          </w:p>
        </w:tc>
        <w:tc>
          <w:tcPr>
            <w:tcW w:w="8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3-4 years</w:t>
            </w:r>
          </w:p>
        </w:tc>
        <w:tc>
          <w:tcPr>
            <w:tcW w:w="8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Officers and key employees</w:t>
            </w:r>
          </w:p>
        </w:tc>
      </w:tr>
      <w:tr>
        <w:trPr>
          <w:trHeight w:val="264"/>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February 6, 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1,190</w:t>
            </w: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Options</w:t>
            </w:r>
          </w:p>
        </w:tc>
        <w:tc>
          <w:tcPr>
            <w:tcW w:w="80" w:type="dxa"/>
            <w:vAlign w:val="bottom"/>
          </w:tcPr>
          <w:p>
            <w:pPr>
              <w:spacing w:after="0"/>
              <w:rPr>
                <w:sz w:val="22"/>
                <w:szCs w:val="22"/>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5 years</w:t>
            </w:r>
          </w:p>
        </w:tc>
        <w:tc>
          <w:tcPr>
            <w:tcW w:w="80" w:type="dxa"/>
            <w:vAlign w:val="bottom"/>
          </w:tcPr>
          <w:p>
            <w:pPr>
              <w:spacing w:after="0"/>
              <w:rPr>
                <w:sz w:val="22"/>
                <w:szCs w:val="22"/>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Officers and key employees</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13—SAVINGS AND RETIREMENT PLANS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We have a savings and retirement plan in accordance with the provisions of Section 401(k) of the Code. Generally, employees can elect, at their discretion, to contribute a portion of their compensation up to a maximum of $22,500 for 2023, $20,500 for 2022, and 19,500 for 2021.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2023, 2022 and 2021 was approximately $960,000, $869,000 and $816,000, respectively.</w:t>
      </w:r>
    </w:p>
    <w:p>
      <w:pPr>
        <w:spacing w:after="0" w:line="15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A non-qualified deferred compensation plan for our officers and certain other employees was established in 1994 that allows the participants to defer a portion of their income. As of December 31, 2023 and 2022, we are liable to participants for approximately $22.0 million and $18.0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ectPr>
          <w:pgSz w:w="12240" w:h="15840" w:orient="portrait"/>
          <w:cols w:equalWidth="0" w:num="1">
            <w:col w:w="10220"/>
          </w:cols>
          <w:pgMar w:left="1000" w:top="63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F-37</w:t>
      </w:r>
    </w:p>
    <w:p>
      <w:pPr>
        <w:sectPr>
          <w:pgSz w:w="12240" w:h="15840" w:orient="portrait"/>
          <w:cols w:equalWidth="0" w:num="1">
            <w:col w:w="10220"/>
          </w:cols>
          <w:pgMar w:left="1000" w:top="633" w:right="102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231F20"/>
        </w:rPr>
        <w:t>NOTE 14—EARNINGS PER SHARE AND UNIT</w:t>
      </w:r>
    </w:p>
    <w:p>
      <w:pPr>
        <w:spacing w:after="0" w:line="11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231F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2023, 2022, and 2021,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 below.</w:t>
      </w:r>
    </w:p>
    <w:p>
      <w:pPr>
        <w:spacing w:after="0" w:line="13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231F20"/>
        </w:rPr>
        <w:t>The following potentially issuable shares were excluded from the diluted EPS and EPU calculations because their impact is anti-dilutive:</w:t>
      </w:r>
    </w:p>
    <w:p>
      <w:pPr>
        <w:spacing w:after="0" w:line="1" w:lineRule="exact"/>
        <w:rPr>
          <w:sz w:val="20"/>
          <w:szCs w:val="20"/>
          <w:color w:val="auto"/>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exercise of 1,829 stock options in 2023,</w:t>
      </w:r>
    </w:p>
    <w:p>
      <w:pPr>
        <w:spacing w:after="0" w:line="7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conversions of downREIT operating partnership units for 2023 and 2021,</w:t>
      </w:r>
    </w:p>
    <w:p>
      <w:pPr>
        <w:spacing w:after="0" w:line="7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5.417% Series 1 Cumulative Convertible Preferred Shares and units for 2023, 2022, and 2021, and</w:t>
      </w:r>
    </w:p>
    <w:p>
      <w:pPr>
        <w:spacing w:after="0" w:line="7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issuance of 1.8 million shares and units issuable under forward sales agreements in 2021.</w:t>
      </w:r>
    </w:p>
    <w:p>
      <w:pPr>
        <w:spacing w:after="0" w:line="11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231F20"/>
        </w:rPr>
        <w:t>Additionally, 10,441 unvested restricted stock units are excluded from the diluted EPS and EPU calculations as the market based performance criteria in the award has not yet been achieved.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Federal Realty Investment Trust Earnings per Share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960" w:type="dxa"/>
            <w:vAlign w:val="bottom"/>
            <w:tcBorders>
              <w:bottom w:val="single" w:sz="8" w:color="231F20"/>
            </w:tcBorders>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35"/>
        </w:trPr>
        <w:tc>
          <w:tcPr>
            <w:tcW w:w="704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7"/>
          </w:tcPr>
          <w:p>
            <w:pPr>
              <w:jc w:val="center"/>
              <w:ind w:right="121"/>
              <w:spacing w:after="0"/>
              <w:rPr>
                <w:sz w:val="20"/>
                <w:szCs w:val="20"/>
                <w:color w:val="auto"/>
              </w:rPr>
            </w:pPr>
            <w:r>
              <w:rPr>
                <w:rFonts w:ascii="Times New Roman" w:cs="Times New Roman" w:eastAsia="Times New Roman" w:hAnsi="Times New Roman"/>
                <w:sz w:val="16"/>
                <w:szCs w:val="16"/>
                <w:b w:val="1"/>
                <w:bCs w:val="1"/>
                <w:color w:val="231F20"/>
              </w:rPr>
              <w:t>(In thousands, except per share data)</w:t>
            </w:r>
          </w:p>
        </w:tc>
        <w:tc>
          <w:tcPr>
            <w:tcW w:w="0" w:type="dxa"/>
            <w:vAlign w:val="bottom"/>
          </w:tcPr>
          <w:p>
            <w:pPr>
              <w:spacing w:after="0"/>
              <w:rPr>
                <w:sz w:val="1"/>
                <w:szCs w:val="1"/>
                <w:color w:val="auto"/>
              </w:rPr>
            </w:pPr>
          </w:p>
        </w:tc>
      </w:t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NUMERATOR</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247,217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395,661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269,081</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Less: Preferred share dividends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(8,042)</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Less: Income from operations attributable to noncontrolling interests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(7,583)</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Less: Earnings allocated to unvested shares</w:t>
            </w: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(1,286)</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(1,328)</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(1,211)</w:t>
            </w:r>
          </w:p>
        </w:tc>
        <w:tc>
          <w:tcPr>
            <w:tcW w:w="0" w:type="dxa"/>
            <w:vAlign w:val="bottom"/>
          </w:tcPr>
          <w:p>
            <w:pPr>
              <w:spacing w:after="0"/>
              <w:rPr>
                <w:sz w:val="1"/>
                <w:szCs w:val="1"/>
                <w:color w:val="auto"/>
              </w:rPr>
            </w:pPr>
          </w:p>
        </w:tc>
      </w:tr>
      <w:tr>
        <w:trPr>
          <w:trHeight w:val="277"/>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 available for common shareholders, 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227,667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376,129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252,245</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Add: Income attributable to downREIT operating partnership units</w:t>
            </w: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2,810</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 available for common shareholders,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227,667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378,939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252,245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DENOMINATOR</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common shares outstanding—basic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79,854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77,336</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Effect of dilutive securities:</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Open forward contracts for share issuances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303"/>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DownREIT operating partnership units</w:t>
            </w: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654</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common shares outstanding—diluted</w:t>
            </w:r>
          </w:p>
        </w:tc>
        <w:tc>
          <w:tcPr>
            <w:tcW w:w="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80,508</w:t>
            </w:r>
          </w:p>
        </w:tc>
        <w:tc>
          <w:tcPr>
            <w:tcW w:w="8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77,368</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SHARE, BASIC</w:t>
            </w: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shareholders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SHARE, DILUTED</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shareholders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F-38</w:t>
      </w:r>
    </w:p>
    <w:p>
      <w:pPr>
        <w:sectPr>
          <w:pgSz w:w="12240" w:h="15840" w:orient="portrait"/>
          <w:cols w:equalWidth="0" w:num="1">
            <w:col w:w="10240"/>
          </w:cols>
          <w:pgMar w:left="1000" w:top="626" w:right="100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i w:val="1"/>
          <w:iCs w:val="1"/>
          <w:color w:val="231F20"/>
        </w:rPr>
        <w:t>Federal Realty OP LP Trust Earnings per Unit</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960" w:type="dxa"/>
            <w:vAlign w:val="bottom"/>
            <w:tcBorders>
              <w:bottom w:val="single" w:sz="8" w:color="231F20"/>
            </w:tcBorders>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35"/>
        </w:trPr>
        <w:tc>
          <w:tcPr>
            <w:tcW w:w="704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7"/>
          </w:tcPr>
          <w:p>
            <w:pPr>
              <w:jc w:val="center"/>
              <w:ind w:right="121"/>
              <w:spacing w:after="0"/>
              <w:rPr>
                <w:sz w:val="20"/>
                <w:szCs w:val="20"/>
                <w:color w:val="auto"/>
              </w:rPr>
            </w:pPr>
            <w:r>
              <w:rPr>
                <w:rFonts w:ascii="Times New Roman" w:cs="Times New Roman" w:eastAsia="Times New Roman" w:hAnsi="Times New Roman"/>
                <w:sz w:val="16"/>
                <w:szCs w:val="16"/>
                <w:b w:val="1"/>
                <w:bCs w:val="1"/>
                <w:color w:val="231F20"/>
                <w:w w:val="99"/>
              </w:rPr>
              <w:t>(In thousands, except per unit data)</w:t>
            </w:r>
          </w:p>
        </w:tc>
        <w:tc>
          <w:tcPr>
            <w:tcW w:w="0" w:type="dxa"/>
            <w:vAlign w:val="bottom"/>
          </w:tcPr>
          <w:p>
            <w:pPr>
              <w:spacing w:after="0"/>
              <w:rPr>
                <w:sz w:val="1"/>
                <w:szCs w:val="1"/>
                <w:color w:val="auto"/>
              </w:rPr>
            </w:pPr>
          </w:p>
        </w:tc>
      </w:t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NUMERATOR</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247,217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395,661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269,081</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Less: Preferred unit distributions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(8,042)</w:t>
            </w: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Less: Income from operations attributable to noncontrolling interests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(7,583)</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Less: Earnings allocated to unvested units</w:t>
            </w: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(1,286)</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(1,328)</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(1,211)</w:t>
            </w:r>
          </w:p>
        </w:tc>
        <w:tc>
          <w:tcPr>
            <w:tcW w:w="0" w:type="dxa"/>
            <w:vAlign w:val="bottom"/>
          </w:tcPr>
          <w:p>
            <w:pPr>
              <w:spacing w:after="0"/>
              <w:rPr>
                <w:sz w:val="1"/>
                <w:szCs w:val="1"/>
                <w:color w:val="auto"/>
              </w:rPr>
            </w:pPr>
          </w:p>
        </w:tc>
      </w:tr>
      <w:tr>
        <w:trPr>
          <w:trHeight w:val="277"/>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 available for common unit holders, 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227,667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376,129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252,245</w:t>
            </w:r>
          </w:p>
        </w:tc>
        <w:tc>
          <w:tcPr>
            <w:tcW w:w="0" w:type="dxa"/>
            <w:vAlign w:val="bottom"/>
          </w:tcPr>
          <w:p>
            <w:pPr>
              <w:spacing w:after="0"/>
              <w:rPr>
                <w:sz w:val="1"/>
                <w:szCs w:val="1"/>
                <w:color w:val="auto"/>
              </w:rPr>
            </w:pPr>
          </w:p>
        </w:tc>
      </w:tr>
      <w:tr>
        <w:trPr>
          <w:trHeight w:val="303"/>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Add: Income attributable to downREIT operating partnership units</w:t>
            </w: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2,810</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 available for common unit holders,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227,667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378,939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252,245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DENOMINATOR</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common units outstanding—basic</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79,854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77,336</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Effect of dilutive securities:</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Common unit issuances relating to open common forward contracts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303"/>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DownREIT operating partnership units</w:t>
            </w: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654</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common units outstanding—diluted</w:t>
            </w:r>
          </w:p>
        </w:tc>
        <w:tc>
          <w:tcPr>
            <w:tcW w:w="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81,313</w:t>
            </w:r>
          </w:p>
        </w:tc>
        <w:tc>
          <w:tcPr>
            <w:tcW w:w="8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80,508</w:t>
            </w:r>
          </w:p>
        </w:tc>
        <w:tc>
          <w:tcPr>
            <w:tcW w:w="8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77,368</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UNIT, BASIC</w:t>
            </w: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unit 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COMMON UNIT, DILUTED</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0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income available for common unit 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15—SUBSEQUENT EVENTS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On January 11, 2024, our Operating Partnership issued $485.0 million aggregate principal amount of 3.25% Exchangeable Senior Notes (the “Notes”) that mature on January 15, 2029, unless earlier exchanged, purchased or redeemed. On or after July 15, 2028, the Notes will be exchangeable for cash up to the principal amount of the Notes and, if applicable, cash, common shares of the Trust, or a combination thereof at our option, in respect of the remainder, if any, of the exchange obligation in excess of the principal amount. The exchange rate initially equals 8.1436 common shares per $1,000 principal amount of the Notes (equivalent to an exchange price of approximately $122.80 per common share). Net proceeds after the initial purchaser’s discount and estimated offering costs were approximately $471 million.</w:t>
      </w:r>
    </w:p>
    <w:p>
      <w:pPr>
        <w:spacing w:after="0" w:line="7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will be recorded in shareholders' equity for the Trust and capital for the Operating Partnership.</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January 16, 2024, we repaid the $600.0 million 3.95% senior unsecured notes at maturity.</w:t>
      </w:r>
    </w:p>
    <w:p>
      <w:pPr>
        <w:sectPr>
          <w:pgSz w:w="12240" w:h="15840" w:orient="portrait"/>
          <w:cols w:equalWidth="0" w:num="1">
            <w:col w:w="10240"/>
          </w:cols>
          <w:pgMar w:left="1000" w:top="62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F-39</w:t>
      </w:r>
    </w:p>
    <w:p>
      <w:pPr>
        <w:sectPr>
          <w:pgSz w:w="12240" w:h="15840" w:orient="portrait"/>
          <w:cols w:equalWidth="0" w:num="1">
            <w:col w:w="10240"/>
          </w:cols>
          <w:pgMar w:left="1000" w:top="629" w:right="1000"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F-40</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231F20"/>
        </w:rPr>
        <w:t>DECEMBER 31, 2023</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231F20"/>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B</w:t>
            </w:r>
          </w:p>
        </w:tc>
        <w:tc>
          <w:tcPr>
            <w:tcW w:w="8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231F20"/>
              </w:rPr>
              <w:t>COLUMN 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231F20"/>
              </w:rPr>
              <w:t>COLUMN D</w:t>
            </w:r>
          </w:p>
        </w:tc>
        <w:tc>
          <w:tcPr>
            <w:tcW w:w="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231F20"/>
              </w:rPr>
              <w:t>COLUMN 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231F20"/>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231F20"/>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80" w:type="dxa"/>
            <w:vAlign w:val="bottom"/>
          </w:tcPr>
          <w:p>
            <w:pPr>
              <w:spacing w:after="0"/>
              <w:rPr>
                <w:sz w:val="24"/>
                <w:szCs w:val="24"/>
                <w:color w:val="auto"/>
              </w:rPr>
            </w:pPr>
          </w:p>
        </w:tc>
        <w:tc>
          <w:tcPr>
            <w:tcW w:w="30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40" w:type="dxa"/>
            <w:vAlign w:val="bottom"/>
            <w:tcBorders>
              <w:bottom w:val="single" w:sz="8" w:color="231F20"/>
            </w:tcBorders>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Capitalized</w:t>
            </w: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40" w:type="dxa"/>
            <w:vAlign w:val="bottom"/>
            <w:tcBorders>
              <w:bottom w:val="single" w:sz="8" w:color="231F20"/>
            </w:tcBorders>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to</w:t>
            </w:r>
          </w:p>
        </w:tc>
        <w:tc>
          <w:tcPr>
            <w:tcW w:w="8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statements is</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Acquisition</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Amortization</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Construction</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Acquired</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computed</w:t>
            </w:r>
          </w:p>
        </w:tc>
        <w:tc>
          <w:tcPr>
            <w:tcW w:w="0" w:type="dxa"/>
            <w:vAlign w:val="bottom"/>
          </w:tcPr>
          <w:p>
            <w:pPr>
              <w:spacing w:after="0"/>
              <w:rPr>
                <w:sz w:val="1"/>
                <w:szCs w:val="1"/>
                <w:color w:val="auto"/>
              </w:rPr>
            </w:pPr>
          </w:p>
        </w:tc>
      </w:tr>
      <w:tr>
        <w:trPr>
          <w:trHeight w:val="209"/>
        </w:trPr>
        <w:tc>
          <w:tcPr>
            <w:tcW w:w="258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29TH PLACE (Virginia)</w:t>
            </w:r>
          </w:p>
        </w:tc>
        <w:tc>
          <w:tcPr>
            <w:tcW w:w="60" w:type="dxa"/>
            <w:vAlign w:val="bottom"/>
          </w:tcPr>
          <w:p>
            <w:pPr>
              <w:spacing w:after="0"/>
              <w:rPr>
                <w:sz w:val="18"/>
                <w:szCs w:val="18"/>
                <w:color w:val="auto"/>
              </w:rPr>
            </w:pPr>
          </w:p>
        </w:tc>
        <w:tc>
          <w:tcPr>
            <w:tcW w:w="96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99"/>
              </w:rPr>
              <w:t>$10,211</w:t>
            </w:r>
          </w:p>
        </w:tc>
        <w:tc>
          <w:tcPr>
            <w:tcW w:w="80" w:type="dxa"/>
            <w:vAlign w:val="bottom"/>
          </w:tcPr>
          <w:p>
            <w:pPr>
              <w:spacing w:after="0"/>
              <w:rPr>
                <w:sz w:val="18"/>
                <w:szCs w:val="18"/>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18,863</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    11,795</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    10,195</w:t>
            </w:r>
          </w:p>
        </w:tc>
        <w:tc>
          <w:tcPr>
            <w:tcW w:w="80" w:type="dxa"/>
            <w:vAlign w:val="bottom"/>
          </w:tcPr>
          <w:p>
            <w:pPr>
              <w:spacing w:after="0"/>
              <w:rPr>
                <w:sz w:val="18"/>
                <w:szCs w:val="18"/>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30,674</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5"/>
              <w:spacing w:after="0"/>
              <w:rPr>
                <w:sz w:val="20"/>
                <w:szCs w:val="20"/>
                <w:color w:val="auto"/>
              </w:rPr>
            </w:pPr>
            <w:r>
              <w:rPr>
                <w:rFonts w:ascii="Times New Roman" w:cs="Times New Roman" w:eastAsia="Times New Roman" w:hAnsi="Times New Roman"/>
                <w:sz w:val="16"/>
                <w:szCs w:val="16"/>
                <w:color w:val="231F20"/>
              </w:rPr>
              <w:t>$    40,869</w:t>
            </w: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ind w:right="6"/>
              <w:spacing w:after="0"/>
              <w:rPr>
                <w:sz w:val="20"/>
                <w:szCs w:val="20"/>
                <w:color w:val="auto"/>
              </w:rPr>
            </w:pPr>
            <w:r>
              <w:rPr>
                <w:rFonts w:ascii="Times New Roman" w:cs="Times New Roman" w:eastAsia="Times New Roman" w:hAnsi="Times New Roman"/>
                <w:sz w:val="16"/>
                <w:szCs w:val="16"/>
                <w:color w:val="231F20"/>
                <w:w w:val="99"/>
              </w:rPr>
              <w:t>$17,699</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1975 - 2001</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5/30/2007</w:t>
            </w:r>
          </w:p>
        </w:tc>
        <w:tc>
          <w:tcPr>
            <w:tcW w:w="80" w:type="dxa"/>
            <w:vAlign w:val="bottom"/>
          </w:tcPr>
          <w:p>
            <w:pPr>
              <w:spacing w:after="0"/>
              <w:rPr>
                <w:sz w:val="18"/>
                <w:szCs w:val="18"/>
                <w:color w:val="auto"/>
              </w:rPr>
            </w:pPr>
          </w:p>
        </w:tc>
        <w:tc>
          <w:tcPr>
            <w:tcW w:w="9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ANDORRA (Pennsylvania)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12,346</w:t>
            </w:r>
          </w:p>
        </w:tc>
        <w:tc>
          <w:tcPr>
            <w:tcW w:w="80" w:type="dxa"/>
            <w:vAlign w:val="bottom"/>
          </w:tcPr>
          <w:p>
            <w:pPr>
              <w:spacing w:after="0"/>
              <w:rPr>
                <w:sz w:val="21"/>
                <w:szCs w:val="21"/>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19,203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31,549</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33,981</w:t>
            </w:r>
          </w:p>
        </w:tc>
        <w:tc>
          <w:tcPr>
            <w:tcW w:w="80" w:type="dxa"/>
            <w:vAlign w:val="bottom"/>
          </w:tcPr>
          <w:p>
            <w:pPr>
              <w:spacing w:after="0"/>
              <w:rPr>
                <w:sz w:val="21"/>
                <w:szCs w:val="21"/>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23,774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1/12/1988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7"/>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ASSEMBLY ROW/ASSEMBLY</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2005,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SQUARE MARKETPLACE</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93,252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34,196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1,001,514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69,421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1,059,541</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1,128,962</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231F20"/>
              </w:rPr>
              <w:t>166,961</w:t>
            </w:r>
          </w:p>
        </w:tc>
        <w:tc>
          <w:tcPr>
            <w:tcW w:w="980" w:type="dxa"/>
            <w:vAlign w:val="bottom"/>
            <w:gridSpan w:val="2"/>
            <w:vMerge w:val="continue"/>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2005-2013</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(Massachusetts)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2012-2023</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AZALEA (California)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39,902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40,219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67,117</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2,016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40,219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69,133</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109,352</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15,771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8/2/2017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BALA CYNWYD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3,565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14,466</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58,798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2,683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74,146</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76,829</w:t>
            </w:r>
          </w:p>
        </w:tc>
        <w:tc>
          <w:tcPr>
            <w:tcW w:w="8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33,085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1955/2020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9/22/1993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7"/>
        </w:trPr>
        <w:tc>
          <w:tcPr>
            <w:tcW w:w="2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1963, 1972,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1/13/16 &amp;</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BARCROFT PLAZA (Virginia)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12,617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29,603</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9,299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12,617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38,902</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51,519</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231F20"/>
              </w:rPr>
              <w:t>10,202</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1990, &amp;</w:t>
            </w:r>
          </w:p>
        </w:tc>
        <w:tc>
          <w:tcPr>
            <w:tcW w:w="1000" w:type="dxa"/>
            <w:vAlign w:val="bottom"/>
            <w:gridSpan w:val="2"/>
            <w:vMerge w:val="continue"/>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11/7/16</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BARRACKS ROAD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16,459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54,834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71,293</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75,656</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52,383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12/31/1985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BELL GARDENS (California)</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11,386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24,406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85,947</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8,906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24,406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94,853</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119,259</w:t>
            </w:r>
          </w:p>
        </w:tc>
        <w:tc>
          <w:tcPr>
            <w:tcW w:w="80" w:type="dxa"/>
            <w:vAlign w:val="bottom"/>
          </w:tcPr>
          <w:p>
            <w:pPr>
              <w:spacing w:after="0"/>
              <w:rPr>
                <w:sz w:val="21"/>
                <w:szCs w:val="21"/>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231F20"/>
              </w:rPr>
              <w:t>27,185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1990, 2003,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8/2/17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11/29/18</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12/31/93,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6/2/97,</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1/20/06,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9/25/08,</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BETHESDA ROW (Maryland)</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199,151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46,579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35,406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183,832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44,350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221,467</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265,817</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231F20"/>
              </w:rPr>
              <w:t>110,714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1945-2008</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9/30/08,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12/27/10</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BIRCH &amp; BROAD (Virginia)</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1,798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1,270</w:t>
            </w:r>
          </w:p>
        </w:tc>
        <w:tc>
          <w:tcPr>
            <w:tcW w:w="80" w:type="dxa"/>
            <w:vAlign w:val="bottom"/>
          </w:tcPr>
          <w:p>
            <w:pPr>
              <w:spacing w:after="0"/>
              <w:rPr>
                <w:sz w:val="17"/>
                <w:szCs w:val="17"/>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23,021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24,270</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26,089</w:t>
            </w:r>
          </w:p>
        </w:tc>
        <w:tc>
          <w:tcPr>
            <w:tcW w:w="80" w:type="dxa"/>
            <w:vAlign w:val="bottom"/>
          </w:tcPr>
          <w:p>
            <w:pPr>
              <w:spacing w:after="0"/>
              <w:rPr>
                <w:sz w:val="17"/>
                <w:szCs w:val="17"/>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231F20"/>
              </w:rPr>
              <w:t>11,743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1960/1962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9/30/67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10/05/72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BRICK PLAZA (New Jersey)</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24,715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82,586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102,916</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107,301</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68,415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12/28/1989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BRISTOL PLAZA (Connecticut)</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3,856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15,959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17,177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3,856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33,136</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36,992</w:t>
            </w:r>
          </w:p>
        </w:tc>
        <w:tc>
          <w:tcPr>
            <w:tcW w:w="8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23,331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9/22/1995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BROOK 35 (New Jersey)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11,386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7,128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38,355</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5,993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7,128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44,348</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51,476</w:t>
            </w:r>
          </w:p>
        </w:tc>
        <w:tc>
          <w:tcPr>
            <w:tcW w:w="8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13,704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1986/2004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1/1/2014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27"/>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CAMELBACK COLONNADE</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52,658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126,646</w:t>
            </w:r>
          </w:p>
        </w:tc>
        <w:tc>
          <w:tcPr>
            <w:tcW w:w="80" w:type="dxa"/>
            <w:vAlign w:val="bottom"/>
          </w:tcPr>
          <w:p>
            <w:pPr>
              <w:spacing w:after="0"/>
              <w:rPr>
                <w:sz w:val="19"/>
                <w:szCs w:val="19"/>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1,230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52,658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127,876</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180,534</w:t>
            </w:r>
          </w:p>
        </w:tc>
        <w:tc>
          <w:tcPr>
            <w:tcW w:w="80" w:type="dxa"/>
            <w:vAlign w:val="bottom"/>
          </w:tcPr>
          <w:p>
            <w:pPr>
              <w:spacing w:after="0"/>
              <w:rPr>
                <w:sz w:val="19"/>
                <w:szCs w:val="19"/>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231F20"/>
              </w:rPr>
              <w:t>11,743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1977/2019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6/14/2021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(Arizona)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CAMPUS PLAZA (Massachusetts)</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16,710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13,412</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1,010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16,710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14,422</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31,132</w:t>
            </w:r>
          </w:p>
        </w:tc>
        <w:tc>
          <w:tcPr>
            <w:tcW w:w="8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4,284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1/13/2016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7"/>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CHELSEA COMMONS</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1962/1969/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8/25/06,</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3,894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8,689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19,466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9,951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8,669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29,437</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38,106</w:t>
            </w:r>
          </w:p>
        </w:tc>
        <w:tc>
          <w:tcPr>
            <w:tcW w:w="8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231F20"/>
              </w:rPr>
              <w:t>11,045</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1/30/07,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(Massachusetts)</w:t>
            </w: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7/16/08</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CHESTERBROOK (Virginia)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13,042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24,725</w:t>
            </w:r>
          </w:p>
        </w:tc>
        <w:tc>
          <w:tcPr>
            <w:tcW w:w="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8,566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13,042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33,291</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46,333</w:t>
            </w:r>
          </w:p>
        </w:tc>
        <w:tc>
          <w:tcPr>
            <w:tcW w:w="8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231F20"/>
              </w:rPr>
              <w:t>2,436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1967/1991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4/30/21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bl>
    <w:p>
      <w:pPr>
        <w:sectPr>
          <w:pgSz w:w="15840" w:h="12240" w:orient="landscape"/>
          <w:cols w:equalWidth="0" w:num="2">
            <w:col w:w="218" w:space="507"/>
            <w:col w:w="13800"/>
          </w:cols>
          <w:pgMar w:left="455" w:top="1023" w:right="860" w:bottom="1072"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F-41</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231F20"/>
        </w:rPr>
        <w:t>DECEMBER 31, 2023</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231F20"/>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B</w:t>
            </w:r>
          </w:p>
        </w:tc>
        <w:tc>
          <w:tcPr>
            <w:tcW w:w="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231F20"/>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231F20"/>
              </w:rPr>
              <w:t>COLUMN D</w:t>
            </w:r>
          </w:p>
        </w:tc>
        <w:tc>
          <w:tcPr>
            <w:tcW w:w="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231F20"/>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231F20"/>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231F20"/>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Capitalized</w:t>
            </w: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to</w:t>
            </w:r>
          </w:p>
        </w:tc>
        <w:tc>
          <w:tcPr>
            <w:tcW w:w="8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80" w:type="dxa"/>
            <w:vAlign w:val="bottom"/>
            <w:vMerge w:val="restart"/>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statements is</w:t>
            </w:r>
          </w:p>
        </w:tc>
        <w:tc>
          <w:tcPr>
            <w:tcW w:w="0" w:type="dxa"/>
            <w:vAlign w:val="bottom"/>
          </w:tcPr>
          <w:p>
            <w:pPr>
              <w:spacing w:after="0"/>
              <w:rPr>
                <w:sz w:val="1"/>
                <w:szCs w:val="1"/>
                <w:color w:val="auto"/>
              </w:rPr>
            </w:pPr>
          </w:p>
        </w:tc>
      </w:tr>
      <w:tr>
        <w:trPr>
          <w:trHeight w:val="190"/>
        </w:trPr>
        <w:tc>
          <w:tcPr>
            <w:tcW w:w="2580" w:type="dxa"/>
            <w:vAlign w:val="bottom"/>
            <w:tcBorders>
              <w:bottom w:val="single" w:sz="8" w:color="231F20"/>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231F20"/>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231F20"/>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Acquisition</w:t>
            </w:r>
          </w:p>
        </w:tc>
        <w:tc>
          <w:tcPr>
            <w:tcW w:w="80" w:type="dxa"/>
            <w:vAlign w:val="bottom"/>
          </w:tcPr>
          <w:p>
            <w:pPr>
              <w:spacing w:after="0"/>
              <w:rPr>
                <w:sz w:val="16"/>
                <w:szCs w:val="16"/>
                <w:color w:val="auto"/>
              </w:rPr>
            </w:pPr>
          </w:p>
        </w:tc>
        <w:tc>
          <w:tcPr>
            <w:tcW w:w="900" w:type="dxa"/>
            <w:vAlign w:val="bottom"/>
            <w:tcBorders>
              <w:bottom w:val="single" w:sz="8" w:color="231F20"/>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920" w:type="dxa"/>
            <w:vAlign w:val="bottom"/>
            <w:tcBorders>
              <w:bottom w:val="single" w:sz="8" w:color="231F20"/>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Amortization</w:t>
            </w:r>
          </w:p>
        </w:tc>
        <w:tc>
          <w:tcPr>
            <w:tcW w:w="80" w:type="dxa"/>
            <w:vAlign w:val="bottom"/>
          </w:tcPr>
          <w:p>
            <w:pPr>
              <w:spacing w:after="0"/>
              <w:rPr>
                <w:sz w:val="16"/>
                <w:szCs w:val="16"/>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Construction</w:t>
            </w:r>
          </w:p>
        </w:tc>
        <w:tc>
          <w:tcPr>
            <w:tcW w:w="80" w:type="dxa"/>
            <w:vAlign w:val="bottom"/>
          </w:tcPr>
          <w:p>
            <w:pPr>
              <w:spacing w:after="0"/>
              <w:rPr>
                <w:sz w:val="16"/>
                <w:szCs w:val="16"/>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Acquired</w:t>
            </w:r>
          </w:p>
        </w:tc>
        <w:tc>
          <w:tcPr>
            <w:tcW w:w="80" w:type="dxa"/>
            <w:vAlign w:val="bottom"/>
          </w:tcPr>
          <w:p>
            <w:pPr>
              <w:spacing w:after="0"/>
              <w:rPr>
                <w:sz w:val="16"/>
                <w:szCs w:val="16"/>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computed</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5/4/15,</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7/1/15,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1990/1994,</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12/16/15,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7/26/16,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COCOWALK (Florida)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32,513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71,536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100,055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48,943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155,161</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204,104</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28,093</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1922-1973,</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6/30/17,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2018-2021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8/10/17</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COLORADO BLVD (California)</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3,964</w:t>
            </w:r>
          </w:p>
        </w:tc>
        <w:tc>
          <w:tcPr>
            <w:tcW w:w="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7,604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11,568</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13,983</w:t>
            </w:r>
          </w:p>
        </w:tc>
        <w:tc>
          <w:tcPr>
            <w:tcW w:w="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10,299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1905-1988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8/14/98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CONGRESSIONAL PLAZA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2,793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7,424</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99,752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2,793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107,176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109,969</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70,269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1965/2003/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4/1/1965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2016</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COURTHOUSE CENTER</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1,750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1,869</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3,717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1,750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5,586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7,336</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3,775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1975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12/17/1997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CROSSROADS (Illinois)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4,635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11,611</w:t>
            </w:r>
          </w:p>
        </w:tc>
        <w:tc>
          <w:tcPr>
            <w:tcW w:w="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20,464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4,635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32,075</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36,710</w:t>
            </w:r>
          </w:p>
        </w:tc>
        <w:tc>
          <w:tcPr>
            <w:tcW w:w="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24,647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7/19/1993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CROW CANYON COMMONS</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27,245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54,575</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10,416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27,245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64,991</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92,236</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34,787</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Late 1970's/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12/29/05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1998/2006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2/28/07</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DARIEN COMMONS (Connecticut)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30,368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19,523</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99,046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30,368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118,569</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148,937</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7,299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1920-2009/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4/3/13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2022-2023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7/20/18</w:t>
            </w: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12/31/93,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12/14/16,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DEDHAM PLAZA (Massachusetts)</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16,354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13,413</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22,389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16,354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35,802</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52,156</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21,373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1959</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1/29/19,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89"/>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3/12/19</w:t>
            </w: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1982/1994/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5/30/08,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DEL MAR VILLAGE (Florida)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15,624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41,712</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18,446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15,587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60,195</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75,782</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32,157</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7/11/08,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10/14/14</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EAST BAY BRIDGE (California)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29,069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138,035</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12,975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29,069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151,010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180,079</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56,523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1994-2001,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12/21/2012</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2011/2012</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ELLISBURG (New Jersey)</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4,028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11,309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23,327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4,013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34,651</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38,664</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24,486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10/16/1992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ESCONDIDO PROMENADE</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29,281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105,736</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182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29,281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105,918</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135,199</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5,809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1987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5/26/2023</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69"/>
        </w:trPr>
        <w:tc>
          <w:tcPr>
            <w:tcW w:w="2580" w:type="dxa"/>
            <w:vAlign w:val="bottom"/>
          </w:tcPr>
          <w:p>
            <w:pPr>
              <w:ind w:left="60"/>
              <w:spacing w:after="0" w:line="170" w:lineRule="exact"/>
              <w:rPr>
                <w:sz w:val="20"/>
                <w:szCs w:val="20"/>
                <w:color w:val="auto"/>
              </w:rPr>
            </w:pPr>
            <w:r>
              <w:rPr>
                <w:rFonts w:ascii="Times New Roman" w:cs="Times New Roman" w:eastAsia="Times New Roman" w:hAnsi="Times New Roman"/>
                <w:sz w:val="16"/>
                <w:szCs w:val="16"/>
                <w:color w:val="231F20"/>
              </w:rPr>
              <w:t>(California)</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FAIRFAX JUNCTION (Virgina)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16,768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23,825</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5,648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16,768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29,473</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46,241</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5,174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1981/1986/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2/8/19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1/10/20</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FEDERAL PLAZA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10,216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17,895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45,417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10,216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63,312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73,528</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53,555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6/29/1989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FINLEY SQUARE (Illinois)</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9,252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9,544</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20,918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9,252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30,462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39,714</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24,206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4/27/1995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FLOURTOWN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3,943</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14,365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1,507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18,146</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19,653</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8,780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4/25/1980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FOURTH STREET (California)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13,978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9,909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3,995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13,978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13,904</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27,882</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4,572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1948,1975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5/19/2017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FREEDOM PLAZA (California)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3,255</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40,950</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44,205</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44,205</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4,262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2018-2020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6/15/2018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bl>
    <w:p>
      <w:pPr>
        <w:sectPr>
          <w:pgSz w:w="15840" w:h="12240" w:orient="landscape"/>
          <w:cols w:equalWidth="0" w:num="2">
            <w:col w:w="218" w:space="507"/>
            <w:col w:w="13800"/>
          </w:cols>
          <w:pgMar w:left="455" w:top="783" w:right="860" w:bottom="517"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F-42</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231F20"/>
        </w:rPr>
        <w:t>DECEMBER 31, 2023</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231F20"/>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A</w:t>
            </w:r>
          </w:p>
        </w:tc>
        <w:tc>
          <w:tcPr>
            <w:tcW w:w="6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231F20"/>
              </w:rPr>
              <w:t>COLUMN B</w:t>
            </w:r>
          </w:p>
        </w:tc>
        <w:tc>
          <w:tcPr>
            <w:tcW w:w="80" w:type="dxa"/>
            <w:vAlign w:val="bottom"/>
          </w:tcPr>
          <w:p>
            <w:pPr>
              <w:spacing w:after="0"/>
              <w:rPr>
                <w:sz w:val="16"/>
                <w:szCs w:val="16"/>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231F20"/>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231F20"/>
              </w:rPr>
              <w:t>COLUMN D</w:t>
            </w:r>
          </w:p>
        </w:tc>
        <w:tc>
          <w:tcPr>
            <w:tcW w:w="8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231F20"/>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231F20"/>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231F20"/>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Capitalized</w:t>
            </w: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Descriptions</w:t>
            </w:r>
          </w:p>
        </w:tc>
        <w:tc>
          <w:tcPr>
            <w:tcW w:w="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31F20"/>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6"/>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to</w:t>
            </w:r>
          </w:p>
        </w:tc>
        <w:tc>
          <w:tcPr>
            <w:tcW w:w="80" w:type="dxa"/>
            <w:vAlign w:val="bottom"/>
          </w:tcPr>
          <w:p>
            <w:pPr>
              <w:spacing w:after="0"/>
              <w:rPr>
                <w:sz w:val="12"/>
                <w:szCs w:val="12"/>
                <w:color w:val="auto"/>
              </w:rPr>
            </w:pPr>
          </w:p>
        </w:tc>
        <w:tc>
          <w:tcPr>
            <w:tcW w:w="900" w:type="dxa"/>
            <w:vAlign w:val="bottom"/>
            <w:vMerge w:val="restart"/>
          </w:tcPr>
          <w:p>
            <w:pPr>
              <w:jc w:val="right"/>
              <w:ind w:right="206"/>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statements is</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Acquisition</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Amortization</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Construction</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Acquired</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computed</w:t>
            </w:r>
          </w:p>
        </w:tc>
        <w:tc>
          <w:tcPr>
            <w:tcW w:w="0" w:type="dxa"/>
            <w:vAlign w:val="bottom"/>
          </w:tcPr>
          <w:p>
            <w:pPr>
              <w:spacing w:after="0"/>
              <w:rPr>
                <w:sz w:val="1"/>
                <w:szCs w:val="1"/>
                <w:color w:val="auto"/>
              </w:rPr>
            </w:pPr>
          </w:p>
        </w:tc>
      </w:tr>
      <w:tr>
        <w:trPr>
          <w:trHeight w:val="209"/>
        </w:trPr>
        <w:tc>
          <w:tcPr>
            <w:tcW w:w="258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FRESH MEADOWS (New York)</w:t>
            </w:r>
          </w:p>
        </w:tc>
        <w:tc>
          <w:tcPr>
            <w:tcW w:w="60" w:type="dxa"/>
            <w:vAlign w:val="bottom"/>
          </w:tcPr>
          <w:p>
            <w:pPr>
              <w:spacing w:after="0"/>
              <w:rPr>
                <w:sz w:val="18"/>
                <w:szCs w:val="18"/>
                <w:color w:val="auto"/>
              </w:rPr>
            </w:pPr>
          </w:p>
        </w:tc>
        <w:tc>
          <w:tcPr>
            <w:tcW w:w="96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24,625</w:t>
            </w: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25,255</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46,717</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24,633</w:t>
            </w: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71,964</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5"/>
              <w:spacing w:after="0"/>
              <w:rPr>
                <w:sz w:val="20"/>
                <w:szCs w:val="20"/>
                <w:color w:val="auto"/>
              </w:rPr>
            </w:pPr>
            <w:r>
              <w:rPr>
                <w:rFonts w:ascii="Times New Roman" w:cs="Times New Roman" w:eastAsia="Times New Roman" w:hAnsi="Times New Roman"/>
                <w:sz w:val="16"/>
                <w:szCs w:val="16"/>
                <w:color w:val="231F20"/>
              </w:rPr>
              <w:t>96,597</w:t>
            </w: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51,580</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1946-1949</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12/5/1997</w:t>
            </w:r>
          </w:p>
        </w:tc>
        <w:tc>
          <w:tcPr>
            <w:tcW w:w="80" w:type="dxa"/>
            <w:vAlign w:val="bottom"/>
          </w:tcPr>
          <w:p>
            <w:pPr>
              <w:spacing w:after="0"/>
              <w:rPr>
                <w:sz w:val="18"/>
                <w:szCs w:val="18"/>
                <w:color w:val="auto"/>
              </w:rPr>
            </w:pPr>
          </w:p>
        </w:tc>
        <w:tc>
          <w:tcPr>
            <w:tcW w:w="9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3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FRIENDSHIP CENTER (District of</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12,696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20,803</w:t>
            </w:r>
          </w:p>
        </w:tc>
        <w:tc>
          <w:tcPr>
            <w:tcW w:w="80" w:type="dxa"/>
            <w:vAlign w:val="bottom"/>
          </w:tcPr>
          <w:p>
            <w:pPr>
              <w:spacing w:after="0"/>
              <w:rPr>
                <w:sz w:val="20"/>
                <w:szCs w:val="20"/>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3,757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12,696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24,560</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37,256</w:t>
            </w:r>
          </w:p>
        </w:tc>
        <w:tc>
          <w:tcPr>
            <w:tcW w:w="80" w:type="dxa"/>
            <w:vAlign w:val="bottom"/>
          </w:tcPr>
          <w:p>
            <w:pPr>
              <w:spacing w:after="0"/>
              <w:rPr>
                <w:sz w:val="20"/>
                <w:szCs w:val="20"/>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14,997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1998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9/21/2001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Columbia)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GAITHERSBURG SQUARE</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7,701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5,271</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26,720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5,973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33,719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39,692</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21,815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4/22/1993</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GARDEN MARKET (Illinois)</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4,829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8,580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13,409</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16,086</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10,515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7/28/1994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GEORGETOWNE SHOPPING</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32,202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49,586</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4,766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32,202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54,352</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86,554</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7,562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1969/2006/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11/15/19</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CENTER (New York)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2015</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GOVERNOR PLAZA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4,905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28,024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32,929</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34,997</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23,482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10/1/1985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GRAHAM PARK PLAZA (Virginia)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7,629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19,114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26,732</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27,385</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19,363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7/21/1983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GRATIOT PLAZA (Michigan)</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1,601</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17,836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19,437</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19,962</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18,005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3/29/1973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GREENLAWN PLAZA (New York)</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10,590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20,869</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2,376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10,917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22,918</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33,835</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6,543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1975/2004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1/13/2016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GREENWICH AVENUE</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5,445</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10,819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16,264</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23,748</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7,513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4/12/1995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74"/>
        </w:trPr>
        <w:tc>
          <w:tcPr>
            <w:tcW w:w="258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231F20"/>
              </w:rPr>
              <w:t>(Connecticut)</w:t>
            </w: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1961, 1963,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GROSSMONT CENTER (California)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125,434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50,311</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1,194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125,434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51,505</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176,939</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9,032</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1982-1983,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6/1/2021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2002</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HASTINGS RANCH PLAZA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2,257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22,393</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1,071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2,257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23,464</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25,721</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5,442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1958, 1984,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2/1/2017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2006, 2007</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HAUPPAUGE (New York)</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8,791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15,262</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15,278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8,519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30,812</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39,331</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16,713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8/6/1998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27"/>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HILTON VILLAGE (Arizona)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85,431</w:t>
            </w:r>
          </w:p>
        </w:tc>
        <w:tc>
          <w:tcPr>
            <w:tcW w:w="80" w:type="dxa"/>
            <w:vAlign w:val="bottom"/>
          </w:tcPr>
          <w:p>
            <w:pPr>
              <w:spacing w:after="0"/>
              <w:rPr>
                <w:sz w:val="19"/>
                <w:szCs w:val="19"/>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988</w:t>
            </w:r>
          </w:p>
        </w:tc>
        <w:tc>
          <w:tcPr>
            <w:tcW w:w="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86,419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86,419</w:t>
            </w:r>
          </w:p>
        </w:tc>
        <w:tc>
          <w:tcPr>
            <w:tcW w:w="80" w:type="dxa"/>
            <w:vAlign w:val="bottom"/>
          </w:tcPr>
          <w:p>
            <w:pPr>
              <w:spacing w:after="0"/>
              <w:rPr>
                <w:sz w:val="19"/>
                <w:szCs w:val="19"/>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6,030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1982/1989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6/14/21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7/18/22</w:t>
            </w: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9/18/19,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11/26/19,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12/19/19,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HOBOKEN (New Jersey)</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83,245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56,866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167,835</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3,580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56,872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171,409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228,281</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22,079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1887-2006</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2/12/20,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11/18/22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HOLLYWOOD BLVD (California)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8,300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16,920</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36,825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8,370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53,675</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62,045</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24,913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1929/1991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3/22/99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74"/>
        </w:trPr>
        <w:tc>
          <w:tcPr>
            <w:tcW w:w="2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231F20"/>
              </w:rPr>
              <w:t>6/18/99</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1962/2022-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12/12/88,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HUNTINGTON (New York)</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12,194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16,008</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77,609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12,294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93,517</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105,811</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19,214</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10/26/07,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74"/>
        </w:trPr>
        <w:tc>
          <w:tcPr>
            <w:tcW w:w="2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9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231F20"/>
              </w:rPr>
              <w:t>2023</w:t>
            </w:r>
          </w:p>
        </w:tc>
        <w:tc>
          <w:tcPr>
            <w:tcW w:w="10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231F20"/>
              </w:rPr>
              <w:t>11/24/15</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HUNTINGTON SQUARE (New</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1980/2004-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8/16/2010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12,026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33,509</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5,142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12,537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38,140</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50,677</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7,230</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York)</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2007/2019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1/31/2023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IDYLWOOD PLAZA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10,026</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3,761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13,787</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18,095</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11,137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4/15/1994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bl>
    <w:p>
      <w:pPr>
        <w:sectPr>
          <w:pgSz w:w="15840" w:h="12240" w:orient="landscape"/>
          <w:cols w:equalWidth="0" w:num="2">
            <w:col w:w="218" w:space="507"/>
            <w:col w:w="13800"/>
          </w:cols>
          <w:pgMar w:left="455" w:top="783" w:right="860" w:bottom="532"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F-43</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231F20"/>
        </w:rPr>
        <w:t>DECEMBER 31, 2023</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231F20"/>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B</w:t>
            </w:r>
          </w:p>
        </w:tc>
        <w:tc>
          <w:tcPr>
            <w:tcW w:w="80" w:type="dxa"/>
            <w:vAlign w:val="bottom"/>
          </w:tcPr>
          <w:p>
            <w:pPr>
              <w:spacing w:after="0"/>
              <w:rPr>
                <w:sz w:val="16"/>
                <w:szCs w:val="16"/>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231F20"/>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231F20"/>
              </w:rPr>
              <w:t>COLUMN D</w:t>
            </w:r>
          </w:p>
        </w:tc>
        <w:tc>
          <w:tcPr>
            <w:tcW w:w="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231F20"/>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231F20"/>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231F20"/>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Capitalized</w:t>
            </w: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6"/>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to</w:t>
            </w:r>
          </w:p>
        </w:tc>
        <w:tc>
          <w:tcPr>
            <w:tcW w:w="8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statements is</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Acquisition</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Amortization</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Construction</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Acquired</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computed</w:t>
            </w:r>
          </w:p>
        </w:tc>
        <w:tc>
          <w:tcPr>
            <w:tcW w:w="0" w:type="dxa"/>
            <w:vAlign w:val="bottom"/>
          </w:tcPr>
          <w:p>
            <w:pPr>
              <w:spacing w:after="0"/>
              <w:rPr>
                <w:sz w:val="1"/>
                <w:szCs w:val="1"/>
                <w:color w:val="auto"/>
              </w:rPr>
            </w:pPr>
          </w:p>
        </w:tc>
      </w:tr>
      <w:tr>
        <w:trPr>
          <w:trHeight w:val="209"/>
        </w:trPr>
        <w:tc>
          <w:tcPr>
            <w:tcW w:w="258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KINGS COURT (California)</w:t>
            </w:r>
          </w:p>
        </w:tc>
        <w:tc>
          <w:tcPr>
            <w:tcW w:w="60" w:type="dxa"/>
            <w:vAlign w:val="bottom"/>
          </w:tcPr>
          <w:p>
            <w:pPr>
              <w:spacing w:after="0"/>
              <w:rPr>
                <w:sz w:val="18"/>
                <w:szCs w:val="18"/>
                <w:color w:val="auto"/>
              </w:rPr>
            </w:pPr>
          </w:p>
        </w:tc>
        <w:tc>
          <w:tcPr>
            <w:tcW w:w="96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10,714</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901</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11,615</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5"/>
              <w:spacing w:after="0"/>
              <w:rPr>
                <w:sz w:val="20"/>
                <w:szCs w:val="20"/>
                <w:color w:val="auto"/>
              </w:rPr>
            </w:pPr>
            <w:r>
              <w:rPr>
                <w:rFonts w:ascii="Times New Roman" w:cs="Times New Roman" w:eastAsia="Times New Roman" w:hAnsi="Times New Roman"/>
                <w:sz w:val="16"/>
                <w:szCs w:val="16"/>
                <w:color w:val="231F20"/>
              </w:rPr>
              <w:t>11,615</w:t>
            </w: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11,361</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1960</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8/24/1998</w:t>
            </w:r>
          </w:p>
        </w:tc>
        <w:tc>
          <w:tcPr>
            <w:tcW w:w="80" w:type="dxa"/>
            <w:vAlign w:val="bottom"/>
          </w:tcPr>
          <w:p>
            <w:pPr>
              <w:spacing w:after="0"/>
              <w:rPr>
                <w:sz w:val="18"/>
                <w:szCs w:val="18"/>
                <w:color w:val="auto"/>
              </w:rPr>
            </w:pPr>
          </w:p>
        </w:tc>
        <w:tc>
          <w:tcPr>
            <w:tcW w:w="9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17"/>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KINGSTOWNE TOWNE CENTER</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72,234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137,466</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1,523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72,234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138,989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211,223</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8,021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1996/2001/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4/20/22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7/27/22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LANCASTER (Pennsylvania)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2,103</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6,693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8,364</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8,796</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6,705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4/24/1980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LANGHORNE SQUARE</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2,974</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21,264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24,238</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24,958</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19,250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1/31/1985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(Pennsylvania)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LAUREL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7,458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22,525</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31,628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7,551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54,060</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61,611</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45,960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8/15/1986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LAWRENCE PARK (Pennsylvania)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6,150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8,491</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50,304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6,161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58,784</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64,945</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27,813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7/23/1980</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&amp; 4/3/17</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LINDEN SQUARE (Massachusetts)</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79,382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19,247</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59,687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79,346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78,970</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158,316</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36,551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1960-2008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8/24/2006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MELVILLE MALL (New York)</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35,622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32,882</w:t>
            </w:r>
          </w:p>
        </w:tc>
        <w:tc>
          <w:tcPr>
            <w:tcW w:w="80" w:type="dxa"/>
            <w:vAlign w:val="bottom"/>
          </w:tcPr>
          <w:p>
            <w:pPr>
              <w:spacing w:after="0"/>
              <w:rPr>
                <w:sz w:val="21"/>
                <w:szCs w:val="21"/>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36,638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35,622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69,520</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105,142</w:t>
            </w:r>
          </w:p>
        </w:tc>
        <w:tc>
          <w:tcPr>
            <w:tcW w:w="80" w:type="dxa"/>
            <w:vAlign w:val="bottom"/>
          </w:tcPr>
          <w:p>
            <w:pPr>
              <w:spacing w:after="0"/>
              <w:rPr>
                <w:sz w:val="21"/>
                <w:szCs w:val="21"/>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27,995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10/16/2006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MERCER ON ONE (FORMERLY</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10/14/03,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KNOWN AS MERCER MALL)</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19,152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44,384</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52,891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19,102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97,325</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116,427</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43,920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1975</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1/31/17,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(New Jersey)</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10/12/2023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MONTROSE CROSSING</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1960s,</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12/27/11 &amp;</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48,624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91,819</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32,056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48,624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123,875</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172,499</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48,448</w:t>
            </w:r>
          </w:p>
        </w:tc>
        <w:tc>
          <w:tcPr>
            <w:tcW w:w="8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231F20"/>
              </w:rPr>
              <w:t>1970s, 1996</w:t>
            </w:r>
          </w:p>
        </w:tc>
        <w:tc>
          <w:tcPr>
            <w:tcW w:w="1000" w:type="dxa"/>
            <w:vAlign w:val="bottom"/>
            <w:gridSpan w:val="2"/>
            <w:vMerge w:val="continue"/>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&amp; 2011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12/19/13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MOUNT VERNON/SOUTH</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3/31/03,</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1966/1972/</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3/21/03,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231F20"/>
              </w:rPr>
              <w:t>VALLEY/7770 RICHMOND HWY.</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15,769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33,501</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46,133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15,851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79,552</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95,403</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50,467</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1/27/06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1987/2001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1/4/21</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NORTH DARTMOUTH</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9,366</w:t>
            </w:r>
          </w:p>
        </w:tc>
        <w:tc>
          <w:tcPr>
            <w:tcW w:w="80" w:type="dxa"/>
            <w:vAlign w:val="bottom"/>
          </w:tcPr>
          <w:p>
            <w:pPr>
              <w:spacing w:after="0"/>
              <w:rPr>
                <w:sz w:val="18"/>
                <w:szCs w:val="18"/>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9,366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9,369</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2004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8/24/2006</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(Massachusetts)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NORTHEAST (Pennsylvania)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8,779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25,941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34,719</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35,658</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23,769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8/30/1983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OLD KEENE MILL (Virginia)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998</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13,047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14,045</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14,683</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7,614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6/15/1976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OLD TOWN CENTER (California)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3,420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2,765</w:t>
            </w:r>
          </w:p>
        </w:tc>
        <w:tc>
          <w:tcPr>
            <w:tcW w:w="80" w:type="dxa"/>
            <w:vAlign w:val="bottom"/>
          </w:tcPr>
          <w:p>
            <w:pPr>
              <w:spacing w:after="0"/>
              <w:rPr>
                <w:sz w:val="21"/>
                <w:szCs w:val="2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37,064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3,420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39,829</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43,249</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26,408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10/22/1997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1997-1998</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OLIVO AT MISSION HILLS</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15,048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46,732</w:t>
            </w:r>
          </w:p>
        </w:tc>
        <w:tc>
          <w:tcPr>
            <w:tcW w:w="80" w:type="dxa"/>
            <w:vAlign w:val="bottom"/>
          </w:tcPr>
          <w:p>
            <w:pPr>
              <w:spacing w:after="0"/>
              <w:rPr>
                <w:sz w:val="17"/>
                <w:szCs w:val="17"/>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21,130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15,048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67,862</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82,910</w:t>
            </w:r>
          </w:p>
        </w:tc>
        <w:tc>
          <w:tcPr>
            <w:tcW w:w="80" w:type="dxa"/>
            <w:vAlign w:val="bottom"/>
          </w:tcPr>
          <w:p>
            <w:pPr>
              <w:spacing w:after="0"/>
              <w:rPr>
                <w:sz w:val="17"/>
                <w:szCs w:val="17"/>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10,589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2017-2018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8/2/2017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PAN AM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8,694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12,929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10,707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8,695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23,635</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32,330</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18,863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2/5/1993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PERRING PLAZA (Maryland)</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6,461</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28,432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34,893</w:t>
            </w:r>
          </w:p>
        </w:tc>
        <w:tc>
          <w:tcPr>
            <w:tcW w:w="10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231F20"/>
              </w:rPr>
              <w:t>37,693</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25,530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10/1/1985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17"/>
        </w:trPr>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5/18/82,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PIKE &amp; ROSE (Maryland)</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31,471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10,335</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820,583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33,716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828,673</w:t>
            </w:r>
          </w:p>
        </w:tc>
        <w:tc>
          <w:tcPr>
            <w:tcW w:w="10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color w:val="231F20"/>
              </w:rPr>
              <w:t>862,389</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124,714</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10/26/07,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2012-2023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7/31/12</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5840" w:h="12240" w:orient="landscape"/>
          <w:cols w:equalWidth="0" w:num="2">
            <w:col w:w="218" w:space="507"/>
            <w:col w:w="13800"/>
          </w:cols>
          <w:pgMar w:left="455" w:top="783" w:right="860" w:bottom="681"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F-44</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231F20"/>
        </w:rPr>
        <w:t>DECEMBER 31, 2023</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231F20"/>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B</w:t>
            </w:r>
          </w:p>
        </w:tc>
        <w:tc>
          <w:tcPr>
            <w:tcW w:w="8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231F20"/>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231F20"/>
              </w:rPr>
              <w:t>COLUMN D</w:t>
            </w:r>
          </w:p>
        </w:tc>
        <w:tc>
          <w:tcPr>
            <w:tcW w:w="8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231F20"/>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231F20"/>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231F20"/>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Capitalized</w:t>
            </w: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to</w:t>
            </w:r>
          </w:p>
        </w:tc>
        <w:tc>
          <w:tcPr>
            <w:tcW w:w="80" w:type="dxa"/>
            <w:vAlign w:val="bottom"/>
          </w:tcPr>
          <w:p>
            <w:pPr>
              <w:spacing w:after="0"/>
              <w:rPr>
                <w:sz w:val="12"/>
                <w:szCs w:val="12"/>
                <w:color w:val="auto"/>
              </w:rPr>
            </w:pPr>
          </w:p>
        </w:tc>
        <w:tc>
          <w:tcPr>
            <w:tcW w:w="9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80" w:type="dxa"/>
            <w:vAlign w:val="bottom"/>
            <w:vMerge w:val="restart"/>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statements is</w:t>
            </w:r>
          </w:p>
        </w:tc>
        <w:tc>
          <w:tcPr>
            <w:tcW w:w="0" w:type="dxa"/>
            <w:vAlign w:val="bottom"/>
          </w:tcPr>
          <w:p>
            <w:pPr>
              <w:spacing w:after="0"/>
              <w:rPr>
                <w:sz w:val="1"/>
                <w:szCs w:val="1"/>
                <w:color w:val="auto"/>
              </w:rPr>
            </w:pPr>
          </w:p>
        </w:tc>
      </w:tr>
      <w:tr>
        <w:trPr>
          <w:trHeight w:val="190"/>
        </w:trPr>
        <w:tc>
          <w:tcPr>
            <w:tcW w:w="2580" w:type="dxa"/>
            <w:vAlign w:val="bottom"/>
            <w:tcBorders>
              <w:bottom w:val="single" w:sz="8" w:color="231F20"/>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231F20"/>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231F20"/>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Acquisition</w:t>
            </w:r>
          </w:p>
        </w:tc>
        <w:tc>
          <w:tcPr>
            <w:tcW w:w="80" w:type="dxa"/>
            <w:vAlign w:val="bottom"/>
          </w:tcPr>
          <w:p>
            <w:pPr>
              <w:spacing w:after="0"/>
              <w:rPr>
                <w:sz w:val="16"/>
                <w:szCs w:val="16"/>
                <w:color w:val="auto"/>
              </w:rPr>
            </w:pPr>
          </w:p>
        </w:tc>
        <w:tc>
          <w:tcPr>
            <w:tcW w:w="900" w:type="dxa"/>
            <w:vAlign w:val="bottom"/>
            <w:tcBorders>
              <w:bottom w:val="single" w:sz="8" w:color="231F20"/>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920" w:type="dxa"/>
            <w:vAlign w:val="bottom"/>
            <w:tcBorders>
              <w:bottom w:val="single" w:sz="8" w:color="231F20"/>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Amortization</w:t>
            </w:r>
          </w:p>
        </w:tc>
        <w:tc>
          <w:tcPr>
            <w:tcW w:w="80" w:type="dxa"/>
            <w:vAlign w:val="bottom"/>
          </w:tcPr>
          <w:p>
            <w:pPr>
              <w:spacing w:after="0"/>
              <w:rPr>
                <w:sz w:val="16"/>
                <w:szCs w:val="16"/>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Construction</w:t>
            </w:r>
          </w:p>
        </w:tc>
        <w:tc>
          <w:tcPr>
            <w:tcW w:w="80" w:type="dxa"/>
            <w:vAlign w:val="bottom"/>
          </w:tcPr>
          <w:p>
            <w:pPr>
              <w:spacing w:after="0"/>
              <w:rPr>
                <w:sz w:val="16"/>
                <w:szCs w:val="16"/>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Acquired</w:t>
            </w:r>
          </w:p>
        </w:tc>
        <w:tc>
          <w:tcPr>
            <w:tcW w:w="80" w:type="dxa"/>
            <w:vAlign w:val="bottom"/>
          </w:tcPr>
          <w:p>
            <w:pPr>
              <w:spacing w:after="0"/>
              <w:rPr>
                <w:sz w:val="16"/>
                <w:szCs w:val="16"/>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computed</w:t>
            </w:r>
          </w:p>
        </w:tc>
        <w:tc>
          <w:tcPr>
            <w:tcW w:w="0" w:type="dxa"/>
            <w:vAlign w:val="bottom"/>
          </w:tcPr>
          <w:p>
            <w:pPr>
              <w:spacing w:after="0"/>
              <w:rPr>
                <w:sz w:val="1"/>
                <w:szCs w:val="1"/>
                <w:color w:val="auto"/>
              </w:rPr>
            </w:pPr>
          </w:p>
        </w:tc>
      </w:tr>
      <w:tr>
        <w:trPr>
          <w:trHeight w:val="186"/>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PIKE 7 PLAZA (Virginia)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14,970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22,799</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18,105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14,914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40,960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55,874</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23,250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1968</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3/31/97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7/8/15</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PLAZA DEL MERCADO</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10,305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21,553</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14,913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10,305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36,466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46,771</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11,427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1/13/2016</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PLAZA DEL SOL (California)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5,605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12,331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5,605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12,312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17,917</w:t>
            </w:r>
          </w:p>
        </w:tc>
        <w:tc>
          <w:tcPr>
            <w:tcW w:w="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2,595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8/2/2017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12/30/11,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PLAZA EL SEGUNDO/THE POINT</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2006/2007/</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6/14/13,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124,706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62,127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153,556</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93,766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64,463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244,986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309,449</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83,364</w:t>
            </w: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7/26/13,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(California)</w:t>
            </w: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12/27/13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QUEEN ANNE PLAZA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3,319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8,457</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7,886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3,319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16,343</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19,662</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12,380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12/23/1994</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(Massachusetts)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QUINCE ORCHARD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3,197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7,949</w:t>
            </w:r>
          </w:p>
        </w:tc>
        <w:tc>
          <w:tcPr>
            <w:tcW w:w="8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29,972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2,928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38,190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41,118</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27,989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4/22/1993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RIVERPOINT CENTER (Illinois)</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15,422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104,572</w:t>
            </w:r>
          </w:p>
        </w:tc>
        <w:tc>
          <w:tcPr>
            <w:tcW w:w="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2,603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15,422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107,175</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231F20"/>
              </w:rPr>
              <w:t>122,597</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23,045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1989, 2012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3/31/2017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7"/>
        </w:trPr>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SAN ANTONIO CENTER</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1964-1965,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1/9/2015,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26,400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18,462</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7,232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26,400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25,694</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52,094</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7,252</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1974-1975,</w:t>
            </w:r>
          </w:p>
        </w:tc>
        <w:tc>
          <w:tcPr>
            <w:tcW w:w="1000" w:type="dxa"/>
            <w:vAlign w:val="bottom"/>
            <w:gridSpan w:val="2"/>
            <w:vMerge w:val="continue"/>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1995-1997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9/13/19</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1999-2006,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3/5/97,</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7/13/12,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2009, 2011,</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9/6/12,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SANTANA ROW (California)</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66,682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7,502</w:t>
            </w:r>
          </w:p>
        </w:tc>
        <w:tc>
          <w:tcPr>
            <w:tcW w:w="8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1,241,432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57,592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1,258,024</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1,315,616</w:t>
            </w:r>
          </w:p>
        </w:tc>
        <w:tc>
          <w:tcPr>
            <w:tcW w:w="8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323,191</w:t>
            </w:r>
          </w:p>
        </w:tc>
        <w:tc>
          <w:tcPr>
            <w:tcW w:w="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2014,</w:t>
            </w:r>
          </w:p>
        </w:tc>
        <w:tc>
          <w:tcPr>
            <w:tcW w:w="1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231F20"/>
              </w:rPr>
              <w:t>4/30/13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2016-2023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9/23/13</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SHOPS AT PEMBROKE GARDENS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39,506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141,356</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650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39,506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142,006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181,512</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8,087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2007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7/27/2022</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(Florida)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SYLMAR TOWNE CENTER</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18,522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24,637</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3,420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18,522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28,057</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46,579</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5,567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1973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8/2/2017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(California)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 AVENUE AT WHITE MARSH</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20,682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72,432</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40,410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20,685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112,839</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133,524</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53,760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1997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3/8/2007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 GROVE AT SHREWSBURY</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43,266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18,016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103,115</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10,581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18,021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113,691</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131,712</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35,803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1988/1993/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1/1/2014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(New Jersey)</w:t>
            </w:r>
          </w:p>
        </w:tc>
        <w:tc>
          <w:tcPr>
            <w:tcW w:w="10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10/6/14</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 SHOPPES AT NOTTINGHAM</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4,441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12,849</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2,227</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4,441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15,076</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19,517</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7,936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2005 - 2006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3/8/2007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SQUARE (Maryland)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THIRD STREET PROMENADE</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17,161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12,051</w:t>
            </w:r>
          </w:p>
        </w:tc>
        <w:tc>
          <w:tcPr>
            <w:tcW w:w="80" w:type="dxa"/>
            <w:vAlign w:val="bottom"/>
          </w:tcPr>
          <w:p>
            <w:pPr>
              <w:spacing w:after="0"/>
              <w:rPr>
                <w:sz w:val="18"/>
                <w:szCs w:val="18"/>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51,169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19,642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60,739</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80,381</w:t>
            </w:r>
          </w:p>
        </w:tc>
        <w:tc>
          <w:tcPr>
            <w:tcW w:w="80" w:type="dxa"/>
            <w:vAlign w:val="bottom"/>
          </w:tcPr>
          <w:p>
            <w:pPr>
              <w:spacing w:after="0"/>
              <w:rPr>
                <w:sz w:val="18"/>
                <w:szCs w:val="18"/>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36,598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1888-2000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1996-2000</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8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(California)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TOWER SHOPPNG CENTER</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7,170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10,518</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8,565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7,280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18,973</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26,253</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11,679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1953-1960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8/24/1998</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18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(Virginia)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TOWER SHOPS (Florida)</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29,940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43,390</w:t>
            </w:r>
          </w:p>
        </w:tc>
        <w:tc>
          <w:tcPr>
            <w:tcW w:w="80" w:type="dxa"/>
            <w:vAlign w:val="bottom"/>
          </w:tcPr>
          <w:p>
            <w:pPr>
              <w:spacing w:after="0"/>
              <w:rPr>
                <w:sz w:val="16"/>
                <w:szCs w:val="16"/>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31,962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29,962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75,330</w:t>
            </w: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color w:val="231F20"/>
              </w:rPr>
              <w:t>105,292</w:t>
            </w:r>
          </w:p>
        </w:tc>
        <w:tc>
          <w:tcPr>
            <w:tcW w:w="80" w:type="dxa"/>
            <w:vAlign w:val="bottom"/>
          </w:tcPr>
          <w:p>
            <w:pPr>
              <w:spacing w:after="0"/>
              <w:rPr>
                <w:sz w:val="16"/>
                <w:szCs w:val="16"/>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30,876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1989, 2017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1/19/11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6/13/14</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5840" w:h="12240" w:orient="landscape"/>
          <w:cols w:equalWidth="0" w:num="2">
            <w:col w:w="218" w:space="507"/>
            <w:col w:w="13800"/>
          </w:cols>
          <w:pgMar w:left="455" w:top="783" w:right="860" w:bottom="306"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231F20"/>
              </w:rPr>
              <w:t>F-45</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231F20"/>
        </w:rPr>
        <w:t>DECEMBER 31, 2023</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231F20"/>
        </w:rPr>
        <w:t>(Dollars in thousands)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A</w:t>
            </w:r>
          </w:p>
        </w:tc>
        <w:tc>
          <w:tcPr>
            <w:tcW w:w="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COLUMN B</w:t>
            </w:r>
          </w:p>
        </w:tc>
        <w:tc>
          <w:tcPr>
            <w:tcW w:w="80" w:type="dxa"/>
            <w:vAlign w:val="bottom"/>
          </w:tcPr>
          <w:p>
            <w:pPr>
              <w:spacing w:after="0"/>
              <w:rPr>
                <w:sz w:val="16"/>
                <w:szCs w:val="16"/>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231F20"/>
              </w:rPr>
              <w:t>COLUMN C</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231F20"/>
              </w:rPr>
              <w:t>COLUMN D</w:t>
            </w:r>
          </w:p>
        </w:tc>
        <w:tc>
          <w:tcPr>
            <w:tcW w:w="80" w:type="dxa"/>
            <w:vAlign w:val="bottom"/>
          </w:tcPr>
          <w:p>
            <w:pPr>
              <w:spacing w:after="0"/>
              <w:rPr>
                <w:sz w:val="16"/>
                <w:szCs w:val="16"/>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231F20"/>
              </w:rPr>
              <w:t>COLUMN E</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231F20"/>
              </w:rPr>
              <w:t>COLUMN F</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COLUMN G</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H</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COLUMN I</w:t>
            </w:r>
          </w:p>
        </w:tc>
        <w:tc>
          <w:tcPr>
            <w:tcW w:w="0" w:type="dxa"/>
            <w:vAlign w:val="bottom"/>
          </w:tcPr>
          <w:p>
            <w:pPr>
              <w:spacing w:after="0"/>
              <w:rPr>
                <w:sz w:val="1"/>
                <w:szCs w:val="1"/>
                <w:color w:val="auto"/>
              </w:rPr>
            </w:pPr>
          </w:p>
        </w:tc>
      </w:tr>
      <w:tr>
        <w:trPr>
          <w:trHeight w:val="32"/>
        </w:trPr>
        <w:tc>
          <w:tcPr>
            <w:tcW w:w="2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231F20"/>
              </w:rPr>
              <w:t>Initial cost to company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80" w:type="dxa"/>
            <w:vAlign w:val="bottom"/>
          </w:tcPr>
          <w:p>
            <w:pPr>
              <w:spacing w:after="0"/>
              <w:rPr>
                <w:sz w:val="24"/>
                <w:szCs w:val="24"/>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Gross amount at which carried at</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Life on which</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close of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depreciation</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Capitalized</w:t>
            </w: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Accumulated</w:t>
            </w:r>
          </w:p>
        </w:tc>
        <w:tc>
          <w:tcPr>
            <w:tcW w:w="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2"/>
              </w:rPr>
              <w:t>Date</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231F20"/>
              </w:rPr>
              <w:t>in latest</w:t>
            </w: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Subsequent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Building and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Depreciation</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income</w:t>
            </w:r>
          </w:p>
        </w:tc>
        <w:tc>
          <w:tcPr>
            <w:tcW w:w="0" w:type="dxa"/>
            <w:vAlign w:val="bottom"/>
          </w:tcPr>
          <w:p>
            <w:pPr>
              <w:spacing w:after="0"/>
              <w:rPr>
                <w:sz w:val="1"/>
                <w:szCs w:val="1"/>
                <w:color w:val="auto"/>
              </w:rPr>
            </w:pPr>
          </w:p>
        </w:tc>
      </w:tr>
      <w:tr>
        <w:trPr>
          <w:trHeight w:val="140"/>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Descriptions</w:t>
            </w:r>
          </w:p>
        </w:tc>
        <w:tc>
          <w:tcPr>
            <w:tcW w:w="6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Encumbrance</w:t>
            </w:r>
          </w:p>
        </w:tc>
        <w:tc>
          <w:tcPr>
            <w:tcW w:w="80" w:type="dxa"/>
            <w:vAlign w:val="bottom"/>
          </w:tcPr>
          <w:p>
            <w:pPr>
              <w:spacing w:after="0"/>
              <w:rPr>
                <w:sz w:val="12"/>
                <w:szCs w:val="12"/>
                <w:color w:val="auto"/>
              </w:rPr>
            </w:pPr>
          </w:p>
        </w:tc>
        <w:tc>
          <w:tcPr>
            <w:tcW w:w="94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to</w:t>
            </w:r>
          </w:p>
        </w:tc>
        <w:tc>
          <w:tcPr>
            <w:tcW w:w="80" w:type="dxa"/>
            <w:vAlign w:val="bottom"/>
          </w:tcPr>
          <w:p>
            <w:pPr>
              <w:spacing w:after="0"/>
              <w:rPr>
                <w:sz w:val="12"/>
                <w:szCs w:val="12"/>
                <w:color w:val="auto"/>
              </w:rPr>
            </w:pPr>
          </w:p>
        </w:tc>
        <w:tc>
          <w:tcPr>
            <w:tcW w:w="90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231F20"/>
              </w:rPr>
              <w:t>Land</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9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7"/>
              </w:rPr>
              <w:t>and</w:t>
            </w:r>
          </w:p>
        </w:tc>
        <w:tc>
          <w:tcPr>
            <w:tcW w:w="8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85"/>
              </w:rPr>
              <w:t>of</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statements is</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Acquisition</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Improvements</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Amortization</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Construction</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Acquired</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computed</w:t>
            </w:r>
          </w:p>
        </w:tc>
        <w:tc>
          <w:tcPr>
            <w:tcW w:w="0" w:type="dxa"/>
            <w:vAlign w:val="bottom"/>
          </w:tcPr>
          <w:p>
            <w:pPr>
              <w:spacing w:after="0"/>
              <w:rPr>
                <w:sz w:val="1"/>
                <w:szCs w:val="1"/>
                <w:color w:val="auto"/>
              </w:rPr>
            </w:pPr>
          </w:p>
        </w:tc>
      </w:tr>
      <w:tr>
        <w:trPr>
          <w:trHeight w:val="209"/>
        </w:trPr>
        <w:tc>
          <w:tcPr>
            <w:tcW w:w="258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TROY HILLS (New Jersey)</w:t>
            </w:r>
          </w:p>
        </w:tc>
        <w:tc>
          <w:tcPr>
            <w:tcW w:w="60" w:type="dxa"/>
            <w:vAlign w:val="bottom"/>
          </w:tcPr>
          <w:p>
            <w:pPr>
              <w:spacing w:after="0"/>
              <w:rPr>
                <w:sz w:val="18"/>
                <w:szCs w:val="18"/>
                <w:color w:val="auto"/>
              </w:rPr>
            </w:pPr>
          </w:p>
        </w:tc>
        <w:tc>
          <w:tcPr>
            <w:tcW w:w="96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3,126</w:t>
            </w: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5,193</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4"/>
              <w:spacing w:after="0"/>
              <w:rPr>
                <w:sz w:val="20"/>
                <w:szCs w:val="20"/>
                <w:color w:val="auto"/>
              </w:rPr>
            </w:pPr>
            <w:r>
              <w:rPr>
                <w:rFonts w:ascii="Times New Roman" w:cs="Times New Roman" w:eastAsia="Times New Roman" w:hAnsi="Times New Roman"/>
                <w:sz w:val="16"/>
                <w:szCs w:val="16"/>
                <w:color w:val="231F20"/>
              </w:rPr>
              <w:t>33,050</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5,865</w:t>
            </w:r>
          </w:p>
        </w:tc>
        <w:tc>
          <w:tcPr>
            <w:tcW w:w="80" w:type="dxa"/>
            <w:vAlign w:val="bottom"/>
          </w:tcPr>
          <w:p>
            <w:pPr>
              <w:spacing w:after="0"/>
              <w:rPr>
                <w:sz w:val="18"/>
                <w:szCs w:val="18"/>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35,504</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41,369</w:t>
            </w:r>
          </w:p>
        </w:tc>
        <w:tc>
          <w:tcPr>
            <w:tcW w:w="80" w:type="dxa"/>
            <w:vAlign w:val="bottom"/>
          </w:tcPr>
          <w:p>
            <w:pPr>
              <w:spacing w:after="0"/>
              <w:rPr>
                <w:sz w:val="18"/>
                <w:szCs w:val="18"/>
                <w:color w:val="auto"/>
              </w:rPr>
            </w:pPr>
          </w:p>
        </w:tc>
        <w:tc>
          <w:tcPr>
            <w:tcW w:w="940" w:type="dxa"/>
            <w:vAlign w:val="bottom"/>
            <w:tcBorders>
              <w:top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26,645</w:t>
            </w:r>
          </w:p>
        </w:tc>
        <w:tc>
          <w:tcPr>
            <w:tcW w:w="80" w:type="dxa"/>
            <w:vAlign w:val="bottom"/>
          </w:tcPr>
          <w:p>
            <w:pPr>
              <w:spacing w:after="0"/>
              <w:rPr>
                <w:sz w:val="18"/>
                <w:szCs w:val="18"/>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1966</w:t>
            </w:r>
          </w:p>
        </w:tc>
        <w:tc>
          <w:tcPr>
            <w:tcW w:w="80" w:type="dxa"/>
            <w:vAlign w:val="bottom"/>
          </w:tcPr>
          <w:p>
            <w:pPr>
              <w:spacing w:after="0"/>
              <w:rPr>
                <w:sz w:val="18"/>
                <w:szCs w:val="18"/>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7/23/1980</w:t>
            </w:r>
          </w:p>
        </w:tc>
        <w:tc>
          <w:tcPr>
            <w:tcW w:w="80" w:type="dxa"/>
            <w:vAlign w:val="bottom"/>
          </w:tcPr>
          <w:p>
            <w:pPr>
              <w:spacing w:after="0"/>
              <w:rPr>
                <w:sz w:val="18"/>
                <w:szCs w:val="18"/>
                <w:color w:val="auto"/>
              </w:rPr>
            </w:pPr>
          </w:p>
        </w:tc>
        <w:tc>
          <w:tcPr>
            <w:tcW w:w="9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3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TWINBROOKE SHOPPING</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18,898</w:t>
            </w:r>
          </w:p>
        </w:tc>
        <w:tc>
          <w:tcPr>
            <w:tcW w:w="80" w:type="dxa"/>
            <w:vAlign w:val="bottom"/>
          </w:tcPr>
          <w:p>
            <w:pPr>
              <w:spacing w:after="0"/>
              <w:rPr>
                <w:sz w:val="20"/>
                <w:szCs w:val="20"/>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231F20"/>
              </w:rPr>
              <w:t>755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16,484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19,653</w:t>
            </w:r>
          </w:p>
        </w:tc>
        <w:tc>
          <w:tcPr>
            <w:tcW w:w="100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36,137</w:t>
            </w:r>
          </w:p>
        </w:tc>
        <w:tc>
          <w:tcPr>
            <w:tcW w:w="80" w:type="dxa"/>
            <w:vAlign w:val="bottom"/>
          </w:tcPr>
          <w:p>
            <w:pPr>
              <w:spacing w:after="0"/>
              <w:rPr>
                <w:sz w:val="20"/>
                <w:szCs w:val="20"/>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1,764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1977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9/2/2021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CENTRE (Virginia)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TYSON'S STATION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453</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31F20"/>
              </w:rPr>
              <w:t>6,323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6,671</w:t>
            </w:r>
          </w:p>
        </w:tc>
        <w:tc>
          <w:tcPr>
            <w:tcW w:w="10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231F20"/>
              </w:rPr>
              <w:t>7,164</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4,383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1/17/1978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VILLAGE AT SHIRLINGTON</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9,761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14,808</w:t>
            </w:r>
          </w:p>
        </w:tc>
        <w:tc>
          <w:tcPr>
            <w:tcW w:w="80" w:type="dxa"/>
            <w:vAlign w:val="bottom"/>
          </w:tcPr>
          <w:p>
            <w:pPr>
              <w:spacing w:after="0"/>
              <w:rPr>
                <w:sz w:val="21"/>
                <w:szCs w:val="21"/>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231F20"/>
              </w:rPr>
              <w:t>48,905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6,323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67,151</w:t>
            </w:r>
          </w:p>
        </w:tc>
        <w:tc>
          <w:tcPr>
            <w:tcW w:w="100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73,474</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37,988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1940,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12/21/1995</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(Virginia)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2006-2009</w:t>
            </w: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WESTGATE CENTER (California)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6,319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107,284</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31F20"/>
              </w:rPr>
              <w:t>43,876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6,319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151,160</w:t>
            </w:r>
          </w:p>
        </w:tc>
        <w:tc>
          <w:tcPr>
            <w:tcW w:w="10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231F20"/>
              </w:rPr>
              <w:t>157,479</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83,068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1960-1966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3/31/2004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27"/>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WESTPOST (Virginia)</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2,955</w:t>
            </w:r>
          </w:p>
        </w:tc>
        <w:tc>
          <w:tcPr>
            <w:tcW w:w="80" w:type="dxa"/>
            <w:vAlign w:val="bottom"/>
          </w:tcPr>
          <w:p>
            <w:pPr>
              <w:spacing w:after="0"/>
              <w:rPr>
                <w:sz w:val="19"/>
                <w:szCs w:val="19"/>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231F20"/>
              </w:rPr>
              <w:t>109,946</w:t>
            </w:r>
          </w:p>
        </w:tc>
        <w:tc>
          <w:tcPr>
            <w:tcW w:w="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112,901</w:t>
            </w:r>
          </w:p>
        </w:tc>
        <w:tc>
          <w:tcPr>
            <w:tcW w:w="100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112,901</w:t>
            </w:r>
          </w:p>
        </w:tc>
        <w:tc>
          <w:tcPr>
            <w:tcW w:w="80" w:type="dxa"/>
            <w:vAlign w:val="bottom"/>
          </w:tcPr>
          <w:p>
            <w:pPr>
              <w:spacing w:after="0"/>
              <w:rPr>
                <w:sz w:val="19"/>
                <w:szCs w:val="19"/>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63,606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1999 - 2002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1998 &amp;</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11/22/10</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WHITE MARSH PLAZA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21,413</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31F20"/>
              </w:rPr>
              <w:t>2,170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3,514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23,547</w:t>
            </w:r>
          </w:p>
        </w:tc>
        <w:tc>
          <w:tcPr>
            <w:tcW w:w="10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231F20"/>
              </w:rPr>
              <w:t>27,061</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12,580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3/8/2007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42"/>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WHITE MARSH OTHER</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27,720</w:t>
            </w:r>
          </w:p>
        </w:tc>
        <w:tc>
          <w:tcPr>
            <w:tcW w:w="80" w:type="dxa"/>
            <w:vAlign w:val="bottom"/>
          </w:tcPr>
          <w:p>
            <w:pPr>
              <w:spacing w:after="0"/>
              <w:rPr>
                <w:sz w:val="21"/>
                <w:szCs w:val="2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231F20"/>
              </w:rPr>
              <w:t>213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27,750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183</w:t>
            </w:r>
          </w:p>
        </w:tc>
        <w:tc>
          <w:tcPr>
            <w:tcW w:w="100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27,933</w:t>
            </w:r>
          </w:p>
        </w:tc>
        <w:tc>
          <w:tcPr>
            <w:tcW w:w="80" w:type="dxa"/>
            <w:vAlign w:val="bottom"/>
          </w:tcPr>
          <w:p>
            <w:pPr>
              <w:spacing w:after="0"/>
              <w:rPr>
                <w:sz w:val="21"/>
                <w:szCs w:val="21"/>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231F20"/>
              </w:rPr>
              <w:t>56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1985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3/8/2007</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(Maryland)</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WILDWOOD (Maryland)</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9,111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1,061</w:t>
            </w:r>
          </w:p>
        </w:tc>
        <w:tc>
          <w:tcPr>
            <w:tcW w:w="8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31F20"/>
              </w:rPr>
              <w:t>18,370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9,111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19,431</w:t>
            </w:r>
          </w:p>
        </w:tc>
        <w:tc>
          <w:tcPr>
            <w:tcW w:w="10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231F20"/>
              </w:rPr>
              <w:t>28,542</w:t>
            </w:r>
          </w:p>
        </w:tc>
        <w:tc>
          <w:tcPr>
            <w:tcW w:w="8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11,661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5/5/1969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WILLOW GROVE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1,499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6,643</w:t>
            </w:r>
          </w:p>
        </w:tc>
        <w:tc>
          <w:tcPr>
            <w:tcW w:w="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31F20"/>
              </w:rPr>
              <w:t>41,838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1,499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48,481</w:t>
            </w:r>
          </w:p>
        </w:tc>
        <w:tc>
          <w:tcPr>
            <w:tcW w:w="10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231F20"/>
              </w:rPr>
              <w:t>49,980</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23,360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11/20/1984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WILLOW LAWN (Virginia)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3,192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7,723</w:t>
            </w:r>
          </w:p>
        </w:tc>
        <w:tc>
          <w:tcPr>
            <w:tcW w:w="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31F20"/>
              </w:rPr>
              <w:t>97,749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7,790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100,874</w:t>
            </w:r>
          </w:p>
        </w:tc>
        <w:tc>
          <w:tcPr>
            <w:tcW w:w="10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231F20"/>
              </w:rPr>
              <w:t>108,664</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72,875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12/5/1983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255"/>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WYNNEWOOD (Pennsylvania)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8,055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13,759</w:t>
            </w:r>
          </w:p>
        </w:tc>
        <w:tc>
          <w:tcPr>
            <w:tcW w:w="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231F20"/>
              </w:rPr>
              <w:t>22,569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8,055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36,328</w:t>
            </w:r>
          </w:p>
        </w:tc>
        <w:tc>
          <w:tcPr>
            <w:tcW w:w="10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231F20"/>
              </w:rPr>
              <w:t>44,383</w:t>
            </w:r>
          </w:p>
        </w:tc>
        <w:tc>
          <w:tcPr>
            <w:tcW w:w="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231F20"/>
              </w:rPr>
              <w:t>29,048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10/29/1996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(1)</w:t>
            </w:r>
          </w:p>
        </w:tc>
        <w:tc>
          <w:tcPr>
            <w:tcW w:w="0" w:type="dxa"/>
            <w:vAlign w:val="bottom"/>
          </w:tcPr>
          <w:p>
            <w:pPr>
              <w:spacing w:after="0"/>
              <w:rPr>
                <w:sz w:val="1"/>
                <w:szCs w:val="1"/>
                <w:color w:val="auto"/>
              </w:rPr>
            </w:pPr>
          </w:p>
        </w:tc>
      </w:tr>
      <w:tr>
        <w:trPr>
          <w:trHeight w:val="36"/>
        </w:trPr>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TOTALS</w:t>
            </w:r>
          </w:p>
        </w:tc>
        <w:tc>
          <w:tcPr>
            <w:tcW w:w="102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231F20"/>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   516,936</w:t>
            </w:r>
          </w:p>
        </w:tc>
        <w:tc>
          <w:tcPr>
            <w:tcW w:w="80" w:type="dxa"/>
            <w:vAlign w:val="bottom"/>
          </w:tcPr>
          <w:p>
            <w:pPr>
              <w:spacing w:after="0"/>
              <w:rPr>
                <w:sz w:val="18"/>
                <w:szCs w:val="18"/>
                <w:color w:val="auto"/>
              </w:rPr>
            </w:pPr>
          </w:p>
        </w:tc>
        <w:tc>
          <w:tcPr>
            <w:tcW w:w="9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$ 1,730,629</w:t>
            </w:r>
          </w:p>
        </w:tc>
        <w:tc>
          <w:tcPr>
            <w:tcW w:w="80" w:type="dxa"/>
            <w:vAlign w:val="bottom"/>
          </w:tcPr>
          <w:p>
            <w:pPr>
              <w:spacing w:after="0"/>
              <w:rPr>
                <w:sz w:val="18"/>
                <w:szCs w:val="18"/>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  3,164,741</w:t>
            </w:r>
          </w:p>
        </w:tc>
        <w:tc>
          <w:tcPr>
            <w:tcW w:w="80" w:type="dxa"/>
            <w:vAlign w:val="bottom"/>
          </w:tcPr>
          <w:p>
            <w:pPr>
              <w:spacing w:after="0"/>
              <w:rPr>
                <w:sz w:val="18"/>
                <w:szCs w:val="18"/>
                <w:color w:val="auto"/>
              </w:rPr>
            </w:pPr>
          </w:p>
        </w:tc>
        <w:tc>
          <w:tcPr>
            <w:tcW w:w="920" w:type="dxa"/>
            <w:vAlign w:val="bottom"/>
            <w:tcBorders>
              <w:top w:val="single" w:sz="8" w:color="231F20"/>
              <w:bottom w:val="single" w:sz="8" w:color="231F20"/>
            </w:tcBorders>
          </w:tcPr>
          <w:p>
            <w:pPr>
              <w:jc w:val="right"/>
              <w:ind w:right="4"/>
              <w:spacing w:after="0"/>
              <w:rPr>
                <w:sz w:val="20"/>
                <w:szCs w:val="20"/>
                <w:color w:val="auto"/>
              </w:rPr>
            </w:pPr>
            <w:r>
              <w:rPr>
                <w:rFonts w:ascii="Times New Roman" w:cs="Times New Roman" w:eastAsia="Times New Roman" w:hAnsi="Times New Roman"/>
                <w:sz w:val="16"/>
                <w:szCs w:val="16"/>
                <w:color w:val="231F20"/>
              </w:rPr>
              <w:t>$ 5,650,817</w:t>
            </w:r>
          </w:p>
        </w:tc>
        <w:tc>
          <w:tcPr>
            <w:tcW w:w="80" w:type="dxa"/>
            <w:vAlign w:val="bottom"/>
          </w:tcPr>
          <w:p>
            <w:pPr>
              <w:spacing w:after="0"/>
              <w:rPr>
                <w:sz w:val="18"/>
                <w:szCs w:val="18"/>
                <w:color w:val="auto"/>
              </w:rPr>
            </w:pP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$ 1,726,021</w:t>
            </w:r>
          </w:p>
        </w:tc>
        <w:tc>
          <w:tcPr>
            <w:tcW w:w="80" w:type="dxa"/>
            <w:vAlign w:val="bottom"/>
          </w:tcPr>
          <w:p>
            <w:pPr>
              <w:spacing w:after="0"/>
              <w:rPr>
                <w:sz w:val="18"/>
                <w:szCs w:val="18"/>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  8,820,166</w:t>
            </w:r>
          </w:p>
        </w:tc>
        <w:tc>
          <w:tcPr>
            <w:tcW w:w="80" w:type="dxa"/>
            <w:vAlign w:val="bottom"/>
          </w:tcPr>
          <w:p>
            <w:pPr>
              <w:spacing w:after="0"/>
              <w:rPr>
                <w:sz w:val="18"/>
                <w:szCs w:val="18"/>
                <w:color w:val="auto"/>
              </w:rPr>
            </w:pPr>
          </w:p>
        </w:tc>
        <w:tc>
          <w:tcPr>
            <w:tcW w:w="9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$10,546,187</w:t>
            </w:r>
          </w:p>
        </w:tc>
        <w:tc>
          <w:tcPr>
            <w:tcW w:w="80" w:type="dxa"/>
            <w:vAlign w:val="bottom"/>
          </w:tcPr>
          <w:p>
            <w:pPr>
              <w:spacing w:after="0"/>
              <w:rPr>
                <w:sz w:val="18"/>
                <w:szCs w:val="18"/>
                <w:color w:val="auto"/>
              </w:rPr>
            </w:pPr>
          </w:p>
        </w:tc>
        <w:tc>
          <w:tcPr>
            <w:tcW w:w="940" w:type="dxa"/>
            <w:vAlign w:val="bottom"/>
            <w:tcBorders>
              <w:top w:val="single" w:sz="8" w:color="231F20"/>
              <w:bottom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color w:val="231F20"/>
              </w:rPr>
              <w:t>$ 2,963,519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231F20"/>
        </w:rPr>
        <w:t>(1) Depreciation of building and improvements is calculated based on useful lives ranging from the life of the lease to 50 years.</w:t>
      </w:r>
    </w:p>
    <w:p>
      <w:pPr>
        <w:sectPr>
          <w:pgSz w:w="15840" w:h="12240" w:orient="landscape"/>
          <w:cols w:equalWidth="0" w:num="2">
            <w:col w:w="218" w:space="507"/>
            <w:col w:w="13800"/>
          </w:cols>
          <w:pgMar w:left="455" w:top="783" w:right="86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Three Years Ended December 31, 2023</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Reconciliation of Total Cost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2020 </w:t>
            </w:r>
            <w:r>
              <w:rPr>
                <w:rFonts w:ascii="Times New Roman" w:cs="Times New Roman" w:eastAsia="Times New Roman" w:hAnsi="Times New Roman"/>
                <w:sz w:val="20"/>
                <w:szCs w:val="20"/>
                <w:color w:val="B8BABC"/>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8,582,870</w:t>
            </w:r>
          </w:p>
        </w:tc>
        <w:tc>
          <w:tcPr>
            <w:tcW w:w="0" w:type="dxa"/>
            <w:vAlign w:val="bottom"/>
          </w:tcPr>
          <w:p>
            <w:pPr>
              <w:spacing w:after="0"/>
              <w:rPr>
                <w:sz w:val="1"/>
                <w:szCs w:val="1"/>
                <w:color w:val="auto"/>
              </w:rPr>
            </w:pPr>
          </w:p>
        </w:tc>
      </w:tr>
      <w:tr>
        <w:trPr>
          <w:trHeight w:val="285"/>
        </w:trPr>
        <w:tc>
          <w:tcPr>
            <w:tcW w:w="9040" w:type="dxa"/>
            <w:vAlign w:val="bottom"/>
          </w:tcPr>
          <w:p>
            <w:pPr>
              <w:jc w:val="center"/>
              <w:ind w:right="6460"/>
              <w:spacing w:after="0"/>
              <w:rPr>
                <w:sz w:val="20"/>
                <w:szCs w:val="20"/>
                <w:color w:val="auto"/>
              </w:rPr>
            </w:pPr>
            <w:r>
              <w:rPr>
                <w:rFonts w:ascii="Times New Roman" w:cs="Times New Roman" w:eastAsia="Times New Roman" w:hAnsi="Times New Roman"/>
                <w:sz w:val="20"/>
                <w:szCs w:val="20"/>
                <w:color w:val="231F20"/>
                <w:w w:val="99"/>
              </w:rPr>
              <w:t>Additions during period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Acquisitions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519,350</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Improvements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424,521</w:t>
            </w:r>
          </w:p>
        </w:tc>
        <w:tc>
          <w:tcPr>
            <w:tcW w:w="0" w:type="dxa"/>
            <w:vAlign w:val="bottom"/>
          </w:tcPr>
          <w:p>
            <w:pPr>
              <w:spacing w:after="0"/>
              <w:rPr>
                <w:sz w:val="1"/>
                <w:szCs w:val="1"/>
                <w:color w:val="auto"/>
              </w:rPr>
            </w:pPr>
          </w:p>
        </w:tc>
      </w:tr>
      <w:tr>
        <w:trPr>
          <w:trHeight w:val="288"/>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Deduction during period—dispositions and retirements of property</w:t>
            </w:r>
            <w:r>
              <w:rPr>
                <w:rFonts w:ascii="Times New Roman" w:cs="Times New Roman" w:eastAsia="Times New Roman" w:hAnsi="Times New Roman"/>
                <w:sz w:val="20"/>
                <w:szCs w:val="20"/>
                <w:color w:val="B8BABC"/>
              </w:rPr>
              <w:t>...................................................................</w:t>
            </w: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(104,679)</w:t>
            </w:r>
          </w:p>
        </w:tc>
        <w:tc>
          <w:tcPr>
            <w:tcW w:w="0" w:type="dxa"/>
            <w:vAlign w:val="bottom"/>
          </w:tcPr>
          <w:p>
            <w:pPr>
              <w:spacing w:after="0"/>
              <w:rPr>
                <w:sz w:val="1"/>
                <w:szCs w:val="1"/>
                <w:color w:val="auto"/>
              </w:rPr>
            </w:pPr>
          </w:p>
        </w:tc>
      </w:tr>
      <w:tr>
        <w:trPr>
          <w:trHeight w:val="262"/>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2021 </w:t>
            </w:r>
            <w:r>
              <w:rPr>
                <w:rFonts w:ascii="Times New Roman" w:cs="Times New Roman" w:eastAsia="Times New Roman" w:hAnsi="Times New Roman"/>
                <w:sz w:val="20"/>
                <w:szCs w:val="20"/>
                <w:color w:val="B8BABC"/>
                <w:w w:val="99"/>
              </w:rPr>
              <w:t>....................................................................................................................................</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9,422,062</w:t>
            </w:r>
          </w:p>
        </w:tc>
        <w:tc>
          <w:tcPr>
            <w:tcW w:w="0" w:type="dxa"/>
            <w:vAlign w:val="bottom"/>
          </w:tcPr>
          <w:p>
            <w:pPr>
              <w:spacing w:after="0"/>
              <w:rPr>
                <w:sz w:val="1"/>
                <w:szCs w:val="1"/>
                <w:color w:val="auto"/>
              </w:rPr>
            </w:pPr>
          </w:p>
        </w:tc>
      </w:tr>
      <w:tr>
        <w:trPr>
          <w:trHeight w:val="285"/>
        </w:trPr>
        <w:tc>
          <w:tcPr>
            <w:tcW w:w="9040" w:type="dxa"/>
            <w:vAlign w:val="bottom"/>
          </w:tcPr>
          <w:p>
            <w:pPr>
              <w:jc w:val="center"/>
              <w:ind w:right="6460"/>
              <w:spacing w:after="0"/>
              <w:rPr>
                <w:sz w:val="20"/>
                <w:szCs w:val="20"/>
                <w:color w:val="auto"/>
              </w:rPr>
            </w:pPr>
            <w:r>
              <w:rPr>
                <w:rFonts w:ascii="Times New Roman" w:cs="Times New Roman" w:eastAsia="Times New Roman" w:hAnsi="Times New Roman"/>
                <w:sz w:val="20"/>
                <w:szCs w:val="20"/>
                <w:color w:val="231F20"/>
                <w:w w:val="99"/>
              </w:rPr>
              <w:t>Additions during period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Acquisitions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445,319</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Improvements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399,623</w:t>
            </w:r>
          </w:p>
        </w:tc>
        <w:tc>
          <w:tcPr>
            <w:tcW w:w="0" w:type="dxa"/>
            <w:vAlign w:val="bottom"/>
          </w:tcPr>
          <w:p>
            <w:pPr>
              <w:spacing w:after="0"/>
              <w:rPr>
                <w:sz w:val="1"/>
                <w:szCs w:val="1"/>
                <w:color w:val="auto"/>
              </w:rPr>
            </w:pPr>
          </w:p>
        </w:tc>
      </w:tr>
      <w:tr>
        <w:trPr>
          <w:trHeight w:val="285"/>
        </w:trPr>
        <w:tc>
          <w:tcPr>
            <w:tcW w:w="9040" w:type="dxa"/>
            <w:vAlign w:val="bottom"/>
          </w:tcPr>
          <w:p>
            <w:pPr>
              <w:jc w:val="center"/>
              <w:ind w:right="6420"/>
              <w:spacing w:after="0"/>
              <w:rPr>
                <w:sz w:val="20"/>
                <w:szCs w:val="20"/>
                <w:color w:val="auto"/>
              </w:rPr>
            </w:pPr>
            <w:r>
              <w:rPr>
                <w:rFonts w:ascii="Times New Roman" w:cs="Times New Roman" w:eastAsia="Times New Roman" w:hAnsi="Times New Roman"/>
                <w:sz w:val="20"/>
                <w:szCs w:val="20"/>
                <w:color w:val="231F20"/>
                <w:w w:val="99"/>
              </w:rPr>
              <w:t>Deductions during period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231F20"/>
              </w:rPr>
              <w:t>Dispositions and retirements of property</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(107,682)</w:t>
            </w:r>
          </w:p>
        </w:tc>
        <w:tc>
          <w:tcPr>
            <w:tcW w:w="0" w:type="dxa"/>
            <w:vAlign w:val="bottom"/>
          </w:tcPr>
          <w:p>
            <w:pPr>
              <w:spacing w:after="0"/>
              <w:rPr>
                <w:sz w:val="1"/>
                <w:szCs w:val="1"/>
                <w:color w:val="auto"/>
              </w:rPr>
            </w:pPr>
          </w:p>
        </w:tc>
      </w:tr>
      <w:tr>
        <w:trPr>
          <w:trHeight w:val="288"/>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Deconsolidation of VIE </w:t>
            </w:r>
            <w:r>
              <w:rPr>
                <w:rFonts w:ascii="Times New Roman" w:cs="Times New Roman" w:eastAsia="Times New Roman" w:hAnsi="Times New Roman"/>
                <w:sz w:val="20"/>
                <w:szCs w:val="20"/>
                <w:color w:val="B8BABC"/>
              </w:rPr>
              <w:t>..................................................................................................................................</w:t>
            </w: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(54,823)</w:t>
            </w:r>
          </w:p>
        </w:tc>
        <w:tc>
          <w:tcPr>
            <w:tcW w:w="0" w:type="dxa"/>
            <w:vAlign w:val="bottom"/>
          </w:tcPr>
          <w:p>
            <w:pPr>
              <w:spacing w:after="0"/>
              <w:rPr>
                <w:sz w:val="1"/>
                <w:szCs w:val="1"/>
                <w:color w:val="auto"/>
              </w:rPr>
            </w:pPr>
          </w:p>
        </w:tc>
      </w:tr>
      <w:tr>
        <w:trPr>
          <w:trHeight w:val="262"/>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2022 </w:t>
            </w:r>
            <w:r>
              <w:rPr>
                <w:rFonts w:ascii="Times New Roman" w:cs="Times New Roman" w:eastAsia="Times New Roman" w:hAnsi="Times New Roman"/>
                <w:sz w:val="20"/>
                <w:szCs w:val="20"/>
                <w:color w:val="B8BABC"/>
                <w:w w:val="99"/>
              </w:rPr>
              <w:t>....................................................................................................................................</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10,104,499</w:t>
            </w:r>
          </w:p>
        </w:tc>
        <w:tc>
          <w:tcPr>
            <w:tcW w:w="0" w:type="dxa"/>
            <w:vAlign w:val="bottom"/>
          </w:tcPr>
          <w:p>
            <w:pPr>
              <w:spacing w:after="0"/>
              <w:rPr>
                <w:sz w:val="1"/>
                <w:szCs w:val="1"/>
                <w:color w:val="auto"/>
              </w:rPr>
            </w:pPr>
          </w:p>
        </w:tc>
      </w:tr>
      <w:tr>
        <w:trPr>
          <w:trHeight w:val="285"/>
        </w:trPr>
        <w:tc>
          <w:tcPr>
            <w:tcW w:w="9040" w:type="dxa"/>
            <w:vAlign w:val="bottom"/>
          </w:tcPr>
          <w:p>
            <w:pPr>
              <w:jc w:val="center"/>
              <w:ind w:right="6460"/>
              <w:spacing w:after="0"/>
              <w:rPr>
                <w:sz w:val="20"/>
                <w:szCs w:val="20"/>
                <w:color w:val="auto"/>
              </w:rPr>
            </w:pPr>
            <w:r>
              <w:rPr>
                <w:rFonts w:ascii="Times New Roman" w:cs="Times New Roman" w:eastAsia="Times New Roman" w:hAnsi="Times New Roman"/>
                <w:sz w:val="20"/>
                <w:szCs w:val="20"/>
                <w:color w:val="231F20"/>
                <w:w w:val="99"/>
              </w:rPr>
              <w:t>Additions during period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Improvements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287,286</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Reconsolidation of VIE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135,017</w:t>
            </w:r>
          </w:p>
        </w:tc>
        <w:tc>
          <w:tcPr>
            <w:tcW w:w="0" w:type="dxa"/>
            <w:vAlign w:val="bottom"/>
          </w:tcPr>
          <w:p>
            <w:pPr>
              <w:spacing w:after="0"/>
              <w:rPr>
                <w:sz w:val="1"/>
                <w:szCs w:val="1"/>
                <w:color w:val="auto"/>
              </w:rPr>
            </w:pPr>
          </w:p>
        </w:tc>
      </w:tr>
      <w:tr>
        <w:trPr>
          <w:trHeight w:val="28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Acquisitions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74,723</w:t>
            </w:r>
          </w:p>
        </w:tc>
        <w:tc>
          <w:tcPr>
            <w:tcW w:w="0" w:type="dxa"/>
            <w:vAlign w:val="bottom"/>
          </w:tcPr>
          <w:p>
            <w:pPr>
              <w:spacing w:after="0"/>
              <w:rPr>
                <w:sz w:val="1"/>
                <w:szCs w:val="1"/>
                <w:color w:val="auto"/>
              </w:rPr>
            </w:pPr>
          </w:p>
        </w:tc>
      </w:tr>
      <w:tr>
        <w:trPr>
          <w:trHeight w:val="288"/>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Deduction during period—dispositions and retirements of property</w:t>
            </w:r>
            <w:r>
              <w:rPr>
                <w:rFonts w:ascii="Times New Roman" w:cs="Times New Roman" w:eastAsia="Times New Roman" w:hAnsi="Times New Roman"/>
                <w:sz w:val="20"/>
                <w:szCs w:val="20"/>
                <w:color w:val="B8BABC"/>
              </w:rPr>
              <w:t>...................................................................</w:t>
            </w: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(55,338)</w:t>
            </w:r>
          </w:p>
        </w:tc>
        <w:tc>
          <w:tcPr>
            <w:tcW w:w="0" w:type="dxa"/>
            <w:vAlign w:val="bottom"/>
          </w:tcPr>
          <w:p>
            <w:pPr>
              <w:spacing w:after="0"/>
              <w:rPr>
                <w:sz w:val="1"/>
                <w:szCs w:val="1"/>
                <w:color w:val="auto"/>
              </w:rPr>
            </w:pPr>
          </w:p>
        </w:tc>
      </w:tr>
      <w:tr>
        <w:trPr>
          <w:trHeight w:val="245"/>
        </w:trPr>
        <w:tc>
          <w:tcPr>
            <w:tcW w:w="9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Balance, December 31, 2023 (1) </w:t>
            </w:r>
            <w:r>
              <w:rPr>
                <w:rFonts w:ascii="Times New Roman" w:cs="Times New Roman" w:eastAsia="Times New Roman" w:hAnsi="Times New Roman"/>
                <w:sz w:val="20"/>
                <w:szCs w:val="20"/>
                <w:color w:val="B8BABC"/>
              </w:rPr>
              <w:t>..............................................................................................................................</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10,546,187</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_____________________</w:t>
            </w:r>
          </w:p>
        </w:tc>
        <w:tc>
          <w:tcPr>
            <w:tcW w:w="1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0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9040" w:type="dxa"/>
            <w:vAlign w:val="bottom"/>
          </w:tcPr>
          <w:p>
            <w:pPr>
              <w:spacing w:after="0"/>
              <w:rPr>
                <w:sz w:val="20"/>
                <w:szCs w:val="20"/>
                <w:color w:val="auto"/>
              </w:rPr>
            </w:pPr>
            <w:r>
              <w:rPr>
                <w:rFonts w:ascii="Times New Roman" w:cs="Times New Roman" w:eastAsia="Times New Roman" w:hAnsi="Times New Roman"/>
                <w:sz w:val="20"/>
                <w:szCs w:val="20"/>
                <w:color w:val="231F20"/>
              </w:rPr>
              <w:t>(1) For Federal tax purposes, the aggregate cost basis is approximately $9.4 billion as of December 31, 2023.</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F-46</w:t>
      </w:r>
    </w:p>
    <w:p>
      <w:pPr>
        <w:sectPr>
          <w:pgSz w:w="12240" w:h="15840" w:orient="portrait"/>
          <w:cols w:equalWidth="0" w:num="1">
            <w:col w:w="10240"/>
          </w:cols>
          <w:pgMar w:left="1000" w:top="626" w:right="1000" w:bottom="0" w:gutter="0" w:footer="0" w:header="0"/>
          <w:type w:val="continuous"/>
        </w:sectPr>
      </w:pPr>
    </w:p>
    <w:bookmarkStart w:id="110" w:name="page111"/>
    <w:bookmarkEnd w:id="110"/>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SCHEDULE III</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SUMMARY OF REAL ESTATE AND ACCUMULATED DEPRECIATION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Three Years Ended December 31, 2023</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Reconciliation of Accumulated Depreciation and Amortization</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2020 </w:t>
            </w:r>
            <w:r>
              <w:rPr>
                <w:rFonts w:ascii="Times New Roman" w:cs="Times New Roman" w:eastAsia="Times New Roman" w:hAnsi="Times New Roman"/>
                <w:sz w:val="20"/>
                <w:szCs w:val="20"/>
                <w:color w:val="B8BABC"/>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2,357,692</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Additions during period—depreciation and amortization expense</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246,338</w:t>
            </w:r>
          </w:p>
        </w:tc>
      </w:tr>
      <w:tr>
        <w:trPr>
          <w:trHeight w:val="288"/>
        </w:trPr>
        <w:tc>
          <w:tcPr>
            <w:tcW w:w="8980" w:type="dxa"/>
            <w:vAlign w:val="bottom"/>
          </w:tcPr>
          <w:p>
            <w:pPr>
              <w:jc w:val="right"/>
              <w:ind w:right="3360"/>
              <w:spacing w:after="0"/>
              <w:rPr>
                <w:sz w:val="20"/>
                <w:szCs w:val="20"/>
                <w:color w:val="auto"/>
              </w:rPr>
            </w:pPr>
            <w:r>
              <w:rPr>
                <w:rFonts w:ascii="Times New Roman" w:cs="Times New Roman" w:eastAsia="Times New Roman" w:hAnsi="Times New Roman"/>
                <w:sz w:val="20"/>
                <w:szCs w:val="20"/>
                <w:color w:val="231F20"/>
              </w:rPr>
              <w:t>Deductions during period -dispositions and retirements of property</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(72,935)</w:t>
            </w:r>
          </w:p>
        </w:tc>
      </w:tr>
      <w:tr>
        <w:trPr>
          <w:trHeight w:val="262"/>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2021 </w:t>
            </w:r>
            <w:r>
              <w:rPr>
                <w:rFonts w:ascii="Times New Roman" w:cs="Times New Roman" w:eastAsia="Times New Roman" w:hAnsi="Times New Roman"/>
                <w:sz w:val="20"/>
                <w:szCs w:val="20"/>
                <w:color w:val="B8BABC"/>
                <w:w w:val="99"/>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2,531,095</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Additions during period—depreciation and amortization expense</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266,877</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Deductions during period</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8980" w:type="dxa"/>
            <w:vAlign w:val="bottom"/>
          </w:tcPr>
          <w:p>
            <w:pPr>
              <w:ind w:left="440"/>
              <w:spacing w:after="0"/>
              <w:rPr>
                <w:sz w:val="20"/>
                <w:szCs w:val="20"/>
                <w:color w:val="auto"/>
              </w:rPr>
            </w:pPr>
            <w:r>
              <w:rPr>
                <w:rFonts w:ascii="Times New Roman" w:cs="Times New Roman" w:eastAsia="Times New Roman" w:hAnsi="Times New Roman"/>
                <w:sz w:val="20"/>
                <w:szCs w:val="20"/>
                <w:color w:val="231F20"/>
              </w:rPr>
              <w:t>Dispositions and retirements of property</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(59,066)</w:t>
            </w:r>
          </w:p>
        </w:tc>
      </w:tr>
      <w:tr>
        <w:trPr>
          <w:trHeight w:val="288"/>
        </w:trPr>
        <w:tc>
          <w:tcPr>
            <w:tcW w:w="8980" w:type="dxa"/>
            <w:vAlign w:val="bottom"/>
          </w:tcPr>
          <w:p>
            <w:pPr>
              <w:ind w:left="440"/>
              <w:spacing w:after="0"/>
              <w:rPr>
                <w:sz w:val="20"/>
                <w:szCs w:val="20"/>
                <w:color w:val="auto"/>
              </w:rPr>
            </w:pPr>
            <w:r>
              <w:rPr>
                <w:rFonts w:ascii="Times New Roman" w:cs="Times New Roman" w:eastAsia="Times New Roman" w:hAnsi="Times New Roman"/>
                <w:sz w:val="20"/>
                <w:szCs w:val="20"/>
                <w:color w:val="231F20"/>
              </w:rPr>
              <w:t>Deconsolidation of VIE</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(23,089)</w:t>
            </w:r>
          </w:p>
        </w:tc>
      </w:tr>
      <w:tr>
        <w:trPr>
          <w:trHeight w:val="262"/>
        </w:trPr>
        <w:tc>
          <w:tcPr>
            <w:tcW w:w="8980" w:type="dxa"/>
            <w:vAlign w:val="bottom"/>
          </w:tcPr>
          <w:p>
            <w:pPr>
              <w:jc w:val="right"/>
              <w:ind w:right="6580"/>
              <w:spacing w:after="0"/>
              <w:rPr>
                <w:sz w:val="20"/>
                <w:szCs w:val="20"/>
                <w:color w:val="auto"/>
              </w:rPr>
            </w:pPr>
            <w:r>
              <w:rPr>
                <w:rFonts w:ascii="Times New Roman" w:cs="Times New Roman" w:eastAsia="Times New Roman" w:hAnsi="Times New Roman"/>
                <w:sz w:val="20"/>
                <w:szCs w:val="20"/>
                <w:color w:val="231F20"/>
                <w:w w:val="98"/>
              </w:rPr>
              <w:t>Balance, December 31, 2022</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2,715,817</w:t>
            </w: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Additions during period </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8980" w:type="dxa"/>
            <w:vAlign w:val="bottom"/>
          </w:tcPr>
          <w:p>
            <w:pPr>
              <w:ind w:left="440"/>
              <w:spacing w:after="0"/>
              <w:rPr>
                <w:sz w:val="20"/>
                <w:szCs w:val="20"/>
                <w:color w:val="auto"/>
              </w:rPr>
            </w:pPr>
            <w:r>
              <w:rPr>
                <w:rFonts w:ascii="Times New Roman" w:cs="Times New Roman" w:eastAsia="Times New Roman" w:hAnsi="Times New Roman"/>
                <w:sz w:val="20"/>
                <w:szCs w:val="20"/>
                <w:color w:val="231F20"/>
              </w:rPr>
              <w:t>Depreciation and amortization expense</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282,896</w:t>
            </w:r>
          </w:p>
        </w:tc>
      </w:tr>
      <w:tr>
        <w:trPr>
          <w:trHeight w:val="285"/>
        </w:trPr>
        <w:tc>
          <w:tcPr>
            <w:tcW w:w="8980" w:type="dxa"/>
            <w:vAlign w:val="bottom"/>
          </w:tcPr>
          <w:p>
            <w:pPr>
              <w:ind w:left="440"/>
              <w:spacing w:after="0"/>
              <w:rPr>
                <w:sz w:val="20"/>
                <w:szCs w:val="20"/>
                <w:color w:val="auto"/>
              </w:rPr>
            </w:pPr>
            <w:r>
              <w:rPr>
                <w:rFonts w:ascii="Times New Roman" w:cs="Times New Roman" w:eastAsia="Times New Roman" w:hAnsi="Times New Roman"/>
                <w:sz w:val="20"/>
                <w:szCs w:val="20"/>
                <w:color w:val="231F20"/>
              </w:rPr>
              <w:t>Reconsolidation of VIE</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2,869</w:t>
            </w:r>
          </w:p>
        </w:tc>
      </w:tr>
      <w:tr>
        <w:trPr>
          <w:trHeight w:val="288"/>
        </w:trPr>
        <w:tc>
          <w:tcPr>
            <w:tcW w:w="8980" w:type="dxa"/>
            <w:vAlign w:val="bottom"/>
          </w:tcPr>
          <w:p>
            <w:pPr>
              <w:jc w:val="right"/>
              <w:ind w:right="3360"/>
              <w:spacing w:after="0"/>
              <w:rPr>
                <w:sz w:val="20"/>
                <w:szCs w:val="20"/>
                <w:color w:val="auto"/>
              </w:rPr>
            </w:pPr>
            <w:r>
              <w:rPr>
                <w:rFonts w:ascii="Times New Roman" w:cs="Times New Roman" w:eastAsia="Times New Roman" w:hAnsi="Times New Roman"/>
                <w:sz w:val="20"/>
                <w:szCs w:val="20"/>
                <w:color w:val="231F20"/>
              </w:rPr>
              <w:t>Deductions during period -dispositions and retirements of property</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(38,063)</w:t>
            </w:r>
          </w:p>
        </w:tc>
      </w:tr>
      <w:tr>
        <w:trPr>
          <w:trHeight w:val="24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2023 </w:t>
            </w:r>
            <w:r>
              <w:rPr>
                <w:rFonts w:ascii="Times New Roman" w:cs="Times New Roman" w:eastAsia="Times New Roman" w:hAnsi="Times New Roman"/>
                <w:sz w:val="20"/>
                <w:szCs w:val="20"/>
                <w:color w:val="B8BABC"/>
                <w:w w:val="99"/>
              </w:rPr>
              <w:t>....................................................................................................................................</w:t>
            </w: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2,963,519</w:t>
            </w:r>
          </w:p>
        </w:tc>
      </w:tr>
      <w:tr>
        <w:trPr>
          <w:trHeight w:val="20"/>
        </w:trPr>
        <w:tc>
          <w:tcPr>
            <w:tcW w:w="89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60" w:top="86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31F20"/>
        </w:rPr>
        <w:t>F-47</w:t>
      </w:r>
    </w:p>
    <w:p>
      <w:pPr>
        <w:sectPr>
          <w:pgSz w:w="12240" w:h="15840" w:orient="portrait"/>
          <w:cols w:equalWidth="0" w:num="1">
            <w:col w:w="10180"/>
          </w:cols>
          <w:pgMar w:left="1060" w:top="866" w:right="1000" w:bottom="0" w:gutter="0" w:footer="0" w:header="0"/>
          <w:type w:val="continuous"/>
        </w:sectPr>
      </w:pPr>
    </w:p>
    <w:bookmarkStart w:id="111" w:name="page112"/>
    <w:bookmarkEnd w:id="111"/>
    <w:p>
      <w:pPr>
        <w:jc w:val="center"/>
        <w:ind w:right="-49"/>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231F20"/>
        </w:rPr>
        <w:t>SCHEDULE IV</w:t>
      </w:r>
    </w:p>
    <w:p>
      <w:pPr>
        <w:spacing w:after="0" w:line="1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231F20"/>
        </w:rPr>
        <w:t>MORTGAGE LOANS ON REAL ESTATE</w:t>
      </w:r>
    </w:p>
    <w:p>
      <w:pPr>
        <w:spacing w:after="0" w:line="1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231F20"/>
        </w:rPr>
        <w:t>Year Ended December 31, 2023</w:t>
      </w:r>
    </w:p>
    <w:p>
      <w:pPr>
        <w:spacing w:after="0" w:line="226"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231F20"/>
        </w:rPr>
        <w:t>(Dollars in thousands)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440" w:type="dxa"/>
            <w:vAlign w:val="bottom"/>
            <w:tcBorders>
              <w:bottom w:val="single" w:sz="8" w:color="231F20"/>
            </w:tcBorders>
          </w:tcPr>
          <w:p>
            <w:pPr>
              <w:ind w:left="360"/>
              <w:spacing w:after="0"/>
              <w:rPr>
                <w:sz w:val="20"/>
                <w:szCs w:val="20"/>
                <w:color w:val="auto"/>
              </w:rPr>
            </w:pPr>
            <w:r>
              <w:rPr>
                <w:rFonts w:ascii="Times New Roman" w:cs="Times New Roman" w:eastAsia="Times New Roman" w:hAnsi="Times New Roman"/>
                <w:sz w:val="16"/>
                <w:szCs w:val="16"/>
                <w:b w:val="1"/>
                <w:bCs w:val="1"/>
                <w:color w:val="231F20"/>
              </w:rPr>
              <w:t>Column A</w:t>
            </w:r>
          </w:p>
        </w:tc>
        <w:tc>
          <w:tcPr>
            <w:tcW w:w="80" w:type="dxa"/>
            <w:vAlign w:val="bottom"/>
          </w:tcPr>
          <w:p>
            <w:pPr>
              <w:spacing w:after="0"/>
              <w:rPr>
                <w:sz w:val="18"/>
                <w:szCs w:val="18"/>
                <w:color w:val="auto"/>
              </w:rPr>
            </w:pPr>
          </w:p>
        </w:tc>
        <w:tc>
          <w:tcPr>
            <w:tcW w:w="106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6"/>
                <w:szCs w:val="16"/>
                <w:b w:val="1"/>
                <w:bCs w:val="1"/>
                <w:color w:val="231F20"/>
              </w:rPr>
              <w:t>Column B</w:t>
            </w:r>
          </w:p>
        </w:tc>
        <w:tc>
          <w:tcPr>
            <w:tcW w:w="80" w:type="dxa"/>
            <w:vAlign w:val="bottom"/>
          </w:tcPr>
          <w:p>
            <w:pPr>
              <w:spacing w:after="0"/>
              <w:rPr>
                <w:sz w:val="18"/>
                <w:szCs w:val="18"/>
                <w:color w:val="auto"/>
              </w:rPr>
            </w:pPr>
          </w:p>
        </w:tc>
        <w:tc>
          <w:tcPr>
            <w:tcW w:w="112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16"/>
                <w:szCs w:val="16"/>
                <w:b w:val="1"/>
                <w:bCs w:val="1"/>
                <w:color w:val="231F20"/>
              </w:rPr>
              <w:t>Column C</w:t>
            </w:r>
          </w:p>
        </w:tc>
        <w:tc>
          <w:tcPr>
            <w:tcW w:w="80" w:type="dxa"/>
            <w:vAlign w:val="bottom"/>
          </w:tcPr>
          <w:p>
            <w:pPr>
              <w:spacing w:after="0"/>
              <w:rPr>
                <w:sz w:val="18"/>
                <w:szCs w:val="18"/>
                <w:color w:val="auto"/>
              </w:rPr>
            </w:pPr>
          </w:p>
        </w:tc>
        <w:tc>
          <w:tcPr>
            <w:tcW w:w="13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Column D</w:t>
            </w:r>
          </w:p>
        </w:tc>
        <w:tc>
          <w:tcPr>
            <w:tcW w:w="120" w:type="dxa"/>
            <w:vAlign w:val="bottom"/>
          </w:tcPr>
          <w:p>
            <w:pPr>
              <w:spacing w:after="0"/>
              <w:rPr>
                <w:sz w:val="18"/>
                <w:szCs w:val="18"/>
                <w:color w:val="auto"/>
              </w:rPr>
            </w:pPr>
          </w:p>
        </w:tc>
        <w:tc>
          <w:tcPr>
            <w:tcW w:w="10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Column E</w:t>
            </w:r>
          </w:p>
        </w:tc>
        <w:tc>
          <w:tcPr>
            <w:tcW w:w="6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rPr>
              <w:t>Column F</w:t>
            </w:r>
          </w:p>
        </w:tc>
        <w:tc>
          <w:tcPr>
            <w:tcW w:w="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Column G</w:t>
            </w:r>
          </w:p>
        </w:tc>
        <w:tc>
          <w:tcPr>
            <w:tcW w:w="60" w:type="dxa"/>
            <w:vAlign w:val="bottom"/>
          </w:tcPr>
          <w:p>
            <w:pPr>
              <w:spacing w:after="0"/>
              <w:rPr>
                <w:sz w:val="18"/>
                <w:szCs w:val="18"/>
                <w:color w:val="auto"/>
              </w:rPr>
            </w:pPr>
          </w:p>
        </w:tc>
        <w:tc>
          <w:tcPr>
            <w:tcW w:w="1260" w:type="dxa"/>
            <w:vAlign w:val="bottom"/>
            <w:tcBorders>
              <w:bottom w:val="single" w:sz="8" w:color="231F20"/>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rPr>
              <w:t>Column H</w:t>
            </w: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231F20"/>
              </w:rPr>
              <w:t>Principal</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6"/>
                <w:szCs w:val="16"/>
                <w:b w:val="1"/>
                <w:bCs w:val="1"/>
                <w:color w:val="231F20"/>
              </w:rPr>
              <w:t>of Loans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Carrying</w:t>
            </w:r>
          </w:p>
        </w:tc>
        <w:tc>
          <w:tcPr>
            <w:tcW w:w="60" w:type="dxa"/>
            <w:vAlign w:val="bottom"/>
          </w:tcPr>
          <w:p>
            <w:pPr>
              <w:spacing w:after="0"/>
              <w:rPr>
                <w:sz w:val="13"/>
                <w:szCs w:val="13"/>
                <w:color w:val="auto"/>
              </w:rPr>
            </w:pPr>
          </w:p>
        </w:tc>
        <w:tc>
          <w:tcPr>
            <w:tcW w:w="12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Subject to</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Periodic Payment</w:t>
            </w:r>
          </w:p>
        </w:tc>
        <w:tc>
          <w:tcPr>
            <w:tcW w:w="120" w:type="dxa"/>
            <w:vAlign w:val="bottom"/>
          </w:tcPr>
          <w:p>
            <w:pPr>
              <w:spacing w:after="0"/>
              <w:rPr>
                <w:sz w:val="13"/>
                <w:szCs w:val="13"/>
                <w:color w:val="auto"/>
              </w:rPr>
            </w:pPr>
          </w:p>
        </w:tc>
        <w:tc>
          <w:tcPr>
            <w:tcW w:w="780" w:type="dxa"/>
            <w:vAlign w:val="bottom"/>
            <w:gridSpan w:val="2"/>
            <w:vMerge w:val="restart"/>
          </w:tcPr>
          <w:p>
            <w:pPr>
              <w:jc w:val="center"/>
              <w:ind w:left="196"/>
              <w:spacing w:after="0"/>
              <w:rPr>
                <w:sz w:val="20"/>
                <w:szCs w:val="20"/>
                <w:color w:val="auto"/>
              </w:rPr>
            </w:pPr>
            <w:r>
              <w:rPr>
                <w:rFonts w:ascii="Times New Roman" w:cs="Times New Roman" w:eastAsia="Times New Roman" w:hAnsi="Times New Roman"/>
                <w:sz w:val="16"/>
                <w:szCs w:val="16"/>
                <w:b w:val="1"/>
                <w:bCs w:val="1"/>
                <w:color w:val="231F20"/>
              </w:rPr>
              <w:t>Prior</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Face Amount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delinquent</w:t>
            </w:r>
          </w:p>
        </w:tc>
        <w:tc>
          <w:tcPr>
            <w:tcW w:w="0" w:type="dxa"/>
            <w:vAlign w:val="bottom"/>
          </w:tcPr>
          <w:p>
            <w:pPr>
              <w:spacing w:after="0"/>
              <w:rPr>
                <w:sz w:val="1"/>
                <w:szCs w:val="1"/>
                <w:color w:val="auto"/>
              </w:rPr>
            </w:pPr>
          </w:p>
        </w:tc>
      </w:tr>
      <w:tr>
        <w:trPr>
          <w:trHeight w:val="160"/>
        </w:trPr>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Description of Lien</w:t>
            </w:r>
          </w:p>
        </w:tc>
        <w:tc>
          <w:tcPr>
            <w:tcW w:w="80" w:type="dxa"/>
            <w:vAlign w:val="bottom"/>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Interest Rate</w:t>
            </w:r>
          </w:p>
        </w:tc>
        <w:tc>
          <w:tcPr>
            <w:tcW w:w="80" w:type="dxa"/>
            <w:vAlign w:val="bottom"/>
          </w:tcPr>
          <w:p>
            <w:pPr>
              <w:spacing w:after="0"/>
              <w:rPr>
                <w:sz w:val="13"/>
                <w:szCs w:val="13"/>
                <w:color w:val="auto"/>
              </w:rPr>
            </w:pP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60" w:type="dxa"/>
            <w:vAlign w:val="bottom"/>
          </w:tcPr>
          <w:p>
            <w:pPr>
              <w:spacing w:after="0"/>
              <w:rPr>
                <w:sz w:val="13"/>
                <w:szCs w:val="13"/>
                <w:color w:val="auto"/>
              </w:rPr>
            </w:pPr>
          </w:p>
        </w:tc>
        <w:tc>
          <w:tcPr>
            <w:tcW w:w="12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231F20"/>
              </w:rPr>
              <w:t>Principal</w:t>
            </w:r>
          </w:p>
        </w:tc>
        <w:tc>
          <w:tcPr>
            <w:tcW w:w="0" w:type="dxa"/>
            <w:vAlign w:val="bottom"/>
          </w:tcPr>
          <w:p>
            <w:pPr>
              <w:spacing w:after="0"/>
              <w:rPr>
                <w:sz w:val="1"/>
                <w:szCs w:val="1"/>
                <w:color w:val="auto"/>
              </w:rPr>
            </w:pPr>
          </w:p>
        </w:tc>
      </w:tr>
      <w:tr>
        <w:trPr>
          <w:trHeight w:val="214"/>
        </w:trPr>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Terms</w:t>
            </w:r>
          </w:p>
        </w:tc>
        <w:tc>
          <w:tcPr>
            <w:tcW w:w="120" w:type="dxa"/>
            <w:vAlign w:val="bottom"/>
          </w:tcPr>
          <w:p>
            <w:pPr>
              <w:spacing w:after="0"/>
              <w:rPr>
                <w:sz w:val="18"/>
                <w:szCs w:val="18"/>
                <w:color w:val="auto"/>
              </w:rPr>
            </w:pPr>
          </w:p>
        </w:tc>
        <w:tc>
          <w:tcPr>
            <w:tcW w:w="780" w:type="dxa"/>
            <w:vAlign w:val="bottom"/>
            <w:gridSpan w:val="2"/>
          </w:tcPr>
          <w:p>
            <w:pPr>
              <w:jc w:val="center"/>
              <w:ind w:left="196"/>
              <w:spacing w:after="0"/>
              <w:rPr>
                <w:sz w:val="20"/>
                <w:szCs w:val="20"/>
                <w:color w:val="auto"/>
              </w:rPr>
            </w:pPr>
            <w:r>
              <w:rPr>
                <w:rFonts w:ascii="Times New Roman" w:cs="Times New Roman" w:eastAsia="Times New Roman" w:hAnsi="Times New Roman"/>
                <w:sz w:val="16"/>
                <w:szCs w:val="16"/>
                <w:b w:val="1"/>
                <w:bCs w:val="1"/>
                <w:color w:val="231F20"/>
              </w:rPr>
              <w:t>Liens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of Mortgages</w:t>
            </w:r>
          </w:p>
        </w:tc>
        <w:tc>
          <w:tcPr>
            <w:tcW w:w="8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9"/>
              </w:rPr>
              <w:t>of Mortgages(1)</w:t>
            </w:r>
          </w:p>
        </w:tc>
        <w:tc>
          <w:tcPr>
            <w:tcW w:w="6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w w:val="99"/>
              </w:rPr>
              <w:t>or Interest</w:t>
            </w:r>
          </w:p>
        </w:tc>
        <w:tc>
          <w:tcPr>
            <w:tcW w:w="0" w:type="dxa"/>
            <w:vAlign w:val="bottom"/>
          </w:tcPr>
          <w:p>
            <w:pPr>
              <w:spacing w:after="0"/>
              <w:rPr>
                <w:sz w:val="1"/>
                <w:szCs w:val="1"/>
                <w:color w:val="auto"/>
              </w:rPr>
            </w:pPr>
          </w:p>
        </w:tc>
      </w:tr>
      <w:tr>
        <w:trPr>
          <w:trHeight w:val="181"/>
        </w:trPr>
        <w:tc>
          <w:tcPr>
            <w:tcW w:w="1440" w:type="dxa"/>
            <w:vAlign w:val="bottom"/>
            <w:tcBorders>
              <w:top w:val="single" w:sz="8" w:color="231F20"/>
            </w:tcBorders>
          </w:tcPr>
          <w:p>
            <w:pPr>
              <w:ind w:left="40"/>
              <w:spacing w:after="0" w:line="182" w:lineRule="exact"/>
              <w:rPr>
                <w:sz w:val="20"/>
                <w:szCs w:val="20"/>
                <w:color w:val="auto"/>
              </w:rPr>
            </w:pPr>
            <w:r>
              <w:rPr>
                <w:rFonts w:ascii="Times New Roman" w:cs="Times New Roman" w:eastAsia="Times New Roman" w:hAnsi="Times New Roman"/>
                <w:sz w:val="18"/>
                <w:szCs w:val="18"/>
                <w:color w:val="231F20"/>
              </w:rPr>
              <w:t>Second mortgage</w:t>
            </w:r>
          </w:p>
        </w:tc>
        <w:tc>
          <w:tcPr>
            <w:tcW w:w="80" w:type="dxa"/>
            <w:vAlign w:val="bottom"/>
          </w:tcPr>
          <w:p>
            <w:pPr>
              <w:spacing w:after="0"/>
              <w:rPr>
                <w:sz w:val="15"/>
                <w:szCs w:val="15"/>
                <w:color w:val="auto"/>
              </w:rPr>
            </w:pPr>
          </w:p>
        </w:tc>
        <w:tc>
          <w:tcPr>
            <w:tcW w:w="1060" w:type="dxa"/>
            <w:vAlign w:val="bottom"/>
            <w:tcBorders>
              <w:top w:val="single" w:sz="8" w:color="231F20"/>
            </w:tcBorders>
          </w:tcPr>
          <w:p>
            <w:pPr>
              <w:ind w:left="60"/>
              <w:spacing w:after="0" w:line="182" w:lineRule="exact"/>
              <w:rPr>
                <w:sz w:val="20"/>
                <w:szCs w:val="20"/>
                <w:color w:val="auto"/>
              </w:rPr>
            </w:pPr>
            <w:r>
              <w:rPr>
                <w:rFonts w:ascii="Times New Roman" w:cs="Times New Roman" w:eastAsia="Times New Roman" w:hAnsi="Times New Roman"/>
                <w:sz w:val="18"/>
                <w:szCs w:val="18"/>
                <w:color w:val="231F20"/>
              </w:rPr>
              <w:t>11.5%</w:t>
            </w:r>
          </w:p>
        </w:tc>
        <w:tc>
          <w:tcPr>
            <w:tcW w:w="80" w:type="dxa"/>
            <w:vAlign w:val="bottom"/>
          </w:tcPr>
          <w:p>
            <w:pPr>
              <w:spacing w:after="0"/>
              <w:rPr>
                <w:sz w:val="15"/>
                <w:szCs w:val="15"/>
                <w:color w:val="auto"/>
              </w:rPr>
            </w:pPr>
          </w:p>
        </w:tc>
        <w:tc>
          <w:tcPr>
            <w:tcW w:w="1120" w:type="dxa"/>
            <w:vAlign w:val="bottom"/>
            <w:tcBorders>
              <w:top w:val="single" w:sz="8" w:color="231F20"/>
            </w:tcBorders>
          </w:tcPr>
          <w:p>
            <w:pPr>
              <w:ind w:left="60"/>
              <w:spacing w:after="0" w:line="182" w:lineRule="exact"/>
              <w:rPr>
                <w:sz w:val="20"/>
                <w:szCs w:val="20"/>
                <w:color w:val="auto"/>
              </w:rPr>
            </w:pPr>
            <w:r>
              <w:rPr>
                <w:rFonts w:ascii="Times New Roman" w:cs="Times New Roman" w:eastAsia="Times New Roman" w:hAnsi="Times New Roman"/>
                <w:sz w:val="18"/>
                <w:szCs w:val="18"/>
                <w:color w:val="231F20"/>
              </w:rPr>
              <w:t>February</w:t>
            </w:r>
          </w:p>
        </w:tc>
        <w:tc>
          <w:tcPr>
            <w:tcW w:w="80" w:type="dxa"/>
            <w:vAlign w:val="bottom"/>
          </w:tcPr>
          <w:p>
            <w:pPr>
              <w:spacing w:after="0"/>
              <w:rPr>
                <w:sz w:val="15"/>
                <w:szCs w:val="15"/>
                <w:color w:val="auto"/>
              </w:rPr>
            </w:pPr>
          </w:p>
        </w:tc>
        <w:tc>
          <w:tcPr>
            <w:tcW w:w="1360" w:type="dxa"/>
            <w:vAlign w:val="bottom"/>
            <w:tcBorders>
              <w:top w:val="single" w:sz="8" w:color="231F20"/>
            </w:tcBorders>
          </w:tcPr>
          <w:p>
            <w:pPr>
              <w:ind w:left="60"/>
              <w:spacing w:after="0" w:line="182" w:lineRule="exact"/>
              <w:rPr>
                <w:sz w:val="20"/>
                <w:szCs w:val="20"/>
                <w:color w:val="auto"/>
              </w:rPr>
            </w:pPr>
            <w:r>
              <w:rPr>
                <w:rFonts w:ascii="Times New Roman" w:cs="Times New Roman" w:eastAsia="Times New Roman" w:hAnsi="Times New Roman"/>
                <w:sz w:val="18"/>
                <w:szCs w:val="18"/>
                <w:color w:val="231F20"/>
              </w:rPr>
              <w:t>Interest only</w:t>
            </w:r>
          </w:p>
        </w:tc>
        <w:tc>
          <w:tcPr>
            <w:tcW w:w="120" w:type="dxa"/>
            <w:vAlign w:val="bottom"/>
          </w:tcPr>
          <w:p>
            <w:pPr>
              <w:spacing w:after="0"/>
              <w:rPr>
                <w:sz w:val="15"/>
                <w:szCs w:val="15"/>
                <w:color w:val="auto"/>
              </w:rPr>
            </w:pPr>
          </w:p>
        </w:tc>
        <w:tc>
          <w:tcPr>
            <w:tcW w:w="72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18"/>
                <w:szCs w:val="18"/>
                <w:color w:val="231F20"/>
              </w:rPr>
              <w:t>$58,750</w:t>
            </w:r>
          </w:p>
        </w:tc>
        <w:tc>
          <w:tcPr>
            <w:tcW w:w="60" w:type="dxa"/>
            <w:vAlign w:val="bottom"/>
            <w:tcBorders>
              <w:top w:val="single" w:sz="8" w:color="231F20"/>
            </w:tcBorders>
          </w:tcPr>
          <w:p>
            <w:pPr>
              <w:spacing w:after="0"/>
              <w:rPr>
                <w:sz w:val="15"/>
                <w:szCs w:val="15"/>
                <w:color w:val="auto"/>
              </w:rPr>
            </w:pPr>
          </w:p>
        </w:tc>
        <w:tc>
          <w:tcPr>
            <w:tcW w:w="30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18"/>
                <w:szCs w:val="18"/>
                <w:color w:val="231F20"/>
              </w:rPr>
              <w:t>(2)</w:t>
            </w:r>
          </w:p>
        </w:tc>
        <w:tc>
          <w:tcPr>
            <w:tcW w:w="60" w:type="dxa"/>
            <w:vAlign w:val="bottom"/>
          </w:tcPr>
          <w:p>
            <w:pPr>
              <w:spacing w:after="0"/>
              <w:rPr>
                <w:sz w:val="15"/>
                <w:szCs w:val="15"/>
                <w:color w:val="auto"/>
              </w:rPr>
            </w:pPr>
          </w:p>
        </w:tc>
        <w:tc>
          <w:tcPr>
            <w:tcW w:w="16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18"/>
                <w:szCs w:val="18"/>
                <w:color w:val="231F20"/>
              </w:rPr>
              <w:t>5,075</w:t>
            </w:r>
          </w:p>
        </w:tc>
        <w:tc>
          <w:tcPr>
            <w:tcW w:w="36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18"/>
                <w:szCs w:val="18"/>
                <w:color w:val="231F20"/>
              </w:rPr>
              <w:t>$</w:t>
            </w:r>
          </w:p>
        </w:tc>
        <w:tc>
          <w:tcPr>
            <w:tcW w:w="56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18"/>
                <w:szCs w:val="18"/>
                <w:color w:val="231F20"/>
              </w:rPr>
              <w:t>4,696</w:t>
            </w:r>
          </w:p>
        </w:tc>
        <w:tc>
          <w:tcPr>
            <w:tcW w:w="46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231F20"/>
            </w:tcBorders>
          </w:tcPr>
          <w:p>
            <w:pPr>
              <w:ind w:left="60"/>
              <w:spacing w:after="0" w:line="182"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tcBorders>
          </w:tcPr>
          <w:p>
            <w:pPr>
              <w:jc w:val="right"/>
              <w:spacing w:after="0" w:line="182" w:lineRule="exact"/>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40" w:type="dxa"/>
            <w:vAlign w:val="bottom"/>
          </w:tcPr>
          <w:p>
            <w:pPr>
              <w:ind w:left="40"/>
              <w:spacing w:after="0" w:line="166" w:lineRule="exact"/>
              <w:rPr>
                <w:sz w:val="20"/>
                <w:szCs w:val="20"/>
                <w:color w:val="auto"/>
              </w:rPr>
            </w:pPr>
            <w:r>
              <w:rPr>
                <w:rFonts w:ascii="Times New Roman" w:cs="Times New Roman" w:eastAsia="Times New Roman" w:hAnsi="Times New Roman"/>
                <w:sz w:val="18"/>
                <w:szCs w:val="18"/>
                <w:color w:val="231F20"/>
              </w:rPr>
              <w:t>on a retail</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8"/>
                <w:szCs w:val="18"/>
                <w:color w:val="231F20"/>
              </w:rPr>
              <w:t>2026</w:t>
            </w:r>
          </w:p>
        </w:tc>
        <w:tc>
          <w:tcPr>
            <w:tcW w:w="80" w:type="dxa"/>
            <w:vAlign w:val="bottom"/>
          </w:tcPr>
          <w:p>
            <w:pPr>
              <w:spacing w:after="0"/>
              <w:rPr>
                <w:sz w:val="14"/>
                <w:szCs w:val="14"/>
                <w:color w:val="auto"/>
              </w:rPr>
            </w:pPr>
          </w:p>
        </w:tc>
        <w:tc>
          <w:tcPr>
            <w:tcW w:w="1360" w:type="dxa"/>
            <w:vAlign w:val="bottom"/>
          </w:tcPr>
          <w:p>
            <w:pPr>
              <w:ind w:left="60"/>
              <w:spacing w:after="0" w:line="166" w:lineRule="exact"/>
              <w:rPr>
                <w:sz w:val="20"/>
                <w:szCs w:val="20"/>
                <w:color w:val="auto"/>
              </w:rPr>
            </w:pPr>
            <w:r>
              <w:rPr>
                <w:rFonts w:ascii="Times New Roman" w:cs="Times New Roman" w:eastAsia="Times New Roman" w:hAnsi="Times New Roman"/>
                <w:sz w:val="18"/>
                <w:szCs w:val="18"/>
                <w:color w:val="231F20"/>
              </w:rPr>
              <w:t>monthly;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231F20"/>
              </w:rPr>
              <w:t>shopping center in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231F20"/>
              </w:rPr>
              <w:t>balloon</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231F20"/>
              </w:rPr>
              <w:t>Rockville, MD</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231F20"/>
              </w:rPr>
              <w:t>payment due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 maturity</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Second mortgage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10.75%</w:t>
            </w:r>
          </w:p>
        </w:tc>
        <w:tc>
          <w:tcPr>
            <w:tcW w:w="8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February</w:t>
            </w: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Interest only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58,750</w:t>
            </w:r>
          </w:p>
        </w:tc>
        <w:tc>
          <w:tcPr>
            <w:tcW w:w="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4,500</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4,500</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166"/>
        </w:trPr>
        <w:tc>
          <w:tcPr>
            <w:tcW w:w="1440" w:type="dxa"/>
            <w:vAlign w:val="bottom"/>
          </w:tcPr>
          <w:p>
            <w:pPr>
              <w:ind w:left="40"/>
              <w:spacing w:after="0" w:line="166" w:lineRule="exact"/>
              <w:rPr>
                <w:sz w:val="20"/>
                <w:szCs w:val="20"/>
                <w:color w:val="auto"/>
              </w:rPr>
            </w:pPr>
            <w:r>
              <w:rPr>
                <w:rFonts w:ascii="Times New Roman" w:cs="Times New Roman" w:eastAsia="Times New Roman" w:hAnsi="Times New Roman"/>
                <w:sz w:val="18"/>
                <w:szCs w:val="18"/>
                <w:color w:val="231F20"/>
              </w:rPr>
              <w:t>on a retail</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8"/>
                <w:szCs w:val="18"/>
                <w:color w:val="231F20"/>
              </w:rPr>
              <w:t>2026</w:t>
            </w:r>
          </w:p>
        </w:tc>
        <w:tc>
          <w:tcPr>
            <w:tcW w:w="80" w:type="dxa"/>
            <w:vAlign w:val="bottom"/>
          </w:tcPr>
          <w:p>
            <w:pPr>
              <w:spacing w:after="0"/>
              <w:rPr>
                <w:sz w:val="14"/>
                <w:szCs w:val="14"/>
                <w:color w:val="auto"/>
              </w:rPr>
            </w:pPr>
          </w:p>
        </w:tc>
        <w:tc>
          <w:tcPr>
            <w:tcW w:w="1360" w:type="dxa"/>
            <w:vAlign w:val="bottom"/>
          </w:tcPr>
          <w:p>
            <w:pPr>
              <w:ind w:left="60"/>
              <w:spacing w:after="0" w:line="166" w:lineRule="exact"/>
              <w:rPr>
                <w:sz w:val="20"/>
                <w:szCs w:val="20"/>
                <w:color w:val="auto"/>
              </w:rPr>
            </w:pPr>
            <w:r>
              <w:rPr>
                <w:rFonts w:ascii="Times New Roman" w:cs="Times New Roman" w:eastAsia="Times New Roman" w:hAnsi="Times New Roman"/>
                <w:sz w:val="18"/>
                <w:szCs w:val="18"/>
                <w:color w:val="231F20"/>
              </w:rPr>
              <w:t>monthly;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231F20"/>
              </w:rPr>
              <w:t>shopping center in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231F20"/>
              </w:rPr>
              <w:t>balloon</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231F20"/>
              </w:rPr>
              <w:t>Rockville, MD</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231F20"/>
              </w:rPr>
              <w:t>payment due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 maturity</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Second mortgage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7.0%</w:t>
            </w:r>
          </w:p>
        </w:tc>
        <w:tc>
          <w:tcPr>
            <w:tcW w:w="8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October 2031</w:t>
            </w: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Principal and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4,990</w:t>
            </w: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231F20"/>
              </w:rPr>
              <w:t>on a retail</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231F20"/>
              </w:rPr>
              <w:t>interest monthly;</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231F20"/>
              </w:rPr>
              <w:t>shopping center in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231F20"/>
              </w:rPr>
              <w:t>balloon payment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Baltimore, MD</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due at maturity</w:t>
            </w:r>
          </w:p>
        </w:tc>
        <w:tc>
          <w:tcPr>
            <w:tcW w:w="120" w:type="dxa"/>
            <w:vAlign w:val="bottom"/>
          </w:tcPr>
          <w:p>
            <w:pPr>
              <w:spacing w:after="0"/>
              <w:rPr>
                <w:sz w:val="20"/>
                <w:szCs w:val="20"/>
                <w:color w:val="auto"/>
              </w:rPr>
            </w:pPr>
          </w:p>
        </w:tc>
        <w:tc>
          <w:tcPr>
            <w:tcW w:w="72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560" w:type="dxa"/>
            <w:vAlign w:val="bottom"/>
            <w:tcBorders>
              <w:bottom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$63,740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10,078</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9,196</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_____________________</w:t>
      </w:r>
    </w:p>
    <w:p>
      <w:pPr>
        <w:spacing w:after="0" w:line="30" w:lineRule="exact"/>
        <w:rPr>
          <w:sz w:val="20"/>
          <w:szCs w:val="20"/>
          <w:color w:val="auto"/>
        </w:rPr>
      </w:pPr>
    </w:p>
    <w:p>
      <w:pPr>
        <w:ind w:left="370" w:right="220" w:hanging="370"/>
        <w:spacing w:after="0" w:line="252" w:lineRule="auto"/>
        <w:tabs>
          <w:tab w:leader="none" w:pos="37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are net of any expected losses in accordance with ASU 2016-13. See note 2 to the consolidated financial statements. For Federal tax purposes, the aggregate tax basis is approximately $10.1 million as of December 31, 2023.</w:t>
      </w:r>
    </w:p>
    <w:p>
      <w:pPr>
        <w:spacing w:after="0" w:line="1" w:lineRule="exact"/>
        <w:rPr>
          <w:rFonts w:ascii="Times New Roman" w:cs="Times New Roman" w:eastAsia="Times New Roman" w:hAnsi="Times New Roman"/>
          <w:sz w:val="18"/>
          <w:szCs w:val="18"/>
          <w:color w:val="231F20"/>
        </w:rPr>
      </w:pPr>
    </w:p>
    <w:p>
      <w:pPr>
        <w:ind w:left="370" w:right="560" w:hanging="370"/>
        <w:spacing w:after="0" w:line="250" w:lineRule="auto"/>
        <w:tabs>
          <w:tab w:leader="none" w:pos="37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These mortgages are both subordinate to a first mortgage of $58.8 million in total. We do not hold the first mortgage loan on this property. Accordingly, the amount of the prior lien at December 31, 2023 is estimated.</w:t>
      </w:r>
    </w:p>
    <w:p>
      <w:pPr>
        <w:ind w:left="370" w:right="160" w:hanging="370"/>
        <w:spacing w:after="0" w:line="260" w:lineRule="auto"/>
        <w:tabs>
          <w:tab w:leader="none" w:pos="37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mortgage is subordinate to a first mortgage of $5.0 million. We do not hold the first mortgage loan on this property. Accordingly, the amount of the prior lien at December 31, 2023 is estimated.</w:t>
      </w:r>
    </w:p>
    <w:p>
      <w:pPr>
        <w:sectPr>
          <w:pgSz w:w="12240" w:h="15840" w:orient="portrait"/>
          <w:cols w:equalWidth="0" w:num="1">
            <w:col w:w="10210"/>
          </w:cols>
          <w:pgMar w:left="990" w:top="86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9"/>
          <w:szCs w:val="19"/>
          <w:color w:val="231F20"/>
        </w:rPr>
        <w:t>F-48</w:t>
      </w:r>
    </w:p>
    <w:p>
      <w:pPr>
        <w:sectPr>
          <w:pgSz w:w="12240" w:h="15840" w:orient="portrait"/>
          <w:cols w:equalWidth="0" w:num="1">
            <w:col w:w="10210"/>
          </w:cols>
          <w:pgMar w:left="990" w:top="866" w:right="1040" w:bottom="0" w:gutter="0" w:footer="0" w:header="0"/>
          <w:type w:val="continuous"/>
        </w:sectPr>
      </w:pPr>
    </w:p>
    <w:bookmarkStart w:id="112" w:name="page113"/>
    <w:bookmarkEnd w:id="112"/>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FEDERAL REALTY INVESTMENT TRUST AND FEDERAL REALTY OP LP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SCHEDULE IV</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MORTGAGE LOANS ON REAL ESTATE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Three Years Ended December 31, 2023</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Reconciliation of Carrying Amount</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2020 </w:t>
            </w:r>
            <w:r>
              <w:rPr>
                <w:rFonts w:ascii="Times New Roman" w:cs="Times New Roman" w:eastAsia="Times New Roman" w:hAnsi="Times New Roman"/>
                <w:sz w:val="20"/>
                <w:szCs w:val="20"/>
                <w:color w:val="B8BABC"/>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39,892</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Additions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Issuance of loans</w:t>
            </w:r>
            <w:r>
              <w:rPr>
                <w:rFonts w:ascii="Times New Roman" w:cs="Times New Roman" w:eastAsia="Times New Roman" w:hAnsi="Times New Roman"/>
                <w:sz w:val="20"/>
                <w:szCs w:val="20"/>
                <w:color w:val="B8BABC"/>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Deductions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Collection and satisfaction of loans </w:t>
            </w:r>
            <w:r>
              <w:rPr>
                <w:rFonts w:ascii="Times New Roman" w:cs="Times New Roman" w:eastAsia="Times New Roman" w:hAnsi="Times New Roman"/>
                <w:sz w:val="20"/>
                <w:szCs w:val="20"/>
                <w:color w:val="B8BABC"/>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(30,339)</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Valuation adjustments</w:t>
            </w:r>
            <w:r>
              <w:rPr>
                <w:rFonts w:ascii="Times New Roman" w:cs="Times New Roman" w:eastAsia="Times New Roman" w:hAnsi="Times New Roman"/>
                <w:sz w:val="20"/>
                <w:szCs w:val="20"/>
                <w:color w:val="B8BABC"/>
              </w:rPr>
              <w:t>.....................................................................................................................................</w:t>
            </w: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(610)</w:t>
            </w:r>
          </w:p>
        </w:tc>
      </w:tr>
      <w:tr>
        <w:trPr>
          <w:trHeight w:val="262"/>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2021 </w:t>
            </w:r>
            <w:r>
              <w:rPr>
                <w:rFonts w:ascii="Times New Roman" w:cs="Times New Roman" w:eastAsia="Times New Roman" w:hAnsi="Times New Roman"/>
                <w:sz w:val="20"/>
                <w:szCs w:val="20"/>
                <w:color w:val="B8BABC"/>
                <w:w w:val="99"/>
              </w:rPr>
              <w:t>....................................................................................................................................</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9,543</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Deductions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Valuation adjustments</w:t>
            </w:r>
            <w:r>
              <w:rPr>
                <w:rFonts w:ascii="Times New Roman" w:cs="Times New Roman" w:eastAsia="Times New Roman" w:hAnsi="Times New Roman"/>
                <w:sz w:val="20"/>
                <w:szCs w:val="20"/>
                <w:color w:val="B8BABC"/>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Collection and satisfaction of loans </w:t>
            </w:r>
            <w:r>
              <w:rPr>
                <w:rFonts w:ascii="Times New Roman" w:cs="Times New Roman" w:eastAsia="Times New Roman" w:hAnsi="Times New Roman"/>
                <w:sz w:val="20"/>
                <w:szCs w:val="20"/>
                <w:color w:val="B8BABC"/>
              </w:rPr>
              <w:t>................................................................................................................</w:t>
            </w: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r>
      <w:tr>
        <w:trPr>
          <w:trHeight w:val="262"/>
        </w:trPr>
        <w:tc>
          <w:tcPr>
            <w:tcW w:w="8980" w:type="dxa"/>
            <w:vAlign w:val="bottom"/>
          </w:tcPr>
          <w:p>
            <w:pPr>
              <w:jc w:val="right"/>
              <w:ind w:right="6580"/>
              <w:spacing w:after="0"/>
              <w:rPr>
                <w:sz w:val="20"/>
                <w:szCs w:val="20"/>
                <w:color w:val="auto"/>
              </w:rPr>
            </w:pPr>
            <w:r>
              <w:rPr>
                <w:rFonts w:ascii="Times New Roman" w:cs="Times New Roman" w:eastAsia="Times New Roman" w:hAnsi="Times New Roman"/>
                <w:sz w:val="20"/>
                <w:szCs w:val="20"/>
                <w:color w:val="231F20"/>
                <w:w w:val="98"/>
              </w:rPr>
              <w:t>Balance, December 31, 2022</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9,456</w:t>
            </w:r>
          </w:p>
        </w:tc>
      </w:tr>
      <w:tr>
        <w:trPr>
          <w:trHeight w:val="285"/>
        </w:trPr>
        <w:tc>
          <w:tcPr>
            <w:tcW w:w="898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Deductions during period: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Valuation adjustments</w:t>
            </w:r>
            <w:r>
              <w:rPr>
                <w:rFonts w:ascii="Times New Roman" w:cs="Times New Roman" w:eastAsia="Times New Roman" w:hAnsi="Times New Roman"/>
                <w:sz w:val="20"/>
                <w:szCs w:val="20"/>
                <w:color w:val="B8BABC"/>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w:t>
            </w:r>
          </w:p>
        </w:tc>
      </w:tr>
      <w:tr>
        <w:trPr>
          <w:trHeight w:val="288"/>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Collection and satisfaction of loans </w:t>
            </w:r>
            <w:r>
              <w:rPr>
                <w:rFonts w:ascii="Times New Roman" w:cs="Times New Roman" w:eastAsia="Times New Roman" w:hAnsi="Times New Roman"/>
                <w:sz w:val="20"/>
                <w:szCs w:val="20"/>
                <w:color w:val="B8BABC"/>
              </w:rPr>
              <w:t>................................................................................................................</w:t>
            </w:r>
          </w:p>
        </w:tc>
        <w:tc>
          <w:tcPr>
            <w:tcW w:w="3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w:t>
            </w:r>
          </w:p>
        </w:tc>
      </w:tr>
      <w:tr>
        <w:trPr>
          <w:trHeight w:val="245"/>
        </w:trPr>
        <w:tc>
          <w:tcPr>
            <w:tcW w:w="8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December 31, 2023 </w:t>
            </w:r>
            <w:r>
              <w:rPr>
                <w:rFonts w:ascii="Times New Roman" w:cs="Times New Roman" w:eastAsia="Times New Roman" w:hAnsi="Times New Roman"/>
                <w:sz w:val="20"/>
                <w:szCs w:val="20"/>
                <w:color w:val="B8BABC"/>
                <w:w w:val="99"/>
              </w:rPr>
              <w:t>....................................................................................................................................</w:t>
            </w:r>
          </w:p>
        </w:tc>
        <w:tc>
          <w:tcPr>
            <w:tcW w:w="32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9,196</w:t>
            </w:r>
          </w:p>
        </w:tc>
      </w:tr>
      <w:tr>
        <w:trPr>
          <w:trHeight w:val="20"/>
        </w:trPr>
        <w:tc>
          <w:tcPr>
            <w:tcW w:w="89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60" w:top="86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31F20"/>
        </w:rPr>
        <w:t>F-49</w:t>
      </w:r>
    </w:p>
    <w:p>
      <w:pPr>
        <w:sectPr>
          <w:pgSz w:w="12240" w:h="15840" w:orient="portrait"/>
          <w:cols w:equalWidth="0" w:num="1">
            <w:col w:w="10180"/>
          </w:cols>
          <w:pgMar w:left="1060" w:top="866" w:right="1000" w:bottom="0" w:gutter="0" w:footer="0" w:header="0"/>
          <w:type w:val="continuous"/>
        </w:sectPr>
      </w:pPr>
    </w:p>
    <w:bookmarkStart w:id="113" w:name="page114"/>
    <w:bookmarkEnd w:id="113"/>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252730</wp:posOffset>
            </wp:positionH>
            <wp:positionV relativeFrom="page">
              <wp:posOffset>250825</wp:posOffset>
            </wp:positionV>
            <wp:extent cx="2888615" cy="4761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2888615" cy="476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60"/>
        <w:spacing w:after="0"/>
        <w:rPr>
          <w:sz w:val="20"/>
          <w:szCs w:val="20"/>
          <w:color w:val="auto"/>
        </w:rPr>
      </w:pPr>
      <w:r>
        <w:rPr>
          <w:rFonts w:ascii="Arial" w:cs="Arial" w:eastAsia="Arial" w:hAnsi="Arial"/>
          <w:sz w:val="94"/>
          <w:szCs w:val="94"/>
          <w:b w:val="1"/>
          <w:bCs w:val="1"/>
          <w:color w:val="262626"/>
        </w:rPr>
        <w:t>Annual</w:t>
      </w:r>
    </w:p>
    <w:p>
      <w:pPr>
        <w:spacing w:after="0" w:line="326" w:lineRule="exact"/>
        <w:rPr>
          <w:sz w:val="20"/>
          <w:szCs w:val="20"/>
          <w:color w:val="auto"/>
        </w:rPr>
      </w:pPr>
    </w:p>
    <w:p>
      <w:pPr>
        <w:ind w:left="4760"/>
        <w:spacing w:after="0"/>
        <w:rPr>
          <w:sz w:val="20"/>
          <w:szCs w:val="20"/>
          <w:color w:val="auto"/>
        </w:rPr>
      </w:pPr>
      <w:r>
        <w:rPr>
          <w:rFonts w:ascii="Arial" w:cs="Arial" w:eastAsia="Arial" w:hAnsi="Arial"/>
          <w:sz w:val="94"/>
          <w:szCs w:val="94"/>
          <w:b w:val="1"/>
          <w:bCs w:val="1"/>
          <w:color w:val="262626"/>
        </w:rPr>
        <w:t>Meeting</w:t>
      </w:r>
    </w:p>
    <w:p>
      <w:pPr>
        <w:spacing w:after="0" w:line="51" w:lineRule="exact"/>
        <w:rPr>
          <w:sz w:val="20"/>
          <w:szCs w:val="20"/>
          <w:color w:val="auto"/>
        </w:rPr>
      </w:pPr>
    </w:p>
    <w:p>
      <w:pPr>
        <w:ind w:left="4760"/>
        <w:spacing w:after="0"/>
        <w:rPr>
          <w:sz w:val="20"/>
          <w:szCs w:val="20"/>
          <w:color w:val="auto"/>
        </w:rPr>
      </w:pPr>
      <w:r>
        <w:rPr>
          <w:rFonts w:ascii="Arial" w:cs="Arial" w:eastAsia="Arial" w:hAnsi="Arial"/>
          <w:sz w:val="94"/>
          <w:szCs w:val="94"/>
          <w:b w:val="1"/>
          <w:bCs w:val="1"/>
          <w:color w:val="262626"/>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-124460</wp:posOffset>
            </wp:positionV>
            <wp:extent cx="2888615" cy="2462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2888615" cy="2462530"/>
                    </a:xfrm>
                    <a:prstGeom prst="rect">
                      <a:avLst/>
                    </a:prstGeom>
                    <a:noFill/>
                  </pic:spPr>
                </pic:pic>
              </a:graphicData>
            </a:graphic>
          </wp:anchor>
        </w:drawing>
      </w:r>
    </w:p>
    <w:p>
      <w:pPr>
        <w:spacing w:after="0" w:line="102" w:lineRule="exact"/>
        <w:rPr>
          <w:sz w:val="20"/>
          <w:szCs w:val="20"/>
          <w:color w:val="auto"/>
        </w:rPr>
      </w:pPr>
    </w:p>
    <w:p>
      <w:pPr>
        <w:ind w:left="4760"/>
        <w:spacing w:after="0"/>
        <w:rPr>
          <w:sz w:val="20"/>
          <w:szCs w:val="20"/>
          <w:color w:val="auto"/>
        </w:rPr>
      </w:pPr>
      <w:r>
        <w:rPr>
          <w:rFonts w:ascii="Arial" w:cs="Arial" w:eastAsia="Arial" w:hAnsi="Arial"/>
          <w:sz w:val="38"/>
          <w:szCs w:val="38"/>
          <w:b w:val="1"/>
          <w:bCs w:val="1"/>
          <w:color w:val="EF4336"/>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2196465</wp:posOffset>
            </wp:positionV>
            <wp:extent cx="5349240" cy="2062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5349240" cy="20624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3150870</wp:posOffset>
                </wp:positionH>
                <wp:positionV relativeFrom="paragraph">
                  <wp:posOffset>684530</wp:posOffset>
                </wp:positionV>
                <wp:extent cx="359283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2830" cy="4763"/>
                        </a:xfrm>
                        <a:prstGeom prst="line">
                          <a:avLst/>
                        </a:prstGeom>
                        <a:solidFill>
                          <a:srgbClr val="FFFFFF"/>
                        </a:solidFill>
                        <a:ln w="12712">
                          <a:solidFill>
                            <a:srgbClr val="8E8A8A"/>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1pt,53.9pt" to="531pt,53.9pt" o:allowincell="f" strokecolor="#8E8A8A" strokeweight="1.0009pt"/>
            </w:pict>
          </mc:Fallback>
        </mc:AlternateContent>
        <mc:AlternateContent>
          <mc:Choice Requires="wps">
            <w:drawing>
              <wp:anchor simplePos="0" relativeHeight="251657728" behindDoc="1" locked="0" layoutInCell="0" allowOverlap="1">
                <wp:simplePos x="0" y="0"/>
                <wp:positionH relativeFrom="column">
                  <wp:posOffset>2975610</wp:posOffset>
                </wp:positionH>
                <wp:positionV relativeFrom="paragraph">
                  <wp:posOffset>597535</wp:posOffset>
                </wp:positionV>
                <wp:extent cx="175260" cy="17526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 cy="175260"/>
                        </a:xfrm>
                        <a:prstGeom prst="rect">
                          <a:avLst/>
                        </a:prstGeom>
                        <a:solidFill>
                          <a:srgbClr val="EF4336"/>
                        </a:solidFill>
                      </wps:spPr>
                      <wps:bodyPr/>
                    </wps:wsp>
                  </a:graphicData>
                </a:graphic>
              </wp:anchor>
            </w:drawing>
          </mc:Choice>
          <mc:Fallback>
            <w:pict>
              <v:rect id="Shape 33" o:spid="_x0000_s1058" style="position:absolute;margin-left:234.3pt;margin-top:47.05pt;width:13.8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4336" stroked="f"/>
            </w:pict>
          </mc:Fallback>
        </mc:AlternateContent>
      </w:r>
    </w:p>
    <w:p>
      <w:pPr>
        <w:sectPr>
          <w:pgSz w:w="12240" w:h="15840" w:orient="portrait"/>
          <w:cols w:equalWidth="0" w:num="1">
            <w:col w:w="9360"/>
          </w:cols>
          <w:pgMar w:left="1440" w:top="1440" w:right="1440" w:bottom="1440" w:gutter="0" w:footer="0" w:header="0"/>
        </w:sectPr>
      </w:pPr>
    </w:p>
    <w:bookmarkStart w:id="115" w:name="page116"/>
    <w:bookmarkEnd w:id="115"/>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116" w:name="page117"/>
    <w:bookmarkEnd w:id="116"/>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2508250</wp:posOffset>
                </wp:positionV>
                <wp:extent cx="64008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197.5pt" to="558pt,197.5pt" o:allowincell="f" strokecolor="#EF3E2A" strokeweight="3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231F20"/>
        </w:rPr>
        <w:t>Letter to Our Shareholders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231F20"/>
        </w:rPr>
        <w:t>March 22, 2024</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To our Shareholders:</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On behalf of the Board of Trustees and the entire Federal team, you are invited to join us at our 2024 Annual Meeting of Shareholders to be held virtually beginning at 9:00 a.m. eastern time on May 1, 2024. This proxy statement includes important information about how you can join and ask questions at the meeting and about the matters that will be voted on at the meeting.</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Federal’s operating performance in 2023 showed continued strong demand for our real estate assets as evidenced by high levels of new and renewal leases for comparable spaces and significant occupancy improvements. That strong demand allowed us to deliver a record level of total revenue and other strong financial results despite the higher cost of capital. We also made progress during 2023 in our efforts to reduce our Scope 1 and Scope 2 greenhouse gas emissions and to improve the resilience of our assets to the physical and transition risks associated with climate change. All parts of our business are working together to position us to be able to deliver strong results for years to come.</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Our strong performance would not have been possible without the extraordinary efforts of our Board and each and every one of our employees. We are extremely proud of the work this team has accomplished.</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49935" cy="513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749935" cy="51308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121920</wp:posOffset>
            </wp:positionV>
            <wp:extent cx="1169670" cy="623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1169670" cy="623570"/>
                    </a:xfrm>
                    <a:prstGeom prst="rect">
                      <a:avLst/>
                    </a:prstGeom>
                    <a:noFill/>
                  </pic:spPr>
                </pic:pic>
              </a:graphicData>
            </a:graphic>
          </wp:anchor>
        </w:drawing>
      </w:r>
    </w:p>
    <w:p>
      <w:pPr>
        <w:sectPr>
          <w:pgSz w:w="12240" w:h="15840" w:orient="portrait"/>
          <w:cols w:equalWidth="0" w:num="1">
            <w:col w:w="10080"/>
          </w:cols>
          <w:pgMar w:left="1080" w:top="1440" w:right="10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231F20"/>
        </w:rPr>
        <w:t>David W. Faeder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231F20"/>
        </w:rPr>
        <w:t>Donald C. Wood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Chief Executive Officer</w:t>
      </w:r>
    </w:p>
    <w:p>
      <w:pPr>
        <w:sectPr>
          <w:pgSz w:w="12240" w:h="15840" w:orient="portrait"/>
          <w:cols w:equalWidth="0" w:num="2">
            <w:col w:w="4560" w:space="720"/>
            <w:col w:w="4800"/>
          </w:cols>
          <w:pgMar w:left="1080" w:top="1440" w:right="1080" w:bottom="1440" w:gutter="0" w:footer="0" w:header="0"/>
          <w:type w:val="continuous"/>
        </w:sectPr>
      </w:pPr>
    </w:p>
    <w:bookmarkStart w:id="117" w:name="page118"/>
    <w:bookmarkEnd w:id="117"/>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18" w:name="page119"/>
    <w:bookmarkEnd w:id="118"/>
    <w:p>
      <w:pPr>
        <w:spacing w:after="0" w:line="8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933450</wp:posOffset>
                </wp:positionV>
                <wp:extent cx="64008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3.5pt" to="558pt,73.5pt" o:allowincell="f" strokecolor="#EF3E2A" strokeweight="3pt">
                <w10:wrap anchorx="page" anchory="page"/>
              </v:line>
            </w:pict>
          </mc:Fallback>
        </mc:AlternateContent>
      </w:r>
    </w:p>
    <w:p>
      <w:pPr>
        <w:ind w:left="140"/>
        <w:spacing w:after="0"/>
        <w:rPr>
          <w:sz w:val="20"/>
          <w:szCs w:val="20"/>
          <w:color w:val="auto"/>
        </w:rPr>
      </w:pPr>
      <w:r>
        <w:rPr>
          <w:rFonts w:ascii="Arial" w:cs="Arial" w:eastAsia="Arial" w:hAnsi="Arial"/>
          <w:sz w:val="35"/>
          <w:szCs w:val="35"/>
          <w:b w:val="1"/>
          <w:bCs w:val="1"/>
          <w:color w:val="231F20"/>
        </w:rPr>
        <w:t>Notice of Annual Meeting of Shareholders</w:t>
      </w:r>
    </w:p>
    <w:p>
      <w:pPr>
        <w:sectPr>
          <w:pgSz w:w="12240" w:h="15840" w:orient="portrait"/>
          <w:cols w:equalWidth="0" w:num="1">
            <w:col w:w="10080"/>
          </w:cols>
          <w:pgMar w:left="1080" w:top="1440" w:right="108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231F20"/>
        </w:rPr>
        <w:t>ANNUAL MEETING PROPOSALS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400800" cy="3048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304800"/>
                        </a:xfrm>
                        <a:prstGeom prst="rect">
                          <a:avLst/>
                        </a:prstGeom>
                        <a:solidFill>
                          <a:srgbClr val="EF3E2A"/>
                        </a:solidFill>
                      </wps:spPr>
                      <wps:bodyPr/>
                    </wps:wsp>
                  </a:graphicData>
                </a:graphic>
              </wp:anchor>
            </w:drawing>
          </mc:Choice>
          <mc:Fallback>
            <w:pict>
              <v:rect id="Shape 38" o:spid="_x0000_s1063" style="position:absolute;margin-left:0pt;margin-top:0pt;width:504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200" w:lineRule="exact"/>
        <w:rPr>
          <w:sz w:val="20"/>
          <w:szCs w:val="20"/>
          <w:color w:val="auto"/>
        </w:rPr>
      </w:pPr>
    </w:p>
    <w:p>
      <w:pPr>
        <w:spacing w:after="0" w:line="310"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20"/>
          <w:szCs w:val="20"/>
          <w:color w:val="231F20"/>
        </w:rPr>
        <w:t>Proposal 1</w:t>
      </w:r>
      <w:r>
        <w:rPr>
          <w:sz w:val="20"/>
          <w:szCs w:val="20"/>
          <w:color w:val="auto"/>
        </w:rPr>
        <w:tab/>
      </w:r>
      <w:r>
        <w:rPr>
          <w:rFonts w:ascii="Arial" w:cs="Arial" w:eastAsia="Arial" w:hAnsi="Arial"/>
          <w:sz w:val="19"/>
          <w:szCs w:val="19"/>
          <w:color w:val="231F20"/>
        </w:rPr>
        <w:t>Election of 7 trustees for 1 year terms</w:t>
      </w:r>
    </w:p>
    <w:p>
      <w:pPr>
        <w:spacing w:after="0" w:line="200" w:lineRule="exact"/>
        <w:rPr>
          <w:sz w:val="20"/>
          <w:szCs w:val="20"/>
          <w:color w:val="auto"/>
        </w:rPr>
      </w:pPr>
    </w:p>
    <w:p>
      <w:pPr>
        <w:spacing w:after="0" w:line="257" w:lineRule="exact"/>
        <w:rPr>
          <w:sz w:val="20"/>
          <w:szCs w:val="20"/>
          <w:color w:val="auto"/>
        </w:rPr>
      </w:pPr>
    </w:p>
    <w:p>
      <w:pPr>
        <w:ind w:left="1440" w:right="280" w:hanging="1309"/>
        <w:spacing w:after="0" w:line="243" w:lineRule="auto"/>
        <w:tabs>
          <w:tab w:leader="none" w:pos="1420" w:val="left"/>
        </w:tabs>
        <w:rPr>
          <w:sz w:val="20"/>
          <w:szCs w:val="20"/>
          <w:color w:val="auto"/>
        </w:rPr>
      </w:pPr>
      <w:r>
        <w:rPr>
          <w:rFonts w:ascii="Arial" w:cs="Arial" w:eastAsia="Arial" w:hAnsi="Arial"/>
          <w:sz w:val="20"/>
          <w:szCs w:val="20"/>
          <w:color w:val="231F20"/>
        </w:rPr>
        <w:t>Proposal 2</w:t>
      </w:r>
      <w:r>
        <w:rPr>
          <w:sz w:val="20"/>
          <w:szCs w:val="20"/>
          <w:color w:val="auto"/>
        </w:rPr>
        <w:tab/>
      </w:r>
      <w:r>
        <w:rPr>
          <w:rFonts w:ascii="Arial" w:cs="Arial" w:eastAsia="Arial" w:hAnsi="Arial"/>
          <w:sz w:val="20"/>
          <w:szCs w:val="20"/>
          <w:color w:val="231F20"/>
        </w:rPr>
        <w:t>Non-binding advisory vote on 2023 executive compensation</w:t>
      </w:r>
    </w:p>
    <w:p>
      <w:pPr>
        <w:spacing w:after="0" w:line="254" w:lineRule="exact"/>
        <w:rPr>
          <w:sz w:val="20"/>
          <w:szCs w:val="20"/>
          <w:color w:val="auto"/>
        </w:rPr>
      </w:pPr>
    </w:p>
    <w:p>
      <w:pPr>
        <w:ind w:left="1440" w:right="220" w:hanging="1309"/>
        <w:spacing w:after="0" w:line="243" w:lineRule="auto"/>
        <w:tabs>
          <w:tab w:leader="none" w:pos="1420" w:val="left"/>
        </w:tabs>
        <w:rPr>
          <w:sz w:val="20"/>
          <w:szCs w:val="20"/>
          <w:color w:val="auto"/>
        </w:rPr>
      </w:pPr>
      <w:r>
        <w:rPr>
          <w:rFonts w:ascii="Arial" w:cs="Arial" w:eastAsia="Arial" w:hAnsi="Arial"/>
          <w:sz w:val="20"/>
          <w:szCs w:val="20"/>
          <w:color w:val="231F20"/>
        </w:rPr>
        <w:t>Proposal 3</w:t>
      </w:r>
      <w:r>
        <w:rPr>
          <w:sz w:val="20"/>
          <w:szCs w:val="20"/>
          <w:color w:val="auto"/>
        </w:rPr>
        <w:tab/>
      </w:r>
      <w:r>
        <w:rPr>
          <w:rFonts w:ascii="Arial" w:cs="Arial" w:eastAsia="Arial" w:hAnsi="Arial"/>
          <w:sz w:val="20"/>
          <w:szCs w:val="20"/>
          <w:color w:val="231F20"/>
        </w:rPr>
        <w:t>Ratification of Grant Thornton, LLC as our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64008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504pt,9.35pt" o:allowincell="f" strokecolor="#EF3E2A" strokeweight="3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jc w:val="center"/>
              <w:ind w:right="24"/>
              <w:spacing w:after="0"/>
              <w:rPr>
                <w:sz w:val="20"/>
                <w:szCs w:val="20"/>
                <w:color w:val="auto"/>
              </w:rPr>
            </w:pPr>
            <w:r>
              <w:rPr>
                <w:rFonts w:ascii="Arial" w:cs="Arial" w:eastAsia="Arial" w:hAnsi="Arial"/>
                <w:sz w:val="18"/>
                <w:szCs w:val="18"/>
                <w:color w:val="FFFFFF"/>
                <w:w w:val="99"/>
              </w:rPr>
              <w:t>Board Voting</w:t>
            </w:r>
          </w:p>
        </w:tc>
        <w:tc>
          <w:tcPr>
            <w:tcW w:w="1620" w:type="dxa"/>
            <w:vAlign w:val="bottom"/>
          </w:tcPr>
          <w:p>
            <w:pPr>
              <w:jc w:val="center"/>
              <w:ind w:left="4"/>
              <w:spacing w:after="0"/>
              <w:rPr>
                <w:sz w:val="20"/>
                <w:szCs w:val="20"/>
                <w:color w:val="auto"/>
              </w:rPr>
            </w:pPr>
            <w:r>
              <w:rPr>
                <w:rFonts w:ascii="Arial" w:cs="Arial" w:eastAsia="Arial" w:hAnsi="Arial"/>
                <w:sz w:val="18"/>
                <w:szCs w:val="18"/>
                <w:color w:val="FFFFFF"/>
                <w:w w:val="99"/>
              </w:rPr>
              <w:t>Where to find more</w:t>
            </w:r>
          </w:p>
        </w:tc>
      </w:tr>
      <w:tr>
        <w:trPr>
          <w:trHeight w:val="201"/>
        </w:trPr>
        <w:tc>
          <w:tcPr>
            <w:tcW w:w="1840" w:type="dxa"/>
            <w:vAlign w:val="bottom"/>
          </w:tcPr>
          <w:p>
            <w:pPr>
              <w:jc w:val="center"/>
              <w:ind w:right="24"/>
              <w:spacing w:after="0" w:line="201" w:lineRule="exact"/>
              <w:rPr>
                <w:sz w:val="20"/>
                <w:szCs w:val="20"/>
                <w:color w:val="auto"/>
              </w:rPr>
            </w:pPr>
            <w:r>
              <w:rPr>
                <w:rFonts w:ascii="Arial" w:cs="Arial" w:eastAsia="Arial" w:hAnsi="Arial"/>
                <w:sz w:val="18"/>
                <w:szCs w:val="18"/>
                <w:color w:val="FFFFFF"/>
                <w:w w:val="99"/>
              </w:rPr>
              <w:t>Recommendation</w:t>
            </w:r>
          </w:p>
        </w:tc>
        <w:tc>
          <w:tcPr>
            <w:tcW w:w="1620" w:type="dxa"/>
            <w:vAlign w:val="bottom"/>
          </w:tcPr>
          <w:p>
            <w:pPr>
              <w:jc w:val="center"/>
              <w:ind w:left="4"/>
              <w:spacing w:after="0" w:line="201" w:lineRule="exact"/>
              <w:rPr>
                <w:sz w:val="20"/>
                <w:szCs w:val="20"/>
                <w:color w:val="auto"/>
              </w:rPr>
            </w:pPr>
            <w:r>
              <w:rPr>
                <w:rFonts w:ascii="Arial" w:cs="Arial" w:eastAsia="Arial" w:hAnsi="Arial"/>
                <w:sz w:val="18"/>
                <w:szCs w:val="18"/>
                <w:color w:val="FFFFFF"/>
                <w:w w:val="98"/>
              </w:rPr>
              <w:t>information</w:t>
            </w:r>
          </w:p>
        </w:tc>
      </w:tr>
      <w:tr>
        <w:trPr>
          <w:trHeight w:val="404"/>
        </w:trPr>
        <w:tc>
          <w:tcPr>
            <w:tcW w:w="1840" w:type="dxa"/>
            <w:vAlign w:val="bottom"/>
          </w:tcPr>
          <w:p>
            <w:pPr>
              <w:spacing w:after="0"/>
              <w:rPr>
                <w:sz w:val="20"/>
                <w:szCs w:val="20"/>
                <w:color w:val="auto"/>
              </w:rPr>
            </w:pPr>
            <w:r>
              <w:rPr>
                <w:rFonts w:ascii="Arial" w:cs="Arial" w:eastAsia="Arial" w:hAnsi="Arial"/>
                <w:sz w:val="20"/>
                <w:szCs w:val="20"/>
                <w:color w:val="EF3E2A"/>
              </w:rPr>
              <w:t xml:space="preserve">FOR </w:t>
            </w:r>
            <w:r>
              <w:rPr>
                <w:rFonts w:ascii="Arial" w:cs="Arial" w:eastAsia="Arial" w:hAnsi="Arial"/>
                <w:sz w:val="20"/>
                <w:szCs w:val="20"/>
                <w:color w:val="231F20"/>
              </w:rPr>
              <w:t>each nominee</w:t>
            </w:r>
          </w:p>
        </w:tc>
        <w:tc>
          <w:tcPr>
            <w:tcW w:w="1620" w:type="dxa"/>
            <w:vAlign w:val="bottom"/>
          </w:tcPr>
          <w:p>
            <w:pPr>
              <w:jc w:val="center"/>
              <w:spacing w:after="0"/>
              <w:rPr>
                <w:sz w:val="20"/>
                <w:szCs w:val="20"/>
                <w:color w:val="auto"/>
              </w:rPr>
            </w:pPr>
            <w:r>
              <w:rPr>
                <w:rFonts w:ascii="Arial" w:cs="Arial" w:eastAsia="Arial" w:hAnsi="Arial"/>
                <w:sz w:val="20"/>
                <w:szCs w:val="20"/>
                <w:color w:val="231F20"/>
                <w:w w:val="99"/>
              </w:rPr>
              <w:t>Page 10</w:t>
            </w:r>
          </w:p>
        </w:tc>
      </w:tr>
      <w:tr>
        <w:trPr>
          <w:trHeight w:val="680"/>
        </w:trPr>
        <w:tc>
          <w:tcPr>
            <w:tcW w:w="1840" w:type="dxa"/>
            <w:vAlign w:val="bottom"/>
          </w:tcPr>
          <w:p>
            <w:pPr>
              <w:spacing w:after="0"/>
              <w:rPr>
                <w:sz w:val="20"/>
                <w:szCs w:val="20"/>
                <w:color w:val="auto"/>
              </w:rPr>
            </w:pPr>
            <w:r>
              <w:rPr>
                <w:rFonts w:ascii="Arial" w:cs="Arial" w:eastAsia="Arial" w:hAnsi="Arial"/>
                <w:sz w:val="20"/>
                <w:szCs w:val="20"/>
                <w:color w:val="EF3E2A"/>
              </w:rPr>
              <w:t>FOR</w:t>
            </w:r>
          </w:p>
        </w:tc>
        <w:tc>
          <w:tcPr>
            <w:tcW w:w="1620" w:type="dxa"/>
            <w:vAlign w:val="bottom"/>
          </w:tcPr>
          <w:p>
            <w:pPr>
              <w:jc w:val="center"/>
              <w:spacing w:after="0"/>
              <w:rPr>
                <w:sz w:val="20"/>
                <w:szCs w:val="20"/>
                <w:color w:val="auto"/>
              </w:rPr>
            </w:pPr>
            <w:r>
              <w:rPr>
                <w:rFonts w:ascii="Arial" w:cs="Arial" w:eastAsia="Arial" w:hAnsi="Arial"/>
                <w:sz w:val="20"/>
                <w:szCs w:val="20"/>
                <w:color w:val="231F20"/>
                <w:w w:val="99"/>
              </w:rPr>
              <w:t>Page 18</w:t>
            </w:r>
          </w:p>
        </w:tc>
      </w:tr>
      <w:tr>
        <w:trPr>
          <w:trHeight w:val="720"/>
        </w:trPr>
        <w:tc>
          <w:tcPr>
            <w:tcW w:w="1840" w:type="dxa"/>
            <w:vAlign w:val="bottom"/>
          </w:tcPr>
          <w:p>
            <w:pPr>
              <w:spacing w:after="0"/>
              <w:rPr>
                <w:sz w:val="20"/>
                <w:szCs w:val="20"/>
                <w:color w:val="auto"/>
              </w:rPr>
            </w:pPr>
            <w:r>
              <w:rPr>
                <w:rFonts w:ascii="Arial" w:cs="Arial" w:eastAsia="Arial" w:hAnsi="Arial"/>
                <w:sz w:val="20"/>
                <w:szCs w:val="20"/>
                <w:color w:val="EF3E2A"/>
              </w:rPr>
              <w:t>FOR</w:t>
            </w:r>
          </w:p>
        </w:tc>
        <w:tc>
          <w:tcPr>
            <w:tcW w:w="1620" w:type="dxa"/>
            <w:vAlign w:val="bottom"/>
          </w:tcPr>
          <w:p>
            <w:pPr>
              <w:jc w:val="center"/>
              <w:spacing w:after="0"/>
              <w:rPr>
                <w:sz w:val="20"/>
                <w:szCs w:val="20"/>
                <w:color w:val="auto"/>
              </w:rPr>
            </w:pPr>
            <w:r>
              <w:rPr>
                <w:rFonts w:ascii="Arial" w:cs="Arial" w:eastAsia="Arial" w:hAnsi="Arial"/>
                <w:sz w:val="20"/>
                <w:szCs w:val="20"/>
                <w:color w:val="231F20"/>
                <w:w w:val="99"/>
              </w:rPr>
              <w:t>Page 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-1085850</wp:posOffset>
            </wp:positionV>
            <wp:extent cx="258445" cy="251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258445" cy="25146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-654050</wp:posOffset>
            </wp:positionV>
            <wp:extent cx="258445" cy="251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extLst>
                    </a:blip>
                    <a:srcRect/>
                    <a:stretch>
                      <a:fillRect/>
                    </a:stretch>
                  </pic:blipFill>
                  <pic:spPr bwMode="auto">
                    <a:xfrm>
                      <a:off x="0" y="0"/>
                      <a:ext cx="258445" cy="25146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-196850</wp:posOffset>
            </wp:positionV>
            <wp:extent cx="258445" cy="251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extLst>
                    </a:blip>
                    <a:srcRect/>
                    <a:stretch>
                      <a:fillRect/>
                    </a:stretch>
                  </pic:blipFill>
                  <pic:spPr bwMode="auto">
                    <a:xfrm>
                      <a:off x="0" y="0"/>
                      <a:ext cx="258445" cy="251460"/>
                    </a:xfrm>
                    <a:prstGeom prst="rect">
                      <a:avLst/>
                    </a:prstGeom>
                    <a:noFill/>
                  </pic:spPr>
                </pic:pic>
              </a:graphicData>
            </a:graphic>
          </wp:anchor>
        </w:drawing>
      </w:r>
    </w:p>
    <w:p>
      <w:pPr>
        <w:spacing w:after="0" w:line="342" w:lineRule="exact"/>
        <w:rPr>
          <w:sz w:val="20"/>
          <w:szCs w:val="20"/>
          <w:color w:val="auto"/>
        </w:rPr>
      </w:pPr>
    </w:p>
    <w:p>
      <w:pPr>
        <w:sectPr>
          <w:pgSz w:w="12240" w:h="15840" w:orient="portrait"/>
          <w:cols w:equalWidth="0" w:num="2">
            <w:col w:w="5700" w:space="720"/>
            <w:col w:w="3660"/>
          </w:cols>
          <w:pgMar w:left="1080" w:top="1440" w:right="1080" w:bottom="1440" w:gutter="0" w:footer="0" w:header="0"/>
          <w:type w:val="continuous"/>
        </w:sectPr>
      </w:pPr>
    </w:p>
    <w:p>
      <w:pPr>
        <w:spacing w:after="0" w:line="31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Other business will be transacted as may properly come before the 2024 annual meeting of shareholders (“Annual Meeting”).</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231F20"/>
        </w:rPr>
        <w:t>2024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137160</wp:posOffset>
            </wp:positionV>
            <wp:extent cx="298450" cy="293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298450" cy="29337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113030</wp:posOffset>
            </wp:positionV>
            <wp:extent cx="225425" cy="318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225425" cy="31813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152400</wp:posOffset>
            </wp:positionV>
            <wp:extent cx="286385" cy="278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extLst>
                    </a:blip>
                    <a:srcRect/>
                    <a:stretch>
                      <a:fillRect/>
                    </a:stretch>
                  </pic:blipFill>
                  <pic:spPr bwMode="auto">
                    <a:xfrm>
                      <a:off x="0" y="0"/>
                      <a:ext cx="286385"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jc w:val="center"/>
              <w:ind w:left="80"/>
              <w:spacing w:after="0"/>
              <w:rPr>
                <w:sz w:val="20"/>
                <w:szCs w:val="20"/>
                <w:color w:val="auto"/>
              </w:rPr>
            </w:pPr>
            <w:r>
              <w:rPr>
                <w:rFonts w:ascii="Arial" w:cs="Arial" w:eastAsia="Arial" w:hAnsi="Arial"/>
                <w:sz w:val="20"/>
                <w:szCs w:val="20"/>
                <w:color w:val="EF3E2A"/>
              </w:rPr>
              <w:t>Date and Time</w:t>
            </w:r>
          </w:p>
        </w:tc>
        <w:tc>
          <w:tcPr>
            <w:tcW w:w="4120" w:type="dxa"/>
            <w:vAlign w:val="bottom"/>
          </w:tcPr>
          <w:p>
            <w:pPr>
              <w:jc w:val="center"/>
              <w:ind w:right="60"/>
              <w:spacing w:after="0"/>
              <w:rPr>
                <w:sz w:val="20"/>
                <w:szCs w:val="20"/>
                <w:color w:val="auto"/>
              </w:rPr>
            </w:pPr>
            <w:r>
              <w:rPr>
                <w:rFonts w:ascii="Arial" w:cs="Arial" w:eastAsia="Arial" w:hAnsi="Arial"/>
                <w:sz w:val="20"/>
                <w:szCs w:val="20"/>
                <w:color w:val="EF3E2A"/>
              </w:rPr>
              <w:t>Location</w:t>
            </w:r>
          </w:p>
        </w:tc>
        <w:tc>
          <w:tcPr>
            <w:tcW w:w="2780" w:type="dxa"/>
            <w:vAlign w:val="bottom"/>
          </w:tcPr>
          <w:p>
            <w:pPr>
              <w:jc w:val="center"/>
              <w:ind w:right="240"/>
              <w:spacing w:after="0"/>
              <w:rPr>
                <w:sz w:val="20"/>
                <w:szCs w:val="20"/>
                <w:color w:val="auto"/>
              </w:rPr>
            </w:pPr>
            <w:r>
              <w:rPr>
                <w:rFonts w:ascii="Arial" w:cs="Arial" w:eastAsia="Arial" w:hAnsi="Arial"/>
                <w:sz w:val="20"/>
                <w:szCs w:val="20"/>
                <w:color w:val="EF3E2A"/>
                <w:w w:val="99"/>
              </w:rPr>
              <w:t>Record Date</w:t>
            </w:r>
          </w:p>
        </w:tc>
      </w:tr>
      <w:tr>
        <w:trPr>
          <w:trHeight w:val="28"/>
        </w:trPr>
        <w:tc>
          <w:tcPr>
            <w:tcW w:w="3180" w:type="dxa"/>
            <w:vAlign w:val="bottom"/>
            <w:tcBorders>
              <w:bottom w:val="single" w:sz="8" w:color="231F20"/>
            </w:tcBorders>
          </w:tcPr>
          <w:p>
            <w:pPr>
              <w:spacing w:after="0"/>
              <w:rPr>
                <w:sz w:val="2"/>
                <w:szCs w:val="2"/>
                <w:color w:val="auto"/>
              </w:rPr>
            </w:pPr>
          </w:p>
        </w:tc>
        <w:tc>
          <w:tcPr>
            <w:tcW w:w="4120" w:type="dxa"/>
            <w:vAlign w:val="bottom"/>
            <w:tcBorders>
              <w:bottom w:val="single" w:sz="8" w:color="231F20"/>
            </w:tcBorders>
          </w:tcPr>
          <w:p>
            <w:pPr>
              <w:spacing w:after="0"/>
              <w:rPr>
                <w:sz w:val="2"/>
                <w:szCs w:val="2"/>
                <w:color w:val="auto"/>
              </w:rPr>
            </w:pPr>
          </w:p>
        </w:tc>
        <w:tc>
          <w:tcPr>
            <w:tcW w:w="2780" w:type="dxa"/>
            <w:vAlign w:val="bottom"/>
            <w:tcBorders>
              <w:bottom w:val="single" w:sz="8" w:color="231F20"/>
            </w:tcBorders>
          </w:tcPr>
          <w:p>
            <w:pPr>
              <w:spacing w:after="0"/>
              <w:rPr>
                <w:sz w:val="2"/>
                <w:szCs w:val="2"/>
                <w:color w:val="auto"/>
              </w:rPr>
            </w:pPr>
          </w:p>
        </w:tc>
      </w:tr>
      <w:tr>
        <w:trPr>
          <w:trHeight w:val="432"/>
        </w:trPr>
        <w:tc>
          <w:tcPr>
            <w:tcW w:w="3180" w:type="dxa"/>
            <w:vAlign w:val="bottom"/>
          </w:tcPr>
          <w:p>
            <w:pPr>
              <w:jc w:val="center"/>
              <w:ind w:left="80"/>
              <w:spacing w:after="0"/>
              <w:rPr>
                <w:sz w:val="20"/>
                <w:szCs w:val="20"/>
                <w:color w:val="auto"/>
              </w:rPr>
            </w:pPr>
            <w:r>
              <w:rPr>
                <w:rFonts w:ascii="Arial" w:cs="Arial" w:eastAsia="Arial" w:hAnsi="Arial"/>
                <w:sz w:val="20"/>
                <w:szCs w:val="20"/>
                <w:color w:val="231F20"/>
              </w:rPr>
              <w:t>Wednesday, May 1, 2024</w:t>
            </w:r>
          </w:p>
        </w:tc>
        <w:tc>
          <w:tcPr>
            <w:tcW w:w="4120" w:type="dxa"/>
            <w:vAlign w:val="bottom"/>
          </w:tcPr>
          <w:p>
            <w:pPr>
              <w:jc w:val="center"/>
              <w:ind w:right="60"/>
              <w:spacing w:after="0"/>
              <w:rPr>
                <w:sz w:val="20"/>
                <w:szCs w:val="20"/>
                <w:color w:val="auto"/>
              </w:rPr>
            </w:pPr>
            <w:r>
              <w:rPr>
                <w:rFonts w:ascii="Arial" w:cs="Arial" w:eastAsia="Arial" w:hAnsi="Arial"/>
                <w:sz w:val="20"/>
                <w:szCs w:val="20"/>
                <w:color w:val="231F20"/>
                <w:w w:val="98"/>
              </w:rPr>
              <w:t>Virtual Meeting</w:t>
            </w:r>
          </w:p>
        </w:tc>
        <w:tc>
          <w:tcPr>
            <w:tcW w:w="2780" w:type="dxa"/>
            <w:vAlign w:val="bottom"/>
          </w:tcPr>
          <w:p>
            <w:pPr>
              <w:jc w:val="center"/>
              <w:ind w:right="240"/>
              <w:spacing w:after="0"/>
              <w:rPr>
                <w:sz w:val="20"/>
                <w:szCs w:val="20"/>
                <w:color w:val="auto"/>
              </w:rPr>
            </w:pPr>
            <w:r>
              <w:rPr>
                <w:rFonts w:ascii="Arial" w:cs="Arial" w:eastAsia="Arial" w:hAnsi="Arial"/>
                <w:sz w:val="20"/>
                <w:szCs w:val="20"/>
                <w:color w:val="231F20"/>
              </w:rPr>
              <w:t>March 13, 2024</w:t>
            </w:r>
          </w:p>
        </w:tc>
      </w:tr>
      <w:tr>
        <w:trPr>
          <w:trHeight w:val="240"/>
        </w:trPr>
        <w:tc>
          <w:tcPr>
            <w:tcW w:w="3180" w:type="dxa"/>
            <w:vAlign w:val="bottom"/>
          </w:tcPr>
          <w:p>
            <w:pPr>
              <w:jc w:val="center"/>
              <w:ind w:left="80"/>
              <w:spacing w:after="0"/>
              <w:rPr>
                <w:sz w:val="20"/>
                <w:szCs w:val="20"/>
                <w:color w:val="auto"/>
              </w:rPr>
            </w:pPr>
            <w:r>
              <w:rPr>
                <w:rFonts w:ascii="Arial" w:cs="Arial" w:eastAsia="Arial" w:hAnsi="Arial"/>
                <w:sz w:val="20"/>
                <w:szCs w:val="20"/>
                <w:color w:val="231F20"/>
                <w:w w:val="99"/>
              </w:rPr>
              <w:t>9:00 a.m., Eastern Time</w:t>
            </w:r>
          </w:p>
        </w:tc>
        <w:tc>
          <w:tcPr>
            <w:tcW w:w="4120" w:type="dxa"/>
            <w:vAlign w:val="bottom"/>
          </w:tcPr>
          <w:p>
            <w:pPr>
              <w:jc w:val="center"/>
              <w:ind w:right="60"/>
              <w:spacing w:after="0"/>
              <w:rPr>
                <w:sz w:val="20"/>
                <w:szCs w:val="20"/>
                <w:color w:val="auto"/>
              </w:rPr>
            </w:pPr>
            <w:r>
              <w:rPr>
                <w:rFonts w:ascii="Arial" w:cs="Arial" w:eastAsia="Arial" w:hAnsi="Arial"/>
                <w:sz w:val="20"/>
                <w:szCs w:val="20"/>
                <w:color w:val="231F20"/>
              </w:rPr>
              <w:t>https://web.lumiagm.com/202329683</w:t>
            </w:r>
          </w:p>
        </w:tc>
        <w:tc>
          <w:tcPr>
            <w:tcW w:w="2780" w:type="dxa"/>
            <w:vAlign w:val="bottom"/>
          </w:tcPr>
          <w:p>
            <w:pPr>
              <w:spacing w:after="0"/>
              <w:rPr>
                <w:sz w:val="20"/>
                <w:szCs w:val="20"/>
                <w:color w:val="auto"/>
              </w:rPr>
            </w:pPr>
          </w:p>
        </w:tc>
      </w:tr>
      <w:tr>
        <w:trPr>
          <w:trHeight w:val="198"/>
        </w:trPr>
        <w:tc>
          <w:tcPr>
            <w:tcW w:w="3180" w:type="dxa"/>
            <w:vAlign w:val="bottom"/>
            <w:tcBorders>
              <w:bottom w:val="single" w:sz="8" w:color="EF3E2A"/>
            </w:tcBorders>
          </w:tcPr>
          <w:p>
            <w:pPr>
              <w:spacing w:after="0"/>
              <w:rPr>
                <w:sz w:val="17"/>
                <w:szCs w:val="17"/>
                <w:color w:val="auto"/>
              </w:rPr>
            </w:pPr>
          </w:p>
        </w:tc>
        <w:tc>
          <w:tcPr>
            <w:tcW w:w="4120" w:type="dxa"/>
            <w:vAlign w:val="bottom"/>
            <w:tcBorders>
              <w:bottom w:val="single" w:sz="8" w:color="EF3E2A"/>
            </w:tcBorders>
          </w:tcPr>
          <w:p>
            <w:pPr>
              <w:spacing w:after="0"/>
              <w:rPr>
                <w:sz w:val="17"/>
                <w:szCs w:val="17"/>
                <w:color w:val="auto"/>
              </w:rPr>
            </w:pPr>
          </w:p>
        </w:tc>
        <w:tc>
          <w:tcPr>
            <w:tcW w:w="2780" w:type="dxa"/>
            <w:vAlign w:val="bottom"/>
            <w:tcBorders>
              <w:bottom w:val="single" w:sz="8" w:color="EF3E2A"/>
            </w:tcBorders>
          </w:tcPr>
          <w:p>
            <w:pPr>
              <w:spacing w:after="0"/>
              <w:rPr>
                <w:sz w:val="17"/>
                <w:szCs w:val="17"/>
                <w:color w:val="auto"/>
              </w:rPr>
            </w:pPr>
          </w:p>
        </w:tc>
      </w:tr>
    </w:tbl>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Proxy Voting:</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Whether or not you plan to attend the Annual Meeting and vote your Shares at the Annual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117475</wp:posOffset>
                </wp:positionV>
                <wp:extent cx="0" cy="121285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12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9.25pt" to="204pt,104.7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2587625</wp:posOffset>
                </wp:positionH>
                <wp:positionV relativeFrom="paragraph">
                  <wp:posOffset>120650</wp:posOffset>
                </wp:positionV>
                <wp:extent cx="38163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75pt,9.5pt" to="504.25pt,9.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6400800</wp:posOffset>
                </wp:positionH>
                <wp:positionV relativeFrom="paragraph">
                  <wp:posOffset>117475</wp:posOffset>
                </wp:positionV>
                <wp:extent cx="0" cy="12128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12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9.25pt" to="504pt,104.7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2587625</wp:posOffset>
                </wp:positionH>
                <wp:positionV relativeFrom="paragraph">
                  <wp:posOffset>1327150</wp:posOffset>
                </wp:positionV>
                <wp:extent cx="381635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75pt,104.5pt" to="504.25pt,104.5pt" o:allowincell="f" strokecolor="#231F20" strokeweight="0.5pt"/>
            </w:pict>
          </mc:Fallback>
        </mc:AlternateContent>
      </w:r>
    </w:p>
    <w:p>
      <w:pPr>
        <w:sectPr>
          <w:pgSz w:w="12240" w:h="15840" w:orient="portrait"/>
          <w:cols w:equalWidth="0" w:num="1">
            <w:col w:w="10080"/>
          </w:cols>
          <w:pgMar w:left="1080" w:top="1440" w:right="1080"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231F20"/>
        </w:rPr>
        <w:t>By Order of the Board of Trustees,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Dawn M. Becker</w:t>
      </w:r>
    </w:p>
    <w:p>
      <w:pPr>
        <w:spacing w:after="0" w:line="15" w:lineRule="exact"/>
        <w:rPr>
          <w:sz w:val="20"/>
          <w:szCs w:val="20"/>
          <w:color w:val="auto"/>
        </w:rPr>
      </w:pPr>
    </w:p>
    <w:p>
      <w:pPr>
        <w:ind w:right="700"/>
        <w:spacing w:after="0" w:line="271" w:lineRule="auto"/>
        <w:rPr>
          <w:sz w:val="20"/>
          <w:szCs w:val="20"/>
          <w:color w:val="auto"/>
        </w:rPr>
      </w:pPr>
      <w:r>
        <w:rPr>
          <w:rFonts w:ascii="Arial" w:cs="Arial" w:eastAsia="Arial" w:hAnsi="Arial"/>
          <w:sz w:val="19"/>
          <w:szCs w:val="19"/>
          <w:color w:val="231F20"/>
        </w:rPr>
        <w:t>Executive Vice President General Counsel And Secretary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231F20"/>
        </w:rPr>
        <w:t>March 22, 2024</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EF3E2A"/>
        </w:rPr>
        <w:t>Important Notice Regarding Internet Availability of Proxy Materials</w:t>
      </w:r>
    </w:p>
    <w:p>
      <w:pPr>
        <w:spacing w:after="0" w:line="22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b w:val="1"/>
          <w:bCs w:val="1"/>
          <w:color w:val="231F20"/>
        </w:rPr>
        <w:t xml:space="preserve">The proxy statement and annual report to shareholders, including our annual report on Form 10-K for the year ended December 31, 2023, are available at </w:t>
      </w:r>
      <w:r>
        <w:rPr>
          <w:rFonts w:ascii="Arial" w:cs="Arial" w:eastAsia="Arial" w:hAnsi="Arial"/>
          <w:sz w:val="18"/>
          <w:szCs w:val="18"/>
          <w:b w:val="1"/>
          <w:bCs w:val="1"/>
          <w:i w:val="1"/>
          <w:iCs w:val="1"/>
          <w:color w:val="231F20"/>
        </w:rPr>
        <w:t>www.federalrealty.com</w:t>
      </w:r>
      <w:r>
        <w:rPr>
          <w:rFonts w:ascii="Arial" w:cs="Arial" w:eastAsia="Arial" w:hAnsi="Arial"/>
          <w:sz w:val="18"/>
          <w:szCs w:val="18"/>
          <w:b w:val="1"/>
          <w:bCs w:val="1"/>
          <w:color w:val="231F20"/>
        </w:rPr>
        <w:t>. References in this proxy statement to our website are provided for your convenience only and the content on our website does not constitute part of this proxy statement.</w:t>
      </w:r>
    </w:p>
    <w:p>
      <w:pPr>
        <w:sectPr>
          <w:pgSz w:w="12240" w:h="15840" w:orient="portrait"/>
          <w:cols w:equalWidth="0" w:num="2">
            <w:col w:w="3520" w:space="720"/>
            <w:col w:w="5840"/>
          </w:cols>
          <w:pgMar w:left="1080" w:top="1440" w:right="1080" w:bottom="1440" w:gutter="0" w:footer="0" w:header="0"/>
          <w:type w:val="continuous"/>
        </w:sectPr>
      </w:pPr>
    </w:p>
    <w:bookmarkStart w:id="119" w:name="page120"/>
    <w:bookmarkEnd w:id="119"/>
    <w:p>
      <w:pPr>
        <w:spacing w:after="0" w:line="76"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933450</wp:posOffset>
                </wp:positionV>
                <wp:extent cx="64008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3.5pt" to="558pt,73.5pt" o:allowincell="f" strokecolor="#EF3E2A" strokeweight="3pt">
                <w10:wrap anchorx="page" anchory="page"/>
              </v:line>
            </w:pict>
          </mc:Fallback>
        </mc:AlternateContent>
      </w:r>
    </w:p>
    <w:p>
      <w:pPr>
        <w:spacing w:after="0"/>
        <w:rPr>
          <w:sz w:val="20"/>
          <w:szCs w:val="20"/>
          <w:color w:val="auto"/>
        </w:rPr>
      </w:pPr>
      <w:r>
        <w:rPr>
          <w:rFonts w:ascii="Arial" w:cs="Arial" w:eastAsia="Arial" w:hAnsi="Arial"/>
          <w:sz w:val="28"/>
          <w:szCs w:val="28"/>
          <w:b w:val="1"/>
          <w:bCs w:val="1"/>
          <w:color w:val="231F20"/>
        </w:rPr>
        <w:t>Table of Contents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398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B"/>
              </w:rPr>
              <w:t>C</w:t>
            </w:r>
            <w:r>
              <w:rPr>
                <w:rFonts w:ascii="Arial" w:cs="Arial" w:eastAsia="Arial" w:hAnsi="Arial"/>
                <w:sz w:val="18"/>
                <w:szCs w:val="18"/>
                <w:b w:val="1"/>
                <w:bCs w:val="1"/>
                <w:color w:val="EF3E2B"/>
              </w:rPr>
              <w:t>OMPANY</w:t>
            </w:r>
            <w:r>
              <w:rPr>
                <w:rFonts w:ascii="Arial" w:cs="Arial" w:eastAsia="Arial" w:hAnsi="Arial"/>
                <w:sz w:val="24"/>
                <w:szCs w:val="24"/>
                <w:b w:val="1"/>
                <w:bCs w:val="1"/>
                <w:color w:val="EF3E2B"/>
              </w:rPr>
              <w:t xml:space="preserve"> I</w:t>
            </w:r>
            <w:r>
              <w:rPr>
                <w:rFonts w:ascii="Arial" w:cs="Arial" w:eastAsia="Arial" w:hAnsi="Arial"/>
                <w:sz w:val="18"/>
                <w:szCs w:val="18"/>
                <w:b w:val="1"/>
                <w:bCs w:val="1"/>
                <w:color w:val="EF3E2B"/>
              </w:rPr>
              <w:t>NFORMATION</w:t>
            </w: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4"/>
                <w:szCs w:val="24"/>
                <w:b w:val="1"/>
                <w:bCs w:val="1"/>
                <w:color w:val="EF3E2B"/>
              </w:rPr>
              <w:t>1</w:t>
            </w:r>
          </w:p>
        </w:tc>
      </w:tr>
      <w:tr>
        <w:trPr>
          <w:trHeight w:val="222"/>
        </w:trPr>
        <w:tc>
          <w:tcPr>
            <w:tcW w:w="3980" w:type="dxa"/>
            <w:vAlign w:val="bottom"/>
          </w:tcPr>
          <w:p>
            <w:pPr>
              <w:ind w:left="360"/>
              <w:spacing w:after="0"/>
              <w:rPr>
                <w:sz w:val="20"/>
                <w:szCs w:val="20"/>
                <w:color w:val="auto"/>
              </w:rPr>
            </w:pPr>
            <w:r>
              <w:rPr>
                <w:rFonts w:ascii="Arial" w:cs="Arial" w:eastAsia="Arial" w:hAnsi="Arial"/>
                <w:sz w:val="16"/>
                <w:szCs w:val="16"/>
                <w:color w:val="231F20"/>
              </w:rPr>
              <w:t>Highlights of 2023 Company Performance</w:t>
            </w:r>
          </w:p>
        </w:tc>
        <w:tc>
          <w:tcPr>
            <w:tcW w:w="800" w:type="dxa"/>
            <w:vAlign w:val="bottom"/>
          </w:tcPr>
          <w:p>
            <w:pPr>
              <w:jc w:val="right"/>
              <w:spacing w:after="0"/>
              <w:rPr>
                <w:sz w:val="20"/>
                <w:szCs w:val="20"/>
                <w:color w:val="auto"/>
              </w:rPr>
            </w:pPr>
            <w:r>
              <w:rPr>
                <w:rFonts w:ascii="Arial" w:cs="Arial" w:eastAsia="Arial" w:hAnsi="Arial"/>
                <w:sz w:val="14"/>
                <w:szCs w:val="14"/>
                <w:color w:val="231F20"/>
              </w:rPr>
              <w:t>1</w:t>
            </w:r>
          </w:p>
        </w:tc>
      </w:tr>
      <w:tr>
        <w:trPr>
          <w:trHeight w:val="230"/>
        </w:trPr>
        <w:tc>
          <w:tcPr>
            <w:tcW w:w="3980" w:type="dxa"/>
            <w:vAlign w:val="bottom"/>
          </w:tcPr>
          <w:p>
            <w:pPr>
              <w:ind w:left="360"/>
              <w:spacing w:after="0"/>
              <w:rPr>
                <w:sz w:val="20"/>
                <w:szCs w:val="20"/>
                <w:color w:val="auto"/>
              </w:rPr>
            </w:pPr>
            <w:r>
              <w:rPr>
                <w:rFonts w:ascii="Arial" w:cs="Arial" w:eastAsia="Arial" w:hAnsi="Arial"/>
                <w:sz w:val="16"/>
                <w:szCs w:val="16"/>
                <w:color w:val="231F20"/>
              </w:rPr>
              <w:t>Corporate Values</w:t>
            </w:r>
          </w:p>
        </w:tc>
        <w:tc>
          <w:tcPr>
            <w:tcW w:w="800" w:type="dxa"/>
            <w:vAlign w:val="bottom"/>
          </w:tcPr>
          <w:p>
            <w:pPr>
              <w:jc w:val="right"/>
              <w:spacing w:after="0"/>
              <w:rPr>
                <w:sz w:val="20"/>
                <w:szCs w:val="20"/>
                <w:color w:val="auto"/>
              </w:rPr>
            </w:pPr>
            <w:r>
              <w:rPr>
                <w:rFonts w:ascii="Arial" w:cs="Arial" w:eastAsia="Arial" w:hAnsi="Arial"/>
                <w:sz w:val="16"/>
                <w:szCs w:val="16"/>
                <w:color w:val="231F20"/>
              </w:rPr>
              <w:t>2</w:t>
            </w:r>
          </w:p>
        </w:tc>
      </w:tr>
      <w:tr>
        <w:trPr>
          <w:trHeight w:val="230"/>
        </w:trPr>
        <w:tc>
          <w:tcPr>
            <w:tcW w:w="3980" w:type="dxa"/>
            <w:vAlign w:val="bottom"/>
          </w:tcPr>
          <w:p>
            <w:pPr>
              <w:ind w:left="360"/>
              <w:spacing w:after="0"/>
              <w:rPr>
                <w:sz w:val="20"/>
                <w:szCs w:val="20"/>
                <w:color w:val="auto"/>
              </w:rPr>
            </w:pPr>
            <w:r>
              <w:rPr>
                <w:rFonts w:ascii="Arial" w:cs="Arial" w:eastAsia="Arial" w:hAnsi="Arial"/>
                <w:sz w:val="16"/>
                <w:szCs w:val="16"/>
                <w:color w:val="231F20"/>
              </w:rPr>
              <w:t>Our Board</w:t>
            </w:r>
          </w:p>
        </w:tc>
        <w:tc>
          <w:tcPr>
            <w:tcW w:w="800" w:type="dxa"/>
            <w:vAlign w:val="bottom"/>
          </w:tcPr>
          <w:p>
            <w:pPr>
              <w:jc w:val="right"/>
              <w:spacing w:after="0"/>
              <w:rPr>
                <w:sz w:val="20"/>
                <w:szCs w:val="20"/>
                <w:color w:val="auto"/>
              </w:rPr>
            </w:pPr>
            <w:r>
              <w:rPr>
                <w:rFonts w:ascii="Arial" w:cs="Arial" w:eastAsia="Arial" w:hAnsi="Arial"/>
                <w:sz w:val="16"/>
                <w:szCs w:val="16"/>
                <w:color w:val="231F20"/>
              </w:rPr>
              <w:t>2</w:t>
            </w:r>
          </w:p>
        </w:tc>
      </w:tr>
      <w:tr>
        <w:trPr>
          <w:trHeight w:val="230"/>
        </w:trPr>
        <w:tc>
          <w:tcPr>
            <w:tcW w:w="3980" w:type="dxa"/>
            <w:vAlign w:val="bottom"/>
          </w:tcPr>
          <w:p>
            <w:pPr>
              <w:ind w:left="360"/>
              <w:spacing w:after="0"/>
              <w:rPr>
                <w:sz w:val="20"/>
                <w:szCs w:val="20"/>
                <w:color w:val="auto"/>
              </w:rPr>
            </w:pPr>
            <w:r>
              <w:rPr>
                <w:rFonts w:ascii="Arial" w:cs="Arial" w:eastAsia="Arial" w:hAnsi="Arial"/>
                <w:sz w:val="16"/>
                <w:szCs w:val="16"/>
                <w:color w:val="231F20"/>
              </w:rPr>
              <w:t>Sustainability Snapshot</w:t>
            </w:r>
          </w:p>
        </w:tc>
        <w:tc>
          <w:tcPr>
            <w:tcW w:w="800" w:type="dxa"/>
            <w:vAlign w:val="bottom"/>
          </w:tcPr>
          <w:p>
            <w:pPr>
              <w:jc w:val="right"/>
              <w:spacing w:after="0"/>
              <w:rPr>
                <w:sz w:val="20"/>
                <w:szCs w:val="20"/>
                <w:color w:val="auto"/>
              </w:rPr>
            </w:pPr>
            <w:r>
              <w:rPr>
                <w:rFonts w:ascii="Arial" w:cs="Arial" w:eastAsia="Arial" w:hAnsi="Arial"/>
                <w:sz w:val="16"/>
                <w:szCs w:val="16"/>
                <w:color w:val="231F20"/>
              </w:rPr>
              <w:t>3</w:t>
            </w:r>
          </w:p>
        </w:tc>
      </w:tr>
    </w:tbl>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18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B"/>
              </w:rPr>
              <w:t>G</w:t>
            </w:r>
            <w:r>
              <w:rPr>
                <w:rFonts w:ascii="Arial" w:cs="Arial" w:eastAsia="Arial" w:hAnsi="Arial"/>
                <w:sz w:val="18"/>
                <w:szCs w:val="18"/>
                <w:b w:val="1"/>
                <w:bCs w:val="1"/>
                <w:color w:val="EF3E2B"/>
              </w:rPr>
              <w:t>OVERNING THE</w:t>
            </w:r>
            <w:r>
              <w:rPr>
                <w:rFonts w:ascii="Arial" w:cs="Arial" w:eastAsia="Arial" w:hAnsi="Arial"/>
                <w:sz w:val="24"/>
                <w:szCs w:val="24"/>
                <w:b w:val="1"/>
                <w:bCs w:val="1"/>
                <w:color w:val="EF3E2B"/>
              </w:rPr>
              <w:t xml:space="preserve"> C</w:t>
            </w:r>
            <w:r>
              <w:rPr>
                <w:rFonts w:ascii="Arial" w:cs="Arial" w:eastAsia="Arial" w:hAnsi="Arial"/>
                <w:sz w:val="18"/>
                <w:szCs w:val="18"/>
                <w:b w:val="1"/>
                <w:bCs w:val="1"/>
                <w:color w:val="EF3E2B"/>
              </w:rPr>
              <w:t>OMPANY</w:t>
            </w:r>
          </w:p>
        </w:tc>
        <w:tc>
          <w:tcPr>
            <w:tcW w:w="600" w:type="dxa"/>
            <w:vAlign w:val="bottom"/>
            <w:tcBorders>
              <w:bottom w:val="single" w:sz="8" w:color="231F20"/>
            </w:tcBorders>
          </w:tcPr>
          <w:p>
            <w:pPr>
              <w:jc w:val="right"/>
              <w:spacing w:after="0"/>
              <w:rPr>
                <w:sz w:val="20"/>
                <w:szCs w:val="20"/>
                <w:color w:val="auto"/>
              </w:rPr>
            </w:pPr>
            <w:r>
              <w:rPr>
                <w:rFonts w:ascii="Arial" w:cs="Arial" w:eastAsia="Arial" w:hAnsi="Arial"/>
                <w:sz w:val="24"/>
                <w:szCs w:val="24"/>
                <w:b w:val="1"/>
                <w:bCs w:val="1"/>
                <w:color w:val="EF3E2B"/>
              </w:rPr>
              <w:t>4</w:t>
            </w:r>
          </w:p>
        </w:tc>
      </w:tr>
      <w:tr>
        <w:trPr>
          <w:trHeight w:val="222"/>
        </w:trPr>
        <w:tc>
          <w:tcPr>
            <w:tcW w:w="4180" w:type="dxa"/>
            <w:vAlign w:val="bottom"/>
          </w:tcPr>
          <w:p>
            <w:pPr>
              <w:ind w:left="360"/>
              <w:spacing w:after="0"/>
              <w:rPr>
                <w:sz w:val="20"/>
                <w:szCs w:val="20"/>
                <w:color w:val="auto"/>
              </w:rPr>
            </w:pPr>
            <w:r>
              <w:rPr>
                <w:rFonts w:ascii="Arial" w:cs="Arial" w:eastAsia="Arial" w:hAnsi="Arial"/>
                <w:sz w:val="16"/>
                <w:szCs w:val="16"/>
                <w:color w:val="231F20"/>
              </w:rPr>
              <w:t>Governance Documents</w:t>
            </w:r>
          </w:p>
        </w:tc>
        <w:tc>
          <w:tcPr>
            <w:tcW w:w="600" w:type="dxa"/>
            <w:vAlign w:val="bottom"/>
          </w:tcPr>
          <w:p>
            <w:pPr>
              <w:jc w:val="right"/>
              <w:spacing w:after="0"/>
              <w:rPr>
                <w:sz w:val="20"/>
                <w:szCs w:val="20"/>
                <w:color w:val="auto"/>
              </w:rPr>
            </w:pPr>
            <w:r>
              <w:rPr>
                <w:rFonts w:ascii="Arial" w:cs="Arial" w:eastAsia="Arial" w:hAnsi="Arial"/>
                <w:sz w:val="16"/>
                <w:szCs w:val="16"/>
                <w:color w:val="231F20"/>
              </w:rPr>
              <w:t>4</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Governance Policies and Procedures</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Board Leadership</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Board and Committee Meetings</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Board Committees</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Board’s Role in Risk Oversight</w:t>
            </w:r>
          </w:p>
        </w:tc>
        <w:tc>
          <w:tcPr>
            <w:tcW w:w="600" w:type="dxa"/>
            <w:vAlign w:val="bottom"/>
          </w:tcPr>
          <w:p>
            <w:pPr>
              <w:jc w:val="right"/>
              <w:spacing w:after="0"/>
              <w:rPr>
                <w:sz w:val="20"/>
                <w:szCs w:val="20"/>
                <w:color w:val="auto"/>
              </w:rPr>
            </w:pPr>
            <w:r>
              <w:rPr>
                <w:rFonts w:ascii="Arial" w:cs="Arial" w:eastAsia="Arial" w:hAnsi="Arial"/>
                <w:sz w:val="16"/>
                <w:szCs w:val="16"/>
                <w:color w:val="231F20"/>
              </w:rPr>
              <w:t>7</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Board and Committee Evaluation Process</w:t>
            </w:r>
          </w:p>
        </w:tc>
        <w:tc>
          <w:tcPr>
            <w:tcW w:w="600" w:type="dxa"/>
            <w:vAlign w:val="bottom"/>
          </w:tcPr>
          <w:p>
            <w:pPr>
              <w:jc w:val="right"/>
              <w:spacing w:after="0"/>
              <w:rPr>
                <w:sz w:val="20"/>
                <w:szCs w:val="20"/>
                <w:color w:val="auto"/>
              </w:rPr>
            </w:pPr>
            <w:r>
              <w:rPr>
                <w:rFonts w:ascii="Arial" w:cs="Arial" w:eastAsia="Arial" w:hAnsi="Arial"/>
                <w:sz w:val="16"/>
                <w:szCs w:val="16"/>
                <w:color w:val="231F20"/>
              </w:rPr>
              <w:t>8</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Succession Planning</w:t>
            </w:r>
          </w:p>
        </w:tc>
        <w:tc>
          <w:tcPr>
            <w:tcW w:w="600" w:type="dxa"/>
            <w:vAlign w:val="bottom"/>
          </w:tcPr>
          <w:p>
            <w:pPr>
              <w:jc w:val="right"/>
              <w:spacing w:after="0"/>
              <w:rPr>
                <w:sz w:val="20"/>
                <w:szCs w:val="20"/>
                <w:color w:val="auto"/>
              </w:rPr>
            </w:pPr>
            <w:r>
              <w:rPr>
                <w:rFonts w:ascii="Arial" w:cs="Arial" w:eastAsia="Arial" w:hAnsi="Arial"/>
                <w:sz w:val="16"/>
                <w:szCs w:val="16"/>
                <w:color w:val="231F20"/>
              </w:rPr>
              <w:t>9</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Communications with the Board</w:t>
            </w:r>
          </w:p>
        </w:tc>
        <w:tc>
          <w:tcPr>
            <w:tcW w:w="600" w:type="dxa"/>
            <w:vAlign w:val="bottom"/>
          </w:tcPr>
          <w:p>
            <w:pPr>
              <w:jc w:val="right"/>
              <w:spacing w:after="0"/>
              <w:rPr>
                <w:sz w:val="20"/>
                <w:szCs w:val="20"/>
                <w:color w:val="auto"/>
              </w:rPr>
            </w:pPr>
            <w:r>
              <w:rPr>
                <w:rFonts w:ascii="Arial" w:cs="Arial" w:eastAsia="Arial" w:hAnsi="Arial"/>
                <w:sz w:val="16"/>
                <w:szCs w:val="16"/>
                <w:color w:val="231F20"/>
              </w:rPr>
              <w:t>9</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Compensation Committee Interlocks and Insider</w:t>
            </w:r>
          </w:p>
        </w:tc>
        <w:tc>
          <w:tcPr>
            <w:tcW w:w="600" w:type="dxa"/>
            <w:vAlign w:val="bottom"/>
          </w:tcPr>
          <w:p>
            <w:pPr>
              <w:jc w:val="right"/>
              <w:spacing w:after="0"/>
              <w:rPr>
                <w:sz w:val="20"/>
                <w:szCs w:val="20"/>
                <w:color w:val="auto"/>
              </w:rPr>
            </w:pPr>
            <w:r>
              <w:rPr>
                <w:rFonts w:ascii="Arial" w:cs="Arial" w:eastAsia="Arial" w:hAnsi="Arial"/>
                <w:sz w:val="16"/>
                <w:szCs w:val="16"/>
                <w:color w:val="231F20"/>
              </w:rPr>
              <w:t>9</w:t>
            </w:r>
          </w:p>
        </w:tc>
      </w:tr>
      <w:tr>
        <w:trPr>
          <w:trHeight w:val="190"/>
        </w:trPr>
        <w:tc>
          <w:tcPr>
            <w:tcW w:w="4180" w:type="dxa"/>
            <w:vAlign w:val="bottom"/>
          </w:tcPr>
          <w:p>
            <w:pPr>
              <w:ind w:left="460"/>
              <w:spacing w:after="0"/>
              <w:rPr>
                <w:sz w:val="20"/>
                <w:szCs w:val="20"/>
                <w:color w:val="auto"/>
              </w:rPr>
            </w:pPr>
            <w:r>
              <w:rPr>
                <w:rFonts w:ascii="Arial" w:cs="Arial" w:eastAsia="Arial" w:hAnsi="Arial"/>
                <w:sz w:val="16"/>
                <w:szCs w:val="16"/>
                <w:color w:val="231F20"/>
              </w:rPr>
              <w:t>Participation</w:t>
            </w:r>
          </w:p>
        </w:tc>
        <w:tc>
          <w:tcPr>
            <w:tcW w:w="600" w:type="dxa"/>
            <w:vAlign w:val="bottom"/>
          </w:tcPr>
          <w:p>
            <w:pPr>
              <w:spacing w:after="0"/>
              <w:rPr>
                <w:sz w:val="16"/>
                <w:szCs w:val="16"/>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Related Party Transactions</w:t>
            </w:r>
          </w:p>
        </w:tc>
        <w:tc>
          <w:tcPr>
            <w:tcW w:w="600" w:type="dxa"/>
            <w:vAlign w:val="bottom"/>
          </w:tcPr>
          <w:p>
            <w:pPr>
              <w:jc w:val="right"/>
              <w:spacing w:after="0"/>
              <w:rPr>
                <w:sz w:val="20"/>
                <w:szCs w:val="20"/>
                <w:color w:val="auto"/>
              </w:rPr>
            </w:pPr>
            <w:r>
              <w:rPr>
                <w:rFonts w:ascii="Arial" w:cs="Arial" w:eastAsia="Arial" w:hAnsi="Arial"/>
                <w:sz w:val="16"/>
                <w:szCs w:val="16"/>
                <w:color w:val="231F20"/>
              </w:rPr>
              <w:t>10</w:t>
            </w:r>
          </w:p>
        </w:tc>
      </w:tr>
      <w:tr>
        <w:trPr>
          <w:trHeight w:val="230"/>
        </w:trPr>
        <w:tc>
          <w:tcPr>
            <w:tcW w:w="4180" w:type="dxa"/>
            <w:vAlign w:val="bottom"/>
          </w:tcPr>
          <w:p>
            <w:pPr>
              <w:ind w:left="360"/>
              <w:spacing w:after="0"/>
              <w:rPr>
                <w:sz w:val="20"/>
                <w:szCs w:val="20"/>
                <w:color w:val="auto"/>
              </w:rPr>
            </w:pPr>
            <w:r>
              <w:rPr>
                <w:rFonts w:ascii="Arial" w:cs="Arial" w:eastAsia="Arial" w:hAnsi="Arial"/>
                <w:sz w:val="16"/>
                <w:szCs w:val="16"/>
                <w:color w:val="231F20"/>
              </w:rPr>
              <w:t>Trustee Independence</w:t>
            </w:r>
          </w:p>
        </w:tc>
        <w:tc>
          <w:tcPr>
            <w:tcW w:w="600" w:type="dxa"/>
            <w:vAlign w:val="bottom"/>
          </w:tcPr>
          <w:p>
            <w:pPr>
              <w:jc w:val="right"/>
              <w:spacing w:after="0"/>
              <w:rPr>
                <w:sz w:val="20"/>
                <w:szCs w:val="20"/>
                <w:color w:val="auto"/>
              </w:rPr>
            </w:pPr>
            <w:r>
              <w:rPr>
                <w:rFonts w:ascii="Arial" w:cs="Arial" w:eastAsia="Arial" w:hAnsi="Arial"/>
                <w:sz w:val="16"/>
                <w:szCs w:val="16"/>
                <w:color w:val="231F20"/>
              </w:rPr>
              <w:t>10</w:t>
            </w:r>
          </w:p>
        </w:tc>
      </w:tr>
    </w:tbl>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28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B"/>
              </w:rPr>
              <w:t>P</w:t>
            </w:r>
            <w:r>
              <w:rPr>
                <w:rFonts w:ascii="Arial" w:cs="Arial" w:eastAsia="Arial" w:hAnsi="Arial"/>
                <w:sz w:val="18"/>
                <w:szCs w:val="18"/>
                <w:b w:val="1"/>
                <w:bCs w:val="1"/>
                <w:color w:val="EF3E2B"/>
              </w:rPr>
              <w:t>ROPOSAL</w:t>
            </w:r>
            <w:r>
              <w:rPr>
                <w:rFonts w:ascii="Arial" w:cs="Arial" w:eastAsia="Arial" w:hAnsi="Arial"/>
                <w:sz w:val="24"/>
                <w:szCs w:val="24"/>
                <w:b w:val="1"/>
                <w:bCs w:val="1"/>
                <w:color w:val="EF3E2B"/>
              </w:rPr>
              <w:t xml:space="preserve"> 1: E</w:t>
            </w:r>
            <w:r>
              <w:rPr>
                <w:rFonts w:ascii="Arial" w:cs="Arial" w:eastAsia="Arial" w:hAnsi="Arial"/>
                <w:sz w:val="18"/>
                <w:szCs w:val="18"/>
                <w:b w:val="1"/>
                <w:bCs w:val="1"/>
                <w:color w:val="EF3E2B"/>
              </w:rPr>
              <w:t>LECTION OF</w:t>
            </w:r>
            <w:r>
              <w:rPr>
                <w:rFonts w:ascii="Arial" w:cs="Arial" w:eastAsia="Arial" w:hAnsi="Arial"/>
                <w:sz w:val="24"/>
                <w:szCs w:val="24"/>
                <w:b w:val="1"/>
                <w:bCs w:val="1"/>
                <w:color w:val="EF3E2B"/>
              </w:rPr>
              <w:t xml:space="preserve"> T</w:t>
            </w:r>
            <w:r>
              <w:rPr>
                <w:rFonts w:ascii="Arial" w:cs="Arial" w:eastAsia="Arial" w:hAnsi="Arial"/>
                <w:sz w:val="18"/>
                <w:szCs w:val="18"/>
                <w:b w:val="1"/>
                <w:bCs w:val="1"/>
                <w:color w:val="EF3E2B"/>
              </w:rPr>
              <w:t>RUSTEES</w:t>
            </w:r>
          </w:p>
        </w:tc>
        <w:tc>
          <w:tcPr>
            <w:tcW w:w="500" w:type="dxa"/>
            <w:vAlign w:val="bottom"/>
            <w:tcBorders>
              <w:bottom w:val="single" w:sz="8" w:color="231F20"/>
            </w:tcBorders>
            <w:gridSpan w:val="2"/>
          </w:tcPr>
          <w:p>
            <w:pPr>
              <w:jc w:val="right"/>
              <w:spacing w:after="0"/>
              <w:rPr>
                <w:sz w:val="20"/>
                <w:szCs w:val="20"/>
                <w:color w:val="auto"/>
              </w:rPr>
            </w:pPr>
            <w:r>
              <w:rPr>
                <w:rFonts w:ascii="Arial" w:cs="Arial" w:eastAsia="Arial" w:hAnsi="Arial"/>
                <w:sz w:val="24"/>
                <w:szCs w:val="24"/>
                <w:b w:val="1"/>
                <w:bCs w:val="1"/>
                <w:color w:val="EF3E2B"/>
              </w:rPr>
              <w:t>10</w:t>
            </w:r>
          </w:p>
        </w:tc>
      </w:tr>
      <w:tr>
        <w:trPr>
          <w:trHeight w:val="222"/>
        </w:trPr>
        <w:tc>
          <w:tcPr>
            <w:tcW w:w="4280" w:type="dxa"/>
            <w:vAlign w:val="bottom"/>
          </w:tcPr>
          <w:p>
            <w:pPr>
              <w:ind w:left="360"/>
              <w:spacing w:after="0"/>
              <w:rPr>
                <w:sz w:val="20"/>
                <w:szCs w:val="20"/>
                <w:color w:val="auto"/>
              </w:rPr>
            </w:pPr>
            <w:r>
              <w:rPr>
                <w:rFonts w:ascii="Arial" w:cs="Arial" w:eastAsia="Arial" w:hAnsi="Arial"/>
                <w:sz w:val="16"/>
                <w:szCs w:val="16"/>
                <w:color w:val="231F20"/>
              </w:rPr>
              <w:t>Vote Required and Majority Voting Standard</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11</w:t>
            </w:r>
          </w:p>
        </w:tc>
      </w:tr>
      <w:tr>
        <w:trPr>
          <w:trHeight w:val="230"/>
        </w:trPr>
        <w:tc>
          <w:tcPr>
            <w:tcW w:w="4280" w:type="dxa"/>
            <w:vAlign w:val="bottom"/>
          </w:tcPr>
          <w:p>
            <w:pPr>
              <w:ind w:left="360"/>
              <w:spacing w:after="0"/>
              <w:rPr>
                <w:sz w:val="20"/>
                <w:szCs w:val="20"/>
                <w:color w:val="auto"/>
              </w:rPr>
            </w:pPr>
            <w:r>
              <w:rPr>
                <w:rFonts w:ascii="Arial" w:cs="Arial" w:eastAsia="Arial" w:hAnsi="Arial"/>
                <w:sz w:val="16"/>
                <w:szCs w:val="16"/>
                <w:color w:val="231F20"/>
              </w:rPr>
              <w:t>Nominee Characteristics and Selection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11</w:t>
            </w:r>
          </w:p>
        </w:tc>
      </w:tr>
      <w:tr>
        <w:trPr>
          <w:trHeight w:val="230"/>
        </w:trPr>
        <w:tc>
          <w:tcPr>
            <w:tcW w:w="4280" w:type="dxa"/>
            <w:vAlign w:val="bottom"/>
          </w:tcPr>
          <w:p>
            <w:pPr>
              <w:ind w:left="360"/>
              <w:spacing w:after="0"/>
              <w:rPr>
                <w:sz w:val="20"/>
                <w:szCs w:val="20"/>
                <w:color w:val="auto"/>
              </w:rPr>
            </w:pPr>
            <w:r>
              <w:rPr>
                <w:rFonts w:ascii="Arial" w:cs="Arial" w:eastAsia="Arial" w:hAnsi="Arial"/>
                <w:sz w:val="16"/>
                <w:szCs w:val="16"/>
                <w:color w:val="231F20"/>
              </w:rPr>
              <w:t>Nominee Diversity and Tenure</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13</w:t>
            </w:r>
          </w:p>
        </w:tc>
      </w:tr>
      <w:tr>
        <w:trPr>
          <w:trHeight w:val="230"/>
        </w:trPr>
        <w:tc>
          <w:tcPr>
            <w:tcW w:w="4280" w:type="dxa"/>
            <w:vAlign w:val="bottom"/>
          </w:tcPr>
          <w:p>
            <w:pPr>
              <w:ind w:left="360"/>
              <w:spacing w:after="0"/>
              <w:rPr>
                <w:sz w:val="20"/>
                <w:szCs w:val="20"/>
                <w:color w:val="auto"/>
              </w:rPr>
            </w:pPr>
            <w:r>
              <w:rPr>
                <w:rFonts w:ascii="Arial" w:cs="Arial" w:eastAsia="Arial" w:hAnsi="Arial"/>
                <w:sz w:val="16"/>
                <w:szCs w:val="16"/>
                <w:color w:val="231F20"/>
              </w:rPr>
              <w:t>Our Nominees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13</w:t>
            </w:r>
          </w:p>
        </w:tc>
      </w:tr>
      <w:tr>
        <w:trPr>
          <w:trHeight w:val="230"/>
        </w:trPr>
        <w:tc>
          <w:tcPr>
            <w:tcW w:w="4280" w:type="dxa"/>
            <w:vAlign w:val="bottom"/>
          </w:tcPr>
          <w:p>
            <w:pPr>
              <w:ind w:left="360"/>
              <w:spacing w:after="0"/>
              <w:rPr>
                <w:sz w:val="20"/>
                <w:szCs w:val="20"/>
                <w:color w:val="auto"/>
              </w:rPr>
            </w:pPr>
            <w:r>
              <w:rPr>
                <w:rFonts w:ascii="Arial" w:cs="Arial" w:eastAsia="Arial" w:hAnsi="Arial"/>
                <w:sz w:val="16"/>
                <w:szCs w:val="16"/>
                <w:color w:val="231F20"/>
              </w:rPr>
              <w:t>Trustee Compensation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17</w:t>
            </w:r>
          </w:p>
        </w:tc>
      </w:tr>
      <w:tr>
        <w:trPr>
          <w:trHeight w:val="359"/>
        </w:trPr>
        <w:tc>
          <w:tcPr>
            <w:tcW w:w="4280" w:type="dxa"/>
            <w:vAlign w:val="bottom"/>
          </w:tcPr>
          <w:p>
            <w:pPr>
              <w:ind w:left="80"/>
              <w:spacing w:after="0"/>
              <w:rPr>
                <w:sz w:val="20"/>
                <w:szCs w:val="20"/>
                <w:color w:val="auto"/>
              </w:rPr>
            </w:pPr>
            <w:r>
              <w:rPr>
                <w:rFonts w:ascii="Arial" w:cs="Arial" w:eastAsia="Arial" w:hAnsi="Arial"/>
                <w:sz w:val="24"/>
                <w:szCs w:val="24"/>
                <w:b w:val="1"/>
                <w:bCs w:val="1"/>
                <w:color w:val="EF3E2B"/>
              </w:rPr>
              <w:t>P</w:t>
            </w:r>
            <w:r>
              <w:rPr>
                <w:rFonts w:ascii="Arial" w:cs="Arial" w:eastAsia="Arial" w:hAnsi="Arial"/>
                <w:sz w:val="18"/>
                <w:szCs w:val="18"/>
                <w:b w:val="1"/>
                <w:bCs w:val="1"/>
                <w:color w:val="EF3E2B"/>
              </w:rPr>
              <w:t>ROPOSAL</w:t>
            </w:r>
            <w:r>
              <w:rPr>
                <w:rFonts w:ascii="Arial" w:cs="Arial" w:eastAsia="Arial" w:hAnsi="Arial"/>
                <w:sz w:val="24"/>
                <w:szCs w:val="24"/>
                <w:b w:val="1"/>
                <w:bCs w:val="1"/>
                <w:color w:val="EF3E2B"/>
              </w:rPr>
              <w:t xml:space="preserve"> 2: A</w:t>
            </w:r>
            <w:r>
              <w:rPr>
                <w:rFonts w:ascii="Arial" w:cs="Arial" w:eastAsia="Arial" w:hAnsi="Arial"/>
                <w:sz w:val="18"/>
                <w:szCs w:val="18"/>
                <w:b w:val="1"/>
                <w:bCs w:val="1"/>
                <w:color w:val="EF3E2B"/>
              </w:rPr>
              <w:t>PPROVING OUR</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280" w:type="dxa"/>
            <w:vAlign w:val="bottom"/>
          </w:tcPr>
          <w:p>
            <w:pPr>
              <w:ind w:left="80"/>
              <w:spacing w:after="0" w:line="265" w:lineRule="exact"/>
              <w:rPr>
                <w:sz w:val="20"/>
                <w:szCs w:val="20"/>
                <w:color w:val="auto"/>
              </w:rPr>
            </w:pPr>
            <w:r>
              <w:rPr>
                <w:rFonts w:ascii="Arial" w:cs="Arial" w:eastAsia="Arial" w:hAnsi="Arial"/>
                <w:sz w:val="24"/>
                <w:szCs w:val="24"/>
                <w:b w:val="1"/>
                <w:bCs w:val="1"/>
                <w:color w:val="EF3E2B"/>
              </w:rPr>
              <w:t>E</w:t>
            </w:r>
            <w:r>
              <w:rPr>
                <w:rFonts w:ascii="Arial" w:cs="Arial" w:eastAsia="Arial" w:hAnsi="Arial"/>
                <w:sz w:val="18"/>
                <w:szCs w:val="18"/>
                <w:b w:val="1"/>
                <w:bCs w:val="1"/>
                <w:color w:val="EF3E2B"/>
              </w:rPr>
              <w:t>XECUTIVE</w:t>
            </w:r>
            <w:r>
              <w:rPr>
                <w:rFonts w:ascii="Arial" w:cs="Arial" w:eastAsia="Arial" w:hAnsi="Arial"/>
                <w:sz w:val="24"/>
                <w:szCs w:val="24"/>
                <w:b w:val="1"/>
                <w:bCs w:val="1"/>
                <w:color w:val="EF3E2B"/>
              </w:rPr>
              <w:t xml:space="preserve"> C</w:t>
            </w:r>
            <w:r>
              <w:rPr>
                <w:rFonts w:ascii="Arial" w:cs="Arial" w:eastAsia="Arial" w:hAnsi="Arial"/>
                <w:sz w:val="18"/>
                <w:szCs w:val="18"/>
                <w:b w:val="1"/>
                <w:bCs w:val="1"/>
                <w:color w:val="EF3E2B"/>
              </w:rPr>
              <w:t>OMPENSATION</w:t>
            </w:r>
          </w:p>
        </w:tc>
        <w:tc>
          <w:tcPr>
            <w:tcW w:w="500" w:type="dxa"/>
            <w:vAlign w:val="bottom"/>
            <w:gridSpan w:val="2"/>
          </w:tcPr>
          <w:p>
            <w:pPr>
              <w:jc w:val="right"/>
              <w:spacing w:after="0" w:line="265" w:lineRule="exact"/>
              <w:rPr>
                <w:sz w:val="20"/>
                <w:szCs w:val="20"/>
                <w:color w:val="auto"/>
              </w:rPr>
            </w:pPr>
            <w:r>
              <w:rPr>
                <w:rFonts w:ascii="Arial" w:cs="Arial" w:eastAsia="Arial" w:hAnsi="Arial"/>
                <w:sz w:val="24"/>
                <w:szCs w:val="24"/>
                <w:b w:val="1"/>
                <w:bCs w:val="1"/>
                <w:color w:val="EF3E2B"/>
              </w:rPr>
              <w:t>18</w:t>
            </w:r>
          </w:p>
        </w:tc>
      </w:tr>
      <w:tr>
        <w:trPr>
          <w:trHeight w:val="391"/>
        </w:trPr>
        <w:tc>
          <w:tcPr>
            <w:tcW w:w="4280" w:type="dxa"/>
            <w:vAlign w:val="bottom"/>
            <w:tcBorders>
              <w:top w:val="single" w:sz="8" w:color="231F20"/>
            </w:tcBorders>
          </w:tcPr>
          <w:p>
            <w:pPr>
              <w:ind w:left="80"/>
              <w:spacing w:after="0"/>
              <w:rPr>
                <w:sz w:val="20"/>
                <w:szCs w:val="20"/>
                <w:color w:val="auto"/>
              </w:rPr>
            </w:pPr>
            <w:r>
              <w:rPr>
                <w:rFonts w:ascii="Arial" w:cs="Arial" w:eastAsia="Arial" w:hAnsi="Arial"/>
                <w:sz w:val="24"/>
                <w:szCs w:val="24"/>
                <w:b w:val="1"/>
                <w:bCs w:val="1"/>
                <w:color w:val="EF3E2B"/>
              </w:rPr>
              <w:t>C</w:t>
            </w:r>
            <w:r>
              <w:rPr>
                <w:rFonts w:ascii="Arial" w:cs="Arial" w:eastAsia="Arial" w:hAnsi="Arial"/>
                <w:sz w:val="18"/>
                <w:szCs w:val="18"/>
                <w:b w:val="1"/>
                <w:bCs w:val="1"/>
                <w:color w:val="EF3E2B"/>
              </w:rPr>
              <w:t>OMPENSATION</w:t>
            </w:r>
            <w:r>
              <w:rPr>
                <w:rFonts w:ascii="Arial" w:cs="Arial" w:eastAsia="Arial" w:hAnsi="Arial"/>
                <w:sz w:val="24"/>
                <w:szCs w:val="24"/>
                <w:b w:val="1"/>
                <w:bCs w:val="1"/>
                <w:color w:val="EF3E2B"/>
              </w:rPr>
              <w:t xml:space="preserve"> D</w:t>
            </w:r>
            <w:r>
              <w:rPr>
                <w:rFonts w:ascii="Arial" w:cs="Arial" w:eastAsia="Arial" w:hAnsi="Arial"/>
                <w:sz w:val="18"/>
                <w:szCs w:val="18"/>
                <w:b w:val="1"/>
                <w:bCs w:val="1"/>
                <w:color w:val="EF3E2B"/>
              </w:rPr>
              <w:t>ISCUSSION AND</w:t>
            </w:r>
          </w:p>
        </w:tc>
        <w:tc>
          <w:tcPr>
            <w:tcW w:w="480" w:type="dxa"/>
            <w:vAlign w:val="bottom"/>
            <w:tcBorders>
              <w:top w:val="single" w:sz="8" w:color="231F20"/>
            </w:tcBorders>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280" w:type="dxa"/>
            <w:vAlign w:val="bottom"/>
            <w:tcBorders>
              <w:bottom w:val="single" w:sz="8" w:color="231F20"/>
            </w:tcBorders>
          </w:tcPr>
          <w:p>
            <w:pPr>
              <w:ind w:left="80"/>
              <w:spacing w:after="0" w:line="265" w:lineRule="exact"/>
              <w:rPr>
                <w:sz w:val="20"/>
                <w:szCs w:val="20"/>
                <w:color w:val="auto"/>
              </w:rPr>
            </w:pPr>
            <w:r>
              <w:rPr>
                <w:rFonts w:ascii="Arial" w:cs="Arial" w:eastAsia="Arial" w:hAnsi="Arial"/>
                <w:sz w:val="24"/>
                <w:szCs w:val="24"/>
                <w:b w:val="1"/>
                <w:bCs w:val="1"/>
                <w:color w:val="EF3E2B"/>
              </w:rPr>
              <w:t>A</w:t>
            </w:r>
            <w:r>
              <w:rPr>
                <w:rFonts w:ascii="Arial" w:cs="Arial" w:eastAsia="Arial" w:hAnsi="Arial"/>
                <w:sz w:val="18"/>
                <w:szCs w:val="18"/>
                <w:b w:val="1"/>
                <w:bCs w:val="1"/>
                <w:color w:val="EF3E2B"/>
              </w:rPr>
              <w:t>NALYSIS</w:t>
            </w:r>
          </w:p>
        </w:tc>
        <w:tc>
          <w:tcPr>
            <w:tcW w:w="500" w:type="dxa"/>
            <w:vAlign w:val="bottom"/>
            <w:tcBorders>
              <w:bottom w:val="single" w:sz="8" w:color="231F20"/>
            </w:tcBorders>
            <w:gridSpan w:val="2"/>
          </w:tcPr>
          <w:p>
            <w:pPr>
              <w:jc w:val="right"/>
              <w:spacing w:after="0" w:line="265" w:lineRule="exact"/>
              <w:rPr>
                <w:sz w:val="20"/>
                <w:szCs w:val="20"/>
                <w:color w:val="auto"/>
              </w:rPr>
            </w:pPr>
            <w:r>
              <w:rPr>
                <w:rFonts w:ascii="Arial" w:cs="Arial" w:eastAsia="Arial" w:hAnsi="Arial"/>
                <w:sz w:val="24"/>
                <w:szCs w:val="24"/>
                <w:b w:val="1"/>
                <w:bCs w:val="1"/>
                <w:color w:val="EF3E2B"/>
              </w:rPr>
              <w:t>19</w:t>
            </w:r>
          </w:p>
        </w:tc>
      </w:tr>
      <w:tr>
        <w:trPr>
          <w:trHeight w:val="222"/>
        </w:trPr>
        <w:tc>
          <w:tcPr>
            <w:tcW w:w="4280" w:type="dxa"/>
            <w:vAlign w:val="bottom"/>
          </w:tcPr>
          <w:p>
            <w:pPr>
              <w:ind w:left="360"/>
              <w:spacing w:after="0"/>
              <w:rPr>
                <w:sz w:val="20"/>
                <w:szCs w:val="20"/>
                <w:color w:val="auto"/>
              </w:rPr>
            </w:pPr>
            <w:r>
              <w:rPr>
                <w:rFonts w:ascii="Arial" w:cs="Arial" w:eastAsia="Arial" w:hAnsi="Arial"/>
                <w:sz w:val="16"/>
                <w:szCs w:val="16"/>
                <w:color w:val="231F20"/>
              </w:rPr>
              <w:t>Introduction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20</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2023 Business Highlights supporting</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20</w:t>
            </w:r>
          </w:p>
        </w:tc>
      </w:tr>
      <w:tr>
        <w:trPr>
          <w:trHeight w:val="190"/>
        </w:trPr>
        <w:tc>
          <w:tcPr>
            <w:tcW w:w="4280" w:type="dxa"/>
            <w:vAlign w:val="bottom"/>
          </w:tcPr>
          <w:p>
            <w:pPr>
              <w:ind w:left="840"/>
              <w:spacing w:after="0"/>
              <w:rPr>
                <w:sz w:val="20"/>
                <w:szCs w:val="20"/>
                <w:color w:val="auto"/>
              </w:rPr>
            </w:pPr>
            <w:r>
              <w:rPr>
                <w:rFonts w:ascii="Arial" w:cs="Arial" w:eastAsia="Arial" w:hAnsi="Arial"/>
                <w:sz w:val="16"/>
                <w:szCs w:val="16"/>
                <w:color w:val="231F20"/>
              </w:rPr>
              <w:t>Compensation Decisions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Program Philosophy and Objectives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20</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Executive Compensation Practices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21</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Components of Compensation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21</w:t>
            </w:r>
          </w:p>
        </w:tc>
      </w:tr>
      <w:tr>
        <w:trPr>
          <w:trHeight w:val="230"/>
        </w:trPr>
        <w:tc>
          <w:tcPr>
            <w:tcW w:w="4280" w:type="dxa"/>
            <w:vAlign w:val="bottom"/>
          </w:tcPr>
          <w:p>
            <w:pPr>
              <w:ind w:left="360"/>
              <w:spacing w:after="0"/>
              <w:rPr>
                <w:sz w:val="20"/>
                <w:szCs w:val="20"/>
                <w:color w:val="auto"/>
              </w:rPr>
            </w:pPr>
            <w:r>
              <w:rPr>
                <w:rFonts w:ascii="Arial" w:cs="Arial" w:eastAsia="Arial" w:hAnsi="Arial"/>
                <w:sz w:val="16"/>
                <w:szCs w:val="16"/>
                <w:color w:val="231F20"/>
              </w:rPr>
              <w:t>Compensation Setting Process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Annual Compensation Decision Making</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Role of the Compensation Committee</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Role of Management</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Role of Independent Compensation Consultant</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30"/>
        </w:trPr>
        <w:tc>
          <w:tcPr>
            <w:tcW w:w="4280" w:type="dxa"/>
            <w:vAlign w:val="bottom"/>
          </w:tcPr>
          <w:p>
            <w:pPr>
              <w:ind w:left="360"/>
              <w:spacing w:after="0"/>
              <w:rPr>
                <w:sz w:val="20"/>
                <w:szCs w:val="20"/>
                <w:color w:val="auto"/>
              </w:rPr>
            </w:pPr>
            <w:r>
              <w:rPr>
                <w:rFonts w:ascii="Arial" w:cs="Arial" w:eastAsia="Arial" w:hAnsi="Arial"/>
                <w:sz w:val="16"/>
                <w:szCs w:val="16"/>
                <w:color w:val="231F20"/>
              </w:rPr>
              <w:t>2023 Compensation Decisions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Setting 2023 Target Compensation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30"/>
        </w:trPr>
        <w:tc>
          <w:tcPr>
            <w:tcW w:w="4280" w:type="dxa"/>
            <w:vAlign w:val="bottom"/>
          </w:tcPr>
          <w:p>
            <w:pPr>
              <w:ind w:left="740"/>
              <w:spacing w:after="0"/>
              <w:rPr>
                <w:sz w:val="20"/>
                <w:szCs w:val="20"/>
                <w:color w:val="auto"/>
              </w:rPr>
            </w:pPr>
            <w:r>
              <w:rPr>
                <w:rFonts w:ascii="Arial" w:cs="Arial" w:eastAsia="Arial" w:hAnsi="Arial"/>
                <w:sz w:val="16"/>
                <w:szCs w:val="16"/>
                <w:color w:val="231F20"/>
              </w:rPr>
              <w:t>Individual Elements of 2023 Pay</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30"/>
        </w:trPr>
        <w:tc>
          <w:tcPr>
            <w:tcW w:w="4280" w:type="dxa"/>
            <w:vAlign w:val="bottom"/>
          </w:tcPr>
          <w:p>
            <w:pPr>
              <w:ind w:left="360"/>
              <w:spacing w:after="0"/>
              <w:rPr>
                <w:sz w:val="20"/>
                <w:szCs w:val="20"/>
                <w:color w:val="auto"/>
              </w:rPr>
            </w:pPr>
            <w:r>
              <w:rPr>
                <w:rFonts w:ascii="Arial" w:cs="Arial" w:eastAsia="Arial" w:hAnsi="Arial"/>
                <w:sz w:val="16"/>
                <w:szCs w:val="16"/>
                <w:color w:val="231F20"/>
              </w:rPr>
              <w:t>2023 NEO Performance Summary</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84"/>
        </w:trPr>
        <w:tc>
          <w:tcPr>
            <w:tcW w:w="3920" w:type="dxa"/>
            <w:vAlign w:val="bottom"/>
          </w:tcPr>
          <w:p>
            <w:pPr>
              <w:spacing w:after="0"/>
              <w:rPr>
                <w:sz w:val="20"/>
                <w:szCs w:val="20"/>
                <w:color w:val="auto"/>
              </w:rPr>
            </w:pPr>
            <w:r>
              <w:rPr>
                <w:rFonts w:ascii="Arial" w:cs="Arial" w:eastAsia="Arial" w:hAnsi="Arial"/>
                <w:sz w:val="16"/>
                <w:szCs w:val="16"/>
                <w:color w:val="231F20"/>
              </w:rPr>
              <w:t>Other Compensation Practices and Policies</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Consideration of Say on Pay Vote</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No Hedging or Pledging of our Shares</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Severance and Change-in-Control</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190"/>
        </w:trPr>
        <w:tc>
          <w:tcPr>
            <w:tcW w:w="3920" w:type="dxa"/>
            <w:vAlign w:val="bottom"/>
          </w:tcPr>
          <w:p>
            <w:pPr>
              <w:ind w:left="480"/>
              <w:spacing w:after="0"/>
              <w:rPr>
                <w:sz w:val="20"/>
                <w:szCs w:val="20"/>
                <w:color w:val="auto"/>
              </w:rPr>
            </w:pPr>
            <w:r>
              <w:rPr>
                <w:rFonts w:ascii="Arial" w:cs="Arial" w:eastAsia="Arial" w:hAnsi="Arial"/>
                <w:sz w:val="16"/>
                <w:szCs w:val="16"/>
                <w:color w:val="231F20"/>
              </w:rPr>
              <w:t>Arrangements</w:t>
            </w:r>
          </w:p>
        </w:tc>
        <w:tc>
          <w:tcPr>
            <w:tcW w:w="500" w:type="dxa"/>
            <w:vAlign w:val="bottom"/>
          </w:tcPr>
          <w:p>
            <w:pPr>
              <w:spacing w:after="0"/>
              <w:rPr>
                <w:sz w:val="16"/>
                <w:szCs w:val="16"/>
                <w:color w:val="auto"/>
              </w:rPr>
            </w:pP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Clawback Policy</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Share Ownership Guidelines</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Risk Assessment of Compensation Programs</w:t>
            </w:r>
          </w:p>
        </w:tc>
        <w:tc>
          <w:tcPr>
            <w:tcW w:w="50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Equity Grant Practices</w:t>
            </w:r>
          </w:p>
        </w:tc>
        <w:tc>
          <w:tcPr>
            <w:tcW w:w="50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Tax Deductibility of Executive Compensation</w:t>
            </w:r>
          </w:p>
        </w:tc>
        <w:tc>
          <w:tcPr>
            <w:tcW w:w="50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30"/>
        </w:trPr>
        <w:tc>
          <w:tcPr>
            <w:tcW w:w="3920" w:type="dxa"/>
            <w:vAlign w:val="bottom"/>
          </w:tcPr>
          <w:p>
            <w:pPr>
              <w:ind w:left="380"/>
              <w:spacing w:after="0"/>
              <w:rPr>
                <w:sz w:val="20"/>
                <w:szCs w:val="20"/>
                <w:color w:val="auto"/>
              </w:rPr>
            </w:pPr>
            <w:r>
              <w:rPr>
                <w:rFonts w:ascii="Arial" w:cs="Arial" w:eastAsia="Arial" w:hAnsi="Arial"/>
                <w:sz w:val="16"/>
                <w:szCs w:val="16"/>
                <w:color w:val="231F20"/>
              </w:rPr>
              <w:t>Health and Welfare Benefits</w:t>
            </w:r>
          </w:p>
        </w:tc>
        <w:tc>
          <w:tcPr>
            <w:tcW w:w="500" w:type="dxa"/>
            <w:vAlign w:val="bottom"/>
          </w:tcPr>
          <w:p>
            <w:pPr>
              <w:jc w:val="right"/>
              <w:spacing w:after="0"/>
              <w:rPr>
                <w:sz w:val="20"/>
                <w:szCs w:val="20"/>
                <w:color w:val="auto"/>
              </w:rPr>
            </w:pPr>
            <w:r>
              <w:rPr>
                <w:rFonts w:ascii="Arial" w:cs="Arial" w:eastAsia="Arial" w:hAnsi="Arial"/>
                <w:sz w:val="16"/>
                <w:szCs w:val="16"/>
                <w:color w:val="231F20"/>
              </w:rPr>
              <w:t>30</w:t>
            </w:r>
          </w:p>
        </w:tc>
      </w:tr>
      <w:tr>
        <w:trPr>
          <w:trHeight w:val="230"/>
        </w:trPr>
        <w:tc>
          <w:tcPr>
            <w:tcW w:w="3920" w:type="dxa"/>
            <w:vAlign w:val="bottom"/>
          </w:tcPr>
          <w:p>
            <w:pPr>
              <w:spacing w:after="0"/>
              <w:rPr>
                <w:sz w:val="20"/>
                <w:szCs w:val="20"/>
                <w:color w:val="auto"/>
              </w:rPr>
            </w:pPr>
            <w:r>
              <w:rPr>
                <w:rFonts w:ascii="Arial" w:cs="Arial" w:eastAsia="Arial" w:hAnsi="Arial"/>
                <w:sz w:val="16"/>
                <w:szCs w:val="16"/>
                <w:color w:val="231F20"/>
              </w:rPr>
              <w:t>Compensation Committee Report</w:t>
            </w:r>
          </w:p>
        </w:tc>
        <w:tc>
          <w:tcPr>
            <w:tcW w:w="500" w:type="dxa"/>
            <w:vAlign w:val="bottom"/>
          </w:tcPr>
          <w:p>
            <w:pPr>
              <w:jc w:val="right"/>
              <w:spacing w:after="0"/>
              <w:rPr>
                <w:sz w:val="20"/>
                <w:szCs w:val="20"/>
                <w:color w:val="auto"/>
              </w:rPr>
            </w:pPr>
            <w:r>
              <w:rPr>
                <w:rFonts w:ascii="Arial" w:cs="Arial" w:eastAsia="Arial" w:hAnsi="Arial"/>
                <w:sz w:val="16"/>
                <w:szCs w:val="16"/>
                <w:color w:val="231F20"/>
              </w:rPr>
              <w:t>30</w:t>
            </w: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B"/>
              </w:rPr>
              <w:t>C</w:t>
            </w:r>
            <w:r>
              <w:rPr>
                <w:rFonts w:ascii="Arial" w:cs="Arial" w:eastAsia="Arial" w:hAnsi="Arial"/>
                <w:sz w:val="18"/>
                <w:szCs w:val="18"/>
                <w:b w:val="1"/>
                <w:bCs w:val="1"/>
                <w:color w:val="EF3E2B"/>
              </w:rPr>
              <w:t>OMPENSATION</w:t>
            </w:r>
            <w:r>
              <w:rPr>
                <w:rFonts w:ascii="Arial" w:cs="Arial" w:eastAsia="Arial" w:hAnsi="Arial"/>
                <w:sz w:val="24"/>
                <w:szCs w:val="24"/>
                <w:b w:val="1"/>
                <w:bCs w:val="1"/>
                <w:color w:val="EF3E2B"/>
              </w:rPr>
              <w:t xml:space="preserve"> T</w:t>
            </w:r>
            <w:r>
              <w:rPr>
                <w:rFonts w:ascii="Arial" w:cs="Arial" w:eastAsia="Arial" w:hAnsi="Arial"/>
                <w:sz w:val="18"/>
                <w:szCs w:val="18"/>
                <w:b w:val="1"/>
                <w:bCs w:val="1"/>
                <w:color w:val="EF3E2B"/>
              </w:rPr>
              <w:t>ABLES AND</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4240" w:type="dxa"/>
            <w:vAlign w:val="bottom"/>
            <w:tcBorders>
              <w:bottom w:val="single" w:sz="8" w:color="231F20"/>
            </w:tcBorders>
          </w:tcPr>
          <w:p>
            <w:pPr>
              <w:ind w:left="80"/>
              <w:spacing w:after="0" w:line="265" w:lineRule="exact"/>
              <w:rPr>
                <w:sz w:val="20"/>
                <w:szCs w:val="20"/>
                <w:color w:val="auto"/>
              </w:rPr>
            </w:pPr>
            <w:r>
              <w:rPr>
                <w:rFonts w:ascii="Arial" w:cs="Arial" w:eastAsia="Arial" w:hAnsi="Arial"/>
                <w:sz w:val="24"/>
                <w:szCs w:val="24"/>
                <w:b w:val="1"/>
                <w:bCs w:val="1"/>
                <w:color w:val="EF3E2B"/>
              </w:rPr>
              <w:t>N</w:t>
            </w:r>
            <w:r>
              <w:rPr>
                <w:rFonts w:ascii="Arial" w:cs="Arial" w:eastAsia="Arial" w:hAnsi="Arial"/>
                <w:sz w:val="18"/>
                <w:szCs w:val="18"/>
                <w:b w:val="1"/>
                <w:bCs w:val="1"/>
                <w:color w:val="EF3E2B"/>
              </w:rPr>
              <w:t>ARRATIVES</w:t>
            </w:r>
          </w:p>
        </w:tc>
        <w:tc>
          <w:tcPr>
            <w:tcW w:w="540" w:type="dxa"/>
            <w:vAlign w:val="bottom"/>
            <w:tcBorders>
              <w:bottom w:val="single" w:sz="8" w:color="231F20"/>
            </w:tcBorders>
            <w:gridSpan w:val="2"/>
          </w:tcPr>
          <w:p>
            <w:pPr>
              <w:jc w:val="right"/>
              <w:spacing w:after="0" w:line="265" w:lineRule="exact"/>
              <w:rPr>
                <w:sz w:val="20"/>
                <w:szCs w:val="20"/>
                <w:color w:val="auto"/>
              </w:rPr>
            </w:pPr>
            <w:r>
              <w:rPr>
                <w:rFonts w:ascii="Arial" w:cs="Arial" w:eastAsia="Arial" w:hAnsi="Arial"/>
                <w:sz w:val="24"/>
                <w:szCs w:val="24"/>
                <w:b w:val="1"/>
                <w:bCs w:val="1"/>
                <w:color w:val="EF3E2B"/>
              </w:rPr>
              <w:t>31</w:t>
            </w:r>
          </w:p>
        </w:tc>
      </w:tr>
      <w:tr>
        <w:trPr>
          <w:trHeight w:val="222"/>
        </w:trPr>
        <w:tc>
          <w:tcPr>
            <w:tcW w:w="4240" w:type="dxa"/>
            <w:vAlign w:val="bottom"/>
          </w:tcPr>
          <w:p>
            <w:pPr>
              <w:ind w:left="360"/>
              <w:spacing w:after="0"/>
              <w:rPr>
                <w:sz w:val="20"/>
                <w:szCs w:val="20"/>
                <w:color w:val="auto"/>
              </w:rPr>
            </w:pPr>
            <w:r>
              <w:rPr>
                <w:rFonts w:ascii="Arial" w:cs="Arial" w:eastAsia="Arial" w:hAnsi="Arial"/>
                <w:sz w:val="16"/>
                <w:szCs w:val="16"/>
                <w:color w:val="231F20"/>
              </w:rPr>
              <w:t>Summary Compensation Table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31</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Grants of Plan Based Awards Table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32</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Outstanding Equity Awards at Fiscal Year End Table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33</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Options Exercised and Stock Vested in 2023</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34</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Non-Qualified Deferred Compensation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34</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Potential Payments on Termination of Employment</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34</w:t>
            </w:r>
          </w:p>
        </w:tc>
      </w:tr>
      <w:tr>
        <w:trPr>
          <w:trHeight w:val="190"/>
        </w:trPr>
        <w:tc>
          <w:tcPr>
            <w:tcW w:w="4240" w:type="dxa"/>
            <w:vAlign w:val="bottom"/>
          </w:tcPr>
          <w:p>
            <w:pPr>
              <w:ind w:left="460"/>
              <w:spacing w:after="0"/>
              <w:rPr>
                <w:sz w:val="20"/>
                <w:szCs w:val="20"/>
                <w:color w:val="auto"/>
              </w:rPr>
            </w:pPr>
            <w:r>
              <w:rPr>
                <w:rFonts w:ascii="Arial" w:cs="Arial" w:eastAsia="Arial" w:hAnsi="Arial"/>
                <w:sz w:val="16"/>
                <w:szCs w:val="16"/>
                <w:color w:val="231F20"/>
              </w:rPr>
              <w:t>and Change-in-Control</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CEO Pay Ratio</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36</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Pay Versus Performance Disclosure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37</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Equity Compensation Plan Information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39</w:t>
            </w:r>
          </w:p>
        </w:tc>
      </w:tr>
      <w:tr>
        <w:trPr>
          <w:trHeight w:val="435"/>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B"/>
              </w:rPr>
              <w:t>P</w:t>
            </w:r>
            <w:r>
              <w:rPr>
                <w:rFonts w:ascii="Arial" w:cs="Arial" w:eastAsia="Arial" w:hAnsi="Arial"/>
                <w:sz w:val="18"/>
                <w:szCs w:val="18"/>
                <w:b w:val="1"/>
                <w:bCs w:val="1"/>
                <w:color w:val="EF3E2B"/>
              </w:rPr>
              <w:t>ROPOSAL</w:t>
            </w:r>
            <w:r>
              <w:rPr>
                <w:rFonts w:ascii="Arial" w:cs="Arial" w:eastAsia="Arial" w:hAnsi="Arial"/>
                <w:sz w:val="24"/>
                <w:szCs w:val="24"/>
                <w:b w:val="1"/>
                <w:bCs w:val="1"/>
                <w:color w:val="EF3E2B"/>
              </w:rPr>
              <w:t xml:space="preserve"> 3: R</w:t>
            </w:r>
            <w:r>
              <w:rPr>
                <w:rFonts w:ascii="Arial" w:cs="Arial" w:eastAsia="Arial" w:hAnsi="Arial"/>
                <w:sz w:val="18"/>
                <w:szCs w:val="18"/>
                <w:b w:val="1"/>
                <w:bCs w:val="1"/>
                <w:color w:val="EF3E2B"/>
              </w:rPr>
              <w:t>ATIFICATION OF</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4240" w:type="dxa"/>
            <w:vAlign w:val="bottom"/>
          </w:tcPr>
          <w:p>
            <w:pPr>
              <w:ind w:left="80"/>
              <w:spacing w:after="0" w:line="266" w:lineRule="exact"/>
              <w:rPr>
                <w:sz w:val="20"/>
                <w:szCs w:val="20"/>
                <w:color w:val="auto"/>
              </w:rPr>
            </w:pPr>
            <w:r>
              <w:rPr>
                <w:rFonts w:ascii="Arial" w:cs="Arial" w:eastAsia="Arial" w:hAnsi="Arial"/>
                <w:sz w:val="24"/>
                <w:szCs w:val="24"/>
                <w:b w:val="1"/>
                <w:bCs w:val="1"/>
                <w:color w:val="EF3E2B"/>
              </w:rPr>
              <w:t>I</w:t>
            </w:r>
            <w:r>
              <w:rPr>
                <w:rFonts w:ascii="Arial" w:cs="Arial" w:eastAsia="Arial" w:hAnsi="Arial"/>
                <w:sz w:val="18"/>
                <w:szCs w:val="18"/>
                <w:b w:val="1"/>
                <w:bCs w:val="1"/>
                <w:color w:val="EF3E2B"/>
              </w:rPr>
              <w:t>NDEPENDENT</w:t>
            </w:r>
            <w:r>
              <w:rPr>
                <w:rFonts w:ascii="Arial" w:cs="Arial" w:eastAsia="Arial" w:hAnsi="Arial"/>
                <w:sz w:val="24"/>
                <w:szCs w:val="24"/>
                <w:b w:val="1"/>
                <w:bCs w:val="1"/>
                <w:color w:val="EF3E2B"/>
              </w:rPr>
              <w:t xml:space="preserve"> R</w:t>
            </w:r>
            <w:r>
              <w:rPr>
                <w:rFonts w:ascii="Arial" w:cs="Arial" w:eastAsia="Arial" w:hAnsi="Arial"/>
                <w:sz w:val="18"/>
                <w:szCs w:val="18"/>
                <w:b w:val="1"/>
                <w:bCs w:val="1"/>
                <w:color w:val="EF3E2B"/>
              </w:rPr>
              <w:t>EGISTERED</w:t>
            </w:r>
            <w:r>
              <w:rPr>
                <w:rFonts w:ascii="Arial" w:cs="Arial" w:eastAsia="Arial" w:hAnsi="Arial"/>
                <w:sz w:val="24"/>
                <w:szCs w:val="24"/>
                <w:b w:val="1"/>
                <w:bCs w:val="1"/>
                <w:color w:val="EF3E2B"/>
              </w:rPr>
              <w:t xml:space="preserve"> P</w:t>
            </w:r>
            <w:r>
              <w:rPr>
                <w:rFonts w:ascii="Arial" w:cs="Arial" w:eastAsia="Arial" w:hAnsi="Arial"/>
                <w:sz w:val="18"/>
                <w:szCs w:val="18"/>
                <w:b w:val="1"/>
                <w:bCs w:val="1"/>
                <w:color w:val="EF3E2B"/>
              </w:rPr>
              <w:t>UBLIC</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4240" w:type="dxa"/>
            <w:vAlign w:val="bottom"/>
            <w:tcBorders>
              <w:bottom w:val="single" w:sz="8" w:color="231F20"/>
            </w:tcBorders>
          </w:tcPr>
          <w:p>
            <w:pPr>
              <w:ind w:left="80"/>
              <w:spacing w:after="0" w:line="265" w:lineRule="exact"/>
              <w:rPr>
                <w:sz w:val="20"/>
                <w:szCs w:val="20"/>
                <w:color w:val="auto"/>
              </w:rPr>
            </w:pPr>
            <w:r>
              <w:rPr>
                <w:rFonts w:ascii="Arial" w:cs="Arial" w:eastAsia="Arial" w:hAnsi="Arial"/>
                <w:sz w:val="24"/>
                <w:szCs w:val="24"/>
                <w:b w:val="1"/>
                <w:bCs w:val="1"/>
                <w:color w:val="EF3E2B"/>
              </w:rPr>
              <w:t>A</w:t>
            </w:r>
            <w:r>
              <w:rPr>
                <w:rFonts w:ascii="Arial" w:cs="Arial" w:eastAsia="Arial" w:hAnsi="Arial"/>
                <w:sz w:val="18"/>
                <w:szCs w:val="18"/>
                <w:b w:val="1"/>
                <w:bCs w:val="1"/>
                <w:color w:val="EF3E2B"/>
              </w:rPr>
              <w:t>CCOUNTING</w:t>
            </w:r>
            <w:r>
              <w:rPr>
                <w:rFonts w:ascii="Arial" w:cs="Arial" w:eastAsia="Arial" w:hAnsi="Arial"/>
                <w:sz w:val="24"/>
                <w:szCs w:val="24"/>
                <w:b w:val="1"/>
                <w:bCs w:val="1"/>
                <w:color w:val="EF3E2B"/>
              </w:rPr>
              <w:t xml:space="preserve"> F</w:t>
            </w:r>
            <w:r>
              <w:rPr>
                <w:rFonts w:ascii="Arial" w:cs="Arial" w:eastAsia="Arial" w:hAnsi="Arial"/>
                <w:sz w:val="18"/>
                <w:szCs w:val="18"/>
                <w:b w:val="1"/>
                <w:bCs w:val="1"/>
                <w:color w:val="EF3E2B"/>
              </w:rPr>
              <w:t>IRM</w:t>
            </w:r>
          </w:p>
        </w:tc>
        <w:tc>
          <w:tcPr>
            <w:tcW w:w="540" w:type="dxa"/>
            <w:vAlign w:val="bottom"/>
            <w:tcBorders>
              <w:bottom w:val="single" w:sz="8" w:color="231F20"/>
            </w:tcBorders>
            <w:gridSpan w:val="2"/>
          </w:tcPr>
          <w:p>
            <w:pPr>
              <w:jc w:val="right"/>
              <w:spacing w:after="0" w:line="265" w:lineRule="exact"/>
              <w:rPr>
                <w:sz w:val="20"/>
                <w:szCs w:val="20"/>
                <w:color w:val="auto"/>
              </w:rPr>
            </w:pPr>
            <w:r>
              <w:rPr>
                <w:rFonts w:ascii="Arial" w:cs="Arial" w:eastAsia="Arial" w:hAnsi="Arial"/>
                <w:sz w:val="24"/>
                <w:szCs w:val="24"/>
                <w:b w:val="1"/>
                <w:bCs w:val="1"/>
                <w:color w:val="EF3E2B"/>
              </w:rPr>
              <w:t>40</w:t>
            </w:r>
          </w:p>
        </w:tc>
      </w:tr>
      <w:tr>
        <w:trPr>
          <w:trHeight w:val="262"/>
        </w:trPr>
        <w:tc>
          <w:tcPr>
            <w:tcW w:w="4240" w:type="dxa"/>
            <w:vAlign w:val="bottom"/>
          </w:tcPr>
          <w:p>
            <w:pPr>
              <w:ind w:left="360"/>
              <w:spacing w:after="0"/>
              <w:rPr>
                <w:sz w:val="20"/>
                <w:szCs w:val="20"/>
                <w:color w:val="auto"/>
              </w:rPr>
            </w:pPr>
            <w:r>
              <w:rPr>
                <w:rFonts w:ascii="Arial" w:cs="Arial" w:eastAsia="Arial" w:hAnsi="Arial"/>
                <w:sz w:val="16"/>
                <w:szCs w:val="16"/>
                <w:color w:val="231F20"/>
              </w:rPr>
              <w:t>Audit Committee Report</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41</w:t>
            </w:r>
          </w:p>
        </w:tc>
      </w:tr>
      <w:tr>
        <w:trPr>
          <w:trHeight w:val="454"/>
        </w:trPr>
        <w:tc>
          <w:tcPr>
            <w:tcW w:w="424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B"/>
              </w:rPr>
              <w:t>B</w:t>
            </w:r>
            <w:r>
              <w:rPr>
                <w:rFonts w:ascii="Arial" w:cs="Arial" w:eastAsia="Arial" w:hAnsi="Arial"/>
                <w:sz w:val="18"/>
                <w:szCs w:val="18"/>
                <w:b w:val="1"/>
                <w:bCs w:val="1"/>
                <w:color w:val="EF3E2B"/>
              </w:rPr>
              <w:t>ENEFICIAL</w:t>
            </w:r>
            <w:r>
              <w:rPr>
                <w:rFonts w:ascii="Arial" w:cs="Arial" w:eastAsia="Arial" w:hAnsi="Arial"/>
                <w:sz w:val="24"/>
                <w:szCs w:val="24"/>
                <w:b w:val="1"/>
                <w:bCs w:val="1"/>
                <w:color w:val="EF3E2B"/>
              </w:rPr>
              <w:t xml:space="preserve"> O</w:t>
            </w:r>
            <w:r>
              <w:rPr>
                <w:rFonts w:ascii="Arial" w:cs="Arial" w:eastAsia="Arial" w:hAnsi="Arial"/>
                <w:sz w:val="18"/>
                <w:szCs w:val="18"/>
                <w:b w:val="1"/>
                <w:bCs w:val="1"/>
                <w:color w:val="EF3E2B"/>
              </w:rPr>
              <w:t>WNERSHIP</w:t>
            </w:r>
          </w:p>
        </w:tc>
        <w:tc>
          <w:tcPr>
            <w:tcW w:w="540" w:type="dxa"/>
            <w:vAlign w:val="bottom"/>
            <w:tcBorders>
              <w:bottom w:val="single" w:sz="8" w:color="231F20"/>
            </w:tcBorders>
            <w:gridSpan w:val="2"/>
          </w:tcPr>
          <w:p>
            <w:pPr>
              <w:jc w:val="right"/>
              <w:spacing w:after="0"/>
              <w:rPr>
                <w:sz w:val="20"/>
                <w:szCs w:val="20"/>
                <w:color w:val="auto"/>
              </w:rPr>
            </w:pPr>
            <w:r>
              <w:rPr>
                <w:rFonts w:ascii="Arial" w:cs="Arial" w:eastAsia="Arial" w:hAnsi="Arial"/>
                <w:sz w:val="24"/>
                <w:szCs w:val="24"/>
                <w:b w:val="1"/>
                <w:bCs w:val="1"/>
                <w:color w:val="EF3E2B"/>
              </w:rPr>
              <w:t>42</w:t>
            </w:r>
          </w:p>
        </w:tc>
      </w:tr>
      <w:tr>
        <w:trPr>
          <w:trHeight w:val="222"/>
        </w:trPr>
        <w:tc>
          <w:tcPr>
            <w:tcW w:w="4240" w:type="dxa"/>
            <w:vAlign w:val="bottom"/>
          </w:tcPr>
          <w:p>
            <w:pPr>
              <w:ind w:left="360"/>
              <w:spacing w:after="0"/>
              <w:rPr>
                <w:sz w:val="20"/>
                <w:szCs w:val="20"/>
                <w:color w:val="auto"/>
              </w:rPr>
            </w:pPr>
            <w:r>
              <w:rPr>
                <w:rFonts w:ascii="Arial" w:cs="Arial" w:eastAsia="Arial" w:hAnsi="Arial"/>
                <w:sz w:val="16"/>
                <w:szCs w:val="16"/>
                <w:color w:val="231F20"/>
              </w:rPr>
              <w:t>Ownership of Principal Shareholders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42</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Ownership of Trustees and Executive Officers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43</w:t>
            </w:r>
          </w:p>
        </w:tc>
      </w:tr>
      <w:tr>
        <w:trPr>
          <w:trHeight w:val="435"/>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B"/>
              </w:rPr>
              <w:t>I</w:t>
            </w:r>
            <w:r>
              <w:rPr>
                <w:rFonts w:ascii="Arial" w:cs="Arial" w:eastAsia="Arial" w:hAnsi="Arial"/>
                <w:sz w:val="18"/>
                <w:szCs w:val="18"/>
                <w:b w:val="1"/>
                <w:bCs w:val="1"/>
                <w:color w:val="EF3E2B"/>
              </w:rPr>
              <w:t>NFORMATION ABOUT THE</w:t>
            </w:r>
            <w:r>
              <w:rPr>
                <w:rFonts w:ascii="Arial" w:cs="Arial" w:eastAsia="Arial" w:hAnsi="Arial"/>
                <w:sz w:val="24"/>
                <w:szCs w:val="24"/>
                <w:b w:val="1"/>
                <w:bCs w:val="1"/>
                <w:color w:val="EF3E2B"/>
              </w:rPr>
              <w:t xml:space="preserve"> A</w:t>
            </w:r>
            <w:r>
              <w:rPr>
                <w:rFonts w:ascii="Arial" w:cs="Arial" w:eastAsia="Arial" w:hAnsi="Arial"/>
                <w:sz w:val="18"/>
                <w:szCs w:val="18"/>
                <w:b w:val="1"/>
                <w:bCs w:val="1"/>
                <w:color w:val="EF3E2B"/>
              </w:rPr>
              <w:t>NNUAL</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240" w:type="dxa"/>
            <w:vAlign w:val="bottom"/>
            <w:tcBorders>
              <w:bottom w:val="single" w:sz="8" w:color="231F20"/>
            </w:tcBorders>
          </w:tcPr>
          <w:p>
            <w:pPr>
              <w:ind w:left="80"/>
              <w:spacing w:after="0" w:line="265" w:lineRule="exact"/>
              <w:rPr>
                <w:sz w:val="20"/>
                <w:szCs w:val="20"/>
                <w:color w:val="auto"/>
              </w:rPr>
            </w:pPr>
            <w:r>
              <w:rPr>
                <w:rFonts w:ascii="Arial" w:cs="Arial" w:eastAsia="Arial" w:hAnsi="Arial"/>
                <w:sz w:val="24"/>
                <w:szCs w:val="24"/>
                <w:b w:val="1"/>
                <w:bCs w:val="1"/>
                <w:color w:val="EF3E2B"/>
              </w:rPr>
              <w:t>M</w:t>
            </w:r>
            <w:r>
              <w:rPr>
                <w:rFonts w:ascii="Arial" w:cs="Arial" w:eastAsia="Arial" w:hAnsi="Arial"/>
                <w:sz w:val="18"/>
                <w:szCs w:val="18"/>
                <w:b w:val="1"/>
                <w:bCs w:val="1"/>
                <w:color w:val="EF3E2B"/>
              </w:rPr>
              <w:t>EETING</w:t>
            </w:r>
          </w:p>
        </w:tc>
        <w:tc>
          <w:tcPr>
            <w:tcW w:w="540" w:type="dxa"/>
            <w:vAlign w:val="bottom"/>
            <w:tcBorders>
              <w:bottom w:val="single" w:sz="8" w:color="231F20"/>
            </w:tcBorders>
            <w:gridSpan w:val="2"/>
          </w:tcPr>
          <w:p>
            <w:pPr>
              <w:jc w:val="right"/>
              <w:spacing w:after="0" w:line="265" w:lineRule="exact"/>
              <w:rPr>
                <w:sz w:val="20"/>
                <w:szCs w:val="20"/>
                <w:color w:val="auto"/>
              </w:rPr>
            </w:pPr>
            <w:r>
              <w:rPr>
                <w:rFonts w:ascii="Arial" w:cs="Arial" w:eastAsia="Arial" w:hAnsi="Arial"/>
                <w:sz w:val="24"/>
                <w:szCs w:val="24"/>
                <w:b w:val="1"/>
                <w:bCs w:val="1"/>
                <w:color w:val="EF3E2B"/>
              </w:rPr>
              <w:t>43</w:t>
            </w:r>
          </w:p>
        </w:tc>
      </w:tr>
      <w:tr>
        <w:trPr>
          <w:trHeight w:val="222"/>
        </w:trPr>
        <w:tc>
          <w:tcPr>
            <w:tcW w:w="4240" w:type="dxa"/>
            <w:vAlign w:val="bottom"/>
          </w:tcPr>
          <w:p>
            <w:pPr>
              <w:ind w:left="360"/>
              <w:spacing w:after="0"/>
              <w:rPr>
                <w:sz w:val="20"/>
                <w:szCs w:val="20"/>
                <w:color w:val="auto"/>
              </w:rPr>
            </w:pPr>
            <w:r>
              <w:rPr>
                <w:rFonts w:ascii="Arial" w:cs="Arial" w:eastAsia="Arial" w:hAnsi="Arial"/>
                <w:sz w:val="16"/>
                <w:szCs w:val="16"/>
                <w:color w:val="231F20"/>
              </w:rPr>
              <w:t>Notice of Electronic Availability of Proxy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43</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Why You are Receiving These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44</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Accessing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44</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How to Vote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44</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How to Participate in the Annual Meeting</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45</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Eliminating Duplicative Proxy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46</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Solicitation of Proxies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46</w:t>
            </w:r>
          </w:p>
        </w:tc>
      </w:tr>
      <w:tr>
        <w:trPr>
          <w:trHeight w:val="230"/>
        </w:trPr>
        <w:tc>
          <w:tcPr>
            <w:tcW w:w="4240" w:type="dxa"/>
            <w:vAlign w:val="bottom"/>
          </w:tcPr>
          <w:p>
            <w:pPr>
              <w:ind w:left="360"/>
              <w:spacing w:after="0"/>
              <w:rPr>
                <w:sz w:val="20"/>
                <w:szCs w:val="20"/>
                <w:color w:val="auto"/>
              </w:rPr>
            </w:pPr>
            <w:r>
              <w:rPr>
                <w:rFonts w:ascii="Arial" w:cs="Arial" w:eastAsia="Arial" w:hAnsi="Arial"/>
                <w:sz w:val="16"/>
                <w:szCs w:val="16"/>
                <w:color w:val="231F20"/>
              </w:rPr>
              <w:t>Shareholder Proposals for the 2025 Annual Meeting</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46</w:t>
            </w:r>
          </w:p>
        </w:tc>
      </w:tr>
      <w:tr>
        <w:trPr>
          <w:trHeight w:val="434"/>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B"/>
              </w:rPr>
              <w:t>A</w:t>
            </w:r>
            <w:r>
              <w:rPr>
                <w:rFonts w:ascii="Arial" w:cs="Arial" w:eastAsia="Arial" w:hAnsi="Arial"/>
                <w:sz w:val="18"/>
                <w:szCs w:val="18"/>
                <w:b w:val="1"/>
                <w:bCs w:val="1"/>
                <w:color w:val="EF3E2B"/>
              </w:rPr>
              <w:t>PPENDIX</w:t>
            </w:r>
            <w:r>
              <w:rPr>
                <w:rFonts w:ascii="Arial" w:cs="Arial" w:eastAsia="Arial" w:hAnsi="Arial"/>
                <w:sz w:val="24"/>
                <w:szCs w:val="24"/>
                <w:b w:val="1"/>
                <w:bCs w:val="1"/>
                <w:color w:val="EF3E2B"/>
              </w:rPr>
              <w:t xml:space="preserve"> A</w:t>
            </w:r>
          </w:p>
        </w:tc>
        <w:tc>
          <w:tcPr>
            <w:tcW w:w="540" w:type="dxa"/>
            <w:vAlign w:val="bottom"/>
            <w:gridSpan w:val="2"/>
          </w:tcPr>
          <w:p>
            <w:pPr>
              <w:jc w:val="right"/>
              <w:spacing w:after="0"/>
              <w:rPr>
                <w:sz w:val="20"/>
                <w:szCs w:val="20"/>
                <w:color w:val="auto"/>
              </w:rPr>
            </w:pPr>
            <w:r>
              <w:rPr>
                <w:rFonts w:ascii="Arial" w:cs="Arial" w:eastAsia="Arial" w:hAnsi="Arial"/>
                <w:sz w:val="24"/>
                <w:szCs w:val="24"/>
                <w:b w:val="1"/>
                <w:bCs w:val="1"/>
                <w:color w:val="EF3E2B"/>
              </w:rPr>
              <w:t>A-1</w:t>
            </w:r>
          </w:p>
        </w:tc>
      </w:tr>
      <w:tr>
        <w:trPr>
          <w:trHeight w:val="40"/>
        </w:trPr>
        <w:tc>
          <w:tcPr>
            <w:tcW w:w="4240" w:type="dxa"/>
            <w:vAlign w:val="bottom"/>
            <w:shd w:val="clear" w:color="auto" w:fill="231F20"/>
          </w:tcPr>
          <w:p>
            <w:pPr>
              <w:spacing w:after="0"/>
              <w:rPr>
                <w:sz w:val="3"/>
                <w:szCs w:val="3"/>
                <w:color w:val="auto"/>
              </w:rPr>
            </w:pPr>
          </w:p>
        </w:tc>
        <w:tc>
          <w:tcPr>
            <w:tcW w:w="520" w:type="dxa"/>
            <w:vAlign w:val="bottom"/>
            <w:shd w:val="clear" w:color="auto" w:fill="231F20"/>
          </w:tcPr>
          <w:p>
            <w:pPr>
              <w:spacing w:after="0"/>
              <w:rPr>
                <w:sz w:val="3"/>
                <w:szCs w:val="3"/>
                <w:color w:val="auto"/>
              </w:rPr>
            </w:pPr>
          </w:p>
        </w:tc>
        <w:tc>
          <w:tcPr>
            <w:tcW w:w="20" w:type="dxa"/>
            <w:vAlign w:val="bottom"/>
          </w:tcPr>
          <w:p>
            <w:pPr>
              <w:spacing w:after="0"/>
              <w:rPr>
                <w:sz w:val="3"/>
                <w:szCs w:val="3"/>
                <w:color w:val="auto"/>
              </w:rPr>
            </w:pPr>
          </w:p>
        </w:tc>
      </w:tr>
      <w:tr>
        <w:trPr>
          <w:trHeight w:val="233"/>
        </w:trPr>
        <w:tc>
          <w:tcPr>
            <w:tcW w:w="4240" w:type="dxa"/>
            <w:vAlign w:val="bottom"/>
          </w:tcPr>
          <w:p>
            <w:pPr>
              <w:ind w:left="360"/>
              <w:spacing w:after="0"/>
              <w:rPr>
                <w:sz w:val="20"/>
                <w:szCs w:val="20"/>
                <w:color w:val="auto"/>
              </w:rPr>
            </w:pPr>
            <w:r>
              <w:rPr>
                <w:rFonts w:ascii="Arial" w:cs="Arial" w:eastAsia="Arial" w:hAnsi="Arial"/>
                <w:sz w:val="16"/>
                <w:szCs w:val="16"/>
                <w:color w:val="231F20"/>
              </w:rPr>
              <w:t>Appendix A – Reconciliation of Non-GAAP Financial</w:t>
            </w:r>
          </w:p>
        </w:tc>
        <w:tc>
          <w:tcPr>
            <w:tcW w:w="540" w:type="dxa"/>
            <w:vAlign w:val="bottom"/>
            <w:gridSpan w:val="2"/>
          </w:tcPr>
          <w:p>
            <w:pPr>
              <w:jc w:val="right"/>
              <w:spacing w:after="0"/>
              <w:rPr>
                <w:sz w:val="20"/>
                <w:szCs w:val="20"/>
                <w:color w:val="auto"/>
              </w:rPr>
            </w:pPr>
            <w:r>
              <w:rPr>
                <w:rFonts w:ascii="Arial" w:cs="Arial" w:eastAsia="Arial" w:hAnsi="Arial"/>
                <w:sz w:val="20"/>
                <w:szCs w:val="20"/>
                <w:color w:val="231F20"/>
              </w:rPr>
              <w:t>A-1</w:t>
            </w:r>
          </w:p>
        </w:tc>
      </w:tr>
      <w:tr>
        <w:trPr>
          <w:trHeight w:val="179"/>
        </w:trPr>
        <w:tc>
          <w:tcPr>
            <w:tcW w:w="4240" w:type="dxa"/>
            <w:vAlign w:val="bottom"/>
          </w:tcPr>
          <w:p>
            <w:pPr>
              <w:ind w:left="360"/>
              <w:spacing w:after="0" w:line="178" w:lineRule="exact"/>
              <w:rPr>
                <w:sz w:val="20"/>
                <w:szCs w:val="20"/>
                <w:color w:val="auto"/>
              </w:rPr>
            </w:pPr>
            <w:r>
              <w:rPr>
                <w:rFonts w:ascii="Arial" w:cs="Arial" w:eastAsia="Arial" w:hAnsi="Arial"/>
                <w:sz w:val="16"/>
                <w:szCs w:val="16"/>
                <w:color w:val="231F20"/>
              </w:rPr>
              <w:t>Measures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ectPr>
          <w:pgSz w:w="12240" w:h="15840" w:orient="portrait"/>
          <w:cols w:equalWidth="0" w:num="2">
            <w:col w:w="4800" w:space="500"/>
            <w:col w:w="4780"/>
          </w:cols>
          <w:pgMar w:left="1080" w:top="1440" w:right="1080" w:bottom="1440" w:gutter="0" w:footer="0" w:header="0"/>
        </w:sectPr>
      </w:pPr>
    </w:p>
    <w:bookmarkStart w:id="120" w:name="page121"/>
    <w:bookmarkEnd w:id="120"/>
    <w:p>
      <w:pPr>
        <w:spacing w:after="0" w:line="8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933450</wp:posOffset>
                </wp:positionV>
                <wp:extent cx="64008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3.5pt" to="558pt,73.5pt" o:allowincell="f" strokecolor="#EF3E2A" strokeweight="3pt">
                <w10:wrap anchorx="page" anchory="page"/>
              </v:line>
            </w:pict>
          </mc:Fallback>
        </mc:AlternateContent>
      </w:r>
    </w:p>
    <w:p>
      <w:pPr>
        <w:ind w:left="140"/>
        <w:spacing w:after="0"/>
        <w:rPr>
          <w:sz w:val="20"/>
          <w:szCs w:val="20"/>
          <w:color w:val="auto"/>
        </w:rPr>
      </w:pPr>
      <w:r>
        <w:rPr>
          <w:rFonts w:ascii="Arial" w:cs="Arial" w:eastAsia="Arial" w:hAnsi="Arial"/>
          <w:sz w:val="36"/>
          <w:szCs w:val="36"/>
          <w:b w:val="1"/>
          <w:bCs w:val="1"/>
          <w:color w:val="231F20"/>
        </w:rPr>
        <w:t>Company Information</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Following is basic information about the Company and summary highlights of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and its subsidiaries.</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Federal Realty Investment Trust is an S&amp;P 500 company headquartered in North Bethesda, Maryland that owns, operates and redevelops high-quality retail based real estate located primarily in major coastal markets.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jc w:val="center"/>
              <w:ind w:left="20"/>
              <w:spacing w:after="0"/>
              <w:rPr>
                <w:sz w:val="20"/>
                <w:szCs w:val="20"/>
                <w:color w:val="auto"/>
              </w:rPr>
            </w:pPr>
            <w:r>
              <w:rPr>
                <w:rFonts w:ascii="Arial" w:cs="Arial" w:eastAsia="Arial" w:hAnsi="Arial"/>
                <w:sz w:val="20"/>
                <w:szCs w:val="20"/>
                <w:color w:val="EF3E2A"/>
              </w:rPr>
              <w:t>Company Information</w:t>
            </w:r>
          </w:p>
        </w:tc>
        <w:tc>
          <w:tcPr>
            <w:tcW w:w="3600" w:type="dxa"/>
            <w:vAlign w:val="bottom"/>
          </w:tcPr>
          <w:p>
            <w:pPr>
              <w:jc w:val="center"/>
              <w:ind w:left="140"/>
              <w:spacing w:after="0"/>
              <w:rPr>
                <w:sz w:val="20"/>
                <w:szCs w:val="20"/>
                <w:color w:val="auto"/>
              </w:rPr>
            </w:pPr>
            <w:r>
              <w:rPr>
                <w:rFonts w:ascii="Arial" w:cs="Arial" w:eastAsia="Arial" w:hAnsi="Arial"/>
                <w:sz w:val="20"/>
                <w:szCs w:val="20"/>
                <w:color w:val="EF3E2A"/>
                <w:w w:val="98"/>
              </w:rPr>
              <w:t>Our Properties*</w:t>
            </w:r>
          </w:p>
        </w:tc>
        <w:tc>
          <w:tcPr>
            <w:tcW w:w="3240" w:type="dxa"/>
            <w:vAlign w:val="bottom"/>
          </w:tcPr>
          <w:p>
            <w:pPr>
              <w:jc w:val="center"/>
              <w:ind w:left="20"/>
              <w:spacing w:after="0"/>
              <w:rPr>
                <w:sz w:val="20"/>
                <w:szCs w:val="20"/>
                <w:color w:val="auto"/>
              </w:rPr>
            </w:pPr>
            <w:r>
              <w:rPr>
                <w:rFonts w:ascii="Arial" w:cs="Arial" w:eastAsia="Arial" w:hAnsi="Arial"/>
                <w:sz w:val="20"/>
                <w:szCs w:val="20"/>
                <w:color w:val="EF3E2A"/>
                <w:w w:val="98"/>
              </w:rPr>
              <w:t>Our Employees*</w:t>
            </w:r>
          </w:p>
        </w:tc>
      </w:tr>
      <w:tr>
        <w:trPr>
          <w:trHeight w:val="30"/>
        </w:trPr>
        <w:tc>
          <w:tcPr>
            <w:tcW w:w="3240" w:type="dxa"/>
            <w:vAlign w:val="bottom"/>
            <w:tcBorders>
              <w:bottom w:val="single" w:sz="8" w:color="231F20"/>
            </w:tcBorders>
          </w:tcPr>
          <w:p>
            <w:pPr>
              <w:spacing w:after="0"/>
              <w:rPr>
                <w:sz w:val="2"/>
                <w:szCs w:val="2"/>
                <w:color w:val="auto"/>
              </w:rPr>
            </w:pPr>
          </w:p>
        </w:tc>
        <w:tc>
          <w:tcPr>
            <w:tcW w:w="3600" w:type="dxa"/>
            <w:vAlign w:val="bottom"/>
            <w:tcBorders>
              <w:bottom w:val="single" w:sz="8" w:color="231F20"/>
            </w:tcBorders>
          </w:tcPr>
          <w:p>
            <w:pPr>
              <w:spacing w:after="0"/>
              <w:rPr>
                <w:sz w:val="2"/>
                <w:szCs w:val="2"/>
                <w:color w:val="auto"/>
              </w:rPr>
            </w:pPr>
          </w:p>
        </w:tc>
        <w:tc>
          <w:tcPr>
            <w:tcW w:w="3240" w:type="dxa"/>
            <w:vAlign w:val="bottom"/>
            <w:tcBorders>
              <w:bottom w:val="single" w:sz="8" w:color="231F20"/>
            </w:tcBorders>
          </w:tcPr>
          <w:p>
            <w:pPr>
              <w:spacing w:after="0"/>
              <w:rPr>
                <w:sz w:val="2"/>
                <w:szCs w:val="2"/>
                <w:color w:val="auto"/>
              </w:rPr>
            </w:pPr>
          </w:p>
        </w:tc>
      </w:tr>
      <w:tr>
        <w:trPr>
          <w:trHeight w:val="403"/>
        </w:trPr>
        <w:tc>
          <w:tcPr>
            <w:tcW w:w="3240" w:type="dxa"/>
            <w:vAlign w:val="bottom"/>
          </w:tcPr>
          <w:p>
            <w:pPr>
              <w:jc w:val="center"/>
              <w:ind w:left="20"/>
              <w:spacing w:after="0"/>
              <w:rPr>
                <w:sz w:val="20"/>
                <w:szCs w:val="20"/>
                <w:color w:val="auto"/>
              </w:rPr>
            </w:pPr>
            <w:r>
              <w:rPr>
                <w:rFonts w:ascii="Arial" w:cs="Arial" w:eastAsia="Arial" w:hAnsi="Arial"/>
                <w:sz w:val="20"/>
                <w:szCs w:val="20"/>
                <w:color w:val="231F20"/>
              </w:rPr>
              <w:t>Established in 1962</w:t>
            </w:r>
          </w:p>
        </w:tc>
        <w:tc>
          <w:tcPr>
            <w:tcW w:w="3600" w:type="dxa"/>
            <w:vAlign w:val="bottom"/>
          </w:tcPr>
          <w:p>
            <w:pPr>
              <w:jc w:val="center"/>
              <w:ind w:left="160"/>
              <w:spacing w:after="0"/>
              <w:rPr>
                <w:sz w:val="20"/>
                <w:szCs w:val="20"/>
                <w:color w:val="auto"/>
              </w:rPr>
            </w:pPr>
            <w:r>
              <w:rPr>
                <w:rFonts w:ascii="Arial" w:cs="Arial" w:eastAsia="Arial" w:hAnsi="Arial"/>
                <w:sz w:val="20"/>
                <w:szCs w:val="20"/>
                <w:color w:val="231F20"/>
                <w:w w:val="99"/>
              </w:rPr>
              <w:t>102 Properties</w:t>
            </w:r>
          </w:p>
        </w:tc>
        <w:tc>
          <w:tcPr>
            <w:tcW w:w="3240" w:type="dxa"/>
            <w:vAlign w:val="bottom"/>
          </w:tcPr>
          <w:p>
            <w:pPr>
              <w:jc w:val="center"/>
              <w:ind w:left="20"/>
              <w:spacing w:after="0"/>
              <w:rPr>
                <w:sz w:val="20"/>
                <w:szCs w:val="20"/>
                <w:color w:val="auto"/>
              </w:rPr>
            </w:pPr>
            <w:r>
              <w:rPr>
                <w:rFonts w:ascii="Arial" w:cs="Arial" w:eastAsia="Arial" w:hAnsi="Arial"/>
                <w:sz w:val="20"/>
                <w:szCs w:val="20"/>
                <w:color w:val="231F20"/>
              </w:rPr>
              <w:t>304 full-time employees</w:t>
            </w:r>
          </w:p>
        </w:tc>
      </w:tr>
      <w:tr>
        <w:trPr>
          <w:trHeight w:val="240"/>
        </w:trPr>
        <w:tc>
          <w:tcPr>
            <w:tcW w:w="3240" w:type="dxa"/>
            <w:vAlign w:val="bottom"/>
          </w:tcPr>
          <w:p>
            <w:pPr>
              <w:jc w:val="center"/>
              <w:ind w:left="20"/>
              <w:spacing w:after="0"/>
              <w:rPr>
                <w:sz w:val="20"/>
                <w:szCs w:val="20"/>
                <w:color w:val="auto"/>
              </w:rPr>
            </w:pPr>
            <w:r>
              <w:rPr>
                <w:rFonts w:ascii="Arial" w:cs="Arial" w:eastAsia="Arial" w:hAnsi="Arial"/>
                <w:sz w:val="20"/>
                <w:szCs w:val="20"/>
                <w:color w:val="231F20"/>
                <w:w w:val="99"/>
              </w:rPr>
              <w:t>Member of the S&amp;P 500</w:t>
            </w:r>
          </w:p>
        </w:tc>
        <w:tc>
          <w:tcPr>
            <w:tcW w:w="3600" w:type="dxa"/>
            <w:vAlign w:val="bottom"/>
          </w:tcPr>
          <w:p>
            <w:pPr>
              <w:jc w:val="center"/>
              <w:ind w:left="140"/>
              <w:spacing w:after="0" w:line="240" w:lineRule="exact"/>
              <w:rPr>
                <w:sz w:val="20"/>
                <w:szCs w:val="20"/>
                <w:color w:val="auto"/>
              </w:rPr>
            </w:pPr>
            <w:r>
              <w:rPr>
                <w:rFonts w:ascii="Symbol" w:cs="Symbol" w:eastAsia="Symbol" w:hAnsi="Symbol"/>
                <w:sz w:val="20"/>
                <w:szCs w:val="20"/>
                <w:color w:val="231F20"/>
                <w:w w:val="98"/>
              </w:rPr>
              <w:t>≈</w:t>
            </w:r>
            <w:r>
              <w:rPr>
                <w:rFonts w:ascii="Arial" w:cs="Arial" w:eastAsia="Arial" w:hAnsi="Arial"/>
                <w:sz w:val="20"/>
                <w:szCs w:val="20"/>
                <w:color w:val="231F20"/>
                <w:w w:val="98"/>
              </w:rPr>
              <w:t>26.0M SF of commercial space</w:t>
            </w:r>
          </w:p>
        </w:tc>
        <w:tc>
          <w:tcPr>
            <w:tcW w:w="3240" w:type="dxa"/>
            <w:vAlign w:val="bottom"/>
          </w:tcPr>
          <w:p>
            <w:pPr>
              <w:jc w:val="center"/>
              <w:ind w:left="20"/>
              <w:spacing w:after="0"/>
              <w:rPr>
                <w:sz w:val="20"/>
                <w:szCs w:val="20"/>
                <w:color w:val="auto"/>
              </w:rPr>
            </w:pPr>
            <w:r>
              <w:rPr>
                <w:rFonts w:ascii="Arial" w:cs="Arial" w:eastAsia="Arial" w:hAnsi="Arial"/>
                <w:sz w:val="20"/>
                <w:szCs w:val="20"/>
                <w:color w:val="231F20"/>
              </w:rPr>
              <w:t>6 primary offices</w:t>
            </w:r>
          </w:p>
        </w:tc>
      </w:tr>
      <w:tr>
        <w:trPr>
          <w:trHeight w:val="285"/>
        </w:trPr>
        <w:tc>
          <w:tcPr>
            <w:tcW w:w="3240" w:type="dxa"/>
            <w:vAlign w:val="bottom"/>
          </w:tcPr>
          <w:p>
            <w:pPr>
              <w:spacing w:after="0"/>
              <w:rPr>
                <w:sz w:val="24"/>
                <w:szCs w:val="24"/>
                <w:color w:val="auto"/>
              </w:rPr>
            </w:pPr>
          </w:p>
        </w:tc>
        <w:tc>
          <w:tcPr>
            <w:tcW w:w="3600" w:type="dxa"/>
            <w:vAlign w:val="bottom"/>
          </w:tcPr>
          <w:p>
            <w:pPr>
              <w:jc w:val="center"/>
              <w:ind w:left="140"/>
              <w:spacing w:after="0"/>
              <w:rPr>
                <w:sz w:val="20"/>
                <w:szCs w:val="20"/>
                <w:color w:val="auto"/>
              </w:rPr>
            </w:pPr>
            <w:r>
              <w:rPr>
                <w:rFonts w:ascii="Symbol" w:cs="Symbol" w:eastAsia="Symbol" w:hAnsi="Symbol"/>
                <w:sz w:val="20"/>
                <w:szCs w:val="20"/>
                <w:color w:val="231F20"/>
                <w:w w:val="97"/>
              </w:rPr>
              <w:t>≈</w:t>
            </w:r>
            <w:r>
              <w:rPr>
                <w:rFonts w:ascii="Arial" w:cs="Arial" w:eastAsia="Arial" w:hAnsi="Arial"/>
                <w:sz w:val="20"/>
                <w:szCs w:val="20"/>
                <w:color w:val="231F20"/>
                <w:w w:val="97"/>
              </w:rPr>
              <w:t>3,100 residential units</w:t>
            </w:r>
          </w:p>
        </w:tc>
        <w:tc>
          <w:tcPr>
            <w:tcW w:w="3240" w:type="dxa"/>
            <w:vAlign w:val="bottom"/>
          </w:tcPr>
          <w:p>
            <w:pPr>
              <w:jc w:val="center"/>
              <w:ind w:left="20"/>
              <w:spacing w:after="0"/>
              <w:rPr>
                <w:sz w:val="20"/>
                <w:szCs w:val="20"/>
                <w:color w:val="auto"/>
              </w:rPr>
            </w:pPr>
            <w:r>
              <w:rPr>
                <w:rFonts w:ascii="Arial" w:cs="Arial" w:eastAsia="Arial" w:hAnsi="Arial"/>
                <w:sz w:val="20"/>
                <w:szCs w:val="20"/>
                <w:color w:val="231F20"/>
              </w:rPr>
              <w:t>Average tenure exceeds 9 years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108585</wp:posOffset>
                </wp:positionV>
                <wp:extent cx="64008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5pt" to="504pt,8.55pt" o:allowincell="f" strokecolor="#EF3E2A" strokeweight="3pt"/>
            </w:pict>
          </mc:Fallback>
        </mc:AlternateConten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231F20"/>
        </w:rPr>
        <w:t>* Information as of December 31, 2023.</w:t>
      </w:r>
    </w:p>
    <w:p>
      <w:pPr>
        <w:spacing w:after="0" w:line="22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HIGHLIGHTS OF 2023 COMPANY PERFORMANCE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Key business and financial achievements for 2023, in addition to net income per diluted share of $2.80 included: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00" w:type="dxa"/>
            <w:vAlign w:val="bottom"/>
          </w:tcPr>
          <w:p>
            <w:pPr>
              <w:spacing w:after="0"/>
              <w:rPr>
                <w:sz w:val="24"/>
                <w:szCs w:val="24"/>
                <w:color w:val="auto"/>
              </w:rPr>
            </w:pPr>
          </w:p>
        </w:tc>
        <w:tc>
          <w:tcPr>
            <w:tcW w:w="1700" w:type="dxa"/>
            <w:vAlign w:val="bottom"/>
            <w:vMerge w:val="restart"/>
            <w:shd w:val="clear" w:color="auto" w:fill="B2B4B6"/>
          </w:tcPr>
          <w:p>
            <w:pPr>
              <w:jc w:val="center"/>
              <w:spacing w:after="0"/>
              <w:rPr>
                <w:sz w:val="20"/>
                <w:szCs w:val="20"/>
                <w:color w:val="auto"/>
              </w:rPr>
            </w:pPr>
            <w:r>
              <w:rPr>
                <w:rFonts w:ascii="Arial" w:cs="Arial" w:eastAsia="Arial" w:hAnsi="Arial"/>
                <w:sz w:val="20"/>
                <w:szCs w:val="20"/>
                <w:b w:val="1"/>
                <w:bCs w:val="1"/>
                <w:color w:val="FFFFFF"/>
                <w:w w:val="99"/>
              </w:rPr>
              <w:t>FFO Per Share</w:t>
            </w:r>
          </w:p>
        </w:tc>
        <w:tc>
          <w:tcPr>
            <w:tcW w:w="7180" w:type="dxa"/>
            <w:vAlign w:val="bottom"/>
            <w:gridSpan w:val="2"/>
            <w:shd w:val="clear" w:color="auto" w:fill="F1F1F2"/>
          </w:tcPr>
          <w:p>
            <w:pPr>
              <w:ind w:left="120"/>
              <w:spacing w:after="0"/>
              <w:rPr>
                <w:sz w:val="20"/>
                <w:szCs w:val="20"/>
                <w:color w:val="auto"/>
              </w:rPr>
            </w:pPr>
            <w:r>
              <w:rPr>
                <w:rFonts w:ascii="Arial" w:cs="Arial" w:eastAsia="Arial" w:hAnsi="Arial"/>
                <w:sz w:val="20"/>
                <w:szCs w:val="20"/>
                <w:color w:val="231F20"/>
              </w:rPr>
              <w:t xml:space="preserve">FFO per diluted share* of </w:t>
            </w:r>
            <w:r>
              <w:rPr>
                <w:rFonts w:ascii="Arial" w:cs="Arial" w:eastAsia="Arial" w:hAnsi="Arial"/>
                <w:sz w:val="20"/>
                <w:szCs w:val="20"/>
                <w:color w:val="EF3E2A"/>
              </w:rPr>
              <w:t>$6.55</w:t>
            </w:r>
            <w:r>
              <w:rPr>
                <w:rFonts w:ascii="Arial" w:cs="Arial" w:eastAsia="Arial" w:hAnsi="Arial"/>
                <w:sz w:val="20"/>
                <w:szCs w:val="20"/>
                <w:color w:val="231F20"/>
              </w:rPr>
              <w:t xml:space="preserve"> representing growth of </w:t>
            </w:r>
            <w:r>
              <w:rPr>
                <w:rFonts w:ascii="Arial" w:cs="Arial" w:eastAsia="Arial" w:hAnsi="Arial"/>
                <w:sz w:val="20"/>
                <w:szCs w:val="20"/>
                <w:color w:val="EF3E2A"/>
              </w:rPr>
              <w:t>3.6%</w:t>
            </w:r>
            <w:r>
              <w:rPr>
                <w:rFonts w:ascii="Arial" w:cs="Arial" w:eastAsia="Arial" w:hAnsi="Arial"/>
                <w:sz w:val="20"/>
                <w:szCs w:val="20"/>
                <w:color w:val="231F20"/>
              </w:rPr>
              <w:t xml:space="preserve"> over 2022 driven</w:t>
            </w:r>
          </w:p>
        </w:tc>
        <w:tc>
          <w:tcPr>
            <w:tcW w:w="0" w:type="dxa"/>
            <w:vAlign w:val="bottom"/>
          </w:tcPr>
          <w:p>
            <w:pPr>
              <w:spacing w:after="0"/>
              <w:rPr>
                <w:sz w:val="1"/>
                <w:szCs w:val="1"/>
                <w:color w:val="auto"/>
              </w:rPr>
            </w:pPr>
          </w:p>
        </w:tc>
      </w:tr>
      <w:tr>
        <w:trPr>
          <w:trHeight w:val="100"/>
        </w:trPr>
        <w:tc>
          <w:tcPr>
            <w:tcW w:w="1200" w:type="dxa"/>
            <w:vAlign w:val="bottom"/>
          </w:tcPr>
          <w:p>
            <w:pPr>
              <w:spacing w:after="0"/>
              <w:rPr>
                <w:sz w:val="8"/>
                <w:szCs w:val="8"/>
                <w:color w:val="auto"/>
              </w:rPr>
            </w:pPr>
          </w:p>
        </w:tc>
        <w:tc>
          <w:tcPr>
            <w:tcW w:w="1700" w:type="dxa"/>
            <w:vAlign w:val="bottom"/>
            <w:vMerge w:val="continue"/>
            <w:shd w:val="clear" w:color="auto" w:fill="B2B4B6"/>
          </w:tcPr>
          <w:p>
            <w:pPr>
              <w:spacing w:after="0"/>
              <w:rPr>
                <w:sz w:val="8"/>
                <w:szCs w:val="8"/>
                <w:color w:val="auto"/>
              </w:rPr>
            </w:pPr>
          </w:p>
        </w:tc>
        <w:tc>
          <w:tcPr>
            <w:tcW w:w="7180" w:type="dxa"/>
            <w:vAlign w:val="bottom"/>
            <w:gridSpan w:val="2"/>
            <w:vMerge w:val="restart"/>
            <w:shd w:val="clear" w:color="auto" w:fill="F1F1F2"/>
          </w:tcPr>
          <w:p>
            <w:pPr>
              <w:ind w:left="120"/>
              <w:spacing w:after="0"/>
              <w:rPr>
                <w:sz w:val="20"/>
                <w:szCs w:val="20"/>
                <w:color w:val="auto"/>
              </w:rPr>
            </w:pPr>
            <w:r>
              <w:rPr>
                <w:rFonts w:ascii="Arial" w:cs="Arial" w:eastAsia="Arial" w:hAnsi="Arial"/>
                <w:sz w:val="20"/>
                <w:szCs w:val="20"/>
                <w:color w:val="231F20"/>
              </w:rPr>
              <w:t>by record levels of total revenue, positive impacts from capital investment, and</w:t>
            </w: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1700" w:type="dxa"/>
            <w:vAlign w:val="bottom"/>
            <w:vMerge w:val="restart"/>
            <w:shd w:val="clear" w:color="auto" w:fill="B2B4B6"/>
          </w:tcPr>
          <w:p>
            <w:pPr>
              <w:jc w:val="center"/>
              <w:spacing w:after="0"/>
              <w:rPr>
                <w:sz w:val="20"/>
                <w:szCs w:val="20"/>
                <w:color w:val="auto"/>
              </w:rPr>
            </w:pPr>
            <w:r>
              <w:rPr>
                <w:rFonts w:ascii="Arial" w:cs="Arial" w:eastAsia="Arial" w:hAnsi="Arial"/>
                <w:sz w:val="20"/>
                <w:szCs w:val="20"/>
                <w:b w:val="1"/>
                <w:bCs w:val="1"/>
                <w:color w:val="FFFFFF"/>
                <w:w w:val="99"/>
              </w:rPr>
              <w:t>Growth</w:t>
            </w:r>
          </w:p>
        </w:tc>
        <w:tc>
          <w:tcPr>
            <w:tcW w:w="7180" w:type="dxa"/>
            <w:vAlign w:val="bottom"/>
            <w:gridSpan w:val="2"/>
            <w:vMerge w:val="continue"/>
            <w:shd w:val="clear" w:color="auto" w:fill="F1F1F2"/>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200" w:type="dxa"/>
            <w:vAlign w:val="bottom"/>
          </w:tcPr>
          <w:p>
            <w:pPr>
              <w:spacing w:after="0"/>
              <w:rPr>
                <w:sz w:val="8"/>
                <w:szCs w:val="8"/>
                <w:color w:val="auto"/>
              </w:rPr>
            </w:pPr>
          </w:p>
        </w:tc>
        <w:tc>
          <w:tcPr>
            <w:tcW w:w="1700" w:type="dxa"/>
            <w:vAlign w:val="bottom"/>
            <w:vMerge w:val="continue"/>
            <w:shd w:val="clear" w:color="auto" w:fill="B2B4B6"/>
          </w:tcPr>
          <w:p>
            <w:pPr>
              <w:spacing w:after="0"/>
              <w:rPr>
                <w:sz w:val="8"/>
                <w:szCs w:val="8"/>
                <w:color w:val="auto"/>
              </w:rPr>
            </w:pPr>
          </w:p>
        </w:tc>
        <w:tc>
          <w:tcPr>
            <w:tcW w:w="6020" w:type="dxa"/>
            <w:vAlign w:val="bottom"/>
            <w:vMerge w:val="restart"/>
            <w:shd w:val="clear" w:color="auto" w:fill="F1F1F2"/>
          </w:tcPr>
          <w:p>
            <w:pPr>
              <w:ind w:left="120"/>
              <w:spacing w:after="0"/>
              <w:rPr>
                <w:sz w:val="20"/>
                <w:szCs w:val="20"/>
                <w:color w:val="auto"/>
              </w:rPr>
            </w:pPr>
            <w:r>
              <w:rPr>
                <w:rFonts w:ascii="Arial" w:cs="Arial" w:eastAsia="Arial" w:hAnsi="Arial"/>
                <w:sz w:val="20"/>
                <w:szCs w:val="20"/>
                <w:color w:val="231F20"/>
              </w:rPr>
              <w:t>overall continued strength in the broader retail real estate market</w:t>
            </w:r>
          </w:p>
        </w:tc>
        <w:tc>
          <w:tcPr>
            <w:tcW w:w="1160" w:type="dxa"/>
            <w:vAlign w:val="bottom"/>
            <w:shd w:val="clear" w:color="auto" w:fill="F1F1F2"/>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1700" w:type="dxa"/>
            <w:vAlign w:val="bottom"/>
            <w:shd w:val="clear" w:color="auto" w:fill="B2B4B6"/>
          </w:tcPr>
          <w:p>
            <w:pPr>
              <w:spacing w:after="0"/>
              <w:rPr>
                <w:sz w:val="12"/>
                <w:szCs w:val="12"/>
                <w:color w:val="auto"/>
              </w:rPr>
            </w:pPr>
          </w:p>
        </w:tc>
        <w:tc>
          <w:tcPr>
            <w:tcW w:w="6020" w:type="dxa"/>
            <w:vAlign w:val="bottom"/>
            <w:vMerge w:val="continue"/>
            <w:shd w:val="clear" w:color="auto" w:fill="F1F1F2"/>
          </w:tcPr>
          <w:p>
            <w:pPr>
              <w:spacing w:after="0"/>
              <w:rPr>
                <w:sz w:val="12"/>
                <w:szCs w:val="12"/>
                <w:color w:val="auto"/>
              </w:rPr>
            </w:pPr>
          </w:p>
        </w:tc>
        <w:tc>
          <w:tcPr>
            <w:tcW w:w="1160" w:type="dxa"/>
            <w:vAlign w:val="bottom"/>
            <w:shd w:val="clear" w:color="auto" w:fill="F1F1F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Borders>
              <w:bottom w:val="single" w:sz="8" w:color="231F20"/>
            </w:tcBorders>
          </w:tcPr>
          <w:p>
            <w:pPr>
              <w:spacing w:after="0"/>
              <w:rPr>
                <w:sz w:val="12"/>
                <w:szCs w:val="12"/>
                <w:color w:val="auto"/>
              </w:rPr>
            </w:pPr>
          </w:p>
        </w:tc>
        <w:tc>
          <w:tcPr>
            <w:tcW w:w="1700" w:type="dxa"/>
            <w:vAlign w:val="bottom"/>
            <w:tcBorders>
              <w:bottom w:val="single" w:sz="8" w:color="231F20"/>
            </w:tcBorders>
            <w:shd w:val="clear" w:color="auto" w:fill="B2B4B6"/>
          </w:tcPr>
          <w:p>
            <w:pPr>
              <w:spacing w:after="0"/>
              <w:rPr>
                <w:sz w:val="12"/>
                <w:szCs w:val="12"/>
                <w:color w:val="auto"/>
              </w:rPr>
            </w:pPr>
          </w:p>
        </w:tc>
        <w:tc>
          <w:tcPr>
            <w:tcW w:w="6020" w:type="dxa"/>
            <w:vAlign w:val="bottom"/>
            <w:tcBorders>
              <w:bottom w:val="single" w:sz="8" w:color="231F20"/>
            </w:tcBorders>
            <w:shd w:val="clear" w:color="auto" w:fill="F1F1F2"/>
          </w:tcPr>
          <w:p>
            <w:pPr>
              <w:spacing w:after="0"/>
              <w:rPr>
                <w:sz w:val="12"/>
                <w:szCs w:val="12"/>
                <w:color w:val="auto"/>
              </w:rPr>
            </w:pPr>
          </w:p>
        </w:tc>
        <w:tc>
          <w:tcPr>
            <w:tcW w:w="1160" w:type="dxa"/>
            <w:vAlign w:val="bottom"/>
            <w:tcBorders>
              <w:bottom w:val="single" w:sz="8" w:color="231F20"/>
            </w:tcBorders>
            <w:shd w:val="clear" w:color="auto" w:fill="F1F1F2"/>
          </w:tcPr>
          <w:p>
            <w:pPr>
              <w:spacing w:after="0"/>
              <w:rPr>
                <w:sz w:val="12"/>
                <w:szCs w:val="12"/>
                <w:color w:val="auto"/>
              </w:rPr>
            </w:pPr>
          </w:p>
        </w:tc>
        <w:tc>
          <w:tcPr>
            <w:tcW w:w="0" w:type="dxa"/>
            <w:vAlign w:val="bottom"/>
          </w:tcPr>
          <w:p>
            <w:pPr>
              <w:spacing w:after="0"/>
              <w:rPr>
                <w:sz w:val="1"/>
                <w:szCs w:val="1"/>
                <w:color w:val="auto"/>
              </w:rPr>
            </w:pPr>
          </w:p>
        </w:tc>
      </w:tr>
      <w:tr>
        <w:trPr>
          <w:trHeight w:val="472"/>
        </w:trPr>
        <w:tc>
          <w:tcPr>
            <w:tcW w:w="1200" w:type="dxa"/>
            <w:vAlign w:val="bottom"/>
          </w:tcPr>
          <w:p>
            <w:pPr>
              <w:spacing w:after="0"/>
              <w:rPr>
                <w:sz w:val="24"/>
                <w:szCs w:val="24"/>
                <w:color w:val="auto"/>
              </w:rPr>
            </w:pPr>
          </w:p>
        </w:tc>
        <w:tc>
          <w:tcPr>
            <w:tcW w:w="1700" w:type="dxa"/>
            <w:vAlign w:val="bottom"/>
            <w:shd w:val="clear" w:color="auto" w:fill="B2B4B6"/>
          </w:tcPr>
          <w:p>
            <w:pPr>
              <w:jc w:val="center"/>
              <w:spacing w:after="0"/>
              <w:rPr>
                <w:sz w:val="20"/>
                <w:szCs w:val="20"/>
                <w:color w:val="auto"/>
              </w:rPr>
            </w:pPr>
            <w:r>
              <w:rPr>
                <w:rFonts w:ascii="Arial" w:cs="Arial" w:eastAsia="Arial" w:hAnsi="Arial"/>
                <w:sz w:val="20"/>
                <w:szCs w:val="20"/>
                <w:b w:val="1"/>
                <w:bCs w:val="1"/>
                <w:color w:val="FFFFFF"/>
              </w:rPr>
              <w:t>Strong Leasing</w:t>
            </w:r>
          </w:p>
        </w:tc>
        <w:tc>
          <w:tcPr>
            <w:tcW w:w="6020" w:type="dxa"/>
            <w:vAlign w:val="bottom"/>
            <w:shd w:val="clear" w:color="auto" w:fill="F1F1F2"/>
          </w:tcPr>
          <w:p>
            <w:pPr>
              <w:ind w:left="120"/>
              <w:spacing w:after="0"/>
              <w:rPr>
                <w:sz w:val="20"/>
                <w:szCs w:val="20"/>
                <w:color w:val="auto"/>
              </w:rPr>
            </w:pPr>
            <w:r>
              <w:rPr>
                <w:rFonts w:ascii="Arial" w:cs="Arial" w:eastAsia="Arial" w:hAnsi="Arial"/>
                <w:sz w:val="20"/>
                <w:szCs w:val="20"/>
                <w:color w:val="231F20"/>
              </w:rPr>
              <w:t>Signed  new  and  renewal  comparable  space  leases  covering</w:t>
            </w:r>
          </w:p>
        </w:tc>
        <w:tc>
          <w:tcPr>
            <w:tcW w:w="1160" w:type="dxa"/>
            <w:vAlign w:val="bottom"/>
            <w:shd w:val="clear" w:color="auto" w:fill="F1F1F2"/>
          </w:tcPr>
          <w:p>
            <w:pPr>
              <w:jc w:val="right"/>
              <w:ind w:right="20"/>
              <w:spacing w:after="0"/>
              <w:rPr>
                <w:sz w:val="20"/>
                <w:szCs w:val="20"/>
                <w:color w:val="auto"/>
              </w:rPr>
            </w:pPr>
            <w:r>
              <w:rPr>
                <w:rFonts w:ascii="Arial" w:cs="Arial" w:eastAsia="Arial" w:hAnsi="Arial"/>
                <w:sz w:val="20"/>
                <w:szCs w:val="20"/>
                <w:color w:val="231F20"/>
              </w:rPr>
              <w:t>more  than</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700" w:type="dxa"/>
            <w:vAlign w:val="bottom"/>
            <w:shd w:val="clear" w:color="auto" w:fill="B2B4B6"/>
          </w:tcPr>
          <w:p>
            <w:pPr>
              <w:jc w:val="center"/>
              <w:spacing w:after="0"/>
              <w:rPr>
                <w:sz w:val="20"/>
                <w:szCs w:val="20"/>
                <w:color w:val="auto"/>
              </w:rPr>
            </w:pPr>
            <w:r>
              <w:rPr>
                <w:rFonts w:ascii="Arial" w:cs="Arial" w:eastAsia="Arial" w:hAnsi="Arial"/>
                <w:sz w:val="20"/>
                <w:szCs w:val="20"/>
                <w:b w:val="1"/>
                <w:bCs w:val="1"/>
                <w:color w:val="FFFFFF"/>
                <w:w w:val="99"/>
              </w:rPr>
              <w:t>Activity</w:t>
            </w:r>
          </w:p>
        </w:tc>
        <w:tc>
          <w:tcPr>
            <w:tcW w:w="6020" w:type="dxa"/>
            <w:vAlign w:val="bottom"/>
            <w:shd w:val="clear" w:color="auto" w:fill="F1F1F2"/>
          </w:tcPr>
          <w:p>
            <w:pPr>
              <w:ind w:left="120"/>
              <w:spacing w:after="0"/>
              <w:rPr>
                <w:sz w:val="20"/>
                <w:szCs w:val="20"/>
                <w:color w:val="auto"/>
              </w:rPr>
            </w:pPr>
            <w:r>
              <w:rPr>
                <w:rFonts w:ascii="Arial" w:cs="Arial" w:eastAsia="Arial" w:hAnsi="Arial"/>
                <w:sz w:val="20"/>
                <w:szCs w:val="20"/>
                <w:color w:val="EF3E2A"/>
              </w:rPr>
              <w:t xml:space="preserve">2 million </w:t>
            </w:r>
            <w:r>
              <w:rPr>
                <w:rFonts w:ascii="Arial" w:cs="Arial" w:eastAsia="Arial" w:hAnsi="Arial"/>
                <w:sz w:val="20"/>
                <w:szCs w:val="20"/>
                <w:color w:val="231F20"/>
              </w:rPr>
              <w:t>square feet of space and $74.5 million of year 1 revenue</w:t>
            </w:r>
          </w:p>
        </w:tc>
        <w:tc>
          <w:tcPr>
            <w:tcW w:w="1160" w:type="dxa"/>
            <w:vAlign w:val="bottom"/>
            <w:shd w:val="clear" w:color="auto" w:fill="F1F1F2"/>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200" w:type="dxa"/>
            <w:vAlign w:val="bottom"/>
            <w:tcBorders>
              <w:bottom w:val="single" w:sz="8" w:color="231F20"/>
            </w:tcBorders>
          </w:tcPr>
          <w:p>
            <w:pPr>
              <w:spacing w:after="0"/>
              <w:rPr>
                <w:sz w:val="12"/>
                <w:szCs w:val="12"/>
                <w:color w:val="auto"/>
              </w:rPr>
            </w:pPr>
          </w:p>
        </w:tc>
        <w:tc>
          <w:tcPr>
            <w:tcW w:w="1700" w:type="dxa"/>
            <w:vAlign w:val="bottom"/>
            <w:tcBorders>
              <w:bottom w:val="single" w:sz="8" w:color="231F20"/>
            </w:tcBorders>
            <w:shd w:val="clear" w:color="auto" w:fill="B2B4B6"/>
          </w:tcPr>
          <w:p>
            <w:pPr>
              <w:spacing w:after="0"/>
              <w:rPr>
                <w:sz w:val="12"/>
                <w:szCs w:val="12"/>
                <w:color w:val="auto"/>
              </w:rPr>
            </w:pPr>
          </w:p>
        </w:tc>
        <w:tc>
          <w:tcPr>
            <w:tcW w:w="6020" w:type="dxa"/>
            <w:vAlign w:val="bottom"/>
            <w:tcBorders>
              <w:bottom w:val="single" w:sz="8" w:color="231F20"/>
            </w:tcBorders>
            <w:shd w:val="clear" w:color="auto" w:fill="F1F1F2"/>
          </w:tcPr>
          <w:p>
            <w:pPr>
              <w:spacing w:after="0"/>
              <w:rPr>
                <w:sz w:val="12"/>
                <w:szCs w:val="12"/>
                <w:color w:val="auto"/>
              </w:rPr>
            </w:pPr>
          </w:p>
        </w:tc>
        <w:tc>
          <w:tcPr>
            <w:tcW w:w="1160" w:type="dxa"/>
            <w:vAlign w:val="bottom"/>
            <w:tcBorders>
              <w:bottom w:val="single" w:sz="8" w:color="231F20"/>
            </w:tcBorders>
            <w:shd w:val="clear" w:color="auto" w:fill="F1F1F2"/>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1200" w:type="dxa"/>
            <w:vAlign w:val="bottom"/>
          </w:tcPr>
          <w:p>
            <w:pPr>
              <w:spacing w:after="0"/>
              <w:rPr>
                <w:sz w:val="24"/>
                <w:szCs w:val="24"/>
                <w:color w:val="auto"/>
              </w:rPr>
            </w:pPr>
          </w:p>
        </w:tc>
        <w:tc>
          <w:tcPr>
            <w:tcW w:w="1700" w:type="dxa"/>
            <w:vAlign w:val="bottom"/>
            <w:shd w:val="clear" w:color="auto" w:fill="B2B4B6"/>
          </w:tcPr>
          <w:p>
            <w:pPr>
              <w:jc w:val="center"/>
              <w:spacing w:after="0"/>
              <w:rPr>
                <w:sz w:val="20"/>
                <w:szCs w:val="20"/>
                <w:color w:val="auto"/>
              </w:rPr>
            </w:pPr>
            <w:r>
              <w:rPr>
                <w:rFonts w:ascii="Arial" w:cs="Arial" w:eastAsia="Arial" w:hAnsi="Arial"/>
                <w:sz w:val="20"/>
                <w:szCs w:val="20"/>
                <w:b w:val="1"/>
                <w:bCs w:val="1"/>
                <w:color w:val="FFFFFF"/>
                <w:w w:val="98"/>
              </w:rPr>
              <w:t>Productive</w:t>
            </w:r>
          </w:p>
        </w:tc>
        <w:tc>
          <w:tcPr>
            <w:tcW w:w="6020" w:type="dxa"/>
            <w:vAlign w:val="bottom"/>
            <w:vMerge w:val="restart"/>
            <w:shd w:val="clear" w:color="auto" w:fill="F1F1F2"/>
          </w:tcPr>
          <w:p>
            <w:pPr>
              <w:ind w:left="120"/>
              <w:spacing w:after="0"/>
              <w:rPr>
                <w:sz w:val="20"/>
                <w:szCs w:val="20"/>
                <w:color w:val="auto"/>
              </w:rPr>
            </w:pPr>
            <w:r>
              <w:rPr>
                <w:rFonts w:ascii="Arial" w:cs="Arial" w:eastAsia="Arial" w:hAnsi="Arial"/>
                <w:sz w:val="20"/>
                <w:szCs w:val="20"/>
                <w:color w:val="231F20"/>
              </w:rPr>
              <w:t xml:space="preserve">Investments  in  existing  assets  such  as  </w:t>
            </w:r>
            <w:r>
              <w:rPr>
                <w:rFonts w:ascii="Arial" w:cs="Arial" w:eastAsia="Arial" w:hAnsi="Arial"/>
                <w:sz w:val="20"/>
                <w:szCs w:val="20"/>
                <w:color w:val="EF3E2A"/>
              </w:rPr>
              <w:t>Pike  &amp;  Rose,  Darien</w:t>
            </w:r>
          </w:p>
        </w:tc>
        <w:tc>
          <w:tcPr>
            <w:tcW w:w="1160" w:type="dxa"/>
            <w:vAlign w:val="bottom"/>
            <w:vMerge w:val="restart"/>
            <w:shd w:val="clear" w:color="auto" w:fill="F1F1F2"/>
          </w:tcPr>
          <w:p>
            <w:pPr>
              <w:jc w:val="right"/>
              <w:ind w:right="20"/>
              <w:spacing w:after="0"/>
              <w:rPr>
                <w:sz w:val="20"/>
                <w:szCs w:val="20"/>
                <w:color w:val="auto"/>
              </w:rPr>
            </w:pPr>
            <w:r>
              <w:rPr>
                <w:rFonts w:ascii="Arial" w:cs="Arial" w:eastAsia="Arial" w:hAnsi="Arial"/>
                <w:sz w:val="20"/>
                <w:szCs w:val="20"/>
                <w:color w:val="EF3E2A"/>
              </w:rPr>
              <w:t>Commons,</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1700" w:type="dxa"/>
            <w:vAlign w:val="bottom"/>
            <w:vMerge w:val="restart"/>
            <w:shd w:val="clear" w:color="auto" w:fill="B2B4B6"/>
          </w:tcPr>
          <w:p>
            <w:pPr>
              <w:jc w:val="center"/>
              <w:spacing w:after="0"/>
              <w:rPr>
                <w:sz w:val="20"/>
                <w:szCs w:val="20"/>
                <w:color w:val="auto"/>
              </w:rPr>
            </w:pPr>
            <w:r>
              <w:rPr>
                <w:rFonts w:ascii="Arial" w:cs="Arial" w:eastAsia="Arial" w:hAnsi="Arial"/>
                <w:sz w:val="20"/>
                <w:szCs w:val="20"/>
                <w:b w:val="1"/>
                <w:bCs w:val="1"/>
                <w:color w:val="FFFFFF"/>
                <w:w w:val="98"/>
              </w:rPr>
              <w:t>Capital</w:t>
            </w:r>
          </w:p>
        </w:tc>
        <w:tc>
          <w:tcPr>
            <w:tcW w:w="6020" w:type="dxa"/>
            <w:vAlign w:val="bottom"/>
            <w:vMerge w:val="continue"/>
            <w:shd w:val="clear" w:color="auto" w:fill="F1F1F2"/>
          </w:tcPr>
          <w:p>
            <w:pPr>
              <w:spacing w:after="0"/>
              <w:rPr>
                <w:sz w:val="10"/>
                <w:szCs w:val="10"/>
                <w:color w:val="auto"/>
              </w:rPr>
            </w:pPr>
          </w:p>
        </w:tc>
        <w:tc>
          <w:tcPr>
            <w:tcW w:w="1160" w:type="dxa"/>
            <w:vAlign w:val="bottom"/>
            <w:vMerge w:val="continue"/>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1700" w:type="dxa"/>
            <w:vAlign w:val="bottom"/>
            <w:vMerge w:val="continue"/>
            <w:shd w:val="clear" w:color="auto" w:fill="B2B4B6"/>
          </w:tcPr>
          <w:p>
            <w:pPr>
              <w:spacing w:after="0"/>
              <w:rPr>
                <w:sz w:val="10"/>
                <w:szCs w:val="10"/>
                <w:color w:val="auto"/>
              </w:rPr>
            </w:pPr>
          </w:p>
        </w:tc>
        <w:tc>
          <w:tcPr>
            <w:tcW w:w="7180" w:type="dxa"/>
            <w:vAlign w:val="bottom"/>
            <w:gridSpan w:val="2"/>
            <w:vMerge w:val="restart"/>
            <w:shd w:val="clear" w:color="auto" w:fill="F1F1F2"/>
          </w:tcPr>
          <w:p>
            <w:pPr>
              <w:ind w:left="120"/>
              <w:spacing w:after="0"/>
              <w:rPr>
                <w:sz w:val="20"/>
                <w:szCs w:val="20"/>
                <w:color w:val="auto"/>
              </w:rPr>
            </w:pPr>
            <w:r>
              <w:rPr>
                <w:rFonts w:ascii="Arial" w:cs="Arial" w:eastAsia="Arial" w:hAnsi="Arial"/>
                <w:sz w:val="20"/>
                <w:szCs w:val="20"/>
                <w:color w:val="EF3E2A"/>
              </w:rPr>
              <w:t xml:space="preserve">Mercer on One and Escondido </w:t>
            </w:r>
            <w:r>
              <w:rPr>
                <w:rFonts w:ascii="Arial" w:cs="Arial" w:eastAsia="Arial" w:hAnsi="Arial"/>
                <w:sz w:val="20"/>
                <w:szCs w:val="20"/>
                <w:color w:val="231F20"/>
              </w:rPr>
              <w:t>producing significant year over year growth</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1700" w:type="dxa"/>
            <w:vAlign w:val="bottom"/>
            <w:vMerge w:val="restart"/>
            <w:shd w:val="clear" w:color="auto" w:fill="B2B4B6"/>
          </w:tcPr>
          <w:p>
            <w:pPr>
              <w:jc w:val="center"/>
              <w:spacing w:after="0"/>
              <w:rPr>
                <w:sz w:val="20"/>
                <w:szCs w:val="20"/>
                <w:color w:val="auto"/>
              </w:rPr>
            </w:pPr>
            <w:r>
              <w:rPr>
                <w:rFonts w:ascii="Arial" w:cs="Arial" w:eastAsia="Arial" w:hAnsi="Arial"/>
                <w:sz w:val="20"/>
                <w:szCs w:val="20"/>
                <w:b w:val="1"/>
                <w:bCs w:val="1"/>
                <w:color w:val="FFFFFF"/>
              </w:rPr>
              <w:t>Investments</w:t>
            </w:r>
          </w:p>
        </w:tc>
        <w:tc>
          <w:tcPr>
            <w:tcW w:w="7180" w:type="dxa"/>
            <w:vAlign w:val="bottom"/>
            <w:gridSpan w:val="2"/>
            <w:vMerge w:val="continue"/>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700" w:type="dxa"/>
            <w:vAlign w:val="bottom"/>
            <w:tcBorders>
              <w:bottom w:val="single" w:sz="8" w:color="B2B4B6"/>
            </w:tcBorders>
            <w:vMerge w:val="continue"/>
            <w:shd w:val="clear" w:color="auto" w:fill="B2B4B6"/>
          </w:tcPr>
          <w:p>
            <w:pPr>
              <w:spacing w:after="0"/>
              <w:rPr>
                <w:sz w:val="12"/>
                <w:szCs w:val="12"/>
                <w:color w:val="auto"/>
              </w:rPr>
            </w:pPr>
          </w:p>
        </w:tc>
        <w:tc>
          <w:tcPr>
            <w:tcW w:w="6020" w:type="dxa"/>
            <w:vAlign w:val="bottom"/>
            <w:tcBorders>
              <w:bottom w:val="single" w:sz="8" w:color="F1F1F2"/>
            </w:tcBorders>
            <w:shd w:val="clear" w:color="auto" w:fill="F1F1F2"/>
          </w:tcPr>
          <w:p>
            <w:pPr>
              <w:spacing w:after="0"/>
              <w:rPr>
                <w:sz w:val="12"/>
                <w:szCs w:val="12"/>
                <w:color w:val="auto"/>
              </w:rPr>
            </w:pPr>
          </w:p>
        </w:tc>
        <w:tc>
          <w:tcPr>
            <w:tcW w:w="1160" w:type="dxa"/>
            <w:vAlign w:val="bottom"/>
            <w:tcBorders>
              <w:bottom w:val="single" w:sz="8" w:color="F1F1F2"/>
            </w:tcBorders>
            <w:shd w:val="clear" w:color="auto" w:fill="F1F1F2"/>
          </w:tcPr>
          <w:p>
            <w:pPr>
              <w:spacing w:after="0"/>
              <w:rPr>
                <w:sz w:val="12"/>
                <w:szCs w:val="12"/>
                <w:color w:val="auto"/>
              </w:rPr>
            </w:pPr>
          </w:p>
        </w:tc>
        <w:tc>
          <w:tcPr>
            <w:tcW w:w="0" w:type="dxa"/>
            <w:vAlign w:val="bottom"/>
          </w:tcPr>
          <w:p>
            <w:pPr>
              <w:spacing w:after="0"/>
              <w:rPr>
                <w:sz w:val="1"/>
                <w:szCs w:val="1"/>
                <w:color w:val="auto"/>
              </w:rPr>
            </w:pPr>
          </w:p>
        </w:tc>
      </w:tr>
      <w:tr>
        <w:trPr>
          <w:trHeight w:val="407"/>
        </w:trPr>
        <w:tc>
          <w:tcPr>
            <w:tcW w:w="1200" w:type="dxa"/>
            <w:vAlign w:val="bottom"/>
            <w:tcBorders>
              <w:top w:val="single" w:sz="8" w:color="231F20"/>
            </w:tcBorders>
          </w:tcPr>
          <w:p>
            <w:pPr>
              <w:spacing w:after="0"/>
              <w:rPr>
                <w:sz w:val="24"/>
                <w:szCs w:val="24"/>
                <w:color w:val="auto"/>
              </w:rPr>
            </w:pPr>
          </w:p>
        </w:tc>
        <w:tc>
          <w:tcPr>
            <w:tcW w:w="1700" w:type="dxa"/>
            <w:vAlign w:val="bottom"/>
            <w:tcBorders>
              <w:top w:val="single" w:sz="8" w:color="231F20"/>
            </w:tcBorders>
            <w:shd w:val="clear" w:color="auto" w:fill="B2B4B6"/>
          </w:tcPr>
          <w:p>
            <w:pPr>
              <w:jc w:val="center"/>
              <w:spacing w:after="0"/>
              <w:rPr>
                <w:sz w:val="20"/>
                <w:szCs w:val="20"/>
                <w:color w:val="auto"/>
              </w:rPr>
            </w:pPr>
            <w:r>
              <w:rPr>
                <w:rFonts w:ascii="Arial" w:cs="Arial" w:eastAsia="Arial" w:hAnsi="Arial"/>
                <w:sz w:val="20"/>
                <w:szCs w:val="20"/>
                <w:b w:val="1"/>
                <w:bCs w:val="1"/>
                <w:color w:val="FFFFFF"/>
                <w:w w:val="99"/>
              </w:rPr>
              <w:t>56th Year of</w:t>
            </w:r>
          </w:p>
        </w:tc>
        <w:tc>
          <w:tcPr>
            <w:tcW w:w="7180" w:type="dxa"/>
            <w:vAlign w:val="bottom"/>
            <w:tcBorders>
              <w:top w:val="single" w:sz="8" w:color="231F20"/>
            </w:tcBorders>
            <w:gridSpan w:val="2"/>
            <w:shd w:val="clear" w:color="auto" w:fill="F1F1F2"/>
          </w:tcPr>
          <w:p>
            <w:pPr>
              <w:ind w:left="120"/>
              <w:spacing w:after="0"/>
              <w:rPr>
                <w:sz w:val="20"/>
                <w:szCs w:val="20"/>
                <w:color w:val="auto"/>
              </w:rPr>
            </w:pPr>
            <w:r>
              <w:rPr>
                <w:rFonts w:ascii="Arial" w:cs="Arial" w:eastAsia="Arial" w:hAnsi="Arial"/>
                <w:sz w:val="20"/>
                <w:szCs w:val="20"/>
                <w:color w:val="231F20"/>
              </w:rPr>
              <w:t xml:space="preserve">Raised the dividend on our common shares for the </w:t>
            </w:r>
            <w:r>
              <w:rPr>
                <w:rFonts w:ascii="Arial" w:cs="Arial" w:eastAsia="Arial" w:hAnsi="Arial"/>
                <w:sz w:val="20"/>
                <w:szCs w:val="20"/>
                <w:color w:val="EF3E2A"/>
              </w:rPr>
              <w:t>56th</w:t>
            </w:r>
            <w:r>
              <w:rPr>
                <w:rFonts w:ascii="Arial" w:cs="Arial" w:eastAsia="Arial" w:hAnsi="Arial"/>
                <w:sz w:val="20"/>
                <w:szCs w:val="20"/>
                <w:color w:val="231F20"/>
              </w:rPr>
              <w:t xml:space="preserve"> consecutive year, a</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700" w:type="dxa"/>
            <w:vAlign w:val="bottom"/>
            <w:shd w:val="clear" w:color="auto" w:fill="B2B4B6"/>
          </w:tcPr>
          <w:p>
            <w:pPr>
              <w:jc w:val="center"/>
              <w:spacing w:after="0"/>
              <w:rPr>
                <w:sz w:val="20"/>
                <w:szCs w:val="20"/>
                <w:color w:val="auto"/>
              </w:rPr>
            </w:pPr>
            <w:r>
              <w:rPr>
                <w:rFonts w:ascii="Arial" w:cs="Arial" w:eastAsia="Arial" w:hAnsi="Arial"/>
                <w:sz w:val="20"/>
                <w:szCs w:val="20"/>
                <w:b w:val="1"/>
                <w:bCs w:val="1"/>
                <w:color w:val="FFFFFF"/>
                <w:w w:val="99"/>
              </w:rPr>
              <w:t>Dividend</w:t>
            </w:r>
          </w:p>
        </w:tc>
        <w:tc>
          <w:tcPr>
            <w:tcW w:w="7180" w:type="dxa"/>
            <w:vAlign w:val="bottom"/>
            <w:gridSpan w:val="2"/>
            <w:shd w:val="clear" w:color="auto" w:fill="F1F1F2"/>
          </w:tcPr>
          <w:p>
            <w:pPr>
              <w:ind w:left="120"/>
              <w:spacing w:after="0" w:line="226" w:lineRule="exact"/>
              <w:rPr>
                <w:sz w:val="20"/>
                <w:szCs w:val="20"/>
                <w:color w:val="auto"/>
              </w:rPr>
            </w:pPr>
            <w:r>
              <w:rPr>
                <w:rFonts w:ascii="Arial" w:cs="Arial" w:eastAsia="Arial" w:hAnsi="Arial"/>
                <w:sz w:val="20"/>
                <w:szCs w:val="20"/>
                <w:color w:val="231F20"/>
              </w:rPr>
              <w:t>record in the REIT industry, representing a compound annual growth rate of</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1700" w:type="dxa"/>
            <w:vAlign w:val="bottom"/>
            <w:shd w:val="clear" w:color="auto" w:fill="B2B4B6"/>
          </w:tcPr>
          <w:p>
            <w:pPr>
              <w:jc w:val="center"/>
              <w:spacing w:after="0"/>
              <w:rPr>
                <w:sz w:val="20"/>
                <w:szCs w:val="20"/>
                <w:color w:val="auto"/>
              </w:rPr>
            </w:pPr>
            <w:r>
              <w:rPr>
                <w:rFonts w:ascii="Arial" w:cs="Arial" w:eastAsia="Arial" w:hAnsi="Arial"/>
                <w:sz w:val="20"/>
                <w:szCs w:val="20"/>
                <w:b w:val="1"/>
                <w:bCs w:val="1"/>
                <w:color w:val="FFFFFF"/>
                <w:w w:val="99"/>
              </w:rPr>
              <w:t>Increases</w:t>
            </w:r>
          </w:p>
        </w:tc>
        <w:tc>
          <w:tcPr>
            <w:tcW w:w="6020" w:type="dxa"/>
            <w:vAlign w:val="bottom"/>
            <w:shd w:val="clear" w:color="auto" w:fill="F1F1F2"/>
          </w:tcPr>
          <w:p>
            <w:pPr>
              <w:ind w:left="120"/>
              <w:spacing w:after="0" w:line="226" w:lineRule="exact"/>
              <w:rPr>
                <w:sz w:val="20"/>
                <w:szCs w:val="20"/>
                <w:color w:val="auto"/>
              </w:rPr>
            </w:pPr>
            <w:r>
              <w:rPr>
                <w:rFonts w:ascii="Arial" w:cs="Arial" w:eastAsia="Arial" w:hAnsi="Arial"/>
                <w:sz w:val="20"/>
                <w:szCs w:val="20"/>
                <w:color w:val="EF3E2A"/>
              </w:rPr>
              <w:t xml:space="preserve">7% </w:t>
            </w:r>
            <w:r>
              <w:rPr>
                <w:rFonts w:ascii="Arial" w:cs="Arial" w:eastAsia="Arial" w:hAnsi="Arial"/>
                <w:sz w:val="20"/>
                <w:szCs w:val="20"/>
                <w:color w:val="231F20"/>
              </w:rPr>
              <w:t>over that 56-year period</w:t>
            </w:r>
          </w:p>
        </w:tc>
        <w:tc>
          <w:tcPr>
            <w:tcW w:w="1160" w:type="dxa"/>
            <w:vAlign w:val="bottom"/>
            <w:shd w:val="clear" w:color="auto" w:fill="F1F1F2"/>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200" w:type="dxa"/>
            <w:vAlign w:val="bottom"/>
            <w:tcBorders>
              <w:bottom w:val="single" w:sz="8" w:color="231F20"/>
            </w:tcBorders>
          </w:tcPr>
          <w:p>
            <w:pPr>
              <w:spacing w:after="0"/>
              <w:rPr>
                <w:sz w:val="9"/>
                <w:szCs w:val="9"/>
                <w:color w:val="auto"/>
              </w:rPr>
            </w:pPr>
          </w:p>
        </w:tc>
        <w:tc>
          <w:tcPr>
            <w:tcW w:w="1700" w:type="dxa"/>
            <w:vAlign w:val="bottom"/>
            <w:tcBorders>
              <w:bottom w:val="single" w:sz="8" w:color="231F20"/>
            </w:tcBorders>
            <w:shd w:val="clear" w:color="auto" w:fill="B2B4B6"/>
          </w:tcPr>
          <w:p>
            <w:pPr>
              <w:spacing w:after="0"/>
              <w:rPr>
                <w:sz w:val="9"/>
                <w:szCs w:val="9"/>
                <w:color w:val="auto"/>
              </w:rPr>
            </w:pPr>
          </w:p>
        </w:tc>
        <w:tc>
          <w:tcPr>
            <w:tcW w:w="7180" w:type="dxa"/>
            <w:vAlign w:val="bottom"/>
            <w:tcBorders>
              <w:bottom w:val="single" w:sz="8" w:color="231F20"/>
            </w:tcBorders>
            <w:gridSpan w:val="2"/>
            <w:shd w:val="clear" w:color="auto" w:fill="F1F1F2"/>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1200" w:type="dxa"/>
            <w:vAlign w:val="bottom"/>
          </w:tcPr>
          <w:p>
            <w:pPr>
              <w:spacing w:after="0"/>
              <w:rPr>
                <w:sz w:val="24"/>
                <w:szCs w:val="24"/>
                <w:color w:val="auto"/>
              </w:rPr>
            </w:pPr>
          </w:p>
        </w:tc>
        <w:tc>
          <w:tcPr>
            <w:tcW w:w="1700" w:type="dxa"/>
            <w:vAlign w:val="bottom"/>
            <w:shd w:val="clear" w:color="auto" w:fill="B2B4B6"/>
          </w:tcPr>
          <w:p>
            <w:pPr>
              <w:spacing w:after="0"/>
              <w:rPr>
                <w:sz w:val="24"/>
                <w:szCs w:val="24"/>
                <w:color w:val="auto"/>
              </w:rPr>
            </w:pPr>
          </w:p>
        </w:tc>
        <w:tc>
          <w:tcPr>
            <w:tcW w:w="7180" w:type="dxa"/>
            <w:vAlign w:val="bottom"/>
            <w:gridSpan w:val="2"/>
            <w:shd w:val="clear" w:color="auto" w:fill="F1F1F2"/>
          </w:tcPr>
          <w:p>
            <w:pPr>
              <w:ind w:left="120"/>
              <w:spacing w:after="0"/>
              <w:rPr>
                <w:sz w:val="20"/>
                <w:szCs w:val="20"/>
                <w:color w:val="auto"/>
              </w:rPr>
            </w:pPr>
            <w:r>
              <w:rPr>
                <w:rFonts w:ascii="Arial" w:cs="Arial" w:eastAsia="Arial" w:hAnsi="Arial"/>
                <w:sz w:val="20"/>
                <w:szCs w:val="20"/>
                <w:color w:val="231F20"/>
              </w:rPr>
              <w:t xml:space="preserve">Achieved </w:t>
            </w:r>
            <w:r>
              <w:rPr>
                <w:rFonts w:ascii="Symbol" w:cs="Symbol" w:eastAsia="Symbol" w:hAnsi="Symbol"/>
                <w:sz w:val="20"/>
                <w:szCs w:val="20"/>
                <w:color w:val="231F20"/>
              </w:rPr>
              <w:t>≈</w:t>
            </w:r>
            <w:r>
              <w:rPr>
                <w:rFonts w:ascii="Arial" w:cs="Arial" w:eastAsia="Arial" w:hAnsi="Arial"/>
                <w:sz w:val="20"/>
                <w:szCs w:val="20"/>
                <w:color w:val="231F20"/>
              </w:rPr>
              <w:t xml:space="preserve"> </w:t>
            </w:r>
            <w:r>
              <w:rPr>
                <w:rFonts w:ascii="Arial" w:cs="Arial" w:eastAsia="Arial" w:hAnsi="Arial"/>
                <w:sz w:val="20"/>
                <w:szCs w:val="20"/>
                <w:color w:val="EF3E2A"/>
              </w:rPr>
              <w:t>32%</w:t>
            </w:r>
            <w:r>
              <w:rPr>
                <w:rFonts w:ascii="Arial" w:cs="Arial" w:eastAsia="Arial" w:hAnsi="Arial"/>
                <w:sz w:val="20"/>
                <w:szCs w:val="20"/>
                <w:color w:val="231F20"/>
              </w:rPr>
              <w:t xml:space="preserve"> decrease in Scope 1 and 2 GHG emissions through 2022</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700" w:type="dxa"/>
            <w:vAlign w:val="bottom"/>
            <w:shd w:val="clear" w:color="auto" w:fill="B2B4B6"/>
          </w:tcPr>
          <w:p>
            <w:pPr>
              <w:jc w:val="center"/>
              <w:spacing w:after="0"/>
              <w:rPr>
                <w:sz w:val="20"/>
                <w:szCs w:val="20"/>
                <w:color w:val="auto"/>
              </w:rPr>
            </w:pPr>
            <w:r>
              <w:rPr>
                <w:rFonts w:ascii="Arial" w:cs="Arial" w:eastAsia="Arial" w:hAnsi="Arial"/>
                <w:sz w:val="20"/>
                <w:szCs w:val="20"/>
                <w:b w:val="1"/>
                <w:bCs w:val="1"/>
                <w:color w:val="FFFFFF"/>
                <w:w w:val="99"/>
              </w:rPr>
              <w:t>Sustainability</w:t>
            </w:r>
          </w:p>
        </w:tc>
        <w:tc>
          <w:tcPr>
            <w:tcW w:w="7180" w:type="dxa"/>
            <w:vAlign w:val="bottom"/>
            <w:gridSpan w:val="2"/>
            <w:shd w:val="clear" w:color="auto" w:fill="F1F1F2"/>
          </w:tcPr>
          <w:p>
            <w:pPr>
              <w:ind w:left="120"/>
              <w:spacing w:after="0" w:line="226" w:lineRule="exact"/>
              <w:rPr>
                <w:sz w:val="20"/>
                <w:szCs w:val="20"/>
                <w:color w:val="auto"/>
              </w:rPr>
            </w:pPr>
            <w:r>
              <w:rPr>
                <w:rFonts w:ascii="Arial" w:cs="Arial" w:eastAsia="Arial" w:hAnsi="Arial"/>
                <w:sz w:val="20"/>
                <w:szCs w:val="20"/>
                <w:color w:val="231F20"/>
              </w:rPr>
              <w:t>versus 2019 baseline in alignment with our 2030 GHG reduction target set in</w:t>
            </w:r>
          </w:p>
        </w:tc>
        <w:tc>
          <w:tcPr>
            <w:tcW w:w="0" w:type="dxa"/>
            <w:vAlign w:val="bottom"/>
          </w:tcPr>
          <w:p>
            <w:pPr>
              <w:spacing w:after="0"/>
              <w:rPr>
                <w:sz w:val="1"/>
                <w:szCs w:val="1"/>
                <w:color w:val="auto"/>
              </w:rPr>
            </w:pPr>
          </w:p>
        </w:tc>
      </w:tr>
      <w:tr>
        <w:trPr>
          <w:trHeight w:val="225"/>
        </w:trPr>
        <w:tc>
          <w:tcPr>
            <w:tcW w:w="1200" w:type="dxa"/>
            <w:vAlign w:val="bottom"/>
          </w:tcPr>
          <w:p>
            <w:pPr>
              <w:spacing w:after="0"/>
              <w:rPr>
                <w:sz w:val="19"/>
                <w:szCs w:val="19"/>
                <w:color w:val="auto"/>
              </w:rPr>
            </w:pPr>
          </w:p>
        </w:tc>
        <w:tc>
          <w:tcPr>
            <w:tcW w:w="1700" w:type="dxa"/>
            <w:vAlign w:val="bottom"/>
            <w:shd w:val="clear" w:color="auto" w:fill="B2B4B6"/>
          </w:tcPr>
          <w:p>
            <w:pPr>
              <w:spacing w:after="0"/>
              <w:rPr>
                <w:sz w:val="19"/>
                <w:szCs w:val="19"/>
                <w:color w:val="auto"/>
              </w:rPr>
            </w:pPr>
          </w:p>
        </w:tc>
        <w:tc>
          <w:tcPr>
            <w:tcW w:w="6020" w:type="dxa"/>
            <w:vAlign w:val="bottom"/>
            <w:shd w:val="clear" w:color="auto" w:fill="F1F1F2"/>
          </w:tcPr>
          <w:p>
            <w:pPr>
              <w:ind w:left="120"/>
              <w:spacing w:after="0" w:line="226" w:lineRule="exact"/>
              <w:rPr>
                <w:sz w:val="20"/>
                <w:szCs w:val="20"/>
                <w:color w:val="auto"/>
              </w:rPr>
            </w:pPr>
            <w:r>
              <w:rPr>
                <w:rFonts w:ascii="Arial" w:cs="Arial" w:eastAsia="Arial" w:hAnsi="Arial"/>
                <w:sz w:val="20"/>
                <w:szCs w:val="20"/>
                <w:color w:val="231F20"/>
              </w:rPr>
              <w:t>accordance with the Science-Based Target initiative</w:t>
            </w:r>
          </w:p>
        </w:tc>
        <w:tc>
          <w:tcPr>
            <w:tcW w:w="1160" w:type="dxa"/>
            <w:vAlign w:val="bottom"/>
            <w:shd w:val="clear" w:color="auto" w:fill="F1F1F2"/>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200" w:type="dxa"/>
            <w:vAlign w:val="bottom"/>
            <w:tcBorders>
              <w:bottom w:val="single" w:sz="8" w:color="231F20"/>
            </w:tcBorders>
          </w:tcPr>
          <w:p>
            <w:pPr>
              <w:spacing w:after="0"/>
              <w:rPr>
                <w:sz w:val="12"/>
                <w:szCs w:val="12"/>
                <w:color w:val="auto"/>
              </w:rPr>
            </w:pPr>
          </w:p>
        </w:tc>
        <w:tc>
          <w:tcPr>
            <w:tcW w:w="1700" w:type="dxa"/>
            <w:vAlign w:val="bottom"/>
            <w:tcBorders>
              <w:bottom w:val="single" w:sz="8" w:color="231F20"/>
            </w:tcBorders>
            <w:shd w:val="clear" w:color="auto" w:fill="B2B4B6"/>
          </w:tcPr>
          <w:p>
            <w:pPr>
              <w:spacing w:after="0"/>
              <w:rPr>
                <w:sz w:val="12"/>
                <w:szCs w:val="12"/>
                <w:color w:val="auto"/>
              </w:rPr>
            </w:pPr>
          </w:p>
        </w:tc>
        <w:tc>
          <w:tcPr>
            <w:tcW w:w="6020" w:type="dxa"/>
            <w:vAlign w:val="bottom"/>
            <w:tcBorders>
              <w:bottom w:val="single" w:sz="8" w:color="231F20"/>
            </w:tcBorders>
            <w:shd w:val="clear" w:color="auto" w:fill="F1F1F2"/>
          </w:tcPr>
          <w:p>
            <w:pPr>
              <w:spacing w:after="0"/>
              <w:rPr>
                <w:sz w:val="12"/>
                <w:szCs w:val="12"/>
                <w:color w:val="auto"/>
              </w:rPr>
            </w:pPr>
          </w:p>
        </w:tc>
        <w:tc>
          <w:tcPr>
            <w:tcW w:w="1160" w:type="dxa"/>
            <w:vAlign w:val="bottom"/>
            <w:tcBorders>
              <w:bottom w:val="single" w:sz="8" w:color="231F20"/>
            </w:tcBorders>
            <w:shd w:val="clear" w:color="auto" w:fill="F1F1F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-2979420</wp:posOffset>
            </wp:positionV>
            <wp:extent cx="628015" cy="289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a:extLst>
                        <a:ext uri="{28A0092B-C50C-407E-A947-70E740481C1C}"/>
                      </a:extLst>
                    </a:blip>
                    <a:srcRect/>
                    <a:stretch>
                      <a:fillRect/>
                    </a:stretch>
                  </pic:blipFill>
                  <pic:spPr bwMode="auto">
                    <a:xfrm>
                      <a:off x="0" y="0"/>
                      <a:ext cx="628015" cy="2891155"/>
                    </a:xfrm>
                    <a:prstGeom prst="rect">
                      <a:avLst/>
                    </a:prstGeom>
                    <a:noFill/>
                  </pic:spPr>
                </pic:pic>
              </a:graphicData>
            </a:graphic>
          </wp:anchor>
        </w:drawing>
      </w:r>
    </w:p>
    <w:p>
      <w:pPr>
        <w:spacing w:after="0" w:line="277" w:lineRule="exact"/>
        <w:rPr>
          <w:sz w:val="20"/>
          <w:szCs w:val="20"/>
          <w:color w:val="auto"/>
        </w:rPr>
      </w:pPr>
    </w:p>
    <w:p>
      <w:pPr>
        <w:spacing w:after="0" w:line="245" w:lineRule="auto"/>
        <w:tabs>
          <w:tab w:leader="none" w:pos="155" w:val="left"/>
        </w:tabs>
        <w:numPr>
          <w:ilvl w:val="0"/>
          <w:numId w:val="72"/>
        </w:numPr>
        <w:rPr>
          <w:rFonts w:ascii="Arial" w:cs="Arial" w:eastAsia="Arial" w:hAnsi="Arial"/>
          <w:sz w:val="20"/>
          <w:szCs w:val="20"/>
          <w:color w:val="231F20"/>
        </w:rPr>
      </w:pPr>
      <w:r>
        <w:rPr>
          <w:rFonts w:ascii="Arial" w:cs="Arial" w:eastAsia="Arial" w:hAnsi="Arial"/>
          <w:sz w:val="20"/>
          <w:szCs w:val="20"/>
          <w:color w:val="231F20"/>
        </w:rPr>
        <w:t>FFO per diluted share (“FFO per share”) is a non-GAAP financial measure that we consider significant in our business. See Appendix A for a reconciliation of FFO per share to 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1075690</wp:posOffset>
                </wp:positionV>
                <wp:extent cx="6400800" cy="1778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4" o:spid="_x0000_s1079" style="position:absolute;margin-left:0pt;margin-top:84.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1075055</wp:posOffset>
                </wp:positionV>
                <wp:extent cx="0" cy="1778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84.65pt" to="0.5pt,98.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1081405</wp:posOffset>
                </wp:positionV>
                <wp:extent cx="64008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15pt" to="504pt,85.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1075055</wp:posOffset>
                </wp:positionV>
                <wp:extent cx="0" cy="1778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84.65pt" to="503.5pt,98.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1246505</wp:posOffset>
                </wp:positionV>
                <wp:extent cx="64008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8.15pt" to="504pt,98.1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r>
      <w:r>
        <w:rPr>
          <w:sz w:val="20"/>
          <w:szCs w:val="20"/>
          <w:color w:val="auto"/>
        </w:rPr>
        <w:tab/>
      </w:r>
      <w:r>
        <w:rPr>
          <w:rFonts w:ascii="Arial" w:cs="Arial" w:eastAsia="Arial" w:hAnsi="Arial"/>
          <w:sz w:val="14"/>
          <w:szCs w:val="14"/>
          <w:color w:val="231F20"/>
        </w:rPr>
        <w:t>1</w:t>
      </w:r>
    </w:p>
    <w:p>
      <w:pPr>
        <w:sectPr>
          <w:pgSz w:w="12240" w:h="15840" w:orient="portrait"/>
          <w:cols w:equalWidth="0" w:num="1">
            <w:col w:w="10080"/>
          </w:cols>
          <w:pgMar w:left="1080" w:top="1440" w:right="1080" w:bottom="944" w:gutter="0" w:footer="0" w:header="0"/>
          <w:type w:val="continuous"/>
        </w:sectPr>
      </w:pPr>
    </w:p>
    <w:bookmarkStart w:id="121" w:name="page122"/>
    <w:bookmarkEnd w:id="121"/>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CORPORATE VALUES</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20"/>
          <w:szCs w:val="20"/>
          <w:b w:val="1"/>
          <w:bCs w:val="1"/>
          <w:color w:val="EF3E2A"/>
        </w:rPr>
        <w:t>Excellence</w:t>
      </w:r>
      <w:r>
        <w:rPr>
          <w:rFonts w:ascii="Arial" w:cs="Arial" w:eastAsia="Arial" w:hAnsi="Arial"/>
          <w:sz w:val="20"/>
          <w:szCs w:val="20"/>
          <w:color w:val="231F20"/>
        </w:rPr>
        <w:t xml:space="preserve"> in all that we do as we operate, develop and redevelop properties to serve the needs of the local communities. </w:t>
      </w:r>
      <w:r>
        <w:rPr>
          <w:rFonts w:ascii="Arial" w:cs="Arial" w:eastAsia="Arial" w:hAnsi="Arial"/>
          <w:sz w:val="20"/>
          <w:szCs w:val="20"/>
          <w:b w:val="1"/>
          <w:bCs w:val="1"/>
          <w:color w:val="EF3E2A"/>
        </w:rPr>
        <w:t>Innovation</w:t>
      </w:r>
      <w:r>
        <w:rPr>
          <w:rFonts w:ascii="Arial" w:cs="Arial" w:eastAsia="Arial" w:hAnsi="Arial"/>
          <w:sz w:val="20"/>
          <w:szCs w:val="20"/>
          <w:color w:val="231F20"/>
        </w:rPr>
        <w:t xml:space="preserve"> is key to introducing new ways of conducting our business to continue to meet the evolving economic, environmental and social challenges the real estate industry must address both in the short-and long-term. We hold ourselves </w:t>
      </w:r>
      <w:r>
        <w:rPr>
          <w:rFonts w:ascii="Arial" w:cs="Arial" w:eastAsia="Arial" w:hAnsi="Arial"/>
          <w:sz w:val="20"/>
          <w:szCs w:val="20"/>
          <w:b w:val="1"/>
          <w:bCs w:val="1"/>
          <w:color w:val="EF3E2A"/>
        </w:rPr>
        <w:t>Accountable</w:t>
      </w:r>
      <w:r>
        <w:rPr>
          <w:rFonts w:ascii="Arial" w:cs="Arial" w:eastAsia="Arial" w:hAnsi="Arial"/>
          <w:sz w:val="20"/>
          <w:szCs w:val="20"/>
          <w:color w:val="231F20"/>
        </w:rPr>
        <w:t xml:space="preserve"> for our work and our results and always act with the highest level of </w:t>
      </w:r>
      <w:r>
        <w:rPr>
          <w:rFonts w:ascii="Arial" w:cs="Arial" w:eastAsia="Arial" w:hAnsi="Arial"/>
          <w:sz w:val="20"/>
          <w:szCs w:val="20"/>
          <w:b w:val="1"/>
          <w:bCs w:val="1"/>
          <w:color w:val="EF3E2A"/>
        </w:rPr>
        <w:t>Integrity</w:t>
      </w:r>
      <w:r>
        <w:rPr>
          <w:rFonts w:ascii="Arial" w:cs="Arial" w:eastAsia="Arial" w:hAnsi="Arial"/>
          <w:sz w:val="20"/>
          <w:szCs w:val="20"/>
          <w:color w:val="231F20"/>
        </w:rPr>
        <w:t xml:space="preserve"> in our dealings with our shareholders, our employees, our tenants, our business partners and our community partners. Living these values underpins our ability to successfully deliver results for all stakeholders.</w:t>
      </w:r>
    </w:p>
    <w:p>
      <w:pPr>
        <w:spacing w:after="0" w:line="20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OUR BOARD</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We have seven (7) trustees serving on our Board, all of whom are independent except for Don Wood who serves as our CEO. Each of these individuals has been nominated to stand for election at the 2024 annual shareholder meeting.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shd w:val="clear" w:color="auto" w:fill="EF3E2A"/>
          </w:tcPr>
          <w:p>
            <w:pPr>
              <w:spacing w:after="0"/>
              <w:rPr>
                <w:sz w:val="19"/>
                <w:szCs w:val="19"/>
                <w:color w:val="auto"/>
              </w:rPr>
            </w:pPr>
          </w:p>
        </w:tc>
        <w:tc>
          <w:tcPr>
            <w:tcW w:w="680" w:type="dxa"/>
            <w:vAlign w:val="bottom"/>
            <w:shd w:val="clear" w:color="auto" w:fill="EF3E2A"/>
          </w:tcPr>
          <w:p>
            <w:pPr>
              <w:spacing w:after="0"/>
              <w:rPr>
                <w:sz w:val="19"/>
                <w:szCs w:val="19"/>
                <w:color w:val="auto"/>
              </w:rPr>
            </w:pPr>
          </w:p>
        </w:tc>
        <w:tc>
          <w:tcPr>
            <w:tcW w:w="104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w w:val="99"/>
              </w:rPr>
              <w:t>Trustee</w:t>
            </w:r>
          </w:p>
        </w:tc>
        <w:tc>
          <w:tcPr>
            <w:tcW w:w="1500" w:type="dxa"/>
            <w:vAlign w:val="bottom"/>
            <w:shd w:val="clear" w:color="auto" w:fill="EF3E2A"/>
          </w:tcPr>
          <w:p>
            <w:pPr>
              <w:spacing w:after="0"/>
              <w:rPr>
                <w:sz w:val="19"/>
                <w:szCs w:val="19"/>
                <w:color w:val="auto"/>
              </w:rPr>
            </w:pPr>
          </w:p>
        </w:tc>
        <w:tc>
          <w:tcPr>
            <w:tcW w:w="2700" w:type="dxa"/>
            <w:vAlign w:val="bottom"/>
            <w:gridSpan w:val="3"/>
            <w:shd w:val="clear" w:color="auto" w:fill="EF3E2A"/>
          </w:tcPr>
          <w:p>
            <w:pPr>
              <w:jc w:val="center"/>
              <w:spacing w:after="0"/>
              <w:rPr>
                <w:sz w:val="20"/>
                <w:szCs w:val="20"/>
                <w:color w:val="auto"/>
              </w:rPr>
            </w:pPr>
            <w:r>
              <w:rPr>
                <w:rFonts w:ascii="Arial" w:cs="Arial" w:eastAsia="Arial" w:hAnsi="Arial"/>
                <w:sz w:val="20"/>
                <w:szCs w:val="20"/>
                <w:b w:val="1"/>
                <w:bCs w:val="1"/>
                <w:color w:val="FFFFFF"/>
              </w:rPr>
              <w:t>Committee Memberships</w:t>
            </w:r>
          </w:p>
        </w:tc>
      </w:tr>
      <w:tr>
        <w:trPr>
          <w:trHeight w:val="248"/>
        </w:trPr>
        <w:tc>
          <w:tcPr>
            <w:tcW w:w="4160" w:type="dxa"/>
            <w:vAlign w:val="bottom"/>
            <w:shd w:val="clear" w:color="auto" w:fill="EF3E2A"/>
          </w:tcPr>
          <w:p>
            <w:pPr>
              <w:spacing w:after="0"/>
              <w:rPr>
                <w:sz w:val="20"/>
                <w:szCs w:val="20"/>
                <w:color w:val="auto"/>
              </w:rPr>
            </w:pPr>
            <w:r>
              <w:rPr>
                <w:rFonts w:ascii="Arial" w:cs="Arial" w:eastAsia="Arial" w:hAnsi="Arial"/>
                <w:sz w:val="20"/>
                <w:szCs w:val="20"/>
                <w:b w:val="1"/>
                <w:bCs w:val="1"/>
                <w:color w:val="FFFFFF"/>
              </w:rPr>
              <w:t>Name and Principal Occupation</w:t>
            </w:r>
          </w:p>
        </w:tc>
        <w:tc>
          <w:tcPr>
            <w:tcW w:w="68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rPr>
              <w:t>Age</w:t>
            </w:r>
          </w:p>
        </w:tc>
        <w:tc>
          <w:tcPr>
            <w:tcW w:w="104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rPr>
              <w:t>Since</w:t>
            </w:r>
          </w:p>
        </w:tc>
        <w:tc>
          <w:tcPr>
            <w:tcW w:w="1500" w:type="dxa"/>
            <w:vAlign w:val="bottom"/>
            <w:shd w:val="clear" w:color="auto" w:fill="EF3E2A"/>
          </w:tcPr>
          <w:p>
            <w:pPr>
              <w:jc w:val="right"/>
              <w:ind w:right="60"/>
              <w:spacing w:after="0"/>
              <w:rPr>
                <w:sz w:val="20"/>
                <w:szCs w:val="20"/>
                <w:color w:val="auto"/>
              </w:rPr>
            </w:pPr>
            <w:r>
              <w:rPr>
                <w:rFonts w:ascii="Arial" w:cs="Arial" w:eastAsia="Arial" w:hAnsi="Arial"/>
                <w:sz w:val="20"/>
                <w:szCs w:val="20"/>
                <w:b w:val="1"/>
                <w:bCs w:val="1"/>
                <w:color w:val="FFFFFF"/>
              </w:rPr>
              <w:t>Independent</w:t>
            </w:r>
          </w:p>
        </w:tc>
        <w:tc>
          <w:tcPr>
            <w:tcW w:w="900" w:type="dxa"/>
            <w:vAlign w:val="bottom"/>
            <w:shd w:val="clear" w:color="auto" w:fill="EF3E2A"/>
          </w:tcPr>
          <w:p>
            <w:pPr>
              <w:ind w:left="300"/>
              <w:spacing w:after="0"/>
              <w:rPr>
                <w:sz w:val="20"/>
                <w:szCs w:val="20"/>
                <w:color w:val="auto"/>
              </w:rPr>
            </w:pPr>
            <w:r>
              <w:rPr>
                <w:rFonts w:ascii="Arial" w:cs="Arial" w:eastAsia="Arial" w:hAnsi="Arial"/>
                <w:sz w:val="20"/>
                <w:szCs w:val="20"/>
                <w:b w:val="1"/>
                <w:bCs w:val="1"/>
                <w:color w:val="FFFFFF"/>
              </w:rPr>
              <w:t>AC</w:t>
            </w:r>
          </w:p>
        </w:tc>
        <w:tc>
          <w:tcPr>
            <w:tcW w:w="90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rPr>
              <w:t>CC</w:t>
            </w:r>
          </w:p>
        </w:tc>
        <w:tc>
          <w:tcPr>
            <w:tcW w:w="90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rPr>
              <w:t>NC</w:t>
            </w: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David W. Faeder±</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67</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2003</w:t>
            </w:r>
          </w:p>
        </w:tc>
        <w:tc>
          <w:tcPr>
            <w:tcW w:w="1500" w:type="dxa"/>
            <w:vAlign w:val="bottom"/>
            <w:shd w:val="clear" w:color="auto" w:fill="DCDDDE"/>
          </w:tcPr>
          <w:p>
            <w:pPr>
              <w:jc w:val="right"/>
              <w:ind w:right="480"/>
              <w:spacing w:after="0"/>
              <w:rPr>
                <w:sz w:val="20"/>
                <w:szCs w:val="20"/>
                <w:color w:val="auto"/>
              </w:rPr>
            </w:pPr>
            <w:r>
              <w:rPr>
                <w:rFonts w:ascii="Arial" w:cs="Arial" w:eastAsia="Arial" w:hAnsi="Arial"/>
                <w:sz w:val="20"/>
                <w:szCs w:val="20"/>
                <w:color w:val="231F20"/>
              </w:rPr>
              <w:t>Yes</w:t>
            </w: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8"/>
              </w:rPr>
              <w:t>✓</w:t>
            </w:r>
            <w:r>
              <w:rPr>
                <w:rFonts w:ascii="Arial" w:cs="Arial" w:eastAsia="Arial" w:hAnsi="Arial"/>
                <w:sz w:val="20"/>
                <w:szCs w:val="20"/>
                <w:color w:val="231F20"/>
                <w:w w:val="98"/>
              </w:rPr>
              <w:t>$</w:t>
            </w:r>
          </w:p>
        </w:tc>
        <w:tc>
          <w:tcPr>
            <w:tcW w:w="900" w:type="dxa"/>
            <w:vAlign w:val="bottom"/>
            <w:shd w:val="clear" w:color="auto" w:fill="DCDDDE"/>
          </w:tcPr>
          <w:p>
            <w:pPr>
              <w:spacing w:after="0"/>
              <w:rPr>
                <w:sz w:val="24"/>
                <w:szCs w:val="24"/>
                <w:color w:val="auto"/>
              </w:rPr>
            </w:pP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r>
      <w:tr>
        <w:trPr>
          <w:trHeight w:val="214"/>
        </w:trPr>
        <w:tc>
          <w:tcPr>
            <w:tcW w:w="4160" w:type="dxa"/>
            <w:vAlign w:val="bottom"/>
            <w:shd w:val="clear" w:color="auto" w:fill="DCDDDE"/>
          </w:tcPr>
          <w:p>
            <w:pPr>
              <w:spacing w:after="0"/>
              <w:rPr>
                <w:sz w:val="20"/>
                <w:szCs w:val="20"/>
                <w:color w:val="auto"/>
              </w:rPr>
            </w:pPr>
            <w:r>
              <w:rPr>
                <w:rFonts w:ascii="Arial" w:cs="Arial" w:eastAsia="Arial" w:hAnsi="Arial"/>
                <w:sz w:val="18"/>
                <w:szCs w:val="18"/>
                <w:color w:val="231F20"/>
              </w:rPr>
              <w:t>Managing/Partner Fountain Square Properties and</w:t>
            </w:r>
          </w:p>
        </w:tc>
        <w:tc>
          <w:tcPr>
            <w:tcW w:w="680" w:type="dxa"/>
            <w:vAlign w:val="bottom"/>
            <w:shd w:val="clear" w:color="auto" w:fill="DCDDDE"/>
          </w:tcPr>
          <w:p>
            <w:pPr>
              <w:spacing w:after="0"/>
              <w:rPr>
                <w:sz w:val="18"/>
                <w:szCs w:val="18"/>
                <w:color w:val="auto"/>
              </w:rPr>
            </w:pPr>
          </w:p>
        </w:tc>
        <w:tc>
          <w:tcPr>
            <w:tcW w:w="1040" w:type="dxa"/>
            <w:vAlign w:val="bottom"/>
            <w:shd w:val="clear" w:color="auto" w:fill="DCDDDE"/>
          </w:tcPr>
          <w:p>
            <w:pPr>
              <w:spacing w:after="0"/>
              <w:rPr>
                <w:sz w:val="18"/>
                <w:szCs w:val="18"/>
                <w:color w:val="auto"/>
              </w:rPr>
            </w:pPr>
          </w:p>
        </w:tc>
        <w:tc>
          <w:tcPr>
            <w:tcW w:w="15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r>
      <w:tr>
        <w:trPr>
          <w:trHeight w:val="244"/>
        </w:trPr>
        <w:tc>
          <w:tcPr>
            <w:tcW w:w="4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8"/>
                <w:szCs w:val="18"/>
                <w:color w:val="231F20"/>
              </w:rPr>
              <w:t>Managing Member/Kensington Senior Living</w:t>
            </w:r>
          </w:p>
        </w:tc>
        <w:tc>
          <w:tcPr>
            <w:tcW w:w="680" w:type="dxa"/>
            <w:vAlign w:val="bottom"/>
            <w:tcBorders>
              <w:bottom w:val="single" w:sz="8" w:color="DCDDDE"/>
            </w:tcBorders>
            <w:shd w:val="clear" w:color="auto" w:fill="DCDDDE"/>
          </w:tcPr>
          <w:p>
            <w:pPr>
              <w:spacing w:after="0"/>
              <w:rPr>
                <w:sz w:val="21"/>
                <w:szCs w:val="21"/>
                <w:color w:val="auto"/>
              </w:rPr>
            </w:pPr>
          </w:p>
        </w:tc>
        <w:tc>
          <w:tcPr>
            <w:tcW w:w="1040" w:type="dxa"/>
            <w:vAlign w:val="bottom"/>
            <w:tcBorders>
              <w:bottom w:val="single" w:sz="8" w:color="DCDDDE"/>
            </w:tcBorders>
            <w:shd w:val="clear" w:color="auto" w:fill="DCDDDE"/>
          </w:tcPr>
          <w:p>
            <w:pPr>
              <w:spacing w:after="0"/>
              <w:rPr>
                <w:sz w:val="21"/>
                <w:szCs w:val="21"/>
                <w:color w:val="auto"/>
              </w:rPr>
            </w:pPr>
          </w:p>
        </w:tc>
        <w:tc>
          <w:tcPr>
            <w:tcW w:w="15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r>
      <w:tr>
        <w:trPr>
          <w:trHeight w:val="282"/>
        </w:trPr>
        <w:tc>
          <w:tcPr>
            <w:tcW w:w="4160" w:type="dxa"/>
            <w:vAlign w:val="bottom"/>
          </w:tcPr>
          <w:p>
            <w:pPr>
              <w:spacing w:after="0"/>
              <w:rPr>
                <w:sz w:val="20"/>
                <w:szCs w:val="20"/>
                <w:color w:val="auto"/>
              </w:rPr>
            </w:pPr>
            <w:r>
              <w:rPr>
                <w:rFonts w:ascii="Arial" w:cs="Arial" w:eastAsia="Arial" w:hAnsi="Arial"/>
                <w:sz w:val="20"/>
                <w:szCs w:val="20"/>
                <w:b w:val="1"/>
                <w:bCs w:val="1"/>
                <w:color w:val="231F20"/>
              </w:rPr>
              <w:t>Elizabeth I. Holland</w:t>
            </w:r>
          </w:p>
        </w:tc>
        <w:tc>
          <w:tcPr>
            <w:tcW w:w="680" w:type="dxa"/>
            <w:vAlign w:val="bottom"/>
          </w:tcPr>
          <w:p>
            <w:pPr>
              <w:jc w:val="center"/>
              <w:spacing w:after="0"/>
              <w:rPr>
                <w:sz w:val="20"/>
                <w:szCs w:val="20"/>
                <w:color w:val="auto"/>
              </w:rPr>
            </w:pPr>
            <w:r>
              <w:rPr>
                <w:rFonts w:ascii="Arial" w:cs="Arial" w:eastAsia="Arial" w:hAnsi="Arial"/>
                <w:sz w:val="20"/>
                <w:szCs w:val="20"/>
                <w:color w:val="231F20"/>
                <w:w w:val="98"/>
              </w:rPr>
              <w:t>58</w:t>
            </w:r>
          </w:p>
        </w:tc>
        <w:tc>
          <w:tcPr>
            <w:tcW w:w="1040" w:type="dxa"/>
            <w:vAlign w:val="bottom"/>
          </w:tcPr>
          <w:p>
            <w:pPr>
              <w:jc w:val="center"/>
              <w:spacing w:after="0"/>
              <w:rPr>
                <w:sz w:val="20"/>
                <w:szCs w:val="20"/>
                <w:color w:val="auto"/>
              </w:rPr>
            </w:pPr>
            <w:r>
              <w:rPr>
                <w:rFonts w:ascii="Arial" w:cs="Arial" w:eastAsia="Arial" w:hAnsi="Arial"/>
                <w:sz w:val="20"/>
                <w:szCs w:val="20"/>
                <w:color w:val="231F20"/>
                <w:w w:val="98"/>
              </w:rPr>
              <w:t>2017</w:t>
            </w:r>
          </w:p>
        </w:tc>
        <w:tc>
          <w:tcPr>
            <w:tcW w:w="1500" w:type="dxa"/>
            <w:vAlign w:val="bottom"/>
          </w:tcPr>
          <w:p>
            <w:pPr>
              <w:jc w:val="right"/>
              <w:ind w:right="480"/>
              <w:spacing w:after="0"/>
              <w:rPr>
                <w:sz w:val="20"/>
                <w:szCs w:val="20"/>
                <w:color w:val="auto"/>
              </w:rPr>
            </w:pPr>
            <w:r>
              <w:rPr>
                <w:rFonts w:ascii="Arial" w:cs="Arial" w:eastAsia="Arial" w:hAnsi="Arial"/>
                <w:sz w:val="20"/>
                <w:szCs w:val="20"/>
                <w:color w:val="231F20"/>
              </w:rPr>
              <w:t>Yes</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tcPr>
          <w:p>
            <w:pPr>
              <w:jc w:val="center"/>
              <w:spacing w:after="0"/>
              <w:rPr>
                <w:sz w:val="20"/>
                <w:szCs w:val="20"/>
                <w:color w:val="auto"/>
              </w:rPr>
            </w:pPr>
            <w:r>
              <w:rPr>
                <w:rFonts w:ascii="Arial" w:cs="Arial" w:eastAsia="Arial" w:hAnsi="Arial"/>
                <w:sz w:val="20"/>
                <w:szCs w:val="20"/>
                <w:color w:val="231F20"/>
                <w:w w:val="96"/>
              </w:rPr>
              <w:t>C</w:t>
            </w:r>
          </w:p>
        </w:tc>
        <w:tc>
          <w:tcPr>
            <w:tcW w:w="900" w:type="dxa"/>
            <w:vAlign w:val="bottom"/>
          </w:tcPr>
          <w:p>
            <w:pPr>
              <w:spacing w:after="0"/>
              <w:rPr>
                <w:sz w:val="24"/>
                <w:szCs w:val="24"/>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231F20"/>
              </w:rPr>
              <w:t>Chief Executive Officer/AbbellCredit Corporation</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4160" w:type="dxa"/>
            <w:vAlign w:val="bottom"/>
          </w:tcPr>
          <w:p>
            <w:pPr>
              <w:spacing w:after="0"/>
              <w:rPr>
                <w:sz w:val="20"/>
                <w:szCs w:val="20"/>
                <w:color w:val="auto"/>
              </w:rPr>
            </w:pPr>
            <w:r>
              <w:rPr>
                <w:rFonts w:ascii="Arial" w:cs="Arial" w:eastAsia="Arial" w:hAnsi="Arial"/>
                <w:sz w:val="18"/>
                <w:szCs w:val="18"/>
                <w:color w:val="231F20"/>
              </w:rPr>
              <w:t>and Abbell Associates, LLC</w:t>
            </w: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
        </w:trPr>
        <w:tc>
          <w:tcPr>
            <w:tcW w:w="4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Nicole Y. Lamb-Hale</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57</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2020</w:t>
            </w:r>
          </w:p>
        </w:tc>
        <w:tc>
          <w:tcPr>
            <w:tcW w:w="1500" w:type="dxa"/>
            <w:vAlign w:val="bottom"/>
            <w:shd w:val="clear" w:color="auto" w:fill="DCDDDE"/>
          </w:tcPr>
          <w:p>
            <w:pPr>
              <w:jc w:val="right"/>
              <w:ind w:right="480"/>
              <w:spacing w:after="0"/>
              <w:rPr>
                <w:sz w:val="20"/>
                <w:szCs w:val="20"/>
                <w:color w:val="auto"/>
              </w:rPr>
            </w:pPr>
            <w:r>
              <w:rPr>
                <w:rFonts w:ascii="Arial" w:cs="Arial" w:eastAsia="Arial" w:hAnsi="Arial"/>
                <w:sz w:val="20"/>
                <w:szCs w:val="20"/>
                <w:color w:val="231F20"/>
              </w:rPr>
              <w:t>Yes</w:t>
            </w:r>
          </w:p>
        </w:tc>
        <w:tc>
          <w:tcPr>
            <w:tcW w:w="900" w:type="dxa"/>
            <w:vAlign w:val="bottom"/>
            <w:shd w:val="clear" w:color="auto" w:fill="DCDDDE"/>
          </w:tcPr>
          <w:p>
            <w:pPr>
              <w:spacing w:after="0"/>
              <w:rPr>
                <w:sz w:val="24"/>
                <w:szCs w:val="24"/>
                <w:color w:val="auto"/>
              </w:rPr>
            </w:pP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r>
      <w:tr>
        <w:trPr>
          <w:trHeight w:val="214"/>
        </w:trPr>
        <w:tc>
          <w:tcPr>
            <w:tcW w:w="4160" w:type="dxa"/>
            <w:vAlign w:val="bottom"/>
            <w:shd w:val="clear" w:color="auto" w:fill="DCDDDE"/>
          </w:tcPr>
          <w:p>
            <w:pPr>
              <w:spacing w:after="0"/>
              <w:rPr>
                <w:sz w:val="20"/>
                <w:szCs w:val="20"/>
                <w:color w:val="auto"/>
              </w:rPr>
            </w:pPr>
            <w:r>
              <w:rPr>
                <w:rFonts w:ascii="Arial" w:cs="Arial" w:eastAsia="Arial" w:hAnsi="Arial"/>
                <w:sz w:val="18"/>
                <w:szCs w:val="18"/>
                <w:color w:val="231F20"/>
              </w:rPr>
              <w:t>Vice President, Chief Legal Officer and Corporate</w:t>
            </w:r>
          </w:p>
        </w:tc>
        <w:tc>
          <w:tcPr>
            <w:tcW w:w="680" w:type="dxa"/>
            <w:vAlign w:val="bottom"/>
            <w:shd w:val="clear" w:color="auto" w:fill="DCDDDE"/>
          </w:tcPr>
          <w:p>
            <w:pPr>
              <w:spacing w:after="0"/>
              <w:rPr>
                <w:sz w:val="18"/>
                <w:szCs w:val="18"/>
                <w:color w:val="auto"/>
              </w:rPr>
            </w:pPr>
          </w:p>
        </w:tc>
        <w:tc>
          <w:tcPr>
            <w:tcW w:w="1040" w:type="dxa"/>
            <w:vAlign w:val="bottom"/>
            <w:shd w:val="clear" w:color="auto" w:fill="DCDDDE"/>
          </w:tcPr>
          <w:p>
            <w:pPr>
              <w:spacing w:after="0"/>
              <w:rPr>
                <w:sz w:val="18"/>
                <w:szCs w:val="18"/>
                <w:color w:val="auto"/>
              </w:rPr>
            </w:pPr>
          </w:p>
        </w:tc>
        <w:tc>
          <w:tcPr>
            <w:tcW w:w="15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r>
      <w:tr>
        <w:trPr>
          <w:trHeight w:val="244"/>
        </w:trPr>
        <w:tc>
          <w:tcPr>
            <w:tcW w:w="4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8"/>
                <w:szCs w:val="18"/>
                <w:color w:val="231F20"/>
              </w:rPr>
              <w:t>Secretary/Cummins Inc.</w:t>
            </w:r>
          </w:p>
        </w:tc>
        <w:tc>
          <w:tcPr>
            <w:tcW w:w="680" w:type="dxa"/>
            <w:vAlign w:val="bottom"/>
            <w:tcBorders>
              <w:bottom w:val="single" w:sz="8" w:color="DCDDDE"/>
            </w:tcBorders>
            <w:shd w:val="clear" w:color="auto" w:fill="DCDDDE"/>
          </w:tcPr>
          <w:p>
            <w:pPr>
              <w:spacing w:after="0"/>
              <w:rPr>
                <w:sz w:val="21"/>
                <w:szCs w:val="21"/>
                <w:color w:val="auto"/>
              </w:rPr>
            </w:pPr>
          </w:p>
        </w:tc>
        <w:tc>
          <w:tcPr>
            <w:tcW w:w="1040" w:type="dxa"/>
            <w:vAlign w:val="bottom"/>
            <w:tcBorders>
              <w:bottom w:val="single" w:sz="8" w:color="DCDDDE"/>
            </w:tcBorders>
            <w:shd w:val="clear" w:color="auto" w:fill="DCDDDE"/>
          </w:tcPr>
          <w:p>
            <w:pPr>
              <w:spacing w:after="0"/>
              <w:rPr>
                <w:sz w:val="21"/>
                <w:szCs w:val="21"/>
                <w:color w:val="auto"/>
              </w:rPr>
            </w:pPr>
          </w:p>
        </w:tc>
        <w:tc>
          <w:tcPr>
            <w:tcW w:w="15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r>
      <w:tr>
        <w:trPr>
          <w:trHeight w:val="282"/>
        </w:trPr>
        <w:tc>
          <w:tcPr>
            <w:tcW w:w="4160" w:type="dxa"/>
            <w:vAlign w:val="bottom"/>
          </w:tcPr>
          <w:p>
            <w:pPr>
              <w:spacing w:after="0"/>
              <w:rPr>
                <w:sz w:val="20"/>
                <w:szCs w:val="20"/>
                <w:color w:val="auto"/>
              </w:rPr>
            </w:pPr>
            <w:r>
              <w:rPr>
                <w:rFonts w:ascii="Arial" w:cs="Arial" w:eastAsia="Arial" w:hAnsi="Arial"/>
                <w:sz w:val="20"/>
                <w:szCs w:val="20"/>
                <w:b w:val="1"/>
                <w:bCs w:val="1"/>
                <w:color w:val="231F20"/>
              </w:rPr>
              <w:t>Thomas A. McEachin</w:t>
            </w:r>
          </w:p>
        </w:tc>
        <w:tc>
          <w:tcPr>
            <w:tcW w:w="680" w:type="dxa"/>
            <w:vAlign w:val="bottom"/>
          </w:tcPr>
          <w:p>
            <w:pPr>
              <w:jc w:val="center"/>
              <w:spacing w:after="0"/>
              <w:rPr>
                <w:sz w:val="20"/>
                <w:szCs w:val="20"/>
                <w:color w:val="auto"/>
              </w:rPr>
            </w:pPr>
            <w:r>
              <w:rPr>
                <w:rFonts w:ascii="Arial" w:cs="Arial" w:eastAsia="Arial" w:hAnsi="Arial"/>
                <w:sz w:val="20"/>
                <w:szCs w:val="20"/>
                <w:color w:val="231F20"/>
                <w:w w:val="98"/>
              </w:rPr>
              <w:t>71</w:t>
            </w:r>
          </w:p>
        </w:tc>
        <w:tc>
          <w:tcPr>
            <w:tcW w:w="1040" w:type="dxa"/>
            <w:vAlign w:val="bottom"/>
          </w:tcPr>
          <w:p>
            <w:pPr>
              <w:jc w:val="center"/>
              <w:spacing w:after="0"/>
              <w:rPr>
                <w:sz w:val="20"/>
                <w:szCs w:val="20"/>
                <w:color w:val="auto"/>
              </w:rPr>
            </w:pPr>
            <w:r>
              <w:rPr>
                <w:rFonts w:ascii="Arial" w:cs="Arial" w:eastAsia="Arial" w:hAnsi="Arial"/>
                <w:sz w:val="20"/>
                <w:szCs w:val="20"/>
                <w:color w:val="231F20"/>
                <w:w w:val="98"/>
              </w:rPr>
              <w:t>2022</w:t>
            </w:r>
          </w:p>
        </w:tc>
        <w:tc>
          <w:tcPr>
            <w:tcW w:w="1500" w:type="dxa"/>
            <w:vAlign w:val="bottom"/>
          </w:tcPr>
          <w:p>
            <w:pPr>
              <w:jc w:val="right"/>
              <w:ind w:right="480"/>
              <w:spacing w:after="0"/>
              <w:rPr>
                <w:sz w:val="20"/>
                <w:szCs w:val="20"/>
                <w:color w:val="auto"/>
              </w:rPr>
            </w:pPr>
            <w:r>
              <w:rPr>
                <w:rFonts w:ascii="Arial" w:cs="Arial" w:eastAsia="Arial" w:hAnsi="Arial"/>
                <w:sz w:val="20"/>
                <w:szCs w:val="20"/>
                <w:color w:val="231F20"/>
              </w:rPr>
              <w:t>Yes</w:t>
            </w:r>
          </w:p>
        </w:tc>
        <w:tc>
          <w:tcPr>
            <w:tcW w:w="900" w:type="dxa"/>
            <w:vAlign w:val="bottom"/>
          </w:tcPr>
          <w:p>
            <w:pPr>
              <w:spacing w:after="0"/>
              <w:rPr>
                <w:sz w:val="24"/>
                <w:szCs w:val="24"/>
                <w:color w:val="auto"/>
              </w:rPr>
            </w:pP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231F20"/>
              </w:rPr>
              <w:t>Former Chief Financial Officer/Covidien Surgical</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4160" w:type="dxa"/>
            <w:vAlign w:val="bottom"/>
          </w:tcPr>
          <w:p>
            <w:pPr>
              <w:spacing w:after="0"/>
              <w:rPr>
                <w:sz w:val="20"/>
                <w:szCs w:val="20"/>
                <w:color w:val="auto"/>
              </w:rPr>
            </w:pPr>
            <w:r>
              <w:rPr>
                <w:rFonts w:ascii="Arial" w:cs="Arial" w:eastAsia="Arial" w:hAnsi="Arial"/>
                <w:sz w:val="18"/>
                <w:szCs w:val="18"/>
                <w:color w:val="231F20"/>
              </w:rPr>
              <w:t>Solutions</w:t>
            </w: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
        </w:trPr>
        <w:tc>
          <w:tcPr>
            <w:tcW w:w="4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Anthony P. Nader, III</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60</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2020</w:t>
            </w:r>
          </w:p>
        </w:tc>
        <w:tc>
          <w:tcPr>
            <w:tcW w:w="1500" w:type="dxa"/>
            <w:vAlign w:val="bottom"/>
            <w:shd w:val="clear" w:color="auto" w:fill="DCDDDE"/>
          </w:tcPr>
          <w:p>
            <w:pPr>
              <w:jc w:val="right"/>
              <w:ind w:right="480"/>
              <w:spacing w:after="0"/>
              <w:rPr>
                <w:sz w:val="20"/>
                <w:szCs w:val="20"/>
                <w:color w:val="auto"/>
              </w:rPr>
            </w:pPr>
            <w:r>
              <w:rPr>
                <w:rFonts w:ascii="Arial" w:cs="Arial" w:eastAsia="Arial" w:hAnsi="Arial"/>
                <w:sz w:val="20"/>
                <w:szCs w:val="20"/>
                <w:color w:val="231F20"/>
              </w:rPr>
              <w:t>Yes</w:t>
            </w: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8"/>
              </w:rPr>
              <w:t>✓</w:t>
            </w:r>
            <w:r>
              <w:rPr>
                <w:rFonts w:ascii="Arial" w:cs="Arial" w:eastAsia="Arial" w:hAnsi="Arial"/>
                <w:sz w:val="20"/>
                <w:szCs w:val="20"/>
                <w:color w:val="231F20"/>
                <w:w w:val="98"/>
              </w:rPr>
              <w:t>$</w:t>
            </w:r>
          </w:p>
        </w:tc>
        <w:tc>
          <w:tcPr>
            <w:tcW w:w="900" w:type="dxa"/>
            <w:vAlign w:val="bottom"/>
            <w:shd w:val="clear" w:color="auto" w:fill="DCDDDE"/>
          </w:tcPr>
          <w:p>
            <w:pPr>
              <w:spacing w:after="0"/>
              <w:rPr>
                <w:sz w:val="24"/>
                <w:szCs w:val="24"/>
                <w:color w:val="auto"/>
              </w:rPr>
            </w:pPr>
          </w:p>
        </w:tc>
        <w:tc>
          <w:tcPr>
            <w:tcW w:w="90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6"/>
              </w:rPr>
              <w:t>C</w:t>
            </w:r>
          </w:p>
        </w:tc>
      </w:tr>
      <w:tr>
        <w:trPr>
          <w:trHeight w:val="238"/>
        </w:trPr>
        <w:tc>
          <w:tcPr>
            <w:tcW w:w="4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8"/>
                <w:szCs w:val="18"/>
                <w:color w:val="231F20"/>
              </w:rPr>
              <w:t>Managing Director/SWaN &amp; Legend Partners</w:t>
            </w:r>
          </w:p>
        </w:tc>
        <w:tc>
          <w:tcPr>
            <w:tcW w:w="680" w:type="dxa"/>
            <w:vAlign w:val="bottom"/>
            <w:tcBorders>
              <w:bottom w:val="single" w:sz="8" w:color="DCDDDE"/>
            </w:tcBorders>
            <w:shd w:val="clear" w:color="auto" w:fill="DCDDDE"/>
          </w:tcPr>
          <w:p>
            <w:pPr>
              <w:spacing w:after="0"/>
              <w:rPr>
                <w:sz w:val="20"/>
                <w:szCs w:val="20"/>
                <w:color w:val="auto"/>
              </w:rPr>
            </w:pPr>
          </w:p>
        </w:tc>
        <w:tc>
          <w:tcPr>
            <w:tcW w:w="1040" w:type="dxa"/>
            <w:vAlign w:val="bottom"/>
            <w:tcBorders>
              <w:bottom w:val="single" w:sz="8" w:color="DCDDDE"/>
            </w:tcBorders>
            <w:shd w:val="clear" w:color="auto" w:fill="DCDDDE"/>
          </w:tcPr>
          <w:p>
            <w:pPr>
              <w:spacing w:after="0"/>
              <w:rPr>
                <w:sz w:val="20"/>
                <w:szCs w:val="20"/>
                <w:color w:val="auto"/>
              </w:rPr>
            </w:pPr>
          </w:p>
        </w:tc>
        <w:tc>
          <w:tcPr>
            <w:tcW w:w="1500" w:type="dxa"/>
            <w:vAlign w:val="bottom"/>
            <w:tcBorders>
              <w:bottom w:val="single" w:sz="8" w:color="DCDDDE"/>
            </w:tcBorders>
            <w:shd w:val="clear" w:color="auto" w:fill="DCDDDE"/>
          </w:tcPr>
          <w:p>
            <w:pPr>
              <w:spacing w:after="0"/>
              <w:rPr>
                <w:sz w:val="20"/>
                <w:szCs w:val="20"/>
                <w:color w:val="auto"/>
              </w:rPr>
            </w:pPr>
          </w:p>
        </w:tc>
        <w:tc>
          <w:tcPr>
            <w:tcW w:w="900" w:type="dxa"/>
            <w:vAlign w:val="bottom"/>
            <w:tcBorders>
              <w:bottom w:val="single" w:sz="8" w:color="DCDDDE"/>
            </w:tcBorders>
            <w:shd w:val="clear" w:color="auto" w:fill="DCDDDE"/>
          </w:tcPr>
          <w:p>
            <w:pPr>
              <w:spacing w:after="0"/>
              <w:rPr>
                <w:sz w:val="20"/>
                <w:szCs w:val="20"/>
                <w:color w:val="auto"/>
              </w:rPr>
            </w:pPr>
          </w:p>
        </w:tc>
        <w:tc>
          <w:tcPr>
            <w:tcW w:w="900" w:type="dxa"/>
            <w:vAlign w:val="bottom"/>
            <w:tcBorders>
              <w:bottom w:val="single" w:sz="8" w:color="DCDDDE"/>
            </w:tcBorders>
            <w:shd w:val="clear" w:color="auto" w:fill="DCDDDE"/>
          </w:tcPr>
          <w:p>
            <w:pPr>
              <w:spacing w:after="0"/>
              <w:rPr>
                <w:sz w:val="20"/>
                <w:szCs w:val="20"/>
                <w:color w:val="auto"/>
              </w:rPr>
            </w:pPr>
          </w:p>
        </w:tc>
        <w:tc>
          <w:tcPr>
            <w:tcW w:w="900" w:type="dxa"/>
            <w:vAlign w:val="bottom"/>
            <w:tcBorders>
              <w:bottom w:val="single" w:sz="8" w:color="DCDDDE"/>
            </w:tcBorders>
            <w:shd w:val="clear" w:color="auto" w:fill="DCDDDE"/>
          </w:tcPr>
          <w:p>
            <w:pPr>
              <w:spacing w:after="0"/>
              <w:rPr>
                <w:sz w:val="20"/>
                <w:szCs w:val="20"/>
                <w:color w:val="auto"/>
              </w:rPr>
            </w:pPr>
          </w:p>
        </w:tc>
      </w:tr>
      <w:tr>
        <w:trPr>
          <w:trHeight w:val="282"/>
        </w:trPr>
        <w:tc>
          <w:tcPr>
            <w:tcW w:w="4160" w:type="dxa"/>
            <w:vAlign w:val="bottom"/>
          </w:tcPr>
          <w:p>
            <w:pPr>
              <w:spacing w:after="0"/>
              <w:rPr>
                <w:sz w:val="20"/>
                <w:szCs w:val="20"/>
                <w:color w:val="auto"/>
              </w:rPr>
            </w:pPr>
            <w:r>
              <w:rPr>
                <w:rFonts w:ascii="Arial" w:cs="Arial" w:eastAsia="Arial" w:hAnsi="Arial"/>
                <w:sz w:val="20"/>
                <w:szCs w:val="20"/>
                <w:b w:val="1"/>
                <w:bCs w:val="1"/>
                <w:color w:val="231F20"/>
              </w:rPr>
              <w:t>Gail P. Steinel</w:t>
            </w:r>
          </w:p>
        </w:tc>
        <w:tc>
          <w:tcPr>
            <w:tcW w:w="680" w:type="dxa"/>
            <w:vAlign w:val="bottom"/>
          </w:tcPr>
          <w:p>
            <w:pPr>
              <w:jc w:val="center"/>
              <w:spacing w:after="0"/>
              <w:rPr>
                <w:sz w:val="20"/>
                <w:szCs w:val="20"/>
                <w:color w:val="auto"/>
              </w:rPr>
            </w:pPr>
            <w:r>
              <w:rPr>
                <w:rFonts w:ascii="Arial" w:cs="Arial" w:eastAsia="Arial" w:hAnsi="Arial"/>
                <w:sz w:val="20"/>
                <w:szCs w:val="20"/>
                <w:color w:val="231F20"/>
                <w:w w:val="98"/>
              </w:rPr>
              <w:t>67</w:t>
            </w:r>
          </w:p>
        </w:tc>
        <w:tc>
          <w:tcPr>
            <w:tcW w:w="1040" w:type="dxa"/>
            <w:vAlign w:val="bottom"/>
          </w:tcPr>
          <w:p>
            <w:pPr>
              <w:jc w:val="center"/>
              <w:spacing w:after="0"/>
              <w:rPr>
                <w:sz w:val="20"/>
                <w:szCs w:val="20"/>
                <w:color w:val="auto"/>
              </w:rPr>
            </w:pPr>
            <w:r>
              <w:rPr>
                <w:rFonts w:ascii="Arial" w:cs="Arial" w:eastAsia="Arial" w:hAnsi="Arial"/>
                <w:sz w:val="20"/>
                <w:szCs w:val="20"/>
                <w:color w:val="231F20"/>
                <w:w w:val="98"/>
              </w:rPr>
              <w:t>2006</w:t>
            </w:r>
          </w:p>
        </w:tc>
        <w:tc>
          <w:tcPr>
            <w:tcW w:w="1500" w:type="dxa"/>
            <w:vAlign w:val="bottom"/>
          </w:tcPr>
          <w:p>
            <w:pPr>
              <w:jc w:val="right"/>
              <w:ind w:right="480"/>
              <w:spacing w:after="0"/>
              <w:rPr>
                <w:sz w:val="20"/>
                <w:szCs w:val="20"/>
                <w:color w:val="auto"/>
              </w:rPr>
            </w:pPr>
            <w:r>
              <w:rPr>
                <w:rFonts w:ascii="Arial" w:cs="Arial" w:eastAsia="Arial" w:hAnsi="Arial"/>
                <w:sz w:val="20"/>
                <w:szCs w:val="20"/>
                <w:color w:val="231F20"/>
              </w:rPr>
              <w:t>Yes</w:t>
            </w:r>
          </w:p>
        </w:tc>
        <w:tc>
          <w:tcPr>
            <w:tcW w:w="900" w:type="dxa"/>
            <w:vAlign w:val="bottom"/>
          </w:tcPr>
          <w:p>
            <w:pPr>
              <w:ind w:left="320"/>
              <w:spacing w:after="0"/>
              <w:rPr>
                <w:sz w:val="20"/>
                <w:szCs w:val="20"/>
                <w:color w:val="auto"/>
              </w:rPr>
            </w:pPr>
            <w:r>
              <w:rPr>
                <w:rFonts w:ascii="Arial" w:cs="Arial" w:eastAsia="Arial" w:hAnsi="Arial"/>
                <w:sz w:val="20"/>
                <w:szCs w:val="20"/>
                <w:color w:val="231F20"/>
              </w:rPr>
              <w:t>C$</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tcPr>
          <w:p>
            <w:pPr>
              <w:spacing w:after="0"/>
              <w:rPr>
                <w:sz w:val="24"/>
                <w:szCs w:val="24"/>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231F20"/>
              </w:rPr>
              <w:t>Owner/Executive Advisors</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4"/>
        </w:trPr>
        <w:tc>
          <w:tcPr>
            <w:tcW w:w="4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Donald C. Wood</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63</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2003</w:t>
            </w:r>
          </w:p>
        </w:tc>
        <w:tc>
          <w:tcPr>
            <w:tcW w:w="1500" w:type="dxa"/>
            <w:vAlign w:val="bottom"/>
            <w:shd w:val="clear" w:color="auto" w:fill="DCDDDE"/>
          </w:tcPr>
          <w:p>
            <w:pPr>
              <w:jc w:val="right"/>
              <w:ind w:right="480"/>
              <w:spacing w:after="0"/>
              <w:rPr>
                <w:sz w:val="20"/>
                <w:szCs w:val="20"/>
                <w:color w:val="auto"/>
              </w:rPr>
            </w:pPr>
            <w:r>
              <w:rPr>
                <w:rFonts w:ascii="Arial" w:cs="Arial" w:eastAsia="Arial" w:hAnsi="Arial"/>
                <w:sz w:val="20"/>
                <w:szCs w:val="20"/>
                <w:color w:val="231F20"/>
              </w:rPr>
              <w:t>No</w:t>
            </w:r>
          </w:p>
        </w:tc>
        <w:tc>
          <w:tcPr>
            <w:tcW w:w="90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r>
      <w:tr>
        <w:trPr>
          <w:trHeight w:val="214"/>
        </w:trPr>
        <w:tc>
          <w:tcPr>
            <w:tcW w:w="4160" w:type="dxa"/>
            <w:vAlign w:val="bottom"/>
            <w:shd w:val="clear" w:color="auto" w:fill="DCDDDE"/>
          </w:tcPr>
          <w:p>
            <w:pPr>
              <w:spacing w:after="0"/>
              <w:rPr>
                <w:sz w:val="20"/>
                <w:szCs w:val="20"/>
                <w:color w:val="auto"/>
              </w:rPr>
            </w:pPr>
            <w:r>
              <w:rPr>
                <w:rFonts w:ascii="Arial" w:cs="Arial" w:eastAsia="Arial" w:hAnsi="Arial"/>
                <w:sz w:val="18"/>
                <w:szCs w:val="18"/>
                <w:color w:val="231F20"/>
              </w:rPr>
              <w:t>Chief Executive Officer/Federal Realty Investment</w:t>
            </w:r>
          </w:p>
        </w:tc>
        <w:tc>
          <w:tcPr>
            <w:tcW w:w="680" w:type="dxa"/>
            <w:vAlign w:val="bottom"/>
            <w:shd w:val="clear" w:color="auto" w:fill="DCDDDE"/>
          </w:tcPr>
          <w:p>
            <w:pPr>
              <w:spacing w:after="0"/>
              <w:rPr>
                <w:sz w:val="18"/>
                <w:szCs w:val="18"/>
                <w:color w:val="auto"/>
              </w:rPr>
            </w:pPr>
          </w:p>
        </w:tc>
        <w:tc>
          <w:tcPr>
            <w:tcW w:w="1040" w:type="dxa"/>
            <w:vAlign w:val="bottom"/>
            <w:shd w:val="clear" w:color="auto" w:fill="DCDDDE"/>
          </w:tcPr>
          <w:p>
            <w:pPr>
              <w:spacing w:after="0"/>
              <w:rPr>
                <w:sz w:val="18"/>
                <w:szCs w:val="18"/>
                <w:color w:val="auto"/>
              </w:rPr>
            </w:pPr>
          </w:p>
        </w:tc>
        <w:tc>
          <w:tcPr>
            <w:tcW w:w="15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r>
      <w:tr>
        <w:trPr>
          <w:trHeight w:val="220"/>
        </w:trPr>
        <w:tc>
          <w:tcPr>
            <w:tcW w:w="4160" w:type="dxa"/>
            <w:vAlign w:val="bottom"/>
            <w:shd w:val="clear" w:color="auto" w:fill="DCDDDE"/>
          </w:tcPr>
          <w:p>
            <w:pPr>
              <w:spacing w:after="0"/>
              <w:rPr>
                <w:sz w:val="20"/>
                <w:szCs w:val="20"/>
                <w:color w:val="auto"/>
              </w:rPr>
            </w:pPr>
            <w:r>
              <w:rPr>
                <w:rFonts w:ascii="Arial" w:cs="Arial" w:eastAsia="Arial" w:hAnsi="Arial"/>
                <w:sz w:val="18"/>
                <w:szCs w:val="18"/>
                <w:color w:val="231F20"/>
              </w:rPr>
              <w:t>Trust</w:t>
            </w:r>
          </w:p>
        </w:tc>
        <w:tc>
          <w:tcPr>
            <w:tcW w:w="680" w:type="dxa"/>
            <w:vAlign w:val="bottom"/>
            <w:shd w:val="clear" w:color="auto" w:fill="DCDDDE"/>
          </w:tcPr>
          <w:p>
            <w:pPr>
              <w:spacing w:after="0"/>
              <w:rPr>
                <w:sz w:val="19"/>
                <w:szCs w:val="19"/>
                <w:color w:val="auto"/>
              </w:rPr>
            </w:pPr>
          </w:p>
        </w:tc>
        <w:tc>
          <w:tcPr>
            <w:tcW w:w="1040" w:type="dxa"/>
            <w:vAlign w:val="bottom"/>
            <w:shd w:val="clear" w:color="auto" w:fill="DCDDDE"/>
          </w:tcPr>
          <w:p>
            <w:pPr>
              <w:spacing w:after="0"/>
              <w:rPr>
                <w:sz w:val="19"/>
                <w:szCs w:val="19"/>
                <w:color w:val="auto"/>
              </w:rPr>
            </w:pPr>
          </w:p>
        </w:tc>
        <w:tc>
          <w:tcPr>
            <w:tcW w:w="1500" w:type="dxa"/>
            <w:vAlign w:val="bottom"/>
            <w:shd w:val="clear" w:color="auto" w:fill="DCDDDE"/>
          </w:tcPr>
          <w:p>
            <w:pPr>
              <w:spacing w:after="0"/>
              <w:rPr>
                <w:sz w:val="19"/>
                <w:szCs w:val="19"/>
                <w:color w:val="auto"/>
              </w:rPr>
            </w:pPr>
          </w:p>
        </w:tc>
        <w:tc>
          <w:tcPr>
            <w:tcW w:w="900" w:type="dxa"/>
            <w:vAlign w:val="bottom"/>
            <w:shd w:val="clear" w:color="auto" w:fill="DCDDDE"/>
          </w:tcPr>
          <w:p>
            <w:pPr>
              <w:spacing w:after="0"/>
              <w:rPr>
                <w:sz w:val="19"/>
                <w:szCs w:val="19"/>
                <w:color w:val="auto"/>
              </w:rPr>
            </w:pPr>
          </w:p>
        </w:tc>
        <w:tc>
          <w:tcPr>
            <w:tcW w:w="900" w:type="dxa"/>
            <w:vAlign w:val="bottom"/>
            <w:shd w:val="clear" w:color="auto" w:fill="DCDDDE"/>
          </w:tcPr>
          <w:p>
            <w:pPr>
              <w:spacing w:after="0"/>
              <w:rPr>
                <w:sz w:val="19"/>
                <w:szCs w:val="19"/>
                <w:color w:val="auto"/>
              </w:rPr>
            </w:pPr>
          </w:p>
        </w:tc>
        <w:tc>
          <w:tcPr>
            <w:tcW w:w="900" w:type="dxa"/>
            <w:vAlign w:val="bottom"/>
            <w:shd w:val="clear" w:color="auto" w:fill="DCDDDE"/>
          </w:tcPr>
          <w:p>
            <w:pPr>
              <w:spacing w:after="0"/>
              <w:rPr>
                <w:sz w:val="19"/>
                <w:szCs w:val="19"/>
                <w:color w:val="auto"/>
              </w:rPr>
            </w:pPr>
          </w:p>
        </w:tc>
      </w:tr>
      <w:tr>
        <w:trPr>
          <w:trHeight w:val="44"/>
        </w:trPr>
        <w:tc>
          <w:tcPr>
            <w:tcW w:w="4160" w:type="dxa"/>
            <w:vAlign w:val="bottom"/>
            <w:shd w:val="clear" w:color="auto" w:fill="DCDDDE"/>
          </w:tcPr>
          <w:p>
            <w:pPr>
              <w:spacing w:after="0"/>
              <w:rPr>
                <w:sz w:val="3"/>
                <w:szCs w:val="3"/>
                <w:color w:val="auto"/>
              </w:rPr>
            </w:pPr>
          </w:p>
        </w:tc>
        <w:tc>
          <w:tcPr>
            <w:tcW w:w="680" w:type="dxa"/>
            <w:vAlign w:val="bottom"/>
            <w:shd w:val="clear" w:color="auto" w:fill="DCDDDE"/>
          </w:tcPr>
          <w:p>
            <w:pPr>
              <w:spacing w:after="0"/>
              <w:rPr>
                <w:sz w:val="3"/>
                <w:szCs w:val="3"/>
                <w:color w:val="auto"/>
              </w:rPr>
            </w:pPr>
          </w:p>
        </w:tc>
        <w:tc>
          <w:tcPr>
            <w:tcW w:w="1040" w:type="dxa"/>
            <w:vAlign w:val="bottom"/>
            <w:shd w:val="clear" w:color="auto" w:fill="DCDDDE"/>
          </w:tcPr>
          <w:p>
            <w:pPr>
              <w:spacing w:after="0"/>
              <w:rPr>
                <w:sz w:val="3"/>
                <w:szCs w:val="3"/>
                <w:color w:val="auto"/>
              </w:rPr>
            </w:pPr>
          </w:p>
        </w:tc>
        <w:tc>
          <w:tcPr>
            <w:tcW w:w="1500" w:type="dxa"/>
            <w:vAlign w:val="bottom"/>
            <w:shd w:val="clear" w:color="auto" w:fill="DCDDDE"/>
          </w:tcPr>
          <w:p>
            <w:pPr>
              <w:spacing w:after="0"/>
              <w:rPr>
                <w:sz w:val="3"/>
                <w:szCs w:val="3"/>
                <w:color w:val="auto"/>
              </w:rPr>
            </w:pPr>
          </w:p>
        </w:tc>
        <w:tc>
          <w:tcPr>
            <w:tcW w:w="900" w:type="dxa"/>
            <w:vAlign w:val="bottom"/>
            <w:shd w:val="clear" w:color="auto" w:fill="DCDDDE"/>
          </w:tcPr>
          <w:p>
            <w:pPr>
              <w:spacing w:after="0"/>
              <w:rPr>
                <w:sz w:val="3"/>
                <w:szCs w:val="3"/>
                <w:color w:val="auto"/>
              </w:rPr>
            </w:pPr>
          </w:p>
        </w:tc>
        <w:tc>
          <w:tcPr>
            <w:tcW w:w="900" w:type="dxa"/>
            <w:vAlign w:val="bottom"/>
            <w:shd w:val="clear" w:color="auto" w:fill="DCDDDE"/>
          </w:tcPr>
          <w:p>
            <w:pPr>
              <w:spacing w:after="0"/>
              <w:rPr>
                <w:sz w:val="3"/>
                <w:szCs w:val="3"/>
                <w:color w:val="auto"/>
              </w:rPr>
            </w:pPr>
          </w:p>
        </w:tc>
        <w:tc>
          <w:tcPr>
            <w:tcW w:w="900" w:type="dxa"/>
            <w:vAlign w:val="bottom"/>
            <w:shd w:val="clear" w:color="auto" w:fill="DCDDDE"/>
          </w:tcPr>
          <w:p>
            <w:pPr>
              <w:spacing w:after="0"/>
              <w:rPr>
                <w:sz w:val="3"/>
                <w:szCs w:val="3"/>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Legend:</w:t>
      </w:r>
    </w:p>
    <w:p>
      <w:pPr>
        <w:spacing w:after="0" w:line="2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AC-Audit Committee; CC-Compensation and Human Capital Management Committee; NC-Nominating and Corporate Governance Committee</w:t>
      </w:r>
    </w:p>
    <w:p>
      <w:pPr>
        <w:spacing w:after="0" w:line="50" w:lineRule="exact"/>
        <w:rPr>
          <w:sz w:val="20"/>
          <w:szCs w:val="20"/>
          <w:color w:val="auto"/>
        </w:rPr>
      </w:pPr>
    </w:p>
    <w:p>
      <w:pPr>
        <w:ind w:left="400" w:right="6520"/>
        <w:spacing w:after="0" w:line="287" w:lineRule="auto"/>
        <w:tabs>
          <w:tab w:leader="none" w:pos="700" w:val="left"/>
        </w:tabs>
        <w:numPr>
          <w:ilvl w:val="0"/>
          <w:numId w:val="75"/>
        </w:numPr>
        <w:rPr>
          <w:rFonts w:ascii="Arial" w:cs="Arial" w:eastAsia="Arial" w:hAnsi="Arial"/>
          <w:sz w:val="20"/>
          <w:szCs w:val="20"/>
          <w:color w:val="231F20"/>
        </w:rPr>
      </w:pPr>
      <w:r>
        <w:rPr>
          <w:rFonts w:ascii="Arial" w:cs="Arial" w:eastAsia="Arial" w:hAnsi="Arial"/>
          <w:sz w:val="20"/>
          <w:szCs w:val="20"/>
          <w:color w:val="231F20"/>
        </w:rPr>
        <w:t>Indicates Chairman of the Board C Indicates Committee Chair</w:t>
      </w:r>
    </w:p>
    <w:p>
      <w:pPr>
        <w:spacing w:after="0" w:line="5" w:lineRule="exact"/>
        <w:rPr>
          <w:rFonts w:ascii="Arial" w:cs="Arial" w:eastAsia="Arial" w:hAnsi="Arial"/>
          <w:sz w:val="20"/>
          <w:szCs w:val="20"/>
          <w:color w:val="231F20"/>
        </w:rPr>
      </w:pPr>
    </w:p>
    <w:p>
      <w:pPr>
        <w:ind w:left="400"/>
        <w:spacing w:after="0"/>
        <w:rPr>
          <w:rFonts w:ascii="Arial" w:cs="Arial" w:eastAsia="Arial" w:hAnsi="Arial"/>
          <w:sz w:val="20"/>
          <w:szCs w:val="20"/>
          <w:color w:val="231F20"/>
        </w:rPr>
      </w:pPr>
      <w:r>
        <w:rPr>
          <w:rFonts w:ascii="Arial" w:cs="Arial" w:eastAsia="Arial" w:hAnsi="Arial"/>
          <w:sz w:val="20"/>
          <w:szCs w:val="20"/>
          <w:color w:val="231F20"/>
        </w:rPr>
        <w:t>$  Indicates Audit Committee Financial Expert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900430</wp:posOffset>
                </wp:positionV>
                <wp:extent cx="6400800" cy="1778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9" o:spid="_x0000_s1084" style="position:absolute;margin-left:0pt;margin-top:70.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899795</wp:posOffset>
                </wp:positionV>
                <wp:extent cx="0" cy="1778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0.85pt" to="0.5pt,84.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906145</wp:posOffset>
                </wp:positionV>
                <wp:extent cx="64008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35pt" to="504pt,71.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899795</wp:posOffset>
                </wp:positionV>
                <wp:extent cx="0" cy="1778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70.85pt" to="503.5pt,84.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1071245</wp:posOffset>
                </wp:positionV>
                <wp:extent cx="64008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35pt" to="504pt,84.3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w:t>
      </w:r>
    </w:p>
    <w:p>
      <w:pPr>
        <w:sectPr>
          <w:pgSz w:w="12240" w:h="15840" w:orient="portrait"/>
          <w:cols w:equalWidth="0" w:num="1">
            <w:col w:w="10080"/>
          </w:cols>
          <w:pgMar w:left="1080" w:top="1440" w:right="1080" w:bottom="944" w:gutter="0" w:footer="0" w:header="0"/>
          <w:type w:val="continuous"/>
        </w:sectPr>
      </w:pPr>
    </w:p>
    <w:bookmarkStart w:id="122" w:name="page123"/>
    <w:bookmarkEnd w:id="122"/>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SUSTAINABILITY SNAPSHOT</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Our sustainability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118110</wp:posOffset>
            </wp:positionV>
            <wp:extent cx="6423025" cy="1511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
                      <a:extLst>
                        <a:ext uri="{28A0092B-C50C-407E-A947-70E740481C1C}"/>
                      </a:extLst>
                    </a:blip>
                    <a:srcRect/>
                    <a:stretch>
                      <a:fillRect/>
                    </a:stretch>
                  </pic:blipFill>
                  <pic:spPr bwMode="auto">
                    <a:xfrm>
                      <a:off x="0" y="0"/>
                      <a:ext cx="6423025" cy="1511300"/>
                    </a:xfrm>
                    <a:prstGeom prst="rect">
                      <a:avLst/>
                    </a:prstGeom>
                    <a:noFill/>
                  </pic:spPr>
                </pic:pic>
              </a:graphicData>
            </a:graphic>
          </wp:anchor>
        </w:drawing>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Advance</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Decarbonization*</w:t>
      </w:r>
    </w:p>
    <w:p>
      <w:pPr>
        <w:spacing w:after="0" w:line="207" w:lineRule="exact"/>
        <w:rPr>
          <w:sz w:val="20"/>
          <w:szCs w:val="20"/>
          <w:color w:val="auto"/>
        </w:rPr>
      </w:pPr>
    </w:p>
    <w:p>
      <w:pPr>
        <w:jc w:val="center"/>
        <w:ind w:left="200"/>
        <w:spacing w:after="0" w:line="266" w:lineRule="auto"/>
        <w:rPr>
          <w:sz w:val="20"/>
          <w:szCs w:val="20"/>
          <w:color w:val="auto"/>
        </w:rPr>
      </w:pPr>
      <w:r>
        <w:rPr>
          <w:rFonts w:ascii="Arial" w:cs="Arial" w:eastAsia="Arial" w:hAnsi="Arial"/>
          <w:sz w:val="19"/>
          <w:szCs w:val="19"/>
          <w:color w:val="FFFFFF"/>
        </w:rPr>
        <w:t>Minimize the carbon footprint of our Company and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321945</wp:posOffset>
            </wp:positionV>
            <wp:extent cx="1816100" cy="158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a:extLst>
                        <a:ext uri="{28A0092B-C50C-407E-A947-70E740481C1C}"/>
                      </a:extLst>
                    </a:blip>
                    <a:srcRect/>
                    <a:stretch>
                      <a:fillRect/>
                    </a:stretch>
                  </pic:blipFill>
                  <pic:spPr bwMode="auto">
                    <a:xfrm>
                      <a:off x="0" y="0"/>
                      <a:ext cx="181610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Arial" w:cs="Arial" w:eastAsia="Arial" w:hAnsi="Arial"/>
          <w:sz w:val="24"/>
          <w:szCs w:val="24"/>
          <w:b w:val="1"/>
          <w:bCs w:val="1"/>
          <w:color w:val="FFFFFF"/>
        </w:rPr>
        <w:t>Strengthen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4"/>
          <w:szCs w:val="24"/>
          <w:b w:val="1"/>
          <w:bCs w:val="1"/>
          <w:color w:val="FFFFFF"/>
        </w:rPr>
        <w:t>Resiliency*</w:t>
      </w:r>
    </w:p>
    <w:p>
      <w:pPr>
        <w:spacing w:after="0" w:line="207" w:lineRule="exact"/>
        <w:rPr>
          <w:sz w:val="20"/>
          <w:szCs w:val="20"/>
          <w:color w:val="auto"/>
        </w:rPr>
      </w:pPr>
    </w:p>
    <w:p>
      <w:pPr>
        <w:jc w:val="center"/>
        <w:ind w:left="200"/>
        <w:spacing w:after="0" w:line="247" w:lineRule="auto"/>
        <w:rPr>
          <w:sz w:val="20"/>
          <w:szCs w:val="20"/>
          <w:color w:val="auto"/>
        </w:rPr>
      </w:pPr>
      <w:r>
        <w:rPr>
          <w:rFonts w:ascii="Arial" w:cs="Arial" w:eastAsia="Arial" w:hAnsi="Arial"/>
          <w:sz w:val="20"/>
          <w:szCs w:val="20"/>
          <w:color w:val="FFFFFF"/>
        </w:rPr>
        <w:t>Invest in and manage our assets to protect value from increasing frequency</w:t>
      </w:r>
    </w:p>
    <w:p>
      <w:pPr>
        <w:spacing w:after="0" w:line="10" w:lineRule="exact"/>
        <w:rPr>
          <w:sz w:val="20"/>
          <w:szCs w:val="20"/>
          <w:color w:val="auto"/>
        </w:rPr>
      </w:pPr>
    </w:p>
    <w:p>
      <w:pPr>
        <w:jc w:val="center"/>
        <w:ind w:left="200"/>
        <w:spacing w:after="0" w:line="267" w:lineRule="auto"/>
        <w:rPr>
          <w:sz w:val="20"/>
          <w:szCs w:val="20"/>
          <w:color w:val="auto"/>
        </w:rPr>
      </w:pPr>
      <w:r>
        <w:rPr>
          <w:rFonts w:ascii="Arial" w:cs="Arial" w:eastAsia="Arial" w:hAnsi="Arial"/>
          <w:sz w:val="19"/>
          <w:szCs w:val="19"/>
          <w:color w:val="FFFFFF"/>
        </w:rPr>
        <w:t>and severity of weather related events and other hazards of climate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167640</wp:posOffset>
            </wp:positionV>
            <wp:extent cx="1816100" cy="1511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4">
                      <a:extLst>
                        <a:ext uri="{28A0092B-C50C-407E-A947-70E740481C1C}"/>
                      </a:extLst>
                    </a:blip>
                    <a:srcRect/>
                    <a:stretch>
                      <a:fillRect/>
                    </a:stretch>
                  </pic:blipFill>
                  <pic:spPr bwMode="auto">
                    <a:xfrm>
                      <a:off x="0" y="0"/>
                      <a:ext cx="1816100" cy="151130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Connect</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24"/>
          <w:szCs w:val="24"/>
          <w:b w:val="1"/>
          <w:bCs w:val="1"/>
          <w:color w:val="FFFFFF"/>
        </w:rPr>
        <w:t>Communities*</w:t>
      </w:r>
    </w:p>
    <w:p>
      <w:pPr>
        <w:spacing w:after="0" w:line="207" w:lineRule="exact"/>
        <w:rPr>
          <w:sz w:val="20"/>
          <w:szCs w:val="20"/>
          <w:color w:val="auto"/>
        </w:rPr>
      </w:pPr>
    </w:p>
    <w:p>
      <w:pPr>
        <w:jc w:val="center"/>
        <w:ind w:left="200"/>
        <w:spacing w:after="0" w:line="249" w:lineRule="auto"/>
        <w:rPr>
          <w:sz w:val="20"/>
          <w:szCs w:val="20"/>
          <w:color w:val="auto"/>
        </w:rPr>
      </w:pPr>
      <w:r>
        <w:rPr>
          <w:rFonts w:ascii="Arial" w:cs="Arial" w:eastAsia="Arial" w:hAnsi="Arial"/>
          <w:sz w:val="20"/>
          <w:szCs w:val="20"/>
          <w:color w:val="FFFFFF"/>
        </w:rPr>
        <w:t>Use our real estate to contribute to social and economic prosperity of the community and advance social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177800</wp:posOffset>
            </wp:positionV>
            <wp:extent cx="1816100" cy="1816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a:extLst>
                        <a:ext uri="{28A0092B-C50C-407E-A947-70E740481C1C}"/>
                      </a:extLst>
                    </a:blip>
                    <a:srcRect/>
                    <a:stretch>
                      <a:fillRect/>
                    </a:stretch>
                  </pic:blipFill>
                  <pic:spPr bwMode="auto">
                    <a:xfrm>
                      <a:off x="0" y="0"/>
                      <a:ext cx="1816100" cy="181610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Arial" w:cs="Arial" w:eastAsia="Arial" w:hAnsi="Arial"/>
          <w:sz w:val="24"/>
          <w:szCs w:val="24"/>
          <w:b w:val="1"/>
          <w:bCs w:val="1"/>
          <w:color w:val="FFFFFF"/>
        </w:rPr>
        <w:t>Empower Teams*</w:t>
      </w:r>
    </w:p>
    <w:p>
      <w:pPr>
        <w:spacing w:after="0" w:line="207" w:lineRule="exact"/>
        <w:rPr>
          <w:sz w:val="20"/>
          <w:szCs w:val="20"/>
          <w:color w:val="auto"/>
        </w:rPr>
      </w:pPr>
    </w:p>
    <w:p>
      <w:pPr>
        <w:jc w:val="center"/>
        <w:ind w:left="200"/>
        <w:spacing w:after="0" w:line="265" w:lineRule="auto"/>
        <w:rPr>
          <w:sz w:val="20"/>
          <w:szCs w:val="20"/>
          <w:color w:val="auto"/>
        </w:rPr>
      </w:pPr>
      <w:r>
        <w:rPr>
          <w:rFonts w:ascii="Arial" w:cs="Arial" w:eastAsia="Arial" w:hAnsi="Arial"/>
          <w:sz w:val="19"/>
          <w:szCs w:val="19"/>
          <w:color w:val="FFFFFF"/>
        </w:rPr>
        <w:t>Create a work environment that is diverse, engaging and helps employees grow personally and professionally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1014095</wp:posOffset>
                </wp:positionV>
                <wp:extent cx="6400800" cy="1778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68" o:spid="_x0000_s1093" style="position:absolute;margin-left:0pt;margin-top:79.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1013460</wp:posOffset>
                </wp:positionV>
                <wp:extent cx="0" cy="17780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9.8pt" to="0.5pt,93.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1184910</wp:posOffset>
                </wp:positionV>
                <wp:extent cx="64008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3pt" to="504pt,93.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1019810</wp:posOffset>
                </wp:positionV>
                <wp:extent cx="64008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3pt" to="504pt,80.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1013460</wp:posOffset>
                </wp:positionV>
                <wp:extent cx="0" cy="17780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79.8pt" to="503.5pt,93.8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320" w:right="380" w:hanging="311"/>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Science Based Target to reduce Scope 1&amp;2 emissions by 46% by 2030 (2019 baseline)</w:t>
      </w:r>
    </w:p>
    <w:p>
      <w:pPr>
        <w:spacing w:after="0" w:line="13" w:lineRule="exact"/>
        <w:rPr>
          <w:sz w:val="20"/>
          <w:szCs w:val="20"/>
          <w:color w:val="auto"/>
        </w:rPr>
      </w:pPr>
    </w:p>
    <w:p>
      <w:pPr>
        <w:jc w:val="both"/>
        <w:ind w:right="540"/>
        <w:spacing w:after="0" w:line="27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w:t>
      </w:r>
      <w:r>
        <w:rPr>
          <w:rFonts w:ascii="Symbol" w:cs="Symbol" w:eastAsia="Symbol" w:hAnsi="Symbol"/>
          <w:sz w:val="20"/>
          <w:szCs w:val="20"/>
          <w:color w:val="231F20"/>
        </w:rPr>
        <w:t>≈</w:t>
      </w:r>
      <w:r>
        <w:rPr>
          <w:rFonts w:ascii="Arial" w:cs="Arial" w:eastAsia="Arial" w:hAnsi="Arial"/>
          <w:sz w:val="20"/>
          <w:szCs w:val="20"/>
          <w:color w:val="231F20"/>
        </w:rPr>
        <w:t xml:space="preserve">32% Scope 1&amp;2 GHG emissions reduction from 2019 through 2022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5.2 million square feet of LEED certified buildings built and in process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55% of electric consumption in 2022 provided by zero carbon sources</w:t>
      </w:r>
    </w:p>
    <w:p>
      <w:pPr>
        <w:spacing w:after="0" w:line="59" w:lineRule="exact"/>
        <w:rPr>
          <w:sz w:val="20"/>
          <w:szCs w:val="20"/>
          <w:color w:val="auto"/>
        </w:rPr>
      </w:pPr>
    </w:p>
    <w:p>
      <w:pPr>
        <w:ind w:left="320" w:right="300" w:hanging="311"/>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More than 90% properties fully or partially upgraded with energy efficient LED lighting in landlord controlled areas</w:t>
      </w:r>
    </w:p>
    <w:p>
      <w:pPr>
        <w:spacing w:after="0" w:line="239"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14 MW solar power generating capacity in solar arrays at 25 properties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right="86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Climate change scenario analysis using RCP 8.5 showing minimal financial risk over short-, medium- and long-term</w:t>
      </w:r>
    </w:p>
    <w:p>
      <w:pPr>
        <w:spacing w:after="0" w:line="55" w:lineRule="exact"/>
        <w:rPr>
          <w:sz w:val="20"/>
          <w:szCs w:val="20"/>
          <w:color w:val="auto"/>
        </w:rPr>
      </w:pPr>
    </w:p>
    <w:p>
      <w:pPr>
        <w:ind w:right="180"/>
        <w:spacing w:after="0" w:line="25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Management of water usage through technology and landscaping choices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Focus on increasing waste diverted to recycling</w:t>
      </w:r>
    </w:p>
    <w:p>
      <w:pPr>
        <w:spacing w:after="0" w:line="55" w:lineRule="exact"/>
        <w:rPr>
          <w:sz w:val="20"/>
          <w:szCs w:val="20"/>
          <w:color w:val="auto"/>
        </w:rPr>
      </w:pPr>
    </w:p>
    <w:p>
      <w:pPr>
        <w:ind w:left="320" w:right="38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Physical risk exposures incorporated into property level capital planning and investment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right="130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More than $400 million invested in partnership with Primestor Development in historically underrepresented communities</w:t>
      </w:r>
    </w:p>
    <w:p>
      <w:pPr>
        <w:spacing w:after="0" w:line="55" w:lineRule="exact"/>
        <w:rPr>
          <w:sz w:val="20"/>
          <w:szCs w:val="20"/>
          <w:color w:val="auto"/>
        </w:rPr>
      </w:pPr>
    </w:p>
    <w:p>
      <w:pPr>
        <w:ind w:right="2100"/>
        <w:spacing w:after="0" w:line="25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Local cultural programming and events at properties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Support local philanthropic initiatives and tenants</w:t>
      </w:r>
    </w:p>
    <w:p>
      <w:pPr>
        <w:spacing w:after="0" w:line="55" w:lineRule="exact"/>
        <w:rPr>
          <w:sz w:val="20"/>
          <w:szCs w:val="20"/>
          <w:color w:val="auto"/>
        </w:rPr>
      </w:pPr>
    </w:p>
    <w:p>
      <w:pPr>
        <w:ind w:right="1140"/>
        <w:spacing w:after="0" w:line="25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Feature work of local artists in art installations at our properties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Significant contributions to tax base of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Competitive pay and benefits</w:t>
      </w:r>
    </w:p>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Average tenure in excess of 9 years</w:t>
      </w:r>
    </w:p>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Pay equity analysis shows no pay anomalies based on race or gender</w:t>
      </w:r>
    </w:p>
    <w:p>
      <w:pPr>
        <w:spacing w:after="0" w:line="54" w:lineRule="exact"/>
        <w:rPr>
          <w:sz w:val="20"/>
          <w:szCs w:val="20"/>
          <w:color w:val="auto"/>
        </w:rPr>
      </w:pPr>
    </w:p>
    <w:p>
      <w:pPr>
        <w:ind w:left="320" w:right="38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Women represented 54% of our workforce and 67% of all promotions in 2023</w:t>
      </w:r>
    </w:p>
    <w:p>
      <w:pPr>
        <w:spacing w:after="0" w:line="55" w:lineRule="exact"/>
        <w:rPr>
          <w:sz w:val="20"/>
          <w:szCs w:val="20"/>
          <w:color w:val="auto"/>
        </w:rPr>
      </w:pPr>
    </w:p>
    <w:p>
      <w:pPr>
        <w:ind w:left="320" w:right="30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Minorities represented 56% of all new hires and 33% of all promotions in 2023</w:t>
      </w:r>
    </w:p>
    <w:p>
      <w:pPr>
        <w:spacing w:after="0" w:line="55" w:lineRule="exact"/>
        <w:rPr>
          <w:sz w:val="20"/>
          <w:szCs w:val="20"/>
          <w:color w:val="auto"/>
        </w:rPr>
      </w:pPr>
    </w:p>
    <w:p>
      <w:pPr>
        <w:ind w:left="320" w:right="56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Comprehensive health and wellness programs through our Be Well at Federal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-6182360</wp:posOffset>
                </wp:positionV>
                <wp:extent cx="0" cy="17145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86.7999pt" to="-8pt,-473.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-6182360</wp:posOffset>
                </wp:positionV>
                <wp:extent cx="0" cy="17145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86.7999pt" to="351pt,-473.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-6004560</wp:posOffset>
                </wp:positionV>
                <wp:extent cx="0" cy="17145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72.7999pt" to="-8pt,-459.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-6004560</wp:posOffset>
                </wp:positionV>
                <wp:extent cx="0" cy="17145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72.7999pt" to="351pt,-459.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-5826760</wp:posOffset>
                </wp:positionV>
                <wp:extent cx="0" cy="17145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58.7999pt" to="-8pt,-445.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-5826760</wp:posOffset>
                </wp:positionV>
                <wp:extent cx="0" cy="17145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58.7999pt" to="351pt,-445.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-5648960</wp:posOffset>
                </wp:positionV>
                <wp:extent cx="0" cy="32385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44.7999pt" to="-8pt,-419.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-5648960</wp:posOffset>
                </wp:positionV>
                <wp:extent cx="0" cy="32385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44.7999pt" to="351pt,-419.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-5042535</wp:posOffset>
                </wp:positionV>
                <wp:extent cx="19748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397.0499pt" to="7.3pt,-397.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-5318760</wp:posOffset>
                </wp:positionV>
                <wp:extent cx="0" cy="27940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18.7999pt" to="-8pt,-396.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-5318760</wp:posOffset>
                </wp:positionV>
                <wp:extent cx="0" cy="27940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18.7999pt" to="351pt,-396.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-5042535</wp:posOffset>
                </wp:positionV>
                <wp:extent cx="436181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397.0499pt" to="351.25pt,-397.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-4928235</wp:posOffset>
                </wp:positionV>
                <wp:extent cx="436181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388.0499pt" to="351.25pt,-388.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-4928235</wp:posOffset>
                </wp:positionV>
                <wp:extent cx="19748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388.0499pt" to="7.3pt,-388.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-4931410</wp:posOffset>
                </wp:positionV>
                <wp:extent cx="0" cy="1778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88.2999pt" to="-8pt,-37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-4931410</wp:posOffset>
                </wp:positionV>
                <wp:extent cx="0" cy="1778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88.2999pt" to="351pt,-37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-4747260</wp:posOffset>
                </wp:positionV>
                <wp:extent cx="0" cy="32385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73.7999pt" to="-8pt,-348.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-4747260</wp:posOffset>
                </wp:positionV>
                <wp:extent cx="0" cy="32385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73.7999pt" to="351pt,-348.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-4417060</wp:posOffset>
                </wp:positionV>
                <wp:extent cx="0" cy="17145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47.7999pt" to="-8pt,-33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-4417060</wp:posOffset>
                </wp:positionV>
                <wp:extent cx="0" cy="17145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47.7999pt" to="351pt,-33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-4239260</wp:posOffset>
                </wp:positionV>
                <wp:extent cx="0" cy="17145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33.7999pt" to="-8pt,-320.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-4239260</wp:posOffset>
                </wp:positionV>
                <wp:extent cx="0" cy="17145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33.7999pt" to="351pt,-320.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-4061460</wp:posOffset>
                </wp:positionV>
                <wp:extent cx="0" cy="32385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19.7999pt" to="-8pt,-29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-4061460</wp:posOffset>
                </wp:positionV>
                <wp:extent cx="0" cy="32385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19.7999pt" to="351pt,-29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-3731260</wp:posOffset>
                </wp:positionV>
                <wp:extent cx="0" cy="17145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93.7999pt" to="-8pt,-280.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-3731260</wp:posOffset>
                </wp:positionV>
                <wp:extent cx="0" cy="17145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93.7999pt" to="351pt,-280.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-3378835</wp:posOffset>
                </wp:positionV>
                <wp:extent cx="19748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266.0499pt" to="7.3pt,-266.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-3553460</wp:posOffset>
                </wp:positionV>
                <wp:extent cx="0" cy="1778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79.7999pt" to="-8pt,-265.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-3553460</wp:posOffset>
                </wp:positionV>
                <wp:extent cx="0" cy="1778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79.7999pt" to="351pt,-265.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-3378835</wp:posOffset>
                </wp:positionV>
                <wp:extent cx="436181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266.0499pt" to="351.25pt,-266.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-3264535</wp:posOffset>
                </wp:positionV>
                <wp:extent cx="436181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257.0499pt" to="351.25pt,-257.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-3264535</wp:posOffset>
                </wp:positionV>
                <wp:extent cx="19748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257.0499pt" to="7.3pt,-257.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-3267710</wp:posOffset>
                </wp:positionV>
                <wp:extent cx="0" cy="4572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72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57.2999pt" to="-8pt,-221.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-3267710</wp:posOffset>
                </wp:positionV>
                <wp:extent cx="0" cy="4572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72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57.2999pt" to="351pt,-221.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-2804160</wp:posOffset>
                </wp:positionV>
                <wp:extent cx="0" cy="17145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20.7999pt" to="-8pt,-207.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-2804160</wp:posOffset>
                </wp:positionV>
                <wp:extent cx="0" cy="17145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20.7999pt" to="351pt,-207.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-2626360</wp:posOffset>
                </wp:positionV>
                <wp:extent cx="0" cy="17145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06.7999pt" to="-8pt,-193.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-2626360</wp:posOffset>
                </wp:positionV>
                <wp:extent cx="0" cy="17145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06.7999pt" to="351pt,-193.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-2448560</wp:posOffset>
                </wp:positionV>
                <wp:extent cx="0" cy="17145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92.7999pt" to="-8pt,-179.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-2448560</wp:posOffset>
                </wp:positionV>
                <wp:extent cx="0" cy="17145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92.7999pt" to="351pt,-179.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-2270760</wp:posOffset>
                </wp:positionV>
                <wp:extent cx="0" cy="1714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78.7999pt" to="-8pt,-165.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-2270760</wp:posOffset>
                </wp:positionV>
                <wp:extent cx="0" cy="17145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78.7999pt" to="351pt,-165.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-2092960</wp:posOffset>
                </wp:positionV>
                <wp:extent cx="0" cy="14605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64.7999pt" to="-8pt,-153.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-2092960</wp:posOffset>
                </wp:positionV>
                <wp:extent cx="0" cy="14605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60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64.7999pt" to="351pt,-153.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-1791335</wp:posOffset>
                </wp:positionV>
                <wp:extent cx="19748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141.0499pt" to="7.3pt,-141.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-1940560</wp:posOffset>
                </wp:positionV>
                <wp:extent cx="0" cy="15240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52.7999pt" to="-8pt,-140.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-1940560</wp:posOffset>
                </wp:positionV>
                <wp:extent cx="0" cy="15240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52.7999pt" to="351pt,-140.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-1791335</wp:posOffset>
                </wp:positionV>
                <wp:extent cx="436181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141.0499pt" to="351.25pt,-141.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-1677035</wp:posOffset>
                </wp:positionV>
                <wp:extent cx="436181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132.0499pt" to="351.25pt,-132.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-1677035</wp:posOffset>
                </wp:positionV>
                <wp:extent cx="19748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132.0499pt" to="7.3pt,-132.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-1680210</wp:posOffset>
                </wp:positionV>
                <wp:extent cx="0" cy="30480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32.2999pt" to="-8pt,-108.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-1680210</wp:posOffset>
                </wp:positionV>
                <wp:extent cx="0" cy="3048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32.2999pt" to="351pt,-108.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-1369060</wp:posOffset>
                </wp:positionV>
                <wp:extent cx="0" cy="17145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07.7999pt" to="-8pt,-9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-1369060</wp:posOffset>
                </wp:positionV>
                <wp:extent cx="0" cy="17145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07.7999pt" to="351pt,-9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-1191260</wp:posOffset>
                </wp:positionV>
                <wp:extent cx="0" cy="17145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93.7999pt" to="-8pt,-80.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-1191260</wp:posOffset>
                </wp:positionV>
                <wp:extent cx="0" cy="17145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93.7999pt" to="351pt,-80.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-1013460</wp:posOffset>
                </wp:positionV>
                <wp:extent cx="0" cy="32385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79.7999pt" to="-8pt,-5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-1013460</wp:posOffset>
                </wp:positionV>
                <wp:extent cx="0" cy="32385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79.7999pt" to="351pt,-54.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-683260</wp:posOffset>
                </wp:positionV>
                <wp:extent cx="0" cy="32385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53.7999pt" to="-8pt,-28.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-683260</wp:posOffset>
                </wp:positionV>
                <wp:extent cx="0" cy="32385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53.7999pt" to="351pt,-28.2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100330</wp:posOffset>
                </wp:positionV>
                <wp:extent cx="19748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7.9pt" to="7.3pt,7.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-353060</wp:posOffset>
                </wp:positionV>
                <wp:extent cx="0" cy="45656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6565"/>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7.7999pt" to="-8pt,8.1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-353060</wp:posOffset>
                </wp:positionV>
                <wp:extent cx="0" cy="45656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6565"/>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7.7999pt" to="351pt,8.1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100330</wp:posOffset>
                </wp:positionV>
                <wp:extent cx="436181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7.9pt" to="351.25pt,7.9pt" o:allowincell="f" strokecolor="#231F20" strokeweight="0.5pt"/>
            </w:pict>
          </mc:Fallback>
        </mc:AlternateContent>
      </w:r>
    </w:p>
    <w:p>
      <w:pPr>
        <w:spacing w:after="0" w:line="200" w:lineRule="exact"/>
        <w:rPr>
          <w:sz w:val="20"/>
          <w:szCs w:val="20"/>
          <w:color w:val="auto"/>
        </w:rPr>
      </w:pPr>
    </w:p>
    <w:p>
      <w:pPr>
        <w:sectPr>
          <w:pgSz w:w="12240" w:h="15840" w:orient="portrait"/>
          <w:cols w:equalWidth="0" w:num="2">
            <w:col w:w="2600" w:space="460"/>
            <w:col w:w="7020"/>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r>
      <w:r>
        <w:rPr>
          <w:sz w:val="20"/>
          <w:szCs w:val="20"/>
          <w:color w:val="auto"/>
        </w:rPr>
        <w:tab/>
      </w:r>
      <w:r>
        <w:rPr>
          <w:rFonts w:ascii="Arial" w:cs="Arial" w:eastAsia="Arial" w:hAnsi="Arial"/>
          <w:sz w:val="14"/>
          <w:szCs w:val="14"/>
          <w:color w:val="231F20"/>
        </w:rPr>
        <w:t>3</w:t>
      </w:r>
    </w:p>
    <w:p>
      <w:pPr>
        <w:sectPr>
          <w:pgSz w:w="12240" w:h="15840" w:orient="portrait"/>
          <w:cols w:equalWidth="0" w:num="1">
            <w:col w:w="10080"/>
          </w:cols>
          <w:pgMar w:left="1080" w:top="1440" w:right="1080" w:bottom="944" w:gutter="0" w:footer="0" w:header="0"/>
          <w:type w:val="continuous"/>
        </w:sectPr>
      </w:pPr>
    </w:p>
    <w:bookmarkStart w:id="123" w:name="page124"/>
    <w:bookmarkEnd w:id="12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666750</wp:posOffset>
            </wp:positionH>
            <wp:positionV relativeFrom="page">
              <wp:posOffset>908050</wp:posOffset>
            </wp:positionV>
            <wp:extent cx="1816100" cy="130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6">
                      <a:extLst>
                        <a:ext uri="{28A0092B-C50C-407E-A947-70E740481C1C}"/>
                      </a:extLst>
                    </a:blip>
                    <a:srcRect/>
                    <a:stretch>
                      <a:fillRect/>
                    </a:stretch>
                  </pic:blipFill>
                  <pic:spPr bwMode="auto">
                    <a:xfrm>
                      <a:off x="0" y="0"/>
                      <a:ext cx="1816100" cy="130810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0"/>
        </w:trPr>
        <w:tc>
          <w:tcPr>
            <w:tcW w:w="2740" w:type="dxa"/>
            <w:vAlign w:val="bottom"/>
            <w:tcBorders>
              <w:right w:val="single" w:sz="8" w:color="231F20"/>
            </w:tcBorders>
            <w:vMerge w:val="restart"/>
          </w:tcPr>
          <w:p>
            <w:pPr>
              <w:jc w:val="center"/>
              <w:ind w:right="197"/>
              <w:spacing w:after="0"/>
              <w:rPr>
                <w:sz w:val="20"/>
                <w:szCs w:val="20"/>
                <w:color w:val="auto"/>
              </w:rPr>
            </w:pPr>
            <w:r>
              <w:rPr>
                <w:rFonts w:ascii="Arial" w:cs="Arial" w:eastAsia="Arial" w:hAnsi="Arial"/>
                <w:sz w:val="24"/>
                <w:szCs w:val="24"/>
                <w:b w:val="1"/>
                <w:bCs w:val="1"/>
                <w:color w:val="FFFFFF"/>
              </w:rPr>
              <w:t>Govern Responsibly*</w:t>
            </w:r>
          </w:p>
        </w:tc>
        <w:tc>
          <w:tcPr>
            <w:tcW w:w="2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Borders>
              <w:right w:val="single" w:sz="8" w:color="231F20"/>
            </w:tcBorders>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740" w:type="dxa"/>
            <w:vAlign w:val="bottom"/>
            <w:tcBorders>
              <w:right w:val="single" w:sz="8" w:color="231F20"/>
            </w:tcBorders>
            <w:vMerge w:val="continue"/>
          </w:tcPr>
          <w:p>
            <w:pPr>
              <w:spacing w:after="0"/>
              <w:rPr>
                <w:sz w:val="24"/>
                <w:szCs w:val="24"/>
                <w:color w:val="auto"/>
              </w:rPr>
            </w:pPr>
          </w:p>
        </w:tc>
        <w:tc>
          <w:tcPr>
            <w:tcW w:w="7180" w:type="dxa"/>
            <w:vAlign w:val="bottom"/>
            <w:tcBorders>
              <w:right w:val="single" w:sz="8" w:color="231F20"/>
            </w:tcBorders>
            <w:gridSpan w:val="3"/>
          </w:tcPr>
          <w:p>
            <w:pPr>
              <w:ind w:left="140"/>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Annual election of all trustees</w:t>
            </w:r>
          </w:p>
        </w:tc>
        <w:tc>
          <w:tcPr>
            <w:tcW w:w="0" w:type="dxa"/>
            <w:vAlign w:val="bottom"/>
          </w:tcPr>
          <w:p>
            <w:pPr>
              <w:spacing w:after="0"/>
              <w:rPr>
                <w:sz w:val="1"/>
                <w:szCs w:val="1"/>
                <w:color w:val="auto"/>
              </w:rPr>
            </w:pPr>
          </w:p>
        </w:tc>
      </w:tr>
      <w:tr>
        <w:trPr>
          <w:trHeight w:val="30"/>
        </w:trPr>
        <w:tc>
          <w:tcPr>
            <w:tcW w:w="2740" w:type="dxa"/>
            <w:vAlign w:val="bottom"/>
            <w:tcBorders>
              <w:right w:val="single" w:sz="8" w:color="231F20"/>
            </w:tcBorders>
            <w:vMerge w:val="restart"/>
          </w:tcPr>
          <w:p>
            <w:pPr>
              <w:jc w:val="center"/>
              <w:ind w:right="197"/>
              <w:spacing w:after="0"/>
              <w:rPr>
                <w:sz w:val="20"/>
                <w:szCs w:val="20"/>
                <w:color w:val="auto"/>
              </w:rPr>
            </w:pPr>
            <w:r>
              <w:rPr>
                <w:rFonts w:ascii="Arial" w:cs="Arial" w:eastAsia="Arial" w:hAnsi="Arial"/>
                <w:sz w:val="20"/>
                <w:szCs w:val="20"/>
                <w:color w:val="FFFFFF"/>
                <w:w w:val="99"/>
              </w:rPr>
              <w:t>Establish foundation to run</w:t>
            </w:r>
          </w:p>
        </w:tc>
        <w:tc>
          <w:tcPr>
            <w:tcW w:w="7180" w:type="dxa"/>
            <w:vAlign w:val="bottom"/>
            <w:tcBorders>
              <w:right w:val="single" w:sz="8" w:color="231F20"/>
            </w:tcBorders>
            <w:gridSpan w:val="3"/>
            <w:vMerge w:val="restart"/>
          </w:tcPr>
          <w:p>
            <w:pPr>
              <w:ind w:left="140"/>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Independent Non-Executive Chairman</w:t>
            </w:r>
          </w:p>
        </w:tc>
        <w:tc>
          <w:tcPr>
            <w:tcW w:w="0" w:type="dxa"/>
            <w:vAlign w:val="bottom"/>
          </w:tcPr>
          <w:p>
            <w:pPr>
              <w:spacing w:after="0" w:line="20" w:lineRule="exact"/>
              <w:rPr>
                <w:sz w:val="1"/>
                <w:szCs w:val="1"/>
                <w:color w:val="auto"/>
              </w:rPr>
            </w:pPr>
          </w:p>
        </w:tc>
      </w:tr>
      <w:tr>
        <w:trPr>
          <w:trHeight w:val="320"/>
        </w:trPr>
        <w:tc>
          <w:tcPr>
            <w:tcW w:w="2740" w:type="dxa"/>
            <w:vAlign w:val="bottom"/>
            <w:tcBorders>
              <w:right w:val="single" w:sz="8" w:color="231F20"/>
            </w:tcBorders>
            <w:vMerge w:val="continue"/>
          </w:tcPr>
          <w:p>
            <w:pPr>
              <w:spacing w:after="0"/>
              <w:rPr>
                <w:sz w:val="24"/>
                <w:szCs w:val="24"/>
                <w:color w:val="auto"/>
              </w:rPr>
            </w:pPr>
          </w:p>
        </w:tc>
        <w:tc>
          <w:tcPr>
            <w:tcW w:w="7180" w:type="dxa"/>
            <w:vAlign w:val="bottom"/>
            <w:tcBorders>
              <w:right w:val="single" w:sz="8" w:color="231F20"/>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740" w:type="dxa"/>
            <w:vAlign w:val="bottom"/>
            <w:tcBorders>
              <w:right w:val="single" w:sz="8" w:color="231F20"/>
            </w:tcBorders>
            <w:vMerge w:val="restart"/>
          </w:tcPr>
          <w:p>
            <w:pPr>
              <w:jc w:val="center"/>
              <w:ind w:right="197"/>
              <w:spacing w:after="0"/>
              <w:rPr>
                <w:sz w:val="20"/>
                <w:szCs w:val="20"/>
                <w:color w:val="auto"/>
              </w:rPr>
            </w:pPr>
            <w:r>
              <w:rPr>
                <w:rFonts w:ascii="Arial" w:cs="Arial" w:eastAsia="Arial" w:hAnsi="Arial"/>
                <w:sz w:val="20"/>
                <w:szCs w:val="20"/>
                <w:color w:val="FFFFFF"/>
                <w:w w:val="99"/>
              </w:rPr>
              <w:t>the Company ethically with</w:t>
            </w:r>
          </w:p>
        </w:tc>
        <w:tc>
          <w:tcPr>
            <w:tcW w:w="7180" w:type="dxa"/>
            <w:vAlign w:val="bottom"/>
            <w:tcBorders>
              <w:right w:val="single" w:sz="8" w:color="231F20"/>
            </w:tcBorders>
            <w:gridSpan w:val="3"/>
            <w:vMerge w:val="restart"/>
          </w:tcPr>
          <w:p>
            <w:pPr>
              <w:ind w:left="140"/>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Majority voting and proxy access for trustee elections</w:t>
            </w:r>
          </w:p>
        </w:tc>
        <w:tc>
          <w:tcPr>
            <w:tcW w:w="0" w:type="dxa"/>
            <w:vAlign w:val="bottom"/>
          </w:tcPr>
          <w:p>
            <w:pPr>
              <w:spacing w:after="0" w:line="20" w:lineRule="exact"/>
              <w:rPr>
                <w:sz w:val="1"/>
                <w:szCs w:val="1"/>
                <w:color w:val="auto"/>
              </w:rPr>
            </w:pPr>
          </w:p>
        </w:tc>
      </w:tr>
      <w:tr>
        <w:trPr>
          <w:trHeight w:val="200"/>
        </w:trPr>
        <w:tc>
          <w:tcPr>
            <w:tcW w:w="2740" w:type="dxa"/>
            <w:vAlign w:val="bottom"/>
            <w:tcBorders>
              <w:right w:val="single" w:sz="8" w:color="231F20"/>
            </w:tcBorders>
            <w:vMerge w:val="continue"/>
          </w:tcPr>
          <w:p>
            <w:pPr>
              <w:spacing w:after="0"/>
              <w:rPr>
                <w:sz w:val="17"/>
                <w:szCs w:val="17"/>
                <w:color w:val="auto"/>
              </w:rPr>
            </w:pPr>
          </w:p>
        </w:tc>
        <w:tc>
          <w:tcPr>
            <w:tcW w:w="7180" w:type="dxa"/>
            <w:vAlign w:val="bottom"/>
            <w:tcBorders>
              <w:right w:val="single" w:sz="8" w:color="231F20"/>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740" w:type="dxa"/>
            <w:vAlign w:val="bottom"/>
            <w:tcBorders>
              <w:right w:val="single" w:sz="8" w:color="231F20"/>
            </w:tcBorders>
            <w:vMerge w:val="restart"/>
          </w:tcPr>
          <w:p>
            <w:pPr>
              <w:jc w:val="center"/>
              <w:ind w:right="197"/>
              <w:spacing w:after="0"/>
              <w:rPr>
                <w:sz w:val="20"/>
                <w:szCs w:val="20"/>
                <w:color w:val="auto"/>
              </w:rPr>
            </w:pPr>
            <w:r>
              <w:rPr>
                <w:rFonts w:ascii="Arial" w:cs="Arial" w:eastAsia="Arial" w:hAnsi="Arial"/>
                <w:sz w:val="20"/>
                <w:szCs w:val="20"/>
                <w:color w:val="FFFFFF"/>
              </w:rPr>
              <w:t>appropriate fiscal and</w:t>
            </w:r>
          </w:p>
        </w:tc>
        <w:tc>
          <w:tcPr>
            <w:tcW w:w="7180" w:type="dxa"/>
            <w:vAlign w:val="bottom"/>
            <w:tcBorders>
              <w:right w:val="single" w:sz="8" w:color="231F20"/>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740" w:type="dxa"/>
            <w:vAlign w:val="bottom"/>
            <w:tcBorders>
              <w:right w:val="single" w:sz="8" w:color="231F20"/>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80" w:type="dxa"/>
            <w:vAlign w:val="bottom"/>
            <w:tcBorders>
              <w:right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740" w:type="dxa"/>
            <w:vAlign w:val="bottom"/>
            <w:tcBorders>
              <w:right w:val="single" w:sz="8" w:color="231F20"/>
            </w:tcBorders>
          </w:tcPr>
          <w:p>
            <w:pPr>
              <w:jc w:val="center"/>
              <w:ind w:right="197"/>
              <w:spacing w:after="0"/>
              <w:rPr>
                <w:sz w:val="20"/>
                <w:szCs w:val="20"/>
                <w:color w:val="auto"/>
              </w:rPr>
            </w:pPr>
            <w:r>
              <w:rPr>
                <w:rFonts w:ascii="Arial" w:cs="Arial" w:eastAsia="Arial" w:hAnsi="Arial"/>
                <w:sz w:val="20"/>
                <w:szCs w:val="20"/>
                <w:color w:val="FFFFFF"/>
                <w:w w:val="99"/>
              </w:rPr>
              <w:t>decision making controls to</w:t>
            </w:r>
          </w:p>
        </w:tc>
        <w:tc>
          <w:tcPr>
            <w:tcW w:w="7180" w:type="dxa"/>
            <w:vAlign w:val="bottom"/>
            <w:tcBorders>
              <w:right w:val="single" w:sz="8" w:color="231F20"/>
            </w:tcBorders>
            <w:gridSpan w:val="3"/>
          </w:tcPr>
          <w:p>
            <w:pPr>
              <w:ind w:left="140"/>
              <w:spacing w:after="0" w:line="239"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Prohibition on hedging and pledging our shares combined with clawback</w:t>
            </w:r>
          </w:p>
        </w:tc>
        <w:tc>
          <w:tcPr>
            <w:tcW w:w="0" w:type="dxa"/>
            <w:vAlign w:val="bottom"/>
          </w:tcPr>
          <w:p>
            <w:pPr>
              <w:spacing w:after="0"/>
              <w:rPr>
                <w:sz w:val="1"/>
                <w:szCs w:val="1"/>
                <w:color w:val="auto"/>
              </w:rPr>
            </w:pPr>
          </w:p>
        </w:tc>
      </w:tr>
      <w:tr>
        <w:trPr>
          <w:trHeight w:val="240"/>
        </w:trPr>
        <w:tc>
          <w:tcPr>
            <w:tcW w:w="2740" w:type="dxa"/>
            <w:vAlign w:val="bottom"/>
            <w:tcBorders>
              <w:right w:val="single" w:sz="8" w:color="231F20"/>
            </w:tcBorders>
          </w:tcPr>
          <w:p>
            <w:pPr>
              <w:jc w:val="center"/>
              <w:ind w:right="197"/>
              <w:spacing w:after="0"/>
              <w:rPr>
                <w:sz w:val="20"/>
                <w:szCs w:val="20"/>
                <w:color w:val="auto"/>
              </w:rPr>
            </w:pPr>
            <w:r>
              <w:rPr>
                <w:rFonts w:ascii="Arial" w:cs="Arial" w:eastAsia="Arial" w:hAnsi="Arial"/>
                <w:sz w:val="20"/>
                <w:szCs w:val="20"/>
                <w:color w:val="FFFFFF"/>
                <w:w w:val="99"/>
              </w:rPr>
              <w:t>manage risk</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80" w:type="dxa"/>
            <w:vAlign w:val="bottom"/>
            <w:tcBorders>
              <w:right w:val="single" w:sz="8" w:color="231F20"/>
            </w:tcBorders>
          </w:tcPr>
          <w:p>
            <w:pPr>
              <w:ind w:left="160"/>
              <w:spacing w:after="0"/>
              <w:rPr>
                <w:sz w:val="20"/>
                <w:szCs w:val="20"/>
                <w:color w:val="auto"/>
              </w:rPr>
            </w:pPr>
            <w:r>
              <w:rPr>
                <w:rFonts w:ascii="Arial" w:cs="Arial" w:eastAsia="Arial" w:hAnsi="Arial"/>
                <w:sz w:val="20"/>
                <w:szCs w:val="20"/>
                <w:color w:val="231F20"/>
              </w:rPr>
              <w:t>policy and equity hold requirements</w:t>
            </w:r>
          </w:p>
        </w:tc>
        <w:tc>
          <w:tcPr>
            <w:tcW w:w="0" w:type="dxa"/>
            <w:vAlign w:val="bottom"/>
          </w:tcPr>
          <w:p>
            <w:pPr>
              <w:spacing w:after="0"/>
              <w:rPr>
                <w:sz w:val="1"/>
                <w:szCs w:val="1"/>
                <w:color w:val="auto"/>
              </w:rPr>
            </w:pPr>
          </w:p>
        </w:tc>
      </w:tr>
      <w:tr>
        <w:trPr>
          <w:trHeight w:val="195"/>
        </w:trPr>
        <w:tc>
          <w:tcPr>
            <w:tcW w:w="2740" w:type="dxa"/>
            <w:vAlign w:val="bottom"/>
            <w:tcBorders>
              <w:right w:val="single" w:sz="8" w:color="231F20"/>
            </w:tcBorders>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688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231F20"/>
        </w:rPr>
        <w:t>* All information provided is as of December 31, 2023 unless otherwise indicated.</w:t>
      </w: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 xml:space="preserve">More information about our sustainability initiatives can be found in our 2022 Environmental Social and Governance Report which is available under the ESG tab on our website and can be accessed by using this link </w:t>
      </w:r>
      <w:r>
        <w:rPr>
          <w:rFonts w:ascii="Arial" w:cs="Arial" w:eastAsia="Arial" w:hAnsi="Arial"/>
          <w:sz w:val="20"/>
          <w:szCs w:val="20"/>
          <w:color w:val="EF3E2A"/>
        </w:rPr>
        <w:t>Federal Realty | 2022 ESG Report by Federal 1962 - Issuu</w:t>
      </w:r>
      <w:r>
        <w:rPr>
          <w:rFonts w:ascii="Arial" w:cs="Arial" w:eastAsia="Arial" w:hAnsi="Arial"/>
          <w:sz w:val="20"/>
          <w:szCs w:val="20"/>
          <w:color w:val="231F20"/>
        </w:rPr>
        <w:t>. The report provides additional, detailed information in</w:t>
      </w:r>
      <w:r>
        <w:rPr>
          <w:rFonts w:ascii="Arial" w:cs="Arial" w:eastAsia="Arial" w:hAnsi="Arial"/>
          <w:sz w:val="20"/>
          <w:szCs w:val="20"/>
          <w:color w:val="EF3E2A"/>
        </w:rPr>
        <w:t xml:space="preserve"> </w:t>
      </w:r>
      <w:r>
        <w:rPr>
          <w:rFonts w:ascii="Arial" w:cs="Arial" w:eastAsia="Arial" w:hAnsi="Arial"/>
          <w:sz w:val="20"/>
          <w:szCs w:val="20"/>
          <w:color w:val="231F20"/>
        </w:rPr>
        <w:t>alignment with the frameworks established by the Global Reporting Initiative, Task Force for Climate Related Financial Disclosures and Sustainability Accounting Standards Board.</w:t>
      </w:r>
    </w:p>
    <w:p>
      <w:pPr>
        <w:spacing w:after="0" w:line="25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Our overall efforts on these 5 initiatives have earned us high marks from both MSCI and the Global Real Estate Sustainability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111760</wp:posOffset>
            </wp:positionV>
            <wp:extent cx="3890010" cy="1154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7">
                      <a:extLst>
                        <a:ext uri="{28A0092B-C50C-407E-A947-70E740481C1C}"/>
                      </a:extLst>
                    </a:blip>
                    <a:srcRect/>
                    <a:stretch>
                      <a:fillRect/>
                    </a:stretch>
                  </pic:blipFill>
                  <pic:spPr bwMode="auto">
                    <a:xfrm>
                      <a:off x="0" y="0"/>
                      <a:ext cx="3890010" cy="115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231F20"/>
        </w:rPr>
        <w:t>Some of the areas where we have been recognized for our ESG efforts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119380</wp:posOffset>
            </wp:positionV>
            <wp:extent cx="5766435" cy="12515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8">
                      <a:extLst>
                        <a:ext uri="{28A0092B-C50C-407E-A947-70E740481C1C}"/>
                      </a:extLst>
                    </a:blip>
                    <a:srcRect/>
                    <a:stretch>
                      <a:fillRect/>
                    </a:stretch>
                  </pic:blipFill>
                  <pic:spPr bwMode="auto">
                    <a:xfrm>
                      <a:off x="0" y="0"/>
                      <a:ext cx="5766435" cy="12515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1541780</wp:posOffset>
                </wp:positionV>
                <wp:extent cx="640080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4pt" to="504pt,121.4pt" o:allowincell="f" strokecolor="#EF3E2A"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231F20"/>
        </w:rPr>
        <w:t>Governing the Company</w:t>
      </w:r>
    </w:p>
    <w:p>
      <w:pPr>
        <w:spacing w:after="0" w:line="18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GOVERNANCE DOCUMENTS</w:t>
      </w:r>
    </w:p>
    <w:p>
      <w:pPr>
        <w:spacing w:after="0" w:line="25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125" w:lineRule="exact"/>
        <w:rPr>
          <w:sz w:val="20"/>
          <w:szCs w:val="20"/>
          <w:color w:val="auto"/>
        </w:rPr>
      </w:pPr>
    </w:p>
    <w:p>
      <w:pPr>
        <w:ind w:left="800" w:hanging="400"/>
        <w:spacing w:after="0"/>
        <w:tabs>
          <w:tab w:leader="none" w:pos="800" w:val="left"/>
        </w:tabs>
        <w:numPr>
          <w:ilvl w:val="0"/>
          <w:numId w:val="79"/>
        </w:numPr>
        <w:rPr>
          <w:rFonts w:ascii="Arial" w:cs="Arial" w:eastAsia="Arial" w:hAnsi="Arial"/>
          <w:sz w:val="20"/>
          <w:szCs w:val="20"/>
          <w:color w:val="EF3E2B"/>
        </w:rPr>
      </w:pPr>
      <w:r>
        <w:rPr>
          <w:rFonts w:ascii="Arial" w:cs="Arial" w:eastAsia="Arial" w:hAnsi="Arial"/>
          <w:sz w:val="20"/>
          <w:szCs w:val="20"/>
          <w:color w:val="231F20"/>
        </w:rPr>
        <w:t>Corporate Governance Guidelines</w:t>
      </w:r>
    </w:p>
    <w:p>
      <w:pPr>
        <w:spacing w:after="0" w:line="8" w:lineRule="exact"/>
        <w:rPr>
          <w:rFonts w:ascii="Arial" w:cs="Arial" w:eastAsia="Arial" w:hAnsi="Arial"/>
          <w:sz w:val="20"/>
          <w:szCs w:val="20"/>
          <w:color w:val="EF3E2B"/>
        </w:rPr>
      </w:pPr>
    </w:p>
    <w:p>
      <w:pPr>
        <w:ind w:left="800" w:hanging="400"/>
        <w:spacing w:after="0"/>
        <w:tabs>
          <w:tab w:leader="none" w:pos="800" w:val="left"/>
        </w:tabs>
        <w:numPr>
          <w:ilvl w:val="0"/>
          <w:numId w:val="79"/>
        </w:numPr>
        <w:rPr>
          <w:rFonts w:ascii="Arial" w:cs="Arial" w:eastAsia="Arial" w:hAnsi="Arial"/>
          <w:sz w:val="20"/>
          <w:szCs w:val="20"/>
          <w:color w:val="EF3E2B"/>
        </w:rPr>
      </w:pPr>
      <w:r>
        <w:rPr>
          <w:rFonts w:ascii="Arial" w:cs="Arial" w:eastAsia="Arial" w:hAnsi="Arial"/>
          <w:sz w:val="20"/>
          <w:szCs w:val="20"/>
          <w:color w:val="231F20"/>
        </w:rPr>
        <w:t>Code of Business Conduct</w:t>
      </w:r>
    </w:p>
    <w:p>
      <w:pPr>
        <w:spacing w:after="0" w:line="10" w:lineRule="exact"/>
        <w:rPr>
          <w:rFonts w:ascii="Arial" w:cs="Arial" w:eastAsia="Arial" w:hAnsi="Arial"/>
          <w:sz w:val="20"/>
          <w:szCs w:val="20"/>
          <w:color w:val="EF3E2B"/>
        </w:rPr>
      </w:pPr>
    </w:p>
    <w:p>
      <w:pPr>
        <w:ind w:left="800" w:hanging="400"/>
        <w:spacing w:after="0"/>
        <w:tabs>
          <w:tab w:leader="none" w:pos="800" w:val="left"/>
        </w:tabs>
        <w:numPr>
          <w:ilvl w:val="0"/>
          <w:numId w:val="79"/>
        </w:numPr>
        <w:rPr>
          <w:rFonts w:ascii="Arial" w:cs="Arial" w:eastAsia="Arial" w:hAnsi="Arial"/>
          <w:sz w:val="20"/>
          <w:szCs w:val="20"/>
          <w:color w:val="EF3E2B"/>
        </w:rPr>
      </w:pPr>
      <w:r>
        <w:rPr>
          <w:rFonts w:ascii="Arial" w:cs="Arial" w:eastAsia="Arial" w:hAnsi="Arial"/>
          <w:sz w:val="20"/>
          <w:szCs w:val="20"/>
          <w:color w:val="231F20"/>
        </w:rPr>
        <w:t>Code of Ethics for our Senior Financial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342900</wp:posOffset>
                </wp:positionV>
                <wp:extent cx="6400800" cy="17780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141" o:spid="_x0000_s1166" style="position:absolute;margin-left:0pt;margin-top:2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342900</wp:posOffset>
                </wp:positionV>
                <wp:extent cx="0" cy="17780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7pt" to="0.5pt,4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349250</wp:posOffset>
                </wp:positionV>
                <wp:extent cx="640080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5pt" to="504pt,2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342900</wp:posOffset>
                </wp:positionV>
                <wp:extent cx="0" cy="17780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7pt" to="503.5pt,4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514350</wp:posOffset>
                </wp:positionV>
                <wp:extent cx="64008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504pt,40.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38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w:t>
      </w:r>
    </w:p>
    <w:p>
      <w:pPr>
        <w:sectPr>
          <w:pgSz w:w="12240" w:h="15840" w:orient="portrait"/>
          <w:cols w:equalWidth="0" w:num="1">
            <w:col w:w="10080"/>
          </w:cols>
          <w:pgMar w:left="1080" w:top="1440" w:right="1080" w:bottom="944" w:gutter="0" w:footer="0" w:header="0"/>
          <w:type w:val="continuous"/>
        </w:sectPr>
      </w:pPr>
    </w:p>
    <w:bookmarkStart w:id="124" w:name="page125"/>
    <w:bookmarkEnd w:id="124"/>
    <w:p>
      <w:pPr>
        <w:spacing w:after="0" w:line="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 xml:space="preserve">These documents are reviewed periodically and revised when needed to reflect changing regulatory and governmental requirements and best practices. Complete copies of these documents are available in the Investor/ Corporate Governance section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color w:val="231F20"/>
        </w:rPr>
        <w:t>. Printed copies of these documents are available upon written request to our Investor Relations department at 909 Rose Avenue, Suite 200, North Bethesda, Maryland 20852.</w:t>
      </w:r>
    </w:p>
    <w:p>
      <w:pPr>
        <w:spacing w:after="0" w:line="22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GOVERNANCE POLICIES AND PROCEDURES</w:t>
      </w:r>
    </w:p>
    <w:p>
      <w:pPr>
        <w:spacing w:after="0" w:line="27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Our commitment to good governance is an integral part of our business. Highlights of our corporate governance practices include:</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360" w:type="dxa"/>
            <w:vAlign w:val="bottom"/>
            <w:tcBorders>
              <w:top w:val="single" w:sz="8" w:color="231F20"/>
              <w:left w:val="single" w:sz="8" w:color="231F20"/>
            </w:tcBorders>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Annual election of Trustees</w:t>
            </w:r>
          </w:p>
        </w:tc>
        <w:tc>
          <w:tcPr>
            <w:tcW w:w="400" w:type="dxa"/>
            <w:vAlign w:val="bottom"/>
            <w:tcBorders>
              <w:top w:val="single" w:sz="8" w:color="231F20"/>
            </w:tcBorders>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60" w:type="dxa"/>
            <w:vAlign w:val="bottom"/>
            <w:tcBorders>
              <w:top w:val="single" w:sz="8" w:color="231F20"/>
            </w:tcBorders>
          </w:tcPr>
          <w:p>
            <w:pPr>
              <w:ind w:left="120"/>
              <w:spacing w:after="0"/>
              <w:rPr>
                <w:sz w:val="20"/>
                <w:szCs w:val="20"/>
                <w:color w:val="auto"/>
              </w:rPr>
            </w:pPr>
            <w:r>
              <w:rPr>
                <w:rFonts w:ascii="Arial" w:cs="Arial" w:eastAsia="Arial" w:hAnsi="Arial"/>
                <w:sz w:val="20"/>
                <w:szCs w:val="20"/>
                <w:color w:val="231F20"/>
              </w:rPr>
              <w:t>Independent non-executive</w:t>
            </w:r>
          </w:p>
        </w:tc>
        <w:tc>
          <w:tcPr>
            <w:tcW w:w="400" w:type="dxa"/>
            <w:vAlign w:val="bottom"/>
            <w:tcBorders>
              <w:top w:val="single" w:sz="8" w:color="231F20"/>
            </w:tcBorders>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80" w:type="dxa"/>
            <w:vAlign w:val="bottom"/>
            <w:tcBorders>
              <w:top w:val="single" w:sz="8" w:color="231F20"/>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Board oversight of</w:t>
            </w:r>
          </w:p>
        </w:tc>
      </w:tr>
      <w:tr>
        <w:trPr>
          <w:trHeight w:val="240"/>
        </w:trPr>
        <w:tc>
          <w:tcPr>
            <w:tcW w:w="3360" w:type="dxa"/>
            <w:vAlign w:val="bottom"/>
            <w:tcBorders>
              <w:left w:val="single" w:sz="8" w:color="231F20"/>
            </w:tcBorders>
            <w:shd w:val="clear" w:color="auto" w:fill="DCDDDE"/>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20"/>
                <w:szCs w:val="20"/>
                <w:color w:val="231F20"/>
              </w:rPr>
              <w:t>chairman since 2003</w:t>
            </w: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sustainability, cyber security,</w:t>
            </w:r>
          </w:p>
        </w:tc>
      </w:tr>
      <w:tr>
        <w:trPr>
          <w:trHeight w:val="240"/>
        </w:trPr>
        <w:tc>
          <w:tcPr>
            <w:tcW w:w="3360" w:type="dxa"/>
            <w:vAlign w:val="bottom"/>
            <w:tcBorders>
              <w:left w:val="single" w:sz="8" w:color="231F20"/>
            </w:tcBorders>
            <w:shd w:val="clear" w:color="auto" w:fill="DCDDDE"/>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data protection and human</w:t>
            </w:r>
          </w:p>
        </w:tc>
      </w:tr>
      <w:tr>
        <w:trPr>
          <w:trHeight w:val="240"/>
        </w:trPr>
        <w:tc>
          <w:tcPr>
            <w:tcW w:w="3360" w:type="dxa"/>
            <w:vAlign w:val="bottom"/>
            <w:tcBorders>
              <w:left w:val="single" w:sz="8" w:color="231F20"/>
            </w:tcBorders>
            <w:shd w:val="clear" w:color="auto" w:fill="DCDDDE"/>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resources</w:t>
            </w:r>
          </w:p>
        </w:tc>
      </w:tr>
      <w:tr>
        <w:trPr>
          <w:trHeight w:val="158"/>
        </w:trPr>
        <w:tc>
          <w:tcPr>
            <w:tcW w:w="3360" w:type="dxa"/>
            <w:vAlign w:val="bottom"/>
            <w:tcBorders>
              <w:left w:val="single" w:sz="8" w:color="231F20"/>
            </w:tcBorders>
            <w:shd w:val="clear" w:color="auto" w:fill="DCDDDE"/>
          </w:tcPr>
          <w:p>
            <w:pPr>
              <w:spacing w:after="0"/>
              <w:rPr>
                <w:sz w:val="13"/>
                <w:szCs w:val="13"/>
                <w:color w:val="auto"/>
              </w:rPr>
            </w:pPr>
          </w:p>
        </w:tc>
        <w:tc>
          <w:tcPr>
            <w:tcW w:w="3360" w:type="dxa"/>
            <w:vAlign w:val="bottom"/>
            <w:gridSpan w:val="2"/>
          </w:tcPr>
          <w:p>
            <w:pPr>
              <w:spacing w:after="0"/>
              <w:rPr>
                <w:sz w:val="13"/>
                <w:szCs w:val="13"/>
                <w:color w:val="auto"/>
              </w:rPr>
            </w:pPr>
          </w:p>
        </w:tc>
        <w:tc>
          <w:tcPr>
            <w:tcW w:w="3380" w:type="dxa"/>
            <w:vAlign w:val="bottom"/>
            <w:tcBorders>
              <w:right w:val="single" w:sz="8" w:color="231F20"/>
            </w:tcBorders>
            <w:gridSpan w:val="2"/>
            <w:shd w:val="clear" w:color="auto" w:fill="DCDDDE"/>
          </w:tcPr>
          <w:p>
            <w:pPr>
              <w:spacing w:after="0"/>
              <w:rPr>
                <w:sz w:val="13"/>
                <w:szCs w:val="13"/>
                <w:color w:val="auto"/>
              </w:rPr>
            </w:pPr>
          </w:p>
        </w:tc>
      </w:tr>
      <w:tr>
        <w:trPr>
          <w:trHeight w:val="282"/>
        </w:trPr>
        <w:tc>
          <w:tcPr>
            <w:tcW w:w="3360" w:type="dxa"/>
            <w:vAlign w:val="bottom"/>
            <w:tcBorders>
              <w:left w:val="single" w:sz="8" w:color="231F20"/>
            </w:tcBorders>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Annual Board and Trustee</w:t>
            </w:r>
          </w:p>
        </w:tc>
        <w:tc>
          <w:tcPr>
            <w:tcW w:w="3360" w:type="dxa"/>
            <w:vAlign w:val="bottom"/>
            <w:gridSpan w:val="2"/>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Majority voting in uncontested</w:t>
            </w:r>
          </w:p>
        </w:tc>
        <w:tc>
          <w:tcPr>
            <w:tcW w:w="3380" w:type="dxa"/>
            <w:vAlign w:val="bottom"/>
            <w:tcBorders>
              <w:right w:val="single" w:sz="8" w:color="231F20"/>
            </w:tcBorders>
            <w:gridSpan w:val="2"/>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Proxy access for all</w:t>
            </w:r>
          </w:p>
        </w:tc>
      </w:tr>
      <w:tr>
        <w:trPr>
          <w:trHeight w:val="240"/>
        </w:trPr>
        <w:tc>
          <w:tcPr>
            <w:tcW w:w="3360" w:type="dxa"/>
            <w:vAlign w:val="bottom"/>
            <w:tcBorders>
              <w:left w:val="single" w:sz="8" w:color="231F20"/>
            </w:tcBorders>
          </w:tcPr>
          <w:p>
            <w:pPr>
              <w:ind w:left="520"/>
              <w:spacing w:after="0"/>
              <w:rPr>
                <w:sz w:val="20"/>
                <w:szCs w:val="20"/>
                <w:color w:val="auto"/>
              </w:rPr>
            </w:pPr>
            <w:r>
              <w:rPr>
                <w:rFonts w:ascii="Arial" w:cs="Arial" w:eastAsia="Arial" w:hAnsi="Arial"/>
                <w:sz w:val="20"/>
                <w:szCs w:val="20"/>
                <w:color w:val="231F20"/>
              </w:rPr>
              <w:t>evaluations</w:t>
            </w:r>
          </w:p>
        </w:tc>
        <w:tc>
          <w:tcPr>
            <w:tcW w:w="400" w:type="dxa"/>
            <w:vAlign w:val="bottom"/>
            <w:shd w:val="clear" w:color="auto" w:fill="DCDDDE"/>
          </w:tcPr>
          <w:p>
            <w:pPr>
              <w:spacing w:after="0"/>
              <w:rPr>
                <w:sz w:val="20"/>
                <w:szCs w:val="20"/>
                <w:color w:val="auto"/>
              </w:rPr>
            </w:pPr>
          </w:p>
        </w:tc>
        <w:tc>
          <w:tcPr>
            <w:tcW w:w="2960" w:type="dxa"/>
            <w:vAlign w:val="bottom"/>
            <w:shd w:val="clear" w:color="auto" w:fill="DCDDDE"/>
          </w:tcPr>
          <w:p>
            <w:pPr>
              <w:ind w:left="120"/>
              <w:spacing w:after="0"/>
              <w:rPr>
                <w:sz w:val="20"/>
                <w:szCs w:val="20"/>
                <w:color w:val="auto"/>
              </w:rPr>
            </w:pPr>
            <w:r>
              <w:rPr>
                <w:rFonts w:ascii="Arial" w:cs="Arial" w:eastAsia="Arial" w:hAnsi="Arial"/>
                <w:sz w:val="20"/>
                <w:szCs w:val="20"/>
                <w:color w:val="231F20"/>
              </w:rPr>
              <w:t>elections</w:t>
            </w:r>
          </w:p>
        </w:tc>
        <w:tc>
          <w:tcPr>
            <w:tcW w:w="400" w:type="dxa"/>
            <w:vAlign w:val="bottom"/>
          </w:tcPr>
          <w:p>
            <w:pPr>
              <w:spacing w:after="0"/>
              <w:rPr>
                <w:sz w:val="20"/>
                <w:szCs w:val="20"/>
                <w:color w:val="auto"/>
              </w:rPr>
            </w:pPr>
          </w:p>
        </w:tc>
        <w:tc>
          <w:tcPr>
            <w:tcW w:w="2980" w:type="dxa"/>
            <w:vAlign w:val="bottom"/>
            <w:tcBorders>
              <w:right w:val="single" w:sz="8" w:color="231F20"/>
            </w:tcBorders>
          </w:tcPr>
          <w:p>
            <w:pPr>
              <w:ind w:left="120"/>
              <w:spacing w:after="0"/>
              <w:rPr>
                <w:sz w:val="20"/>
                <w:szCs w:val="20"/>
                <w:color w:val="auto"/>
              </w:rPr>
            </w:pPr>
            <w:r>
              <w:rPr>
                <w:rFonts w:ascii="Arial" w:cs="Arial" w:eastAsia="Arial" w:hAnsi="Arial"/>
                <w:sz w:val="20"/>
                <w:szCs w:val="20"/>
                <w:color w:val="231F20"/>
              </w:rPr>
              <w:t>shareholders</w:t>
            </w:r>
          </w:p>
        </w:tc>
      </w:tr>
      <w:tr>
        <w:trPr>
          <w:trHeight w:val="158"/>
        </w:trPr>
        <w:tc>
          <w:tcPr>
            <w:tcW w:w="3360" w:type="dxa"/>
            <w:vAlign w:val="bottom"/>
            <w:tcBorders>
              <w:left w:val="single" w:sz="8" w:color="231F20"/>
            </w:tcBorders>
          </w:tcPr>
          <w:p>
            <w:pPr>
              <w:spacing w:after="0"/>
              <w:rPr>
                <w:sz w:val="13"/>
                <w:szCs w:val="13"/>
                <w:color w:val="auto"/>
              </w:rPr>
            </w:pPr>
          </w:p>
        </w:tc>
        <w:tc>
          <w:tcPr>
            <w:tcW w:w="400" w:type="dxa"/>
            <w:vAlign w:val="bottom"/>
            <w:shd w:val="clear" w:color="auto" w:fill="DCDDDE"/>
          </w:tcPr>
          <w:p>
            <w:pPr>
              <w:spacing w:after="0"/>
              <w:rPr>
                <w:sz w:val="13"/>
                <w:szCs w:val="13"/>
                <w:color w:val="auto"/>
              </w:rPr>
            </w:pPr>
          </w:p>
        </w:tc>
        <w:tc>
          <w:tcPr>
            <w:tcW w:w="2960" w:type="dxa"/>
            <w:vAlign w:val="bottom"/>
            <w:shd w:val="clear" w:color="auto" w:fill="DCDDDE"/>
          </w:tcPr>
          <w:p>
            <w:pPr>
              <w:spacing w:after="0"/>
              <w:rPr>
                <w:sz w:val="13"/>
                <w:szCs w:val="13"/>
                <w:color w:val="auto"/>
              </w:rPr>
            </w:pPr>
          </w:p>
        </w:tc>
        <w:tc>
          <w:tcPr>
            <w:tcW w:w="400" w:type="dxa"/>
            <w:vAlign w:val="bottom"/>
          </w:tcPr>
          <w:p>
            <w:pPr>
              <w:spacing w:after="0"/>
              <w:rPr>
                <w:sz w:val="13"/>
                <w:szCs w:val="13"/>
                <w:color w:val="auto"/>
              </w:rPr>
            </w:pPr>
          </w:p>
        </w:tc>
        <w:tc>
          <w:tcPr>
            <w:tcW w:w="2980" w:type="dxa"/>
            <w:vAlign w:val="bottom"/>
            <w:tcBorders>
              <w:right w:val="single" w:sz="8" w:color="231F20"/>
            </w:tcBorders>
          </w:tcPr>
          <w:p>
            <w:pPr>
              <w:spacing w:after="0"/>
              <w:rPr>
                <w:sz w:val="13"/>
                <w:szCs w:val="13"/>
                <w:color w:val="auto"/>
              </w:rPr>
            </w:pPr>
          </w:p>
        </w:tc>
      </w:tr>
      <w:tr>
        <w:trPr>
          <w:trHeight w:val="282"/>
        </w:trPr>
        <w:tc>
          <w:tcPr>
            <w:tcW w:w="3360" w:type="dxa"/>
            <w:vAlign w:val="bottom"/>
            <w:tcBorders>
              <w:left w:val="single" w:sz="8" w:color="231F20"/>
            </w:tcBorders>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Prohibition on Trustees and</w:t>
            </w:r>
          </w:p>
        </w:tc>
        <w:tc>
          <w:tcPr>
            <w:tcW w:w="400" w:type="dxa"/>
            <w:vAlign w:val="bottom"/>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60" w:type="dxa"/>
            <w:vAlign w:val="bottom"/>
          </w:tcPr>
          <w:p>
            <w:pPr>
              <w:ind w:left="120"/>
              <w:spacing w:after="0"/>
              <w:rPr>
                <w:sz w:val="20"/>
                <w:szCs w:val="20"/>
                <w:color w:val="auto"/>
              </w:rPr>
            </w:pPr>
            <w:r>
              <w:rPr>
                <w:rFonts w:ascii="Arial" w:cs="Arial" w:eastAsia="Arial" w:hAnsi="Arial"/>
                <w:sz w:val="20"/>
                <w:szCs w:val="20"/>
                <w:color w:val="231F20"/>
              </w:rPr>
              <w:t>Shareholder approval required</w:t>
            </w:r>
          </w:p>
        </w:tc>
        <w:tc>
          <w:tcPr>
            <w:tcW w:w="400" w:type="dxa"/>
            <w:vAlign w:val="bottom"/>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Robust share ownership</w:t>
            </w:r>
          </w:p>
        </w:tc>
      </w:tr>
      <w:tr>
        <w:trPr>
          <w:trHeight w:val="240"/>
        </w:trPr>
        <w:tc>
          <w:tcPr>
            <w:tcW w:w="3360" w:type="dxa"/>
            <w:vAlign w:val="bottom"/>
            <w:tcBorders>
              <w:left w:val="single" w:sz="8" w:color="231F20"/>
            </w:tcBorders>
            <w:shd w:val="clear" w:color="auto" w:fill="DCDDDE"/>
          </w:tcPr>
          <w:p>
            <w:pPr>
              <w:ind w:left="520"/>
              <w:spacing w:after="0"/>
              <w:rPr>
                <w:sz w:val="20"/>
                <w:szCs w:val="20"/>
                <w:color w:val="auto"/>
              </w:rPr>
            </w:pPr>
            <w:r>
              <w:rPr>
                <w:rFonts w:ascii="Arial" w:cs="Arial" w:eastAsia="Arial" w:hAnsi="Arial"/>
                <w:sz w:val="20"/>
                <w:szCs w:val="20"/>
                <w:color w:val="231F20"/>
              </w:rPr>
              <w:t>management hedging and</w:t>
            </w:r>
          </w:p>
        </w:tc>
        <w:tc>
          <w:tcPr>
            <w:tcW w:w="40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20"/>
                <w:szCs w:val="20"/>
                <w:color w:val="231F20"/>
              </w:rPr>
              <w:t>to classify our Board</w:t>
            </w: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guidelines in place for Trustees</w:t>
            </w:r>
          </w:p>
        </w:tc>
      </w:tr>
      <w:tr>
        <w:trPr>
          <w:trHeight w:val="248"/>
        </w:trPr>
        <w:tc>
          <w:tcPr>
            <w:tcW w:w="3360" w:type="dxa"/>
            <w:vAlign w:val="bottom"/>
            <w:tcBorders>
              <w:left w:val="single" w:sz="8" w:color="231F20"/>
              <w:bottom w:val="single" w:sz="8" w:color="DCDDDE"/>
            </w:tcBorders>
            <w:shd w:val="clear" w:color="auto" w:fill="DCDDDE"/>
          </w:tcPr>
          <w:p>
            <w:pPr>
              <w:ind w:left="520"/>
              <w:spacing w:after="0"/>
              <w:rPr>
                <w:sz w:val="20"/>
                <w:szCs w:val="20"/>
                <w:color w:val="auto"/>
              </w:rPr>
            </w:pPr>
            <w:r>
              <w:rPr>
                <w:rFonts w:ascii="Arial" w:cs="Arial" w:eastAsia="Arial" w:hAnsi="Arial"/>
                <w:sz w:val="20"/>
                <w:szCs w:val="20"/>
                <w:color w:val="231F20"/>
              </w:rPr>
              <w:t>pledging our shares</w:t>
            </w:r>
          </w:p>
        </w:tc>
        <w:tc>
          <w:tcPr>
            <w:tcW w:w="4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00" w:type="dxa"/>
            <w:vAlign w:val="bottom"/>
            <w:tcBorders>
              <w:bottom w:val="single" w:sz="8" w:color="DCDDDE"/>
            </w:tcBorders>
            <w:shd w:val="clear" w:color="auto" w:fill="DCDDDE"/>
          </w:tcPr>
          <w:p>
            <w:pPr>
              <w:spacing w:after="0"/>
              <w:rPr>
                <w:sz w:val="21"/>
                <w:szCs w:val="21"/>
                <w:color w:val="auto"/>
              </w:rPr>
            </w:pPr>
          </w:p>
        </w:tc>
        <w:tc>
          <w:tcPr>
            <w:tcW w:w="2980" w:type="dxa"/>
            <w:vAlign w:val="bottom"/>
            <w:tcBorders>
              <w:bottom w:val="single" w:sz="8" w:color="DCDDDE"/>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and senior management</w:t>
            </w:r>
          </w:p>
        </w:tc>
      </w:tr>
      <w:tr>
        <w:trPr>
          <w:trHeight w:val="20"/>
        </w:trPr>
        <w:tc>
          <w:tcPr>
            <w:tcW w:w="3360" w:type="dxa"/>
            <w:vAlign w:val="bottom"/>
            <w:tcBorders>
              <w:left w:val="single" w:sz="8" w:color="231F20"/>
            </w:tcBorders>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296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2980" w:type="dxa"/>
            <w:vAlign w:val="bottom"/>
            <w:tcBorders>
              <w:right w:val="single" w:sz="8" w:color="231F20"/>
            </w:tcBorders>
            <w:shd w:val="clear" w:color="auto" w:fill="231F20"/>
          </w:tcPr>
          <w:p>
            <w:pPr>
              <w:spacing w:after="0" w:line="20" w:lineRule="exact"/>
              <w:rPr>
                <w:sz w:val="1"/>
                <w:szCs w:val="1"/>
                <w:color w:val="auto"/>
              </w:rPr>
            </w:pPr>
          </w:p>
        </w:tc>
      </w:tr>
    </w:tbl>
    <w:p>
      <w:pPr>
        <w:spacing w:after="0" w:line="237" w:lineRule="exact"/>
        <w:rPr>
          <w:sz w:val="20"/>
          <w:szCs w:val="20"/>
          <w:color w:val="auto"/>
        </w:rPr>
      </w:pPr>
    </w:p>
    <w:p>
      <w:pPr>
        <w:spacing w:after="0" w:line="304" w:lineRule="exact"/>
        <w:tabs>
          <w:tab w:leader="none" w:pos="380" w:val="left"/>
        </w:tabs>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ab/>
        <w:t>BOARD LEADERSHIP</w:t>
      </w:r>
    </w:p>
    <w:p>
      <w:pPr>
        <w:spacing w:after="0" w:line="27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Board has been led by an independent, Non-Executive Chairman for more than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pacing w:after="0" w:line="22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BOARD AND COMMITTEE MEETINGS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4229100</wp:posOffset>
                </wp:positionH>
                <wp:positionV relativeFrom="paragraph">
                  <wp:posOffset>151130</wp:posOffset>
                </wp:positionV>
                <wp:extent cx="0" cy="212090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0900"/>
                        </a:xfrm>
                        <a:prstGeom prst="line">
                          <a:avLst/>
                        </a:prstGeom>
                        <a:solidFill>
                          <a:srgbClr val="FFFFFF"/>
                        </a:solidFill>
                        <a:ln w="25400">
                          <a:solidFill>
                            <a:srgbClr val="EF3E2A"/>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pt,11.9pt" to="333pt,178.9pt" o:allowincell="f" strokecolor="#EF3E2A" strokeweight="2pt"/>
            </w:pict>
          </mc:Fallback>
        </mc:AlternateContent>
      </w:r>
    </w:p>
    <w:p>
      <w:pPr>
        <w:sectPr>
          <w:pgSz w:w="12240" w:h="15840" w:orient="portrait"/>
          <w:cols w:equalWidth="0" w:num="1">
            <w:col w:w="10080"/>
          </w:cols>
          <w:pgMar w:left="1080" w:top="1440" w:right="1080" w:bottom="944" w:gutter="0" w:footer="0" w:header="0"/>
        </w:sectPr>
      </w:pPr>
    </w:p>
    <w:p>
      <w:pPr>
        <w:spacing w:after="0" w:line="2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The Board met five (5) times in 2023 and each trustee attended at least 75% of the meetings of the Board and the committees on which that trustee serves. Our practice is for all trustees to attend all meetings of each of the Board’s standing committees to ensure that each Trustee is fully informed on all issues facing the Company and has the opportunity to participate in discussions surrounding those issues. Only trustees who are members of the specific committee are entitled to vote on matters presented to that committee. At each quarterly meeting, the Trustees met in executive session with all Trustees and then with just non-management Trustees, all of whom are independent. All Trustees are also expected to attend our annual shareholder meeting and all Trustees attended the 2023 annual shareholder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EF3E2A"/>
        </w:rPr>
        <w:t>100%</w:t>
      </w:r>
    </w:p>
    <w:p>
      <w:pPr>
        <w:jc w:val="center"/>
        <w:ind w:right="80"/>
        <w:spacing w:after="0"/>
        <w:rPr>
          <w:sz w:val="20"/>
          <w:szCs w:val="20"/>
          <w:color w:val="auto"/>
        </w:rPr>
      </w:pPr>
      <w:r>
        <w:rPr>
          <w:rFonts w:ascii="Arial" w:cs="Arial" w:eastAsia="Arial" w:hAnsi="Arial"/>
          <w:sz w:val="19"/>
          <w:szCs w:val="19"/>
          <w:color w:val="231F20"/>
        </w:rPr>
        <w:t>Attendance at the annual</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231F20"/>
        </w:rPr>
        <w:t>shareholder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140970</wp:posOffset>
                </wp:positionV>
                <wp:extent cx="20066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6600" cy="4763"/>
                        </a:xfrm>
                        <a:prstGeom prst="line">
                          <a:avLst/>
                        </a:prstGeom>
                        <a:solidFill>
                          <a:srgbClr val="FFFFFF"/>
                        </a:solidFill>
                        <a:ln w="25400">
                          <a:solidFill>
                            <a:srgbClr val="231F2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1.1pt" to="154pt,11.1pt" o:allowincell="f" strokecolor="#231F20" strokeweight="2pt"/>
            </w:pict>
          </mc:Fallback>
        </mc:AlternateConten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EF3E2A"/>
        </w:rPr>
        <w:t>99%</w:t>
      </w:r>
    </w:p>
    <w:p>
      <w:pPr>
        <w:spacing w:after="0" w:line="15" w:lineRule="exact"/>
        <w:rPr>
          <w:sz w:val="20"/>
          <w:szCs w:val="20"/>
          <w:color w:val="auto"/>
        </w:rPr>
      </w:pPr>
    </w:p>
    <w:p>
      <w:pPr>
        <w:jc w:val="center"/>
        <w:ind w:right="60"/>
        <w:spacing w:after="0" w:line="263" w:lineRule="auto"/>
        <w:rPr>
          <w:sz w:val="20"/>
          <w:szCs w:val="20"/>
          <w:color w:val="auto"/>
        </w:rPr>
      </w:pPr>
      <w:r>
        <w:rPr>
          <w:rFonts w:ascii="Arial" w:cs="Arial" w:eastAsia="Arial" w:hAnsi="Arial"/>
          <w:sz w:val="18"/>
          <w:szCs w:val="18"/>
          <w:color w:val="231F20"/>
        </w:rPr>
        <w:t>Attendance by Trustees of total Board meetings and meetings of Committees on which they serve</w:t>
      </w:r>
    </w:p>
    <w:p>
      <w:pPr>
        <w:spacing w:after="0" w:line="605" w:lineRule="exact"/>
        <w:rPr>
          <w:sz w:val="20"/>
          <w:szCs w:val="20"/>
          <w:color w:val="auto"/>
        </w:rPr>
      </w:pPr>
    </w:p>
    <w:p>
      <w:pPr>
        <w:sectPr>
          <w:pgSz w:w="12240" w:h="15840" w:orient="portrait"/>
          <w:cols w:equalWidth="0" w:num="2">
            <w:col w:w="6400" w:space="600"/>
            <w:col w:w="3080"/>
          </w:cols>
          <w:pgMar w:left="1080" w:top="1440" w:right="1080" w:bottom="944" w:gutter="0" w:footer="0" w:header="0"/>
          <w:type w:val="continuous"/>
        </w:sectPr>
      </w:pPr>
    </w:p>
    <w:p>
      <w:pPr>
        <w:spacing w:after="0" w:line="2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BOARD COMMITTEES</w:t>
      </w:r>
    </w:p>
    <w:p>
      <w:pPr>
        <w:spacing w:after="0" w:line="276"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The Board has three standing committees – the Audit Committee, the Compensation and Human Capital Management Committee (“Compensation Committee”) and the Nominating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130810</wp:posOffset>
                </wp:positionV>
                <wp:extent cx="6400800" cy="17780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148" o:spid="_x0000_s1173" style="position:absolute;margin-left:0pt;margin-top:10.3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130810</wp:posOffset>
                </wp:positionV>
                <wp:extent cx="0" cy="17780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3pt" to="0.5pt,24.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137160</wp:posOffset>
                </wp:positionV>
                <wp:extent cx="640080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pt" to="504pt,10.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130810</wp:posOffset>
                </wp:positionV>
                <wp:extent cx="0" cy="17780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3pt" to="503.5pt,24.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302260</wp:posOffset>
                </wp:positionV>
                <wp:extent cx="640080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8pt" to="504pt,23.8pt" o:allowincell="f" strokecolor="#231F20" strokeweight="1pt"/>
            </w:pict>
          </mc:Fallback>
        </mc:AlternateContent>
      </w:r>
    </w:p>
    <w:p>
      <w:pPr>
        <w:sectPr>
          <w:pgSz w:w="12240" w:h="15840" w:orient="portrait"/>
          <w:cols w:equalWidth="0" w:num="1">
            <w:col w:w="10080"/>
          </w:cols>
          <w:pgMar w:left="1080" w:top="1440" w:right="1080" w:bottom="944" w:gutter="0" w:footer="0" w:header="0"/>
          <w:type w:val="continuous"/>
        </w:sectPr>
      </w:pPr>
    </w:p>
    <w:p>
      <w:pPr>
        <w:spacing w:after="0" w:line="255"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r>
      <w:r>
        <w:rPr>
          <w:sz w:val="20"/>
          <w:szCs w:val="20"/>
          <w:color w:val="auto"/>
        </w:rPr>
        <w:tab/>
      </w:r>
      <w:r>
        <w:rPr>
          <w:rFonts w:ascii="Arial" w:cs="Arial" w:eastAsia="Arial" w:hAnsi="Arial"/>
          <w:sz w:val="14"/>
          <w:szCs w:val="14"/>
          <w:color w:val="231F20"/>
        </w:rPr>
        <w:t>5</w:t>
      </w:r>
    </w:p>
    <w:p>
      <w:pPr>
        <w:sectPr>
          <w:pgSz w:w="12240" w:h="15840" w:orient="portrait"/>
          <w:cols w:equalWidth="0" w:num="1">
            <w:col w:w="10080"/>
          </w:cols>
          <w:pgMar w:left="1080" w:top="1440" w:right="1080" w:bottom="944" w:gutter="0" w:footer="0" w:header="0"/>
          <w:type w:val="continuous"/>
        </w:sectPr>
      </w:pPr>
    </w:p>
    <w:bookmarkStart w:id="125" w:name="page126"/>
    <w:bookmarkEnd w:id="125"/>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 xml:space="preserve">Committee (“NCGC”). Each committee operates under a written charter that is available in the Investors/ Corporate Governance section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color w:val="231F20"/>
        </w:rPr>
        <w:t>. Each committee consists entirely of independent, non-employee trustees.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124460</wp:posOffset>
                </wp:positionV>
                <wp:extent cx="6400800" cy="2032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03200"/>
                        </a:xfrm>
                        <a:prstGeom prst="rect">
                          <a:avLst/>
                        </a:prstGeom>
                        <a:solidFill>
                          <a:srgbClr val="EF3E2A"/>
                        </a:solidFill>
                      </wps:spPr>
                      <wps:bodyPr/>
                    </wps:wsp>
                  </a:graphicData>
                </a:graphic>
              </wp:anchor>
            </w:drawing>
          </mc:Choice>
          <mc:Fallback>
            <w:pict>
              <v:rect id="Shape 153" o:spid="_x0000_s1178" style="position:absolute;margin-left:0pt;margin-top:9.8pt;width:504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ectPr>
          <w:pgSz w:w="12240" w:h="15840" w:orient="portrait"/>
          <w:cols w:equalWidth="0" w:num="1">
            <w:col w:w="10080"/>
          </w:cols>
          <w:pgMar w:left="1080" w:top="1440" w:right="1080" w:bottom="944" w:gutter="0" w:footer="0" w:header="0"/>
        </w:sect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A</w:t>
      </w:r>
      <w:r>
        <w:rPr>
          <w:rFonts w:ascii="Arial" w:cs="Arial" w:eastAsia="Arial" w:hAnsi="Arial"/>
          <w:sz w:val="15"/>
          <w:szCs w:val="15"/>
          <w:b w:val="1"/>
          <w:bCs w:val="1"/>
          <w:color w:val="FFFFFF"/>
        </w:rPr>
        <w:t>UDIT</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143510</wp:posOffset>
            </wp:positionV>
            <wp:extent cx="713105" cy="784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9">
                      <a:extLst>
                        <a:ext uri="{28A0092B-C50C-407E-A947-70E740481C1C}"/>
                      </a:extLst>
                    </a:blip>
                    <a:srcRect/>
                    <a:stretch>
                      <a:fillRect/>
                    </a:stretch>
                  </pic:blipFill>
                  <pic:spPr bwMode="auto">
                    <a:xfrm>
                      <a:off x="0" y="0"/>
                      <a:ext cx="71310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Members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EF3E2A"/>
        </w:rPr>
        <w:t>Gail P. Steinel (Chair)*</w:t>
      </w:r>
    </w:p>
    <w:p>
      <w:pPr>
        <w:spacing w:after="0" w:line="17" w:lineRule="exact"/>
        <w:rPr>
          <w:sz w:val="20"/>
          <w:szCs w:val="20"/>
          <w:color w:val="auto"/>
        </w:rPr>
      </w:pPr>
    </w:p>
    <w:p>
      <w:pPr>
        <w:ind w:left="120" w:right="960"/>
        <w:spacing w:after="0" w:line="246" w:lineRule="auto"/>
        <w:rPr>
          <w:sz w:val="20"/>
          <w:szCs w:val="20"/>
          <w:color w:val="auto"/>
        </w:rPr>
      </w:pPr>
      <w:r>
        <w:rPr>
          <w:rFonts w:ascii="Arial" w:cs="Arial" w:eastAsia="Arial" w:hAnsi="Arial"/>
          <w:sz w:val="20"/>
          <w:szCs w:val="20"/>
          <w:color w:val="231F20"/>
        </w:rPr>
        <w:t>David W. Faeder* Elizabeth I. Holland Anthony P. Nader, III*</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 xml:space="preserve">Number of Meetings in 2023: </w:t>
      </w:r>
      <w:r>
        <w:rPr>
          <w:rFonts w:ascii="Arial" w:cs="Arial" w:eastAsia="Arial" w:hAnsi="Arial"/>
          <w:sz w:val="20"/>
          <w:szCs w:val="20"/>
          <w:b w:val="1"/>
          <w:bCs w:val="1"/>
          <w:color w:val="EF3E2A"/>
        </w:rPr>
        <w:t>4</w:t>
      </w:r>
    </w:p>
    <w:p>
      <w:pPr>
        <w:spacing w:after="0" w:line="211" w:lineRule="exact"/>
        <w:rPr>
          <w:sz w:val="20"/>
          <w:szCs w:val="20"/>
          <w:color w:val="auto"/>
        </w:rPr>
      </w:pPr>
    </w:p>
    <w:p>
      <w:pPr>
        <w:ind w:left="120" w:right="320"/>
        <w:spacing w:after="0" w:line="253" w:lineRule="auto"/>
        <w:tabs>
          <w:tab w:leader="none" w:pos="226" w:val="left"/>
        </w:tabs>
        <w:numPr>
          <w:ilvl w:val="0"/>
          <w:numId w:val="83"/>
        </w:numPr>
        <w:rPr>
          <w:rFonts w:ascii="Arial" w:cs="Arial" w:eastAsia="Arial" w:hAnsi="Arial"/>
          <w:sz w:val="16"/>
          <w:szCs w:val="16"/>
          <w:color w:val="231F20"/>
        </w:rPr>
      </w:pPr>
      <w:r>
        <w:rPr>
          <w:rFonts w:ascii="Arial" w:cs="Arial" w:eastAsia="Arial" w:hAnsi="Arial"/>
          <w:sz w:val="16"/>
          <w:szCs w:val="16"/>
          <w:color w:val="231F20"/>
        </w:rPr>
        <w:t>Audit committee financial expert as defined by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231F20"/>
        </w:rPr>
        <w:t>The Audit Committee’s responsibilities include:</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color w:val="231F20"/>
        </w:rPr>
        <w:t xml:space="preserve">  Select and oversee our independent auditor</w:t>
      </w:r>
    </w:p>
    <w:p>
      <w:pPr>
        <w:spacing w:after="0" w:line="256" w:lineRule="exact"/>
        <w:rPr>
          <w:sz w:val="20"/>
          <w:szCs w:val="20"/>
          <w:color w:val="auto"/>
        </w:rPr>
      </w:pPr>
    </w:p>
    <w:p>
      <w:pPr>
        <w:ind w:left="400" w:right="760" w:hanging="391"/>
        <w:spacing w:after="0" w:line="232"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color w:val="231F20"/>
        </w:rPr>
        <w:t xml:space="preserve"> Oversee our financial reporting including reviewing results with management and independent auditors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color w:val="231F20"/>
        </w:rPr>
        <w:t xml:space="preserve">  Oversee internal audit function</w:t>
      </w:r>
    </w:p>
    <w:p>
      <w:pPr>
        <w:spacing w:after="0" w:line="256" w:lineRule="exact"/>
        <w:rPr>
          <w:sz w:val="20"/>
          <w:szCs w:val="20"/>
          <w:color w:val="auto"/>
        </w:rPr>
      </w:pPr>
    </w:p>
    <w:p>
      <w:pPr>
        <w:ind w:left="400" w:right="580" w:hanging="391"/>
        <w:spacing w:after="0" w:line="232"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color w:val="231F20"/>
        </w:rPr>
        <w:t xml:space="preserve"> Oversee adequacy and integrity of financial statements, financial reporting and disclosures</w:t>
      </w:r>
    </w:p>
    <w:p>
      <w:pPr>
        <w:spacing w:after="0" w:line="257" w:lineRule="exact"/>
        <w:rPr>
          <w:sz w:val="20"/>
          <w:szCs w:val="20"/>
          <w:color w:val="auto"/>
        </w:rPr>
      </w:pPr>
    </w:p>
    <w:p>
      <w:pPr>
        <w:ind w:left="400" w:right="60" w:hanging="391"/>
        <w:spacing w:after="0" w:line="233"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color w:val="231F20"/>
        </w:rPr>
        <w:t xml:space="preserve"> Oversee financial risks and risks related to cybersecurity, data security and information protection</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color w:val="231F20"/>
        </w:rPr>
        <w:t xml:space="preserve">  Review and approve any related party transactions requiring disclosure</w:t>
      </w:r>
    </w:p>
    <w:p>
      <w:pPr>
        <w:spacing w:after="0" w:line="200" w:lineRule="exact"/>
        <w:rPr>
          <w:sz w:val="20"/>
          <w:szCs w:val="20"/>
          <w:color w:val="auto"/>
        </w:rPr>
      </w:pPr>
    </w:p>
    <w:p>
      <w:pPr>
        <w:sectPr>
          <w:pgSz w:w="12240" w:h="15840" w:orient="portrait"/>
          <w:cols w:equalWidth="0" w:num="2">
            <w:col w:w="3020" w:space="380"/>
            <w:col w:w="6680"/>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C</w:t>
      </w:r>
      <w:r>
        <w:rPr>
          <w:rFonts w:ascii="Arial" w:cs="Arial" w:eastAsia="Arial" w:hAnsi="Arial"/>
          <w:sz w:val="15"/>
          <w:szCs w:val="15"/>
          <w:b w:val="1"/>
          <w:bCs w:val="1"/>
          <w:color w:val="FFFFFF"/>
        </w:rPr>
        <w:t>OMPENSATION</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118110</wp:posOffset>
            </wp:positionV>
            <wp:extent cx="737870" cy="808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0">
                      <a:extLst>
                        <a:ext uri="{28A0092B-C50C-407E-A947-70E740481C1C}"/>
                      </a:extLst>
                    </a:blip>
                    <a:srcRect/>
                    <a:stretch>
                      <a:fillRect/>
                    </a:stretch>
                  </pic:blipFill>
                  <pic:spPr bwMode="auto">
                    <a:xfrm>
                      <a:off x="0" y="0"/>
                      <a:ext cx="73787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Members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EF3E2A"/>
        </w:rPr>
        <w:t>Elizabeth I. Holland (Chair)</w:t>
      </w:r>
    </w:p>
    <w:p>
      <w:pPr>
        <w:spacing w:after="0" w:line="15" w:lineRule="exact"/>
        <w:rPr>
          <w:sz w:val="20"/>
          <w:szCs w:val="20"/>
          <w:color w:val="auto"/>
        </w:rPr>
      </w:pPr>
    </w:p>
    <w:p>
      <w:pPr>
        <w:ind w:left="120" w:right="1000"/>
        <w:spacing w:after="0" w:line="267" w:lineRule="auto"/>
        <w:rPr>
          <w:sz w:val="20"/>
          <w:szCs w:val="20"/>
          <w:color w:val="auto"/>
        </w:rPr>
      </w:pPr>
      <w:r>
        <w:rPr>
          <w:rFonts w:ascii="Arial" w:cs="Arial" w:eastAsia="Arial" w:hAnsi="Arial"/>
          <w:sz w:val="19"/>
          <w:szCs w:val="19"/>
          <w:color w:val="231F20"/>
        </w:rPr>
        <w:t>Nicole Y. Lamb-Hale Thomas A. McEachin Gail P. Steinel</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 xml:space="preserve">Number of Meetings in 2023: </w:t>
      </w:r>
      <w:r>
        <w:rPr>
          <w:rFonts w:ascii="Arial" w:cs="Arial" w:eastAsia="Arial" w:hAnsi="Arial"/>
          <w:sz w:val="20"/>
          <w:szCs w:val="20"/>
          <w:b w:val="1"/>
          <w:bCs w:val="1"/>
          <w:color w:val="EF3E2A"/>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1751330</wp:posOffset>
                </wp:positionV>
                <wp:extent cx="6400800" cy="1778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156" o:spid="_x0000_s1181" style="position:absolute;margin-left:0pt;margin-top:137.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1751330</wp:posOffset>
                </wp:positionV>
                <wp:extent cx="0" cy="1778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7.9pt" to="0.5pt,151.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1922780</wp:posOffset>
                </wp:positionV>
                <wp:extent cx="640080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1.4pt" to="504pt,15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1757680</wp:posOffset>
                </wp:positionV>
                <wp:extent cx="640080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4pt" to="504pt,138.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1751330</wp:posOffset>
                </wp:positionV>
                <wp:extent cx="0" cy="1778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7.9pt" to="503.5pt,151.9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231F20"/>
        </w:rPr>
        <w:t>Additional information on the Audit Committee is included in the Audit Committee Report and “Proposal 3: Ratification of Independent Registered Public Accounting Firm” beginning on page 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122555</wp:posOffset>
                </wp:positionV>
                <wp:extent cx="6400165" cy="20320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EF3E2A"/>
                        </a:solidFill>
                      </wps:spPr>
                      <wps:bodyPr/>
                    </wps:wsp>
                  </a:graphicData>
                </a:graphic>
              </wp:anchor>
            </w:drawing>
          </mc:Choice>
          <mc:Fallback>
            <w:pict>
              <v:rect id="Shape 161" o:spid="_x0000_s1186" style="position:absolute;margin-left:-169.9499pt;margin-top:9.65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231F20"/>
        </w:rPr>
        <w:t>The Compensation Committee’s responsibilities include:</w:t>
      </w:r>
    </w:p>
    <w:p>
      <w:pPr>
        <w:spacing w:after="0" w:line="255" w:lineRule="exact"/>
        <w:rPr>
          <w:sz w:val="20"/>
          <w:szCs w:val="20"/>
          <w:color w:val="auto"/>
        </w:rPr>
      </w:pPr>
    </w:p>
    <w:p>
      <w:pPr>
        <w:ind w:left="400" w:right="112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Evaluate performance of our CEO and recommend annual compensation and benefits for our CEO</w:t>
      </w:r>
    </w:p>
    <w:p>
      <w:pPr>
        <w:spacing w:after="0" w:line="255" w:lineRule="exact"/>
        <w:rPr>
          <w:sz w:val="20"/>
          <w:szCs w:val="20"/>
          <w:color w:val="auto"/>
        </w:rPr>
      </w:pPr>
    </w:p>
    <w:p>
      <w:pPr>
        <w:ind w:left="400" w:right="4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Review and approve compensation and benefits for our senior officers, including our NEOs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Administer certain other benefit plans of the Company</w:t>
      </w:r>
    </w:p>
    <w:p>
      <w:pPr>
        <w:spacing w:after="0" w:line="254" w:lineRule="exact"/>
        <w:rPr>
          <w:sz w:val="20"/>
          <w:szCs w:val="20"/>
          <w:color w:val="auto"/>
        </w:rPr>
      </w:pPr>
    </w:p>
    <w:p>
      <w:pPr>
        <w:ind w:left="400" w:right="66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Review and approve employment related agreements for senior officers, including our NEOs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Administer and make equity awards under our long-term plan</w:t>
      </w:r>
    </w:p>
    <w:p>
      <w:pPr>
        <w:spacing w:after="0" w:line="254" w:lineRule="exact"/>
        <w:rPr>
          <w:sz w:val="20"/>
          <w:szCs w:val="20"/>
          <w:color w:val="auto"/>
        </w:rPr>
      </w:pPr>
    </w:p>
    <w:p>
      <w:pPr>
        <w:ind w:left="400" w:right="10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key strategies and human resource policies and practices for all employees</w:t>
      </w:r>
    </w:p>
    <w:p>
      <w:pPr>
        <w:spacing w:after="0" w:line="255"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231F20"/>
        </w:rPr>
        <w:t>The Compensation Committee report is included at page 30 of this proxy statement and more detail on the work of the Compensation Committee is included in the “Compensation Discussion and Analysis” beginning on page 19.</w:t>
      </w:r>
    </w:p>
    <w:p>
      <w:pPr>
        <w:spacing w:after="0" w:line="200" w:lineRule="exact"/>
        <w:rPr>
          <w:sz w:val="20"/>
          <w:szCs w:val="20"/>
          <w:color w:val="auto"/>
        </w:rPr>
      </w:pPr>
    </w:p>
    <w:p>
      <w:pPr>
        <w:sectPr>
          <w:pgSz w:w="12240" w:h="15840" w:orient="portrait"/>
          <w:cols w:equalWidth="0" w:num="2">
            <w:col w:w="3020" w:space="380"/>
            <w:col w:w="6680"/>
          </w:cols>
          <w:pgMar w:left="1080" w:top="1440" w:right="1080" w:bottom="944"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6</w:t>
      </w:r>
    </w:p>
    <w:p>
      <w:pPr>
        <w:sectPr>
          <w:pgSz w:w="12240" w:h="15840" w:orient="portrait"/>
          <w:cols w:equalWidth="0" w:num="1">
            <w:col w:w="10080"/>
          </w:cols>
          <w:pgMar w:left="1080" w:top="1440" w:right="1080" w:bottom="944" w:gutter="0" w:footer="0" w:header="0"/>
          <w:type w:val="continuous"/>
        </w:sectPr>
      </w:pPr>
    </w:p>
    <w:bookmarkStart w:id="126" w:name="page127"/>
    <w:bookmarkEnd w:id="126"/>
    <w:p>
      <w:pPr>
        <w:spacing w:after="0" w:line="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N</w:t>
      </w:r>
      <w:r>
        <w:rPr>
          <w:rFonts w:ascii="Arial" w:cs="Arial" w:eastAsia="Arial" w:hAnsi="Arial"/>
          <w:sz w:val="15"/>
          <w:szCs w:val="15"/>
          <w:b w:val="1"/>
          <w:bCs w:val="1"/>
          <w:color w:val="FFFFFF"/>
        </w:rPr>
        <w:t>OMINATING</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144780</wp:posOffset>
            </wp:positionV>
            <wp:extent cx="739775" cy="807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51">
                      <a:extLst>
                        <a:ext uri="{28A0092B-C50C-407E-A947-70E740481C1C}"/>
                      </a:extLst>
                    </a:blip>
                    <a:srcRect/>
                    <a:stretch>
                      <a:fillRect/>
                    </a:stretch>
                  </pic:blipFill>
                  <pic:spPr bwMode="auto">
                    <a:xfrm>
                      <a:off x="0" y="0"/>
                      <a:ext cx="739775" cy="80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Members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EF3E2A"/>
        </w:rPr>
        <w:t>Anthony P. Nader, III (Chair)</w:t>
      </w:r>
    </w:p>
    <w:p>
      <w:pPr>
        <w:spacing w:after="0" w:line="17" w:lineRule="exact"/>
        <w:rPr>
          <w:sz w:val="20"/>
          <w:szCs w:val="20"/>
          <w:color w:val="auto"/>
        </w:rPr>
      </w:pPr>
    </w:p>
    <w:p>
      <w:pPr>
        <w:ind w:left="120" w:right="1000"/>
        <w:spacing w:after="0" w:line="266" w:lineRule="auto"/>
        <w:rPr>
          <w:sz w:val="20"/>
          <w:szCs w:val="20"/>
          <w:color w:val="auto"/>
        </w:rPr>
      </w:pPr>
      <w:r>
        <w:rPr>
          <w:rFonts w:ascii="Arial" w:cs="Arial" w:eastAsia="Arial" w:hAnsi="Arial"/>
          <w:sz w:val="19"/>
          <w:szCs w:val="19"/>
          <w:color w:val="231F20"/>
        </w:rPr>
        <w:t>David W. Faeder Nicole Y. Lamb-Hale Thomas A. McEachin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 xml:space="preserve">Number of Meetings in 2023: </w:t>
      </w:r>
      <w:r>
        <w:rPr>
          <w:rFonts w:ascii="Arial" w:cs="Arial" w:eastAsia="Arial" w:hAnsi="Arial"/>
          <w:sz w:val="20"/>
          <w:szCs w:val="20"/>
          <w:b w:val="1"/>
          <w:bCs w:val="1"/>
          <w:color w:val="EF3E2A"/>
        </w:rPr>
        <w:t>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231F20"/>
        </w:rPr>
        <w:t>The Nominating Committee’s responsibilities include: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-380365</wp:posOffset>
                </wp:positionV>
                <wp:extent cx="6400165" cy="20320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EF3E2A"/>
                        </a:solidFill>
                      </wps:spPr>
                      <wps:bodyPr/>
                    </wps:wsp>
                  </a:graphicData>
                </a:graphic>
              </wp:anchor>
            </w:drawing>
          </mc:Choice>
          <mc:Fallback>
            <w:pict>
              <v:rect id="Shape 163" o:spid="_x0000_s1188" style="position:absolute;margin-left:-169.9499pt;margin-top:-29.9499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19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Identify and recommend individuals to stand for election to the Board</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Develop and oversee corporate governance policies and procedures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annual trustee evaluation process</w:t>
      </w:r>
    </w:p>
    <w:p>
      <w:pPr>
        <w:spacing w:after="0" w:line="256" w:lineRule="exact"/>
        <w:rPr>
          <w:sz w:val="20"/>
          <w:szCs w:val="20"/>
          <w:color w:val="auto"/>
        </w:rPr>
      </w:pPr>
    </w:p>
    <w:p>
      <w:pPr>
        <w:ind w:left="400" w:right="140" w:hanging="391"/>
        <w:spacing w:after="0" w:line="232"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Recommend members of the Board to serve on its committees and in leadership roles</w:t>
      </w:r>
    </w:p>
    <w:p>
      <w:pPr>
        <w:spacing w:after="0" w:line="257" w:lineRule="exact"/>
        <w:rPr>
          <w:sz w:val="20"/>
          <w:szCs w:val="20"/>
          <w:color w:val="auto"/>
        </w:rPr>
      </w:pPr>
    </w:p>
    <w:p>
      <w:pPr>
        <w:ind w:left="400" w:right="100" w:hanging="391"/>
        <w:spacing w:after="0" w:line="232"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corporate responsibility and sustainability efforts and monitor priorities and progress on goals</w:t>
      </w:r>
    </w:p>
    <w:p>
      <w:pPr>
        <w:spacing w:after="0" w:line="340" w:lineRule="exact"/>
        <w:rPr>
          <w:sz w:val="20"/>
          <w:szCs w:val="20"/>
          <w:color w:val="auto"/>
        </w:rPr>
      </w:pPr>
    </w:p>
    <w:p>
      <w:pPr>
        <w:sectPr>
          <w:pgSz w:w="12240" w:h="15840" w:orient="portrait"/>
          <w:cols w:equalWidth="0" w:num="2">
            <w:col w:w="3020" w:space="380"/>
            <w:col w:w="6680"/>
          </w:cols>
          <w:pgMar w:left="1080" w:top="1440" w:right="1080" w:bottom="944"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BOARD’S ROLE IN RISK OVERSIGHT</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3691890</wp:posOffset>
                </wp:positionV>
                <wp:extent cx="6400800" cy="17780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164" o:spid="_x0000_s1189" style="position:absolute;margin-left:0pt;margin-top:290.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3691890</wp:posOffset>
                </wp:positionV>
                <wp:extent cx="0" cy="17780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90.7pt" to="0.5pt,304.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3698240</wp:posOffset>
                </wp:positionV>
                <wp:extent cx="64008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1.2pt" to="504pt,291.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3691890</wp:posOffset>
                </wp:positionV>
                <wp:extent cx="0" cy="17780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90.7pt" to="503.5pt,304.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3863340</wp:posOffset>
                </wp:positionV>
                <wp:extent cx="640080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4.2pt" to="504pt,304.2pt" o:allowincell="f" strokecolor="#231F20" strokeweight="1pt"/>
            </w:pict>
          </mc:Fallback>
        </mc:AlternateContent>
      </w:r>
    </w:p>
    <w:p>
      <w:pPr>
        <w:sectPr>
          <w:pgSz w:w="12240" w:h="15840" w:orient="portrait"/>
          <w:cols w:equalWidth="0" w:num="1">
            <w:col w:w="10080"/>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r>
      <w:r>
        <w:rPr>
          <w:sz w:val="20"/>
          <w:szCs w:val="20"/>
          <w:color w:val="auto"/>
        </w:rPr>
        <w:tab/>
      </w:r>
      <w:r>
        <w:rPr>
          <w:rFonts w:ascii="Arial" w:cs="Arial" w:eastAsia="Arial" w:hAnsi="Arial"/>
          <w:sz w:val="14"/>
          <w:szCs w:val="14"/>
          <w:color w:val="231F20"/>
        </w:rPr>
        <w:t>7</w:t>
      </w:r>
    </w:p>
    <w:p>
      <w:pPr>
        <w:sectPr>
          <w:pgSz w:w="12240" w:h="15840" w:orient="portrait"/>
          <w:cols w:equalWidth="0" w:num="1">
            <w:col w:w="10080"/>
          </w:cols>
          <w:pgMar w:left="1080" w:top="1440" w:right="1080" w:bottom="944" w:gutter="0" w:footer="0" w:header="0"/>
          <w:type w:val="continuous"/>
        </w:sectPr>
      </w:pPr>
    </w:p>
    <w:bookmarkStart w:id="127" w:name="page128"/>
    <w:bookmarkEnd w:id="127"/>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994410</wp:posOffset>
            </wp:positionH>
            <wp:positionV relativeFrom="page">
              <wp:posOffset>910590</wp:posOffset>
            </wp:positionV>
            <wp:extent cx="5770880" cy="50330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52">
                      <a:extLst>
                        <a:ext uri="{28A0092B-C50C-407E-A947-70E740481C1C}"/>
                      </a:extLst>
                    </a:blip>
                    <a:srcRect/>
                    <a:stretch>
                      <a:fillRect/>
                    </a:stretch>
                  </pic:blipFill>
                  <pic:spPr bwMode="auto">
                    <a:xfrm>
                      <a:off x="0" y="0"/>
                      <a:ext cx="5770880" cy="5033010"/>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14"/>
          <w:szCs w:val="14"/>
          <w:b w:val="1"/>
          <w:bCs w:val="1"/>
          <w:color w:val="FFFFFF"/>
        </w:rPr>
        <w:t>BOARD OF TRUSTEES</w: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231F20"/>
        </w:rPr>
        <w:t>Audit Committee</w:t>
      </w:r>
    </w:p>
    <w:p>
      <w:pPr>
        <w:spacing w:after="0" w:line="136" w:lineRule="exact"/>
        <w:rPr>
          <w:sz w:val="20"/>
          <w:szCs w:val="20"/>
          <w:color w:val="auto"/>
        </w:rPr>
      </w:pPr>
    </w:p>
    <w:p>
      <w:pPr>
        <w:ind w:left="1160" w:right="100" w:hanging="174"/>
        <w:spacing w:after="0" w:line="377" w:lineRule="auto"/>
        <w:tabs>
          <w:tab w:leader="none" w:pos="1160" w:val="left"/>
        </w:tabs>
        <w:numPr>
          <w:ilvl w:val="0"/>
          <w:numId w:val="88"/>
        </w:numPr>
        <w:rPr>
          <w:rFonts w:ascii="Arial" w:cs="Arial" w:eastAsia="Arial" w:hAnsi="Arial"/>
          <w:sz w:val="13"/>
          <w:szCs w:val="13"/>
          <w:color w:val="231F20"/>
        </w:rPr>
      </w:pPr>
      <w:r>
        <w:rPr>
          <w:rFonts w:ascii="Arial" w:cs="Arial" w:eastAsia="Arial" w:hAnsi="Arial"/>
          <w:sz w:val="14"/>
          <w:szCs w:val="14"/>
          <w:color w:val="231F20"/>
        </w:rPr>
        <w:t>Integrity of financial reporting and controls over financial reporting</w:t>
      </w:r>
    </w:p>
    <w:p>
      <w:pPr>
        <w:spacing w:after="0" w:line="198" w:lineRule="exact"/>
        <w:rPr>
          <w:rFonts w:ascii="Arial" w:cs="Arial" w:eastAsia="Arial" w:hAnsi="Arial"/>
          <w:sz w:val="13"/>
          <w:szCs w:val="13"/>
          <w:color w:val="231F20"/>
        </w:rPr>
      </w:pPr>
    </w:p>
    <w:p>
      <w:pPr>
        <w:ind w:left="1160" w:hanging="174"/>
        <w:spacing w:after="0" w:line="197" w:lineRule="auto"/>
        <w:tabs>
          <w:tab w:leader="none" w:pos="1160" w:val="left"/>
        </w:tabs>
        <w:numPr>
          <w:ilvl w:val="0"/>
          <w:numId w:val="88"/>
        </w:numPr>
        <w:rPr>
          <w:rFonts w:ascii="Arial" w:cs="Arial" w:eastAsia="Arial" w:hAnsi="Arial"/>
          <w:sz w:val="28"/>
          <w:szCs w:val="28"/>
          <w:color w:val="231F20"/>
          <w:vertAlign w:val="subscript"/>
        </w:rPr>
      </w:pPr>
      <w:r>
        <w:rPr>
          <w:rFonts w:ascii="Arial" w:cs="Arial" w:eastAsia="Arial" w:hAnsi="Arial"/>
          <w:sz w:val="16"/>
          <w:szCs w:val="16"/>
          <w:color w:val="231F20"/>
        </w:rPr>
        <w:t>Performance and independence of our independent auditors</w:t>
      </w:r>
    </w:p>
    <w:p>
      <w:pPr>
        <w:spacing w:after="0" w:line="266" w:lineRule="exact"/>
        <w:rPr>
          <w:rFonts w:ascii="Arial" w:cs="Arial" w:eastAsia="Arial" w:hAnsi="Arial"/>
          <w:sz w:val="28"/>
          <w:szCs w:val="28"/>
          <w:color w:val="231F20"/>
          <w:vertAlign w:val="subscript"/>
        </w:rPr>
      </w:pPr>
    </w:p>
    <w:p>
      <w:pPr>
        <w:ind w:left="1160" w:right="120" w:hanging="174"/>
        <w:spacing w:after="0" w:line="301" w:lineRule="auto"/>
        <w:tabs>
          <w:tab w:leader="none" w:pos="1160" w:val="left"/>
        </w:tabs>
        <w:numPr>
          <w:ilvl w:val="0"/>
          <w:numId w:val="88"/>
        </w:numPr>
        <w:rPr>
          <w:rFonts w:ascii="Arial" w:cs="Arial" w:eastAsia="Arial" w:hAnsi="Arial"/>
          <w:sz w:val="14"/>
          <w:szCs w:val="14"/>
          <w:color w:val="231F20"/>
        </w:rPr>
      </w:pPr>
      <w:r>
        <w:rPr>
          <w:rFonts w:ascii="Arial" w:cs="Arial" w:eastAsia="Arial" w:hAnsi="Arial"/>
          <w:sz w:val="16"/>
          <w:szCs w:val="16"/>
          <w:color w:val="231F20"/>
        </w:rPr>
        <w:t>Performance of our internal audit function</w:t>
      </w:r>
    </w:p>
    <w:p>
      <w:pPr>
        <w:spacing w:after="0" w:line="231" w:lineRule="exact"/>
        <w:rPr>
          <w:rFonts w:ascii="Arial" w:cs="Arial" w:eastAsia="Arial" w:hAnsi="Arial"/>
          <w:sz w:val="14"/>
          <w:szCs w:val="14"/>
          <w:color w:val="231F20"/>
        </w:rPr>
      </w:pPr>
    </w:p>
    <w:p>
      <w:pPr>
        <w:ind w:left="1160" w:right="220" w:hanging="174"/>
        <w:spacing w:after="0" w:line="300" w:lineRule="auto"/>
        <w:tabs>
          <w:tab w:leader="none" w:pos="1160" w:val="left"/>
        </w:tabs>
        <w:numPr>
          <w:ilvl w:val="0"/>
          <w:numId w:val="88"/>
        </w:numPr>
        <w:rPr>
          <w:rFonts w:ascii="Arial" w:cs="Arial" w:eastAsia="Arial" w:hAnsi="Arial"/>
          <w:sz w:val="14"/>
          <w:szCs w:val="14"/>
          <w:color w:val="231F20"/>
        </w:rPr>
      </w:pPr>
      <w:r>
        <w:rPr>
          <w:rFonts w:ascii="Arial" w:cs="Arial" w:eastAsia="Arial" w:hAnsi="Arial"/>
          <w:sz w:val="16"/>
          <w:szCs w:val="16"/>
          <w:color w:val="231F20"/>
        </w:rPr>
        <w:t>Cyber security and data privacy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4"/>
        <w:spacing w:after="0"/>
        <w:rPr>
          <w:sz w:val="20"/>
          <w:szCs w:val="20"/>
          <w:color w:val="auto"/>
        </w:rPr>
      </w:pPr>
      <w:r>
        <w:rPr>
          <w:rFonts w:ascii="Arial" w:cs="Arial" w:eastAsia="Arial" w:hAnsi="Arial"/>
          <w:sz w:val="14"/>
          <w:szCs w:val="14"/>
          <w:b w:val="1"/>
          <w:bCs w:val="1"/>
          <w:color w:val="231F20"/>
        </w:rPr>
        <w:t>Compensation and Human Capital</w:t>
      </w:r>
    </w:p>
    <w:p>
      <w:pPr>
        <w:spacing w:after="0" w:line="60" w:lineRule="exact"/>
        <w:rPr>
          <w:sz w:val="20"/>
          <w:szCs w:val="20"/>
          <w:color w:val="auto"/>
        </w:rPr>
      </w:pPr>
    </w:p>
    <w:p>
      <w:pPr>
        <w:jc w:val="center"/>
        <w:ind w:right="94"/>
        <w:spacing w:after="0"/>
        <w:rPr>
          <w:sz w:val="20"/>
          <w:szCs w:val="20"/>
          <w:color w:val="auto"/>
        </w:rPr>
      </w:pPr>
      <w:r>
        <w:rPr>
          <w:rFonts w:ascii="Arial" w:cs="Arial" w:eastAsia="Arial" w:hAnsi="Arial"/>
          <w:sz w:val="16"/>
          <w:szCs w:val="16"/>
          <w:b w:val="1"/>
          <w:bCs w:val="1"/>
          <w:color w:val="231F20"/>
        </w:rPr>
        <w:t>Management Committee</w:t>
      </w:r>
    </w:p>
    <w:p>
      <w:pPr>
        <w:spacing w:after="0" w:line="118" w:lineRule="exact"/>
        <w:rPr>
          <w:sz w:val="20"/>
          <w:szCs w:val="20"/>
          <w:color w:val="auto"/>
        </w:rPr>
      </w:pPr>
    </w:p>
    <w:p>
      <w:pPr>
        <w:ind w:left="186" w:right="40" w:hanging="185"/>
        <w:spacing w:after="0" w:line="268" w:lineRule="auto"/>
        <w:tabs>
          <w:tab w:leader="none" w:pos="186" w:val="left"/>
        </w:tabs>
        <w:numPr>
          <w:ilvl w:val="0"/>
          <w:numId w:val="89"/>
        </w:numPr>
        <w:rPr>
          <w:rFonts w:ascii="Arial" w:cs="Arial" w:eastAsia="Arial" w:hAnsi="Arial"/>
          <w:sz w:val="14"/>
          <w:szCs w:val="14"/>
          <w:color w:val="231F20"/>
        </w:rPr>
      </w:pPr>
      <w:r>
        <w:rPr>
          <w:rFonts w:ascii="Arial" w:cs="Arial" w:eastAsia="Arial" w:hAnsi="Arial"/>
          <w:sz w:val="16"/>
          <w:szCs w:val="16"/>
          <w:color w:val="231F20"/>
        </w:rPr>
        <w:t>Ability to attract, retain and motivate talent needed to achieve business objectives</w:t>
      </w:r>
    </w:p>
    <w:p>
      <w:pPr>
        <w:spacing w:after="0" w:line="87" w:lineRule="exact"/>
        <w:rPr>
          <w:rFonts w:ascii="Arial" w:cs="Arial" w:eastAsia="Arial" w:hAnsi="Arial"/>
          <w:sz w:val="14"/>
          <w:szCs w:val="14"/>
          <w:color w:val="231F20"/>
        </w:rPr>
      </w:pPr>
    </w:p>
    <w:p>
      <w:pPr>
        <w:ind w:left="186" w:hanging="186"/>
        <w:spacing w:after="0" w:line="215" w:lineRule="auto"/>
        <w:tabs>
          <w:tab w:leader="none" w:pos="186" w:val="left"/>
        </w:tabs>
        <w:numPr>
          <w:ilvl w:val="0"/>
          <w:numId w:val="89"/>
        </w:numPr>
        <w:rPr>
          <w:rFonts w:ascii="Arial" w:cs="Arial" w:eastAsia="Arial" w:hAnsi="Arial"/>
          <w:sz w:val="28"/>
          <w:szCs w:val="28"/>
          <w:color w:val="231F20"/>
          <w:vertAlign w:val="subscript"/>
        </w:rPr>
      </w:pPr>
      <w:r>
        <w:rPr>
          <w:rFonts w:ascii="Arial" w:cs="Arial" w:eastAsia="Arial" w:hAnsi="Arial"/>
          <w:sz w:val="16"/>
          <w:szCs w:val="16"/>
          <w:color w:val="231F20"/>
        </w:rPr>
        <w:t>Use of our compensation plans to align interests of our executives with our shareholders</w:t>
      </w:r>
    </w:p>
    <w:p>
      <w:pPr>
        <w:spacing w:after="0" w:line="63" w:lineRule="exact"/>
        <w:rPr>
          <w:rFonts w:ascii="Arial" w:cs="Arial" w:eastAsia="Arial" w:hAnsi="Arial"/>
          <w:sz w:val="28"/>
          <w:szCs w:val="28"/>
          <w:color w:val="231F20"/>
          <w:vertAlign w:val="subscript"/>
        </w:rPr>
      </w:pPr>
    </w:p>
    <w:p>
      <w:pPr>
        <w:ind w:left="186" w:right="40" w:hanging="186"/>
        <w:spacing w:after="0" w:line="206" w:lineRule="auto"/>
        <w:tabs>
          <w:tab w:leader="none" w:pos="186" w:val="left"/>
        </w:tabs>
        <w:numPr>
          <w:ilvl w:val="0"/>
          <w:numId w:val="89"/>
        </w:numPr>
        <w:rPr>
          <w:rFonts w:ascii="Arial" w:cs="Arial" w:eastAsia="Arial" w:hAnsi="Arial"/>
          <w:sz w:val="27"/>
          <w:szCs w:val="27"/>
          <w:color w:val="231F20"/>
          <w:vertAlign w:val="subscript"/>
        </w:rPr>
      </w:pPr>
      <w:r>
        <w:rPr>
          <w:rFonts w:ascii="Arial" w:cs="Arial" w:eastAsia="Arial" w:hAnsi="Arial"/>
          <w:sz w:val="15"/>
          <w:szCs w:val="15"/>
          <w:color w:val="231F20"/>
        </w:rPr>
        <w:t>Influence of incentive compensation programs on excessive risk taking</w:t>
      </w:r>
    </w:p>
    <w:p>
      <w:pPr>
        <w:spacing w:after="0" w:line="168" w:lineRule="exact"/>
        <w:rPr>
          <w:rFonts w:ascii="Arial" w:cs="Arial" w:eastAsia="Arial" w:hAnsi="Arial"/>
          <w:sz w:val="27"/>
          <w:szCs w:val="27"/>
          <w:color w:val="231F20"/>
          <w:vertAlign w:val="subscript"/>
        </w:rPr>
      </w:pPr>
    </w:p>
    <w:p>
      <w:pPr>
        <w:ind w:left="186" w:hanging="186"/>
        <w:spacing w:after="0"/>
        <w:tabs>
          <w:tab w:leader="none" w:pos="186" w:val="left"/>
        </w:tabs>
        <w:numPr>
          <w:ilvl w:val="0"/>
          <w:numId w:val="89"/>
        </w:numPr>
        <w:rPr>
          <w:rFonts w:ascii="Arial" w:cs="Arial" w:eastAsia="Arial" w:hAnsi="Arial"/>
          <w:sz w:val="28"/>
          <w:szCs w:val="28"/>
          <w:color w:val="231F20"/>
          <w:vertAlign w:val="subscript"/>
        </w:rPr>
      </w:pPr>
      <w:r>
        <w:rPr>
          <w:rFonts w:ascii="Arial" w:cs="Arial" w:eastAsia="Arial" w:hAnsi="Arial"/>
          <w:sz w:val="16"/>
          <w:szCs w:val="16"/>
          <w:color w:val="231F20"/>
        </w:rPr>
        <w:t>Succession planning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231F20"/>
        </w:rPr>
        <w:t>Nominating and Corporate</w:t>
      </w:r>
    </w:p>
    <w:p>
      <w:pPr>
        <w:spacing w:after="0" w:line="37"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231F20"/>
        </w:rPr>
        <w:t>Governance Committee</w:t>
      </w:r>
    </w:p>
    <w:p>
      <w:pPr>
        <w:spacing w:after="0" w:line="118" w:lineRule="exact"/>
        <w:rPr>
          <w:sz w:val="20"/>
          <w:szCs w:val="20"/>
          <w:color w:val="auto"/>
        </w:rPr>
      </w:pPr>
    </w:p>
    <w:p>
      <w:pPr>
        <w:ind w:left="180" w:right="900" w:hanging="175"/>
        <w:spacing w:after="0" w:line="268" w:lineRule="auto"/>
        <w:tabs>
          <w:tab w:leader="none" w:pos="180" w:val="left"/>
        </w:tabs>
        <w:numPr>
          <w:ilvl w:val="0"/>
          <w:numId w:val="90"/>
        </w:numPr>
        <w:rPr>
          <w:rFonts w:ascii="Arial" w:cs="Arial" w:eastAsia="Arial" w:hAnsi="Arial"/>
          <w:sz w:val="14"/>
          <w:szCs w:val="14"/>
          <w:color w:val="231F20"/>
        </w:rPr>
      </w:pPr>
      <w:r>
        <w:rPr>
          <w:rFonts w:ascii="Arial" w:cs="Arial" w:eastAsia="Arial" w:hAnsi="Arial"/>
          <w:sz w:val="16"/>
          <w:szCs w:val="16"/>
          <w:color w:val="231F20"/>
        </w:rPr>
        <w:t>Composition, leadership, independence and operation of Board and committees</w:t>
      </w:r>
    </w:p>
    <w:p>
      <w:pPr>
        <w:spacing w:after="0" w:line="87" w:lineRule="exact"/>
        <w:rPr>
          <w:rFonts w:ascii="Arial" w:cs="Arial" w:eastAsia="Arial" w:hAnsi="Arial"/>
          <w:sz w:val="14"/>
          <w:szCs w:val="14"/>
          <w:color w:val="231F20"/>
        </w:rPr>
      </w:pPr>
    </w:p>
    <w:p>
      <w:pPr>
        <w:ind w:left="180" w:right="760" w:hanging="176"/>
        <w:spacing w:after="0" w:line="197" w:lineRule="auto"/>
        <w:tabs>
          <w:tab w:leader="none" w:pos="180" w:val="left"/>
        </w:tabs>
        <w:numPr>
          <w:ilvl w:val="0"/>
          <w:numId w:val="90"/>
        </w:numPr>
        <w:rPr>
          <w:rFonts w:ascii="Arial" w:cs="Arial" w:eastAsia="Arial" w:hAnsi="Arial"/>
          <w:sz w:val="28"/>
          <w:szCs w:val="28"/>
          <w:color w:val="231F20"/>
          <w:vertAlign w:val="subscript"/>
        </w:rPr>
      </w:pPr>
      <w:r>
        <w:rPr>
          <w:rFonts w:ascii="Arial" w:cs="Arial" w:eastAsia="Arial" w:hAnsi="Arial"/>
          <w:sz w:val="16"/>
          <w:szCs w:val="16"/>
          <w:color w:val="231F20"/>
        </w:rPr>
        <w:t>Conducting annual evaluations of Board and Trustees</w:t>
      </w:r>
    </w:p>
    <w:p>
      <w:pPr>
        <w:spacing w:after="0" w:line="266" w:lineRule="exact"/>
        <w:rPr>
          <w:rFonts w:ascii="Arial" w:cs="Arial" w:eastAsia="Arial" w:hAnsi="Arial"/>
          <w:sz w:val="28"/>
          <w:szCs w:val="28"/>
          <w:color w:val="231F20"/>
          <w:vertAlign w:val="subscript"/>
        </w:rPr>
      </w:pPr>
    </w:p>
    <w:p>
      <w:pPr>
        <w:ind w:left="180" w:right="900" w:hanging="176"/>
        <w:spacing w:after="0" w:line="226" w:lineRule="auto"/>
        <w:tabs>
          <w:tab w:leader="none" w:pos="180" w:val="left"/>
        </w:tabs>
        <w:numPr>
          <w:ilvl w:val="0"/>
          <w:numId w:val="90"/>
        </w:numPr>
        <w:rPr>
          <w:rFonts w:ascii="Arial" w:cs="Arial" w:eastAsia="Arial" w:hAnsi="Arial"/>
          <w:sz w:val="27"/>
          <w:szCs w:val="27"/>
          <w:color w:val="231F20"/>
          <w:vertAlign w:val="subscript"/>
        </w:rPr>
      </w:pPr>
      <w:r>
        <w:rPr>
          <w:rFonts w:ascii="Arial" w:cs="Arial" w:eastAsia="Arial" w:hAnsi="Arial"/>
          <w:sz w:val="15"/>
          <w:szCs w:val="15"/>
          <w:color w:val="231F20"/>
        </w:rPr>
        <w:t>Compliance with our corporate governance documents and applicable laws and regulations</w:t>
      </w:r>
    </w:p>
    <w:p>
      <w:pPr>
        <w:spacing w:after="0" w:line="76" w:lineRule="exact"/>
        <w:rPr>
          <w:rFonts w:ascii="Arial" w:cs="Arial" w:eastAsia="Arial" w:hAnsi="Arial"/>
          <w:sz w:val="27"/>
          <w:szCs w:val="27"/>
          <w:color w:val="231F20"/>
          <w:vertAlign w:val="subscript"/>
        </w:rPr>
      </w:pPr>
    </w:p>
    <w:p>
      <w:pPr>
        <w:ind w:left="180" w:right="580" w:hanging="175"/>
        <w:spacing w:after="0" w:line="328" w:lineRule="auto"/>
        <w:tabs>
          <w:tab w:leader="none" w:pos="180" w:val="left"/>
        </w:tabs>
        <w:numPr>
          <w:ilvl w:val="0"/>
          <w:numId w:val="90"/>
        </w:numPr>
        <w:rPr>
          <w:rFonts w:ascii="Arial" w:cs="Arial" w:eastAsia="Arial" w:hAnsi="Arial"/>
          <w:sz w:val="13"/>
          <w:szCs w:val="13"/>
          <w:color w:val="231F20"/>
        </w:rPr>
      </w:pPr>
      <w:r>
        <w:rPr>
          <w:rFonts w:ascii="Arial" w:cs="Arial" w:eastAsia="Arial" w:hAnsi="Arial"/>
          <w:sz w:val="14"/>
          <w:szCs w:val="14"/>
          <w:color w:val="231F20"/>
        </w:rPr>
        <w:t>Sustainability risks and issues that Could affect Company performance or reputation and progress made on Sustainability goals</w:t>
      </w:r>
    </w:p>
    <w:p>
      <w:pPr>
        <w:spacing w:after="0" w:line="200" w:lineRule="exact"/>
        <w:rPr>
          <w:sz w:val="20"/>
          <w:szCs w:val="20"/>
          <w:color w:val="auto"/>
        </w:rPr>
      </w:pPr>
    </w:p>
    <w:p>
      <w:pPr>
        <w:sectPr>
          <w:pgSz w:w="12240" w:h="15840" w:orient="portrait"/>
          <w:cols w:equalWidth="0" w:num="3">
            <w:col w:w="3560" w:space="354"/>
            <w:col w:w="2686" w:space="240"/>
            <w:col w:w="3240"/>
          </w:cols>
          <w:pgMar w:left="1080" w:top="1440" w:right="1080" w:bottom="944" w:gutter="0" w:footer="0" w:header="0"/>
          <w:type w:val="continuous"/>
        </w:sectPr>
      </w:pPr>
    </w:p>
    <w:p>
      <w:pPr>
        <w:spacing w:after="0" w:line="198" w:lineRule="exact"/>
        <w:rPr>
          <w:sz w:val="20"/>
          <w:szCs w:val="20"/>
          <w:color w:val="auto"/>
        </w:rPr>
      </w:pPr>
    </w:p>
    <w:tbl>
      <w:tblPr>
        <w:tblLayout w:type="fixed"/>
        <w:tblInd w:w="900" w:type="dxa"/>
        <w:tblCellMar>
          <w:top w:w="0" w:type="dxa"/>
          <w:left w:w="0" w:type="dxa"/>
          <w:bottom w:w="0" w:type="dxa"/>
          <w:right w:w="0" w:type="dxa"/>
        </w:tblCellMar>
      </w:tblPr>
      <w:tr>
        <w:trPr>
          <w:trHeight w:val="345"/>
        </w:trPr>
        <w:tc>
          <w:tcPr>
            <w:tcW w:w="200" w:type="dxa"/>
            <w:vAlign w:val="bottom"/>
            <w:shd w:val="clear" w:color="auto" w:fill="F1F1F2"/>
          </w:tcPr>
          <w:p>
            <w:pPr>
              <w:spacing w:after="0"/>
              <w:rPr>
                <w:sz w:val="24"/>
                <w:szCs w:val="24"/>
                <w:color w:val="auto"/>
              </w:rPr>
            </w:pPr>
          </w:p>
        </w:tc>
        <w:tc>
          <w:tcPr>
            <w:tcW w:w="2680" w:type="dxa"/>
            <w:vAlign w:val="bottom"/>
            <w:shd w:val="clear" w:color="auto" w:fill="F1F1F2"/>
          </w:tcPr>
          <w:p>
            <w:pPr>
              <w:spacing w:after="0"/>
              <w:rPr>
                <w:sz w:val="24"/>
                <w:szCs w:val="24"/>
                <w:color w:val="auto"/>
              </w:rPr>
            </w:pPr>
          </w:p>
        </w:tc>
        <w:tc>
          <w:tcPr>
            <w:tcW w:w="5800" w:type="dxa"/>
            <w:vAlign w:val="bottom"/>
            <w:shd w:val="clear" w:color="auto" w:fill="F1F1F2"/>
          </w:tcPr>
          <w:p>
            <w:pPr>
              <w:ind w:left="500"/>
              <w:spacing w:after="0"/>
              <w:rPr>
                <w:sz w:val="20"/>
                <w:szCs w:val="20"/>
                <w:color w:val="auto"/>
              </w:rPr>
            </w:pPr>
            <w:r>
              <w:rPr>
                <w:rFonts w:ascii="Arial" w:cs="Arial" w:eastAsia="Arial" w:hAnsi="Arial"/>
                <w:sz w:val="16"/>
                <w:szCs w:val="16"/>
                <w:b w:val="1"/>
                <w:bCs w:val="1"/>
                <w:color w:val="231F20"/>
              </w:rPr>
              <w:t>COMPANY MANAGEMENT</w:t>
            </w:r>
          </w:p>
        </w:tc>
      </w:tr>
      <w:tr>
        <w:trPr>
          <w:trHeight w:val="133"/>
        </w:trPr>
        <w:tc>
          <w:tcPr>
            <w:tcW w:w="2880" w:type="dxa"/>
            <w:vAlign w:val="bottom"/>
            <w:tcBorders>
              <w:bottom w:val="single" w:sz="8" w:color="231F20"/>
            </w:tcBorders>
            <w:gridSpan w:val="2"/>
            <w:shd w:val="clear" w:color="auto" w:fill="F1F1F2"/>
          </w:tcPr>
          <w:p>
            <w:pPr>
              <w:spacing w:after="0"/>
              <w:rPr>
                <w:sz w:val="11"/>
                <w:szCs w:val="11"/>
                <w:color w:val="auto"/>
              </w:rPr>
            </w:pPr>
          </w:p>
        </w:tc>
        <w:tc>
          <w:tcPr>
            <w:tcW w:w="5800" w:type="dxa"/>
            <w:vAlign w:val="bottom"/>
            <w:tcBorders>
              <w:bottom w:val="single" w:sz="8" w:color="231F20"/>
            </w:tcBorders>
            <w:shd w:val="clear" w:color="auto" w:fill="F1F1F2"/>
          </w:tcPr>
          <w:p>
            <w:pPr>
              <w:spacing w:after="0"/>
              <w:rPr>
                <w:sz w:val="11"/>
                <w:szCs w:val="11"/>
                <w:color w:val="auto"/>
              </w:rPr>
            </w:pPr>
          </w:p>
        </w:tc>
      </w:tr>
      <w:tr>
        <w:trPr>
          <w:trHeight w:val="244"/>
        </w:trPr>
        <w:tc>
          <w:tcPr>
            <w:tcW w:w="2880" w:type="dxa"/>
            <w:vAlign w:val="bottom"/>
            <w:gridSpan w:val="2"/>
          </w:tcPr>
          <w:p>
            <w:pPr>
              <w:ind w:left="40"/>
              <w:spacing w:after="0"/>
              <w:rPr>
                <w:sz w:val="20"/>
                <w:szCs w:val="20"/>
                <w:color w:val="auto"/>
              </w:rPr>
            </w:pPr>
            <w:r>
              <w:rPr>
                <w:rFonts w:ascii="Arial" w:cs="Arial" w:eastAsia="Arial" w:hAnsi="Arial"/>
                <w:sz w:val="16"/>
                <w:szCs w:val="16"/>
                <w:color w:val="231F20"/>
              </w:rPr>
              <w:t>Regular reporting on material risks</w:t>
            </w:r>
          </w:p>
        </w:tc>
        <w:tc>
          <w:tcPr>
            <w:tcW w:w="5800" w:type="dxa"/>
            <w:vAlign w:val="bottom"/>
          </w:tcPr>
          <w:p>
            <w:pPr>
              <w:ind w:left="100"/>
              <w:spacing w:after="0"/>
              <w:rPr>
                <w:sz w:val="20"/>
                <w:szCs w:val="20"/>
                <w:color w:val="auto"/>
              </w:rPr>
            </w:pPr>
            <w:r>
              <w:rPr>
                <w:rFonts w:ascii="Arial" w:cs="Arial" w:eastAsia="Arial" w:hAnsi="Arial"/>
                <w:sz w:val="16"/>
                <w:szCs w:val="16"/>
                <w:color w:val="231F20"/>
              </w:rPr>
              <w:t>Presentation for approval by the Board of significant transactions and other</w:t>
            </w:r>
          </w:p>
        </w:tc>
      </w:tr>
      <w:tr>
        <w:trPr>
          <w:trHeight w:val="211"/>
        </w:trPr>
        <w:tc>
          <w:tcPr>
            <w:tcW w:w="2880" w:type="dxa"/>
            <w:vAlign w:val="bottom"/>
            <w:gridSpan w:val="2"/>
          </w:tcPr>
          <w:p>
            <w:pPr>
              <w:ind w:left="40"/>
              <w:spacing w:after="0"/>
              <w:rPr>
                <w:sz w:val="20"/>
                <w:szCs w:val="20"/>
                <w:color w:val="auto"/>
              </w:rPr>
            </w:pPr>
            <w:r>
              <w:rPr>
                <w:rFonts w:ascii="Arial" w:cs="Arial" w:eastAsia="Arial" w:hAnsi="Arial"/>
                <w:sz w:val="16"/>
                <w:szCs w:val="16"/>
                <w:color w:val="231F20"/>
              </w:rPr>
              <w:t>including:</w:t>
            </w:r>
          </w:p>
        </w:tc>
        <w:tc>
          <w:tcPr>
            <w:tcW w:w="5800" w:type="dxa"/>
            <w:vAlign w:val="bottom"/>
          </w:tcPr>
          <w:p>
            <w:pPr>
              <w:ind w:left="100"/>
              <w:spacing w:after="0"/>
              <w:rPr>
                <w:sz w:val="20"/>
                <w:szCs w:val="20"/>
                <w:color w:val="auto"/>
              </w:rPr>
            </w:pPr>
            <w:r>
              <w:rPr>
                <w:rFonts w:ascii="Arial" w:cs="Arial" w:eastAsia="Arial" w:hAnsi="Arial"/>
                <w:sz w:val="16"/>
                <w:szCs w:val="16"/>
                <w:color w:val="231F20"/>
              </w:rPr>
              <w:t>matters including:</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231F20"/>
              </w:rPr>
              <w:t>•</w:t>
            </w:r>
          </w:p>
        </w:tc>
        <w:tc>
          <w:tcPr>
            <w:tcW w:w="2680" w:type="dxa"/>
            <w:vAlign w:val="bottom"/>
          </w:tcPr>
          <w:p>
            <w:pPr>
              <w:ind w:left="60"/>
              <w:spacing w:after="0"/>
              <w:rPr>
                <w:sz w:val="20"/>
                <w:szCs w:val="20"/>
                <w:color w:val="auto"/>
              </w:rPr>
            </w:pPr>
            <w:r>
              <w:rPr>
                <w:rFonts w:ascii="Arial" w:cs="Arial" w:eastAsia="Arial" w:hAnsi="Arial"/>
                <w:sz w:val="16"/>
                <w:szCs w:val="16"/>
                <w:color w:val="231F20"/>
              </w:rPr>
              <w:t>Market Conditions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Acquisition/disposition of properties above a specified dollar value</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231F20"/>
              </w:rPr>
              <w:t>•</w:t>
            </w:r>
          </w:p>
        </w:tc>
        <w:tc>
          <w:tcPr>
            <w:tcW w:w="2680" w:type="dxa"/>
            <w:vAlign w:val="bottom"/>
          </w:tcPr>
          <w:p>
            <w:pPr>
              <w:ind w:left="60"/>
              <w:spacing w:after="0"/>
              <w:rPr>
                <w:sz w:val="20"/>
                <w:szCs w:val="20"/>
                <w:color w:val="auto"/>
              </w:rPr>
            </w:pPr>
            <w:r>
              <w:rPr>
                <w:rFonts w:ascii="Arial" w:cs="Arial" w:eastAsia="Arial" w:hAnsi="Arial"/>
                <w:sz w:val="16"/>
                <w:szCs w:val="16"/>
                <w:color w:val="231F20"/>
              </w:rPr>
              <w:t>Tenant credit risk</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Development/redevelopment projects above a specified dollar value</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231F20"/>
              </w:rPr>
              <w:t>•</w:t>
            </w:r>
          </w:p>
        </w:tc>
        <w:tc>
          <w:tcPr>
            <w:tcW w:w="2680" w:type="dxa"/>
            <w:vAlign w:val="bottom"/>
          </w:tcPr>
          <w:p>
            <w:pPr>
              <w:ind w:left="60"/>
              <w:spacing w:after="0"/>
              <w:rPr>
                <w:sz w:val="20"/>
                <w:szCs w:val="20"/>
                <w:color w:val="auto"/>
              </w:rPr>
            </w:pPr>
            <w:r>
              <w:rPr>
                <w:rFonts w:ascii="Arial" w:cs="Arial" w:eastAsia="Arial" w:hAnsi="Arial"/>
                <w:sz w:val="16"/>
                <w:szCs w:val="16"/>
                <w:color w:val="231F20"/>
              </w:rPr>
              <w:t>Leasing activity/occupancy levels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Capital market activities including debt and equity issuances</w:t>
            </w:r>
          </w:p>
        </w:tc>
      </w:tr>
      <w:tr>
        <w:trPr>
          <w:trHeight w:val="239"/>
        </w:trPr>
        <w:tc>
          <w:tcPr>
            <w:tcW w:w="2880" w:type="dxa"/>
            <w:vAlign w:val="bottom"/>
            <w:gridSpan w:val="2"/>
          </w:tcPr>
          <w:p>
            <w:pPr>
              <w:ind w:left="8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Status of development projects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Appointment of executive officers and consideration of all other officers</w:t>
            </w:r>
          </w:p>
        </w:tc>
      </w:tr>
      <w:tr>
        <w:trPr>
          <w:trHeight w:val="239"/>
        </w:trPr>
        <w:tc>
          <w:tcPr>
            <w:tcW w:w="2880" w:type="dxa"/>
            <w:vAlign w:val="bottom"/>
            <w:gridSpan w:val="2"/>
          </w:tcPr>
          <w:p>
            <w:pPr>
              <w:ind w:left="8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Compliance with financial covenants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Transactions with related parties and conflicts of interest</w:t>
            </w:r>
          </w:p>
        </w:tc>
      </w:tr>
    </w:tbl>
    <w:p>
      <w:pPr>
        <w:spacing w:after="0" w:line="28" w:lineRule="exact"/>
        <w:rPr>
          <w:sz w:val="20"/>
          <w:szCs w:val="20"/>
          <w:color w:val="auto"/>
        </w:rPr>
      </w:pPr>
    </w:p>
    <w:p>
      <w:pPr>
        <w:ind w:left="1160" w:hanging="174"/>
        <w:spacing w:after="0"/>
        <w:tabs>
          <w:tab w:leader="none" w:pos="1160" w:val="left"/>
        </w:tabs>
        <w:numPr>
          <w:ilvl w:val="1"/>
          <w:numId w:val="91"/>
        </w:numPr>
        <w:rPr>
          <w:rFonts w:ascii="Arial" w:cs="Arial" w:eastAsia="Arial" w:hAnsi="Arial"/>
          <w:sz w:val="14"/>
          <w:szCs w:val="14"/>
          <w:color w:val="231F20"/>
        </w:rPr>
      </w:pPr>
      <w:r>
        <w:rPr>
          <w:rFonts w:ascii="Arial" w:cs="Arial" w:eastAsia="Arial" w:hAnsi="Arial"/>
          <w:sz w:val="16"/>
          <w:szCs w:val="16"/>
          <w:color w:val="231F20"/>
        </w:rPr>
        <w:t>Access to debt and equity capital</w:t>
      </w:r>
    </w:p>
    <w:p>
      <w:pPr>
        <w:spacing w:after="0" w:line="55" w:lineRule="exact"/>
        <w:rPr>
          <w:rFonts w:ascii="Arial" w:cs="Arial" w:eastAsia="Arial" w:hAnsi="Arial"/>
          <w:sz w:val="14"/>
          <w:szCs w:val="14"/>
          <w:color w:val="231F20"/>
        </w:rPr>
      </w:pPr>
    </w:p>
    <w:p>
      <w:pPr>
        <w:ind w:left="1160" w:hanging="174"/>
        <w:spacing w:after="0"/>
        <w:tabs>
          <w:tab w:leader="none" w:pos="1160" w:val="left"/>
        </w:tabs>
        <w:numPr>
          <w:ilvl w:val="1"/>
          <w:numId w:val="91"/>
        </w:numPr>
        <w:rPr>
          <w:rFonts w:ascii="Arial" w:cs="Arial" w:eastAsia="Arial" w:hAnsi="Arial"/>
          <w:sz w:val="14"/>
          <w:szCs w:val="14"/>
          <w:color w:val="231F20"/>
        </w:rPr>
      </w:pPr>
      <w:r>
        <w:rPr>
          <w:rFonts w:ascii="Arial" w:cs="Arial" w:eastAsia="Arial" w:hAnsi="Arial"/>
          <w:sz w:val="16"/>
          <w:szCs w:val="16"/>
          <w:color w:val="231F20"/>
        </w:rPr>
        <w:t>Capital needs of the Company</w:t>
      </w:r>
    </w:p>
    <w:p>
      <w:pPr>
        <w:spacing w:after="0" w:line="55" w:lineRule="exact"/>
        <w:rPr>
          <w:rFonts w:ascii="Arial" w:cs="Arial" w:eastAsia="Arial" w:hAnsi="Arial"/>
          <w:sz w:val="14"/>
          <w:szCs w:val="14"/>
          <w:color w:val="231F20"/>
        </w:rPr>
      </w:pPr>
    </w:p>
    <w:p>
      <w:pPr>
        <w:ind w:left="1160" w:hanging="174"/>
        <w:spacing w:after="0"/>
        <w:tabs>
          <w:tab w:leader="none" w:pos="1160" w:val="left"/>
        </w:tabs>
        <w:numPr>
          <w:ilvl w:val="1"/>
          <w:numId w:val="91"/>
        </w:numPr>
        <w:rPr>
          <w:rFonts w:ascii="Arial" w:cs="Arial" w:eastAsia="Arial" w:hAnsi="Arial"/>
          <w:sz w:val="14"/>
          <w:szCs w:val="14"/>
          <w:color w:val="231F20"/>
        </w:rPr>
      </w:pPr>
      <w:r>
        <w:rPr>
          <w:rFonts w:ascii="Arial" w:cs="Arial" w:eastAsia="Arial" w:hAnsi="Arial"/>
          <w:sz w:val="16"/>
          <w:szCs w:val="16"/>
          <w:color w:val="231F20"/>
        </w:rPr>
        <w:t>Existing and potential legal claims</w:t>
      </w:r>
    </w:p>
    <w:p>
      <w:pPr>
        <w:spacing w:after="0" w:line="55" w:lineRule="exact"/>
        <w:rPr>
          <w:rFonts w:ascii="Arial" w:cs="Arial" w:eastAsia="Arial" w:hAnsi="Arial"/>
          <w:sz w:val="14"/>
          <w:szCs w:val="14"/>
          <w:color w:val="231F20"/>
        </w:rPr>
      </w:pPr>
    </w:p>
    <w:p>
      <w:pPr>
        <w:ind w:left="1160" w:hanging="174"/>
        <w:spacing w:after="0"/>
        <w:tabs>
          <w:tab w:leader="none" w:pos="1160" w:val="left"/>
        </w:tabs>
        <w:numPr>
          <w:ilvl w:val="1"/>
          <w:numId w:val="91"/>
        </w:numPr>
        <w:rPr>
          <w:rFonts w:ascii="Arial" w:cs="Arial" w:eastAsia="Arial" w:hAnsi="Arial"/>
          <w:sz w:val="14"/>
          <w:szCs w:val="14"/>
          <w:color w:val="231F20"/>
        </w:rPr>
      </w:pPr>
      <w:r>
        <w:rPr>
          <w:rFonts w:ascii="Arial" w:cs="Arial" w:eastAsia="Arial" w:hAnsi="Arial"/>
          <w:sz w:val="16"/>
          <w:szCs w:val="16"/>
          <w:color w:val="231F20"/>
        </w:rPr>
        <w:t>Sustainability risks/goal progress</w:t>
      </w:r>
    </w:p>
    <w:p>
      <w:pPr>
        <w:spacing w:after="0" w:line="307" w:lineRule="exact"/>
        <w:rPr>
          <w:rFonts w:ascii="Arial" w:cs="Arial" w:eastAsia="Arial" w:hAnsi="Arial"/>
          <w:sz w:val="14"/>
          <w:szCs w:val="14"/>
          <w:color w:val="231F20"/>
        </w:rPr>
      </w:pPr>
    </w:p>
    <w:p>
      <w:pPr>
        <w:spacing w:after="0" w:line="268" w:lineRule="exact"/>
        <w:rPr>
          <w:rFonts w:ascii="Arial" w:cs="Arial" w:eastAsia="Arial" w:hAnsi="Arial"/>
          <w:sz w:val="14"/>
          <w:szCs w:val="14"/>
          <w:color w:val="231F20"/>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BOARD AND COMMITTEE EVALUATION PROCESS</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Board and each standing committee conducts annual evaluations that cover overall effectiveness of the Board and the committee as well as the effectiveness of each individual trustee. The NCGC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1758950</wp:posOffset>
                </wp:positionV>
                <wp:extent cx="6400800" cy="17780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170" o:spid="_x0000_s1195" style="position:absolute;margin-left:0pt;margin-top:13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1758950</wp:posOffset>
                </wp:positionV>
                <wp:extent cx="0" cy="17780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8.5pt" to="0.5pt,15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1765300</wp:posOffset>
                </wp:positionV>
                <wp:extent cx="64008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pt" to="504pt,13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1758950</wp:posOffset>
                </wp:positionV>
                <wp:extent cx="0" cy="17780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8.5pt" to="503.5pt,15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1930400</wp:posOffset>
                </wp:positionV>
                <wp:extent cx="640080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pt" to="504pt,152pt" o:allowincell="f" strokecolor="#231F20" strokeweight="1pt"/>
            </w:pict>
          </mc:Fallback>
        </mc:AlternateContent>
      </w:r>
    </w:p>
    <w:p>
      <w:pPr>
        <w:sectPr>
          <w:pgSz w:w="12240" w:h="15840" w:orient="portrait"/>
          <w:cols w:equalWidth="0" w:num="1">
            <w:col w:w="10080"/>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8</w:t>
      </w:r>
    </w:p>
    <w:p>
      <w:pPr>
        <w:sectPr>
          <w:pgSz w:w="12240" w:h="15840" w:orient="portrait"/>
          <w:cols w:equalWidth="0" w:num="1">
            <w:col w:w="10080"/>
          </w:cols>
          <w:pgMar w:left="1080" w:top="1440" w:right="1080" w:bottom="944"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40"/>
        </w:trPr>
        <w:tc>
          <w:tcPr>
            <w:tcW w:w="220" w:type="dxa"/>
            <w:vAlign w:val="bottom"/>
            <w:tcBorders>
              <w:bottom w:val="single" w:sz="8" w:color="DCDDDE"/>
            </w:tcBorders>
            <w:shd w:val="clear" w:color="auto" w:fill="DCDDDE"/>
          </w:tcPr>
          <w:p>
            <w:pPr>
              <w:spacing w:after="0"/>
              <w:rPr>
                <w:sz w:val="20"/>
                <w:szCs w:val="20"/>
                <w:color w:val="auto"/>
              </w:rPr>
            </w:pPr>
          </w:p>
        </w:tc>
        <w:tc>
          <w:tcPr>
            <w:tcW w:w="4600" w:type="dxa"/>
            <w:vAlign w:val="bottom"/>
            <w:tcBorders>
              <w:bottom w:val="single" w:sz="8" w:color="EF3E2A"/>
            </w:tcBorders>
            <w:shd w:val="clear" w:color="auto" w:fill="DCDDDE"/>
          </w:tcPr>
          <w:p>
            <w:pPr>
              <w:ind w:left="1060"/>
              <w:spacing w:after="0"/>
              <w:rPr>
                <w:sz w:val="20"/>
                <w:szCs w:val="20"/>
                <w:color w:val="auto"/>
              </w:rPr>
            </w:pPr>
            <w:r>
              <w:rPr>
                <w:rFonts w:ascii="Arial" w:cs="Arial" w:eastAsia="Arial" w:hAnsi="Arial"/>
                <w:sz w:val="18"/>
                <w:szCs w:val="18"/>
                <w:b w:val="1"/>
                <w:bCs w:val="1"/>
                <w:color w:val="231F20"/>
              </w:rPr>
              <w:t>COMMITTEE ASSESSMENTS</w:t>
            </w:r>
          </w:p>
        </w:tc>
        <w:tc>
          <w:tcPr>
            <w:tcW w:w="160" w:type="dxa"/>
            <w:vAlign w:val="bottom"/>
            <w:tcBorders>
              <w:bottom w:val="single" w:sz="8" w:color="DCDDDE"/>
            </w:tcBorders>
            <w:shd w:val="clear" w:color="auto" w:fill="DCDDD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DCDDDE"/>
            </w:tcBorders>
            <w:shd w:val="clear" w:color="auto" w:fill="DCDDDE"/>
          </w:tcPr>
          <w:p>
            <w:pPr>
              <w:spacing w:after="0"/>
              <w:rPr>
                <w:sz w:val="20"/>
                <w:szCs w:val="20"/>
                <w:color w:val="auto"/>
              </w:rPr>
            </w:pPr>
          </w:p>
        </w:tc>
        <w:tc>
          <w:tcPr>
            <w:tcW w:w="4600" w:type="dxa"/>
            <w:vAlign w:val="bottom"/>
            <w:tcBorders>
              <w:bottom w:val="single" w:sz="8" w:color="EF3E2A"/>
            </w:tcBorders>
            <w:shd w:val="clear" w:color="auto" w:fill="DCDDDE"/>
          </w:tcPr>
          <w:p>
            <w:pPr>
              <w:ind w:left="1220"/>
              <w:spacing w:after="0"/>
              <w:rPr>
                <w:sz w:val="20"/>
                <w:szCs w:val="20"/>
                <w:color w:val="auto"/>
              </w:rPr>
            </w:pPr>
            <w:r>
              <w:rPr>
                <w:rFonts w:ascii="Arial" w:cs="Arial" w:eastAsia="Arial" w:hAnsi="Arial"/>
                <w:sz w:val="18"/>
                <w:szCs w:val="18"/>
                <w:b w:val="1"/>
                <w:bCs w:val="1"/>
                <w:color w:val="231F20"/>
              </w:rPr>
              <w:t>TRUSTEE EVALUATIONS</w:t>
            </w:r>
          </w:p>
        </w:tc>
        <w:tc>
          <w:tcPr>
            <w:tcW w:w="160" w:type="dxa"/>
            <w:vAlign w:val="bottom"/>
            <w:tcBorders>
              <w:bottom w:val="single" w:sz="8" w:color="DCDDDE"/>
            </w:tcBorders>
            <w:shd w:val="clear" w:color="auto" w:fill="DCDDDE"/>
          </w:tcPr>
          <w:p>
            <w:pPr>
              <w:spacing w:after="0"/>
              <w:rPr>
                <w:sz w:val="20"/>
                <w:szCs w:val="20"/>
                <w:color w:val="auto"/>
              </w:rPr>
            </w:pPr>
          </w:p>
        </w:tc>
      </w:tr>
      <w:tr>
        <w:trPr>
          <w:trHeight w:val="244"/>
        </w:trPr>
        <w:tc>
          <w:tcPr>
            <w:tcW w:w="220" w:type="dxa"/>
            <w:vAlign w:val="bottom"/>
            <w:shd w:val="clear" w:color="auto" w:fill="DCDDDE"/>
          </w:tcPr>
          <w:p>
            <w:pPr>
              <w:spacing w:after="0"/>
              <w:rPr>
                <w:sz w:val="21"/>
                <w:szCs w:val="21"/>
                <w:color w:val="auto"/>
              </w:rPr>
            </w:pPr>
          </w:p>
        </w:tc>
        <w:tc>
          <w:tcPr>
            <w:tcW w:w="4600" w:type="dxa"/>
            <w:vAlign w:val="bottom"/>
            <w:shd w:val="clear" w:color="auto" w:fill="DCDDDE"/>
          </w:tcPr>
          <w:p>
            <w:pPr>
              <w:spacing w:after="0"/>
              <w:rPr>
                <w:sz w:val="21"/>
                <w:szCs w:val="21"/>
                <w:color w:val="auto"/>
              </w:rPr>
            </w:pPr>
          </w:p>
        </w:tc>
        <w:tc>
          <w:tcPr>
            <w:tcW w:w="160" w:type="dxa"/>
            <w:vAlign w:val="bottom"/>
            <w:shd w:val="clear" w:color="auto" w:fill="DCDDD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shd w:val="clear" w:color="auto" w:fill="DCDDDE"/>
          </w:tcPr>
          <w:p>
            <w:pPr>
              <w:spacing w:after="0"/>
              <w:rPr>
                <w:sz w:val="21"/>
                <w:szCs w:val="21"/>
                <w:color w:val="auto"/>
              </w:rPr>
            </w:pPr>
          </w:p>
        </w:tc>
        <w:tc>
          <w:tcPr>
            <w:tcW w:w="4600" w:type="dxa"/>
            <w:vAlign w:val="bottom"/>
            <w:shd w:val="clear" w:color="auto" w:fill="DCDDDE"/>
          </w:tcPr>
          <w:p>
            <w:pPr>
              <w:spacing w:after="0"/>
              <w:rPr>
                <w:sz w:val="21"/>
                <w:szCs w:val="21"/>
                <w:color w:val="auto"/>
              </w:rPr>
            </w:pPr>
          </w:p>
        </w:tc>
        <w:tc>
          <w:tcPr>
            <w:tcW w:w="160" w:type="dxa"/>
            <w:vAlign w:val="bottom"/>
            <w:shd w:val="clear" w:color="auto" w:fill="DCDDDE"/>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-5080</wp:posOffset>
                </wp:positionV>
                <wp:extent cx="101600" cy="71628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75" o:spid="_x0000_s1200" style="position:absolute;margin-left:241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101600" cy="71628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76" o:spid="_x0000_s1201" style="position:absolute;margin-left:0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705485</wp:posOffset>
                </wp:positionV>
                <wp:extent cx="104140" cy="234315"/>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77" o:spid="_x0000_s1202" style="position:absolute;margin-left:0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708660</wp:posOffset>
                </wp:positionV>
                <wp:extent cx="2964180" cy="22860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CDDDE"/>
                        </a:solidFill>
                      </wps:spPr>
                      <wps:bodyPr/>
                    </wps:wsp>
                  </a:graphicData>
                </a:graphic>
              </wp:anchor>
            </w:drawing>
          </mc:Choice>
          <mc:Fallback>
            <w:pict>
              <v:rect id="Shape 178" o:spid="_x0000_s1203" style="position:absolute;margin-left:7.8pt;margin-top:55.8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705485</wp:posOffset>
                </wp:positionV>
                <wp:extent cx="104140" cy="23431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79" o:spid="_x0000_s1204" style="position:absolute;margin-left:240.8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6299200</wp:posOffset>
                </wp:positionH>
                <wp:positionV relativeFrom="paragraph">
                  <wp:posOffset>-5080</wp:posOffset>
                </wp:positionV>
                <wp:extent cx="101600" cy="71628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80" o:spid="_x0000_s1205" style="position:absolute;margin-left:496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3238500</wp:posOffset>
                </wp:positionH>
                <wp:positionV relativeFrom="paragraph">
                  <wp:posOffset>-5080</wp:posOffset>
                </wp:positionV>
                <wp:extent cx="101600" cy="71628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81" o:spid="_x0000_s1206" style="position:absolute;margin-left:255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3238500</wp:posOffset>
                </wp:positionH>
                <wp:positionV relativeFrom="paragraph">
                  <wp:posOffset>705485</wp:posOffset>
                </wp:positionV>
                <wp:extent cx="104140" cy="234315"/>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82" o:spid="_x0000_s1207" style="position:absolute;margin-left:255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3337560</wp:posOffset>
                </wp:positionH>
                <wp:positionV relativeFrom="paragraph">
                  <wp:posOffset>708660</wp:posOffset>
                </wp:positionV>
                <wp:extent cx="2964180" cy="22860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CDDDE"/>
                        </a:solidFill>
                      </wps:spPr>
                      <wps:bodyPr/>
                    </wps:wsp>
                  </a:graphicData>
                </a:graphic>
              </wp:anchor>
            </w:drawing>
          </mc:Choice>
          <mc:Fallback>
            <w:pict>
              <v:rect id="Shape 183" o:spid="_x0000_s1208" style="position:absolute;margin-left:262.8pt;margin-top:55.8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6296660</wp:posOffset>
                </wp:positionH>
                <wp:positionV relativeFrom="paragraph">
                  <wp:posOffset>705485</wp:posOffset>
                </wp:positionV>
                <wp:extent cx="104140" cy="23431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84" o:spid="_x0000_s1209" style="position:absolute;margin-left:495.8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ectPr>
          <w:pgSz w:w="12240" w:h="15840" w:orient="portrait"/>
          <w:cols w:equalWidth="0" w:num="1">
            <w:col w:w="10080"/>
          </w:cols>
          <w:pgMar w:left="1080" w:top="1440" w:right="1080" w:bottom="944" w:gutter="0" w:footer="0" w:header="0"/>
        </w:sectPr>
      </w:pPr>
    </w:p>
    <w:p>
      <w:pPr>
        <w:spacing w:after="0" w:line="51" w:lineRule="exact"/>
        <w:rPr>
          <w:sz w:val="20"/>
          <w:szCs w:val="20"/>
          <w:color w:val="auto"/>
        </w:rPr>
      </w:pPr>
    </w:p>
    <w:p>
      <w:pPr>
        <w:ind w:left="220" w:right="180"/>
        <w:spacing w:after="0" w:line="251" w:lineRule="auto"/>
        <w:rPr>
          <w:sz w:val="20"/>
          <w:szCs w:val="20"/>
          <w:color w:val="auto"/>
        </w:rPr>
      </w:pPr>
      <w:r>
        <w:rPr>
          <w:rFonts w:ascii="Arial" w:cs="Arial" w:eastAsia="Arial" w:hAnsi="Arial"/>
          <w:sz w:val="18"/>
          <w:szCs w:val="18"/>
          <w:color w:val="231F20"/>
        </w:rPr>
        <w:t>Annual assessment by each committee of its effectiveness using a committee specific list of topics to guide an in-depth discussion of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489585</wp:posOffset>
                </wp:positionV>
                <wp:extent cx="101600" cy="93218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185" o:spid="_x0000_s1210" style="position:absolute;margin-left:241pt;margin-top:38.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489585</wp:posOffset>
                </wp:positionV>
                <wp:extent cx="101600" cy="93218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186" o:spid="_x0000_s1211" style="position:absolute;margin-left:0pt;margin-top:38.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1416685</wp:posOffset>
                </wp:positionV>
                <wp:extent cx="104140" cy="23114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1140"/>
                        </a:xfrm>
                        <a:prstGeom prst="rect">
                          <a:avLst/>
                        </a:prstGeom>
                        <a:solidFill>
                          <a:srgbClr val="DCDDDE"/>
                        </a:solidFill>
                      </wps:spPr>
                      <wps:bodyPr/>
                    </wps:wsp>
                  </a:graphicData>
                </a:graphic>
              </wp:anchor>
            </w:drawing>
          </mc:Choice>
          <mc:Fallback>
            <w:pict>
              <v:rect id="Shape 187" o:spid="_x0000_s1212" style="position:absolute;margin-left:0pt;margin-top:111.55pt;width:8.2pt;height:1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1419225</wp:posOffset>
                </wp:positionV>
                <wp:extent cx="2964180" cy="22860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CDDDE"/>
                        </a:solidFill>
                      </wps:spPr>
                      <wps:bodyPr/>
                    </wps:wsp>
                  </a:graphicData>
                </a:graphic>
              </wp:anchor>
            </w:drawing>
          </mc:Choice>
          <mc:Fallback>
            <w:pict>
              <v:rect id="Shape 188" o:spid="_x0000_s1213" style="position:absolute;margin-left:7.8pt;margin-top:111.75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1416685</wp:posOffset>
                </wp:positionV>
                <wp:extent cx="104140" cy="23114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1140"/>
                        </a:xfrm>
                        <a:prstGeom prst="rect">
                          <a:avLst/>
                        </a:prstGeom>
                        <a:solidFill>
                          <a:srgbClr val="DCDDDE"/>
                        </a:solidFill>
                      </wps:spPr>
                      <wps:bodyPr/>
                    </wps:wsp>
                  </a:graphicData>
                </a:graphic>
              </wp:anchor>
            </w:drawing>
          </mc:Choice>
          <mc:Fallback>
            <w:pict>
              <v:rect id="Shape 189" o:spid="_x0000_s1214" style="position:absolute;margin-left:240.8pt;margin-top:111.55pt;width:8.2pt;height:1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231F20"/>
        </w:rPr>
        <w:t>Topics include:</w:t>
      </w:r>
    </w:p>
    <w:p>
      <w:pPr>
        <w:spacing w:after="0" w:line="33" w:lineRule="exact"/>
        <w:rPr>
          <w:sz w:val="20"/>
          <w:szCs w:val="20"/>
          <w:color w:val="auto"/>
        </w:rPr>
      </w:pPr>
    </w:p>
    <w:p>
      <w:pPr>
        <w:ind w:left="480" w:hanging="240"/>
        <w:spacing w:after="0"/>
        <w:tabs>
          <w:tab w:leader="none" w:pos="480" w:val="left"/>
        </w:tabs>
        <w:numPr>
          <w:ilvl w:val="0"/>
          <w:numId w:val="92"/>
        </w:numPr>
        <w:rPr>
          <w:rFonts w:ascii="Arial" w:cs="Arial" w:eastAsia="Arial" w:hAnsi="Arial"/>
          <w:sz w:val="18"/>
          <w:szCs w:val="18"/>
          <w:color w:val="EF3E2B"/>
        </w:rPr>
      </w:pPr>
      <w:r>
        <w:rPr>
          <w:rFonts w:ascii="Arial" w:cs="Arial" w:eastAsia="Arial" w:hAnsi="Arial"/>
          <w:sz w:val="18"/>
          <w:szCs w:val="18"/>
          <w:color w:val="231F20"/>
        </w:rPr>
        <w:t>Skills and expertise of committee members</w:t>
      </w:r>
    </w:p>
    <w:p>
      <w:pPr>
        <w:spacing w:after="0" w:line="12" w:lineRule="exact"/>
        <w:rPr>
          <w:rFonts w:ascii="Arial" w:cs="Arial" w:eastAsia="Arial" w:hAnsi="Arial"/>
          <w:sz w:val="18"/>
          <w:szCs w:val="18"/>
          <w:color w:val="EF3E2B"/>
        </w:rPr>
      </w:pPr>
    </w:p>
    <w:p>
      <w:pPr>
        <w:ind w:left="480" w:hanging="240"/>
        <w:spacing w:after="0"/>
        <w:tabs>
          <w:tab w:leader="none" w:pos="480" w:val="left"/>
        </w:tabs>
        <w:numPr>
          <w:ilvl w:val="0"/>
          <w:numId w:val="92"/>
        </w:numPr>
        <w:rPr>
          <w:rFonts w:ascii="Arial" w:cs="Arial" w:eastAsia="Arial" w:hAnsi="Arial"/>
          <w:sz w:val="18"/>
          <w:szCs w:val="18"/>
          <w:color w:val="EF3E2B"/>
        </w:rPr>
      </w:pPr>
      <w:r>
        <w:rPr>
          <w:rFonts w:ascii="Arial" w:cs="Arial" w:eastAsia="Arial" w:hAnsi="Arial"/>
          <w:sz w:val="18"/>
          <w:szCs w:val="18"/>
          <w:color w:val="231F20"/>
        </w:rPr>
        <w:t>Adherence to committee charter</w:t>
      </w:r>
    </w:p>
    <w:p>
      <w:pPr>
        <w:spacing w:after="0" w:line="13" w:lineRule="exact"/>
        <w:rPr>
          <w:rFonts w:ascii="Arial" w:cs="Arial" w:eastAsia="Arial" w:hAnsi="Arial"/>
          <w:sz w:val="18"/>
          <w:szCs w:val="18"/>
          <w:color w:val="EF3E2B"/>
        </w:rPr>
      </w:pPr>
    </w:p>
    <w:p>
      <w:pPr>
        <w:ind w:left="480" w:hanging="240"/>
        <w:spacing w:after="0"/>
        <w:tabs>
          <w:tab w:leader="none" w:pos="480" w:val="left"/>
        </w:tabs>
        <w:numPr>
          <w:ilvl w:val="0"/>
          <w:numId w:val="92"/>
        </w:numPr>
        <w:rPr>
          <w:rFonts w:ascii="Arial" w:cs="Arial" w:eastAsia="Arial" w:hAnsi="Arial"/>
          <w:sz w:val="18"/>
          <w:szCs w:val="18"/>
          <w:color w:val="EF3E2B"/>
        </w:rPr>
      </w:pPr>
      <w:r>
        <w:rPr>
          <w:rFonts w:ascii="Arial" w:cs="Arial" w:eastAsia="Arial" w:hAnsi="Arial"/>
          <w:sz w:val="18"/>
          <w:szCs w:val="18"/>
          <w:color w:val="231F20"/>
        </w:rPr>
        <w:t>Committee specific topics</w:t>
      </w:r>
    </w:p>
    <w:p>
      <w:pPr>
        <w:spacing w:after="0" w:line="13" w:lineRule="exact"/>
        <w:rPr>
          <w:rFonts w:ascii="Arial" w:cs="Arial" w:eastAsia="Arial" w:hAnsi="Arial"/>
          <w:sz w:val="18"/>
          <w:szCs w:val="18"/>
          <w:color w:val="EF3E2B"/>
        </w:rPr>
      </w:pPr>
    </w:p>
    <w:p>
      <w:pPr>
        <w:ind w:left="480" w:hanging="240"/>
        <w:spacing w:after="0"/>
        <w:tabs>
          <w:tab w:leader="none" w:pos="480" w:val="left"/>
        </w:tabs>
        <w:numPr>
          <w:ilvl w:val="0"/>
          <w:numId w:val="92"/>
        </w:numPr>
        <w:rPr>
          <w:rFonts w:ascii="Arial" w:cs="Arial" w:eastAsia="Arial" w:hAnsi="Arial"/>
          <w:sz w:val="18"/>
          <w:szCs w:val="18"/>
          <w:color w:val="EF3E2B"/>
        </w:rPr>
      </w:pPr>
      <w:r>
        <w:rPr>
          <w:rFonts w:ascii="Arial" w:cs="Arial" w:eastAsia="Arial" w:hAnsi="Arial"/>
          <w:sz w:val="18"/>
          <w:szCs w:val="18"/>
          <w:color w:val="231F20"/>
        </w:rPr>
        <w:t>Information provided by and access to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866140</wp:posOffset>
                </wp:positionV>
                <wp:extent cx="104140" cy="34544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45440"/>
                        </a:xfrm>
                        <a:prstGeom prst="rect">
                          <a:avLst/>
                        </a:prstGeom>
                        <a:solidFill>
                          <a:srgbClr val="DCDDDE"/>
                        </a:solidFill>
                      </wps:spPr>
                      <wps:bodyPr/>
                    </wps:wsp>
                  </a:graphicData>
                </a:graphic>
              </wp:anchor>
            </w:drawing>
          </mc:Choice>
          <mc:Fallback>
            <w:pict>
              <v:rect id="Shape 190" o:spid="_x0000_s1215" style="position:absolute;margin-left:0pt;margin-top:68.2pt;width:8.2pt;height: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866140</wp:posOffset>
                </wp:positionV>
                <wp:extent cx="2964180" cy="34290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342900"/>
                        </a:xfrm>
                        <a:prstGeom prst="rect">
                          <a:avLst/>
                        </a:prstGeom>
                        <a:solidFill>
                          <a:srgbClr val="DCDDDE"/>
                        </a:solidFill>
                      </wps:spPr>
                      <wps:bodyPr/>
                    </wps:wsp>
                  </a:graphicData>
                </a:graphic>
              </wp:anchor>
            </w:drawing>
          </mc:Choice>
          <mc:Fallback>
            <w:pict>
              <v:rect id="Shape 191" o:spid="_x0000_s1216" style="position:absolute;margin-left:7.8pt;margin-top:68.2pt;width:233.4pt;height: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866140</wp:posOffset>
                </wp:positionV>
                <wp:extent cx="104140" cy="34544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45440"/>
                        </a:xfrm>
                        <a:prstGeom prst="rect">
                          <a:avLst/>
                        </a:prstGeom>
                        <a:solidFill>
                          <a:srgbClr val="DCDDDE"/>
                        </a:solidFill>
                      </wps:spPr>
                      <wps:bodyPr/>
                    </wps:wsp>
                  </a:graphicData>
                </a:graphic>
              </wp:anchor>
            </w:drawing>
          </mc:Choice>
          <mc:Fallback>
            <w:pict>
              <v:rect id="Shape 192" o:spid="_x0000_s1217" style="position:absolute;margin-left:240.8pt;margin-top:68.2pt;width:8.2pt;height: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1206500</wp:posOffset>
                </wp:positionV>
                <wp:extent cx="101600" cy="56388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63880"/>
                        </a:xfrm>
                        <a:prstGeom prst="rect">
                          <a:avLst/>
                        </a:prstGeom>
                        <a:solidFill>
                          <a:srgbClr val="DCDDDE"/>
                        </a:solidFill>
                      </wps:spPr>
                      <wps:bodyPr/>
                    </wps:wsp>
                  </a:graphicData>
                </a:graphic>
              </wp:anchor>
            </w:drawing>
          </mc:Choice>
          <mc:Fallback>
            <w:pict>
              <v:rect id="Shape 193" o:spid="_x0000_s1218" style="position:absolute;margin-left:0pt;margin-top:95pt;width:8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231F20"/>
        </w:rPr>
        <w:t>CONTINUAL FEEDBACK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177800</wp:posOffset>
                </wp:positionV>
                <wp:extent cx="101600" cy="56388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63880"/>
                        </a:xfrm>
                        <a:prstGeom prst="rect">
                          <a:avLst/>
                        </a:prstGeom>
                        <a:solidFill>
                          <a:srgbClr val="DCDDDE"/>
                        </a:solidFill>
                      </wps:spPr>
                      <wps:bodyPr/>
                    </wps:wsp>
                  </a:graphicData>
                </a:graphic>
              </wp:anchor>
            </w:drawing>
          </mc:Choice>
          <mc:Fallback>
            <w:pict>
              <v:rect id="Shape 194" o:spid="_x0000_s1219" style="position:absolute;margin-left:241pt;margin-top:14pt;width:8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736600</wp:posOffset>
                </wp:positionV>
                <wp:extent cx="104140" cy="15748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157480"/>
                        </a:xfrm>
                        <a:prstGeom prst="rect">
                          <a:avLst/>
                        </a:prstGeom>
                        <a:solidFill>
                          <a:srgbClr val="DCDDDE"/>
                        </a:solidFill>
                      </wps:spPr>
                      <wps:bodyPr/>
                    </wps:wsp>
                  </a:graphicData>
                </a:graphic>
              </wp:anchor>
            </w:drawing>
          </mc:Choice>
          <mc:Fallback>
            <w:pict>
              <v:rect id="Shape 195" o:spid="_x0000_s1220" style="position:absolute;margin-left:240.8pt;margin-top:58pt;width:8.2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15240</wp:posOffset>
                </wp:positionV>
                <wp:extent cx="292100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0" cy="4763"/>
                        </a:xfrm>
                        <a:prstGeom prst="line">
                          <a:avLst/>
                        </a:prstGeom>
                        <a:solidFill>
                          <a:srgbClr val="FFFFFF"/>
                        </a:solidFill>
                        <a:ln w="25400">
                          <a:solidFill>
                            <a:srgbClr val="EF3E2A"/>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1.2pt" to="241pt,1.2pt" o:allowincell="f" strokecolor="#EF3E2A" strokeweight="2pt"/>
            </w:pict>
          </mc:Fallback>
        </mc:AlternateContent>
      </w:r>
    </w:p>
    <w:p>
      <w:pPr>
        <w:spacing w:after="0" w:line="319" w:lineRule="exact"/>
        <w:rPr>
          <w:sz w:val="20"/>
          <w:szCs w:val="20"/>
          <w:color w:val="auto"/>
        </w:rPr>
      </w:pPr>
    </w:p>
    <w:p>
      <w:pPr>
        <w:ind w:left="220"/>
        <w:spacing w:after="0" w:line="252" w:lineRule="auto"/>
        <w:rPr>
          <w:sz w:val="20"/>
          <w:szCs w:val="20"/>
          <w:color w:val="auto"/>
        </w:rPr>
      </w:pPr>
      <w:r>
        <w:rPr>
          <w:rFonts w:ascii="Arial" w:cs="Arial" w:eastAsia="Arial" w:hAnsi="Arial"/>
          <w:sz w:val="18"/>
          <w:szCs w:val="18"/>
          <w:color w:val="231F20"/>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104140" cy="15684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156845"/>
                        </a:xfrm>
                        <a:prstGeom prst="rect">
                          <a:avLst/>
                        </a:prstGeom>
                        <a:solidFill>
                          <a:srgbClr val="DCDDDE"/>
                        </a:solidFill>
                      </wps:spPr>
                      <wps:bodyPr/>
                    </wps:wsp>
                  </a:graphicData>
                </a:graphic>
              </wp:anchor>
            </w:drawing>
          </mc:Choice>
          <mc:Fallback>
            <w:pict>
              <v:rect id="Shape 197" o:spid="_x0000_s1222" style="position:absolute;margin-left:0pt;margin-top:-2.3999pt;width:8.2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121920</wp:posOffset>
                </wp:positionV>
                <wp:extent cx="3162300" cy="15494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154940"/>
                        </a:xfrm>
                        <a:prstGeom prst="rect">
                          <a:avLst/>
                        </a:prstGeom>
                        <a:solidFill>
                          <a:srgbClr val="DCDDDE"/>
                        </a:solidFill>
                      </wps:spPr>
                      <wps:bodyPr/>
                    </wps:wsp>
                  </a:graphicData>
                </a:graphic>
              </wp:anchor>
            </w:drawing>
          </mc:Choice>
          <mc:Fallback>
            <w:pict>
              <v:rect id="Shape 198" o:spid="_x0000_s1223" style="position:absolute;margin-left:0pt;margin-top:9.6pt;width:24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231F20"/>
        </w:rPr>
        <w:t>Each Trustee completes a confidential questionnaire evaluating the performance of each other trustee with the results provided to the chair of the 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349885</wp:posOffset>
                </wp:positionV>
                <wp:extent cx="101600" cy="93218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199" o:spid="_x0000_s1224" style="position:absolute;margin-left:230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349885</wp:posOffset>
                </wp:positionV>
                <wp:extent cx="101600" cy="93218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200" o:spid="_x0000_s1225" style="position:absolute;margin-left:-11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1276985</wp:posOffset>
                </wp:positionV>
                <wp:extent cx="104775" cy="23368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233680"/>
                        </a:xfrm>
                        <a:prstGeom prst="rect">
                          <a:avLst/>
                        </a:prstGeom>
                        <a:solidFill>
                          <a:srgbClr val="DCDDDE"/>
                        </a:solidFill>
                      </wps:spPr>
                      <wps:bodyPr/>
                    </wps:wsp>
                  </a:graphicData>
                </a:graphic>
              </wp:anchor>
            </w:drawing>
          </mc:Choice>
          <mc:Fallback>
            <w:pict>
              <v:rect id="Shape 201" o:spid="_x0000_s1226" style="position:absolute;margin-left:-11pt;margin-top:100.55pt;width:8.25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1280160</wp:posOffset>
                </wp:positionV>
                <wp:extent cx="2963545" cy="22860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28600"/>
                        </a:xfrm>
                        <a:prstGeom prst="rect">
                          <a:avLst/>
                        </a:prstGeom>
                        <a:solidFill>
                          <a:srgbClr val="DCDDDE"/>
                        </a:solidFill>
                      </wps:spPr>
                      <wps:bodyPr/>
                    </wps:wsp>
                  </a:graphicData>
                </a:graphic>
              </wp:anchor>
            </w:drawing>
          </mc:Choice>
          <mc:Fallback>
            <w:pict>
              <v:rect id="Shape 202" o:spid="_x0000_s1227" style="position:absolute;margin-left:-3.1499pt;margin-top:100.8pt;width:233.3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1276985</wp:posOffset>
                </wp:positionV>
                <wp:extent cx="104140" cy="23368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CDDDE"/>
                        </a:solidFill>
                      </wps:spPr>
                      <wps:bodyPr/>
                    </wps:wsp>
                  </a:graphicData>
                </a:graphic>
              </wp:anchor>
            </w:drawing>
          </mc:Choice>
          <mc:Fallback>
            <w:pict>
              <v:rect id="Shape 203" o:spid="_x0000_s1228" style="position:absolute;margin-left:229.8pt;margin-top:100.55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Topics include:</w:t>
      </w:r>
    </w:p>
    <w:p>
      <w:pPr>
        <w:spacing w:after="0" w:line="39" w:lineRule="exact"/>
        <w:rPr>
          <w:sz w:val="20"/>
          <w:szCs w:val="20"/>
          <w:color w:val="auto"/>
        </w:rPr>
      </w:pPr>
    </w:p>
    <w:p>
      <w:pPr>
        <w:ind w:left="220" w:right="820" w:hanging="220"/>
        <w:spacing w:after="0" w:line="248" w:lineRule="auto"/>
        <w:tabs>
          <w:tab w:leader="none" w:pos="225" w:val="left"/>
        </w:tabs>
        <w:numPr>
          <w:ilvl w:val="0"/>
          <w:numId w:val="93"/>
        </w:numPr>
        <w:rPr>
          <w:rFonts w:ascii="Arial" w:cs="Arial" w:eastAsia="Arial" w:hAnsi="Arial"/>
          <w:sz w:val="18"/>
          <w:szCs w:val="18"/>
          <w:color w:val="EF3E2B"/>
        </w:rPr>
      </w:pPr>
      <w:r>
        <w:rPr>
          <w:rFonts w:ascii="Arial" w:cs="Arial" w:eastAsia="Arial" w:hAnsi="Arial"/>
          <w:sz w:val="18"/>
          <w:szCs w:val="18"/>
          <w:color w:val="231F20"/>
        </w:rPr>
        <w:t>Preparedness for meetings and understanding company business</w:t>
      </w:r>
    </w:p>
    <w:p>
      <w:pPr>
        <w:spacing w:after="0" w:line="6" w:lineRule="exact"/>
        <w:rPr>
          <w:rFonts w:ascii="Arial" w:cs="Arial" w:eastAsia="Arial" w:hAnsi="Arial"/>
          <w:sz w:val="18"/>
          <w:szCs w:val="18"/>
          <w:color w:val="EF3E2B"/>
        </w:rPr>
      </w:pPr>
    </w:p>
    <w:p>
      <w:pPr>
        <w:ind w:left="240" w:hanging="240"/>
        <w:spacing w:after="0"/>
        <w:tabs>
          <w:tab w:leader="none" w:pos="240" w:val="left"/>
        </w:tabs>
        <w:numPr>
          <w:ilvl w:val="0"/>
          <w:numId w:val="93"/>
        </w:numPr>
        <w:rPr>
          <w:rFonts w:ascii="Arial" w:cs="Arial" w:eastAsia="Arial" w:hAnsi="Arial"/>
          <w:sz w:val="18"/>
          <w:szCs w:val="18"/>
          <w:color w:val="EF3E2B"/>
        </w:rPr>
      </w:pPr>
      <w:r>
        <w:rPr>
          <w:rFonts w:ascii="Arial" w:cs="Arial" w:eastAsia="Arial" w:hAnsi="Arial"/>
          <w:sz w:val="18"/>
          <w:szCs w:val="18"/>
          <w:color w:val="231F20"/>
        </w:rPr>
        <w:t>Overall contributions to Board and Committees</w:t>
      </w:r>
    </w:p>
    <w:p>
      <w:pPr>
        <w:spacing w:after="0" w:line="13" w:lineRule="exact"/>
        <w:rPr>
          <w:rFonts w:ascii="Arial" w:cs="Arial" w:eastAsia="Arial" w:hAnsi="Arial"/>
          <w:sz w:val="18"/>
          <w:szCs w:val="18"/>
          <w:color w:val="EF3E2B"/>
        </w:rPr>
      </w:pPr>
    </w:p>
    <w:p>
      <w:pPr>
        <w:ind w:left="240" w:hanging="240"/>
        <w:spacing w:after="0"/>
        <w:tabs>
          <w:tab w:leader="none" w:pos="240" w:val="left"/>
        </w:tabs>
        <w:numPr>
          <w:ilvl w:val="0"/>
          <w:numId w:val="93"/>
        </w:numPr>
        <w:rPr>
          <w:rFonts w:ascii="Arial" w:cs="Arial" w:eastAsia="Arial" w:hAnsi="Arial"/>
          <w:sz w:val="18"/>
          <w:szCs w:val="18"/>
          <w:color w:val="EF3E2B"/>
        </w:rPr>
      </w:pPr>
      <w:r>
        <w:rPr>
          <w:rFonts w:ascii="Arial" w:cs="Arial" w:eastAsia="Arial" w:hAnsi="Arial"/>
          <w:sz w:val="18"/>
          <w:szCs w:val="18"/>
          <w:color w:val="231F20"/>
        </w:rPr>
        <w:t>Skill set</w:t>
      </w:r>
    </w:p>
    <w:p>
      <w:pPr>
        <w:spacing w:after="0" w:line="13" w:lineRule="exact"/>
        <w:rPr>
          <w:rFonts w:ascii="Arial" w:cs="Arial" w:eastAsia="Arial" w:hAnsi="Arial"/>
          <w:sz w:val="18"/>
          <w:szCs w:val="18"/>
          <w:color w:val="EF3E2B"/>
        </w:rPr>
      </w:pPr>
    </w:p>
    <w:p>
      <w:pPr>
        <w:ind w:left="240" w:hanging="240"/>
        <w:spacing w:after="0"/>
        <w:tabs>
          <w:tab w:leader="none" w:pos="240" w:val="left"/>
        </w:tabs>
        <w:numPr>
          <w:ilvl w:val="0"/>
          <w:numId w:val="93"/>
        </w:numPr>
        <w:rPr>
          <w:rFonts w:ascii="Arial" w:cs="Arial" w:eastAsia="Arial" w:hAnsi="Arial"/>
          <w:sz w:val="18"/>
          <w:szCs w:val="18"/>
          <w:color w:val="EF3E2B"/>
        </w:rPr>
      </w:pPr>
      <w:r>
        <w:rPr>
          <w:rFonts w:ascii="Arial" w:cs="Arial" w:eastAsia="Arial" w:hAnsi="Arial"/>
          <w:sz w:val="18"/>
          <w:szCs w:val="18"/>
          <w:color w:val="231F20"/>
        </w:rPr>
        <w:t>Effectiveness in leadership roles (if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279400</wp:posOffset>
                </wp:positionV>
                <wp:extent cx="101600" cy="79248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04" o:spid="_x0000_s1229" style="position:absolute;margin-left:230pt;margin-top:22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279400</wp:posOffset>
                </wp:positionV>
                <wp:extent cx="101600" cy="79248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05" o:spid="_x0000_s1230" style="position:absolute;margin-left:-11pt;margin-top:22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1066800</wp:posOffset>
                </wp:positionV>
                <wp:extent cx="104775" cy="23368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233680"/>
                        </a:xfrm>
                        <a:prstGeom prst="rect">
                          <a:avLst/>
                        </a:prstGeom>
                        <a:solidFill>
                          <a:srgbClr val="DCDDDE"/>
                        </a:solidFill>
                      </wps:spPr>
                      <wps:bodyPr/>
                    </wps:wsp>
                  </a:graphicData>
                </a:graphic>
              </wp:anchor>
            </w:drawing>
          </mc:Choice>
          <mc:Fallback>
            <w:pict>
              <v:rect id="Shape 206" o:spid="_x0000_s1231" style="position:absolute;margin-left:-11pt;margin-top:84pt;width:8.25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1069340</wp:posOffset>
                </wp:positionV>
                <wp:extent cx="2963545" cy="22860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28600"/>
                        </a:xfrm>
                        <a:prstGeom prst="rect">
                          <a:avLst/>
                        </a:prstGeom>
                        <a:solidFill>
                          <a:srgbClr val="DCDDDE"/>
                        </a:solidFill>
                      </wps:spPr>
                      <wps:bodyPr/>
                    </wps:wsp>
                  </a:graphicData>
                </a:graphic>
              </wp:anchor>
            </w:drawing>
          </mc:Choice>
          <mc:Fallback>
            <w:pict>
              <v:rect id="Shape 207" o:spid="_x0000_s1232" style="position:absolute;margin-left:-3.1499pt;margin-top:84.2pt;width:233.3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1066800</wp:posOffset>
                </wp:positionV>
                <wp:extent cx="104140" cy="23368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CDDDE"/>
                        </a:solidFill>
                      </wps:spPr>
                      <wps:bodyPr/>
                    </wps:wsp>
                  </a:graphicData>
                </a:graphic>
              </wp:anchor>
            </w:drawing>
          </mc:Choice>
          <mc:Fallback>
            <w:pict>
              <v:rect id="Shape 208" o:spid="_x0000_s1233" style="position:absolute;margin-left:229.8pt;margin-top:84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One-on-One Discussions</w:t>
      </w:r>
    </w:p>
    <w:p>
      <w:pPr>
        <w:spacing w:after="0" w:line="39"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231F20"/>
        </w:rPr>
        <w:t>The chair of the Nominating Committee discusses the individual assessments and overall Board effectiveness with each trustee. The Board chairman conducts the same process for the Nominating Committee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273685</wp:posOffset>
                </wp:positionV>
                <wp:extent cx="101600" cy="79248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09" o:spid="_x0000_s1234" style="position:absolute;margin-left:230pt;margin-top:21.55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273685</wp:posOffset>
                </wp:positionV>
                <wp:extent cx="101600" cy="79248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10" o:spid="_x0000_s1235" style="position:absolute;margin-left:-11pt;margin-top:21.55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1061085</wp:posOffset>
                </wp:positionV>
                <wp:extent cx="104775" cy="20574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205740"/>
                        </a:xfrm>
                        <a:prstGeom prst="rect">
                          <a:avLst/>
                        </a:prstGeom>
                        <a:solidFill>
                          <a:srgbClr val="DCDDDE"/>
                        </a:solidFill>
                      </wps:spPr>
                      <wps:bodyPr/>
                    </wps:wsp>
                  </a:graphicData>
                </a:graphic>
              </wp:anchor>
            </w:drawing>
          </mc:Choice>
          <mc:Fallback>
            <w:pict>
              <v:rect id="Shape 211" o:spid="_x0000_s1236" style="position:absolute;margin-left:-11pt;margin-top:83.55pt;width:8.25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1064260</wp:posOffset>
                </wp:positionV>
                <wp:extent cx="2963545" cy="20320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03200"/>
                        </a:xfrm>
                        <a:prstGeom prst="rect">
                          <a:avLst/>
                        </a:prstGeom>
                        <a:solidFill>
                          <a:srgbClr val="DCDDDE"/>
                        </a:solidFill>
                      </wps:spPr>
                      <wps:bodyPr/>
                    </wps:wsp>
                  </a:graphicData>
                </a:graphic>
              </wp:anchor>
            </w:drawing>
          </mc:Choice>
          <mc:Fallback>
            <w:pict>
              <v:rect id="Shape 212" o:spid="_x0000_s1237" style="position:absolute;margin-left:-3.1499pt;margin-top:83.8pt;width:233.3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1061085</wp:posOffset>
                </wp:positionV>
                <wp:extent cx="104140" cy="20574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05740"/>
                        </a:xfrm>
                        <a:prstGeom prst="rect">
                          <a:avLst/>
                        </a:prstGeom>
                        <a:solidFill>
                          <a:srgbClr val="DCDDDE"/>
                        </a:solidFill>
                      </wps:spPr>
                      <wps:bodyPr/>
                    </wps:wsp>
                  </a:graphicData>
                </a:graphic>
              </wp:anchor>
            </w:drawing>
          </mc:Choice>
          <mc:Fallback>
            <w:pict>
              <v:rect id="Shape 213" o:spid="_x0000_s1238" style="position:absolute;margin-left:229.8pt;margin-top:83.55pt;width:8.2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Summary and Action Taken</w:t>
      </w:r>
    </w:p>
    <w:p>
      <w:pPr>
        <w:spacing w:after="0" w:line="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231F20"/>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2240" w:h="15840" w:orient="portrait"/>
          <w:cols w:equalWidth="0" w:num="2">
            <w:col w:w="4800" w:space="520"/>
            <w:col w:w="4760"/>
          </w:cols>
          <w:pgMar w:left="1080" w:top="1440" w:right="1080" w:bottom="944"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SUCCESSION PLANNING</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19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COMMUNICATIONS WITH THE BOARD</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pacing w:after="0" w:line="19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COMPENSATION COMMITTEE INTERLOCKS AND INSIDER PARTICIPATION</w:t>
      </w:r>
    </w:p>
    <w:p>
      <w:pPr>
        <w:spacing w:after="0" w:line="24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Compensation Committee consists of Ms. Holland, Ms. Lamb-Hale, Mr. McEachin and Ms. Steinel. There are no Compensation Committee interlocks and no member of the Compensation Committee serves, or has in the past served, as an employee or officer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126365</wp:posOffset>
                </wp:positionV>
                <wp:extent cx="6400800" cy="17780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14" o:spid="_x0000_s1239" style="position:absolute;margin-left:0pt;margin-top:9.9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126365</wp:posOffset>
                </wp:positionV>
                <wp:extent cx="0" cy="17780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95pt" to="0.5pt,23.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640080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5pt" to="504pt,10.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126365</wp:posOffset>
                </wp:positionV>
                <wp:extent cx="0" cy="17780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95pt" to="503.5pt,23.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297815</wp:posOffset>
                </wp:positionV>
                <wp:extent cx="640080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45pt" to="504pt,23.45pt" o:allowincell="f" strokecolor="#231F20" strokeweight="1pt"/>
            </w:pict>
          </mc:Fallback>
        </mc:AlternateContent>
      </w:r>
    </w:p>
    <w:p>
      <w:pPr>
        <w:sectPr>
          <w:pgSz w:w="12240" w:h="15840" w:orient="portrait"/>
          <w:cols w:equalWidth="0" w:num="1">
            <w:col w:w="10080"/>
          </w:cols>
          <w:pgMar w:left="1080" w:top="1440" w:right="1080" w:bottom="944" w:gutter="0" w:footer="0" w:header="0"/>
          <w:type w:val="continuous"/>
        </w:sectPr>
      </w:pPr>
    </w:p>
    <w:p>
      <w:pPr>
        <w:spacing w:after="0" w:line="247"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r>
      <w:r>
        <w:rPr>
          <w:sz w:val="20"/>
          <w:szCs w:val="20"/>
          <w:color w:val="auto"/>
        </w:rPr>
        <w:tab/>
      </w:r>
      <w:r>
        <w:rPr>
          <w:rFonts w:ascii="Arial" w:cs="Arial" w:eastAsia="Arial" w:hAnsi="Arial"/>
          <w:sz w:val="14"/>
          <w:szCs w:val="14"/>
          <w:color w:val="231F20"/>
        </w:rPr>
        <w:t>9</w:t>
      </w:r>
    </w:p>
    <w:p>
      <w:pPr>
        <w:sectPr>
          <w:pgSz w:w="12240" w:h="15840" w:orient="portrait"/>
          <w:cols w:equalWidth="0" w:num="1">
            <w:col w:w="10080"/>
          </w:cols>
          <w:pgMar w:left="1080" w:top="1440" w:right="1080" w:bottom="944" w:gutter="0" w:footer="0" w:header="0"/>
          <w:type w:val="continuous"/>
        </w:sectPr>
      </w:pPr>
    </w:p>
    <w:bookmarkStart w:id="129" w:name="page130"/>
    <w:bookmarkEnd w:id="129"/>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RELATED PARTY TRANSACTIONS</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We have no related party transactions with any of our Trustees that are required to be disclosed. None of our named executive officers (“NEOs”) has any indebtedness to the Company or any relationship with the Company other than as an employee and shareholder. Employment and change-in-control arrangements between the Company and the NEOs are described in the “Potential Payments on Termination of Employment and Change-in-Control” section below.</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TRUSTEE INDEPENDENCE</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directly and indirectly in three of the Company’s small shop tenants. The Board determined that Mr. Nader’s passive investment in these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640080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504pt,11.1pt" o:allowincell="f" strokecolor="#EF3E2A" strokeweight="3pt"/>
            </w:pict>
          </mc:Fallback>
        </mc:AlternateConten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231F20"/>
        </w:rPr>
        <w:t>Proposal 1: Election of Trustees</w:t>
      </w:r>
    </w:p>
    <w:p>
      <w:pPr>
        <w:spacing w:after="0" w:line="2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On recommendation of the Nominating Committee, our Board has nominated seven (7) candidates for election as trustees at the Annual Meeting. All of the nominees are incumbent trustees and were elected as trustees by our shareholders in May 2023. More detailed biographical information on each nominee can be found beginning on page 14.</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At the Annual Meeting, each trustee will be elected to hold office for a one-year term expiring at the 2025 annual meeting of shareholders and until his or her successor is elected and qualified.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1012190</wp:posOffset>
                </wp:positionV>
                <wp:extent cx="6400800" cy="17780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20" o:spid="_x0000_s1245" style="position:absolute;margin-left:0pt;margin-top:79.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1011555</wp:posOffset>
                </wp:positionV>
                <wp:extent cx="0" cy="17780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9.65pt" to="0.5pt,93.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1017905</wp:posOffset>
                </wp:positionV>
                <wp:extent cx="64008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15pt" to="504pt,80.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1011555</wp:posOffset>
                </wp:positionV>
                <wp:extent cx="0" cy="17780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79.65pt" to="503.5pt,93.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1183005</wp:posOffset>
                </wp:positionV>
                <wp:extent cx="640080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15pt" to="504pt,93.1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10</w:t>
      </w:r>
    </w:p>
    <w:p>
      <w:pPr>
        <w:sectPr>
          <w:pgSz w:w="12240" w:h="15840" w:orient="portrait"/>
          <w:cols w:equalWidth="0" w:num="1">
            <w:col w:w="10080"/>
          </w:cols>
          <w:pgMar w:left="1080" w:top="1440" w:right="1080" w:bottom="944" w:gutter="0" w:footer="0" w:header="0"/>
          <w:type w:val="continuous"/>
        </w:sectPr>
      </w:pPr>
    </w:p>
    <w:bookmarkStart w:id="130" w:name="page131"/>
    <w:bookmarkEnd w:id="130"/>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VOTE REQUIRED AND MAJORITY VOTING STANDARD</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You are entitled to cast one vote per share for each of the seven nominees. Proxies may not be voted for more than seven individuals. In an uncontested election such as this one, our Bylaws require that a nominee receive a majority of votes cast with respect to that nominee in order to be elected. Accordingly, any nominee who does not receive a majority of votes cast will be required to resign from the Board within ninety (90) days. Broker non-votes and abstentions, if any, will not be treated as votes cast and as a result, will have no effect on the outcome of the vote for this proposal. Over the past 5 years, our nominees who have stood for election have received, on average, nearly 98% votes “for” at each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6401435" cy="4832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53">
                      <a:extLst>
                        <a:ext uri="{28A0092B-C50C-407E-A947-70E740481C1C}"/>
                      </a:extLst>
                    </a:blip>
                    <a:srcRect/>
                    <a:stretch>
                      <a:fillRect/>
                    </a:stretch>
                  </pic:blipFill>
                  <pic:spPr bwMode="auto">
                    <a:xfrm>
                      <a:off x="0" y="0"/>
                      <a:ext cx="6401435" cy="48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8"/>
          <w:szCs w:val="28"/>
          <w:color w:val="231F20"/>
        </w:rPr>
        <w:t xml:space="preserve">Our Board recommends a vote </w:t>
      </w:r>
      <w:r>
        <w:rPr>
          <w:rFonts w:ascii="Arial" w:cs="Arial" w:eastAsia="Arial" w:hAnsi="Arial"/>
          <w:sz w:val="28"/>
          <w:szCs w:val="28"/>
          <w:b w:val="1"/>
          <w:bCs w:val="1"/>
          <w:color w:val="231F20"/>
        </w:rPr>
        <w:t>FOR</w:t>
      </w:r>
      <w:r>
        <w:rPr>
          <w:rFonts w:ascii="Arial" w:cs="Arial" w:eastAsia="Arial" w:hAnsi="Arial"/>
          <w:sz w:val="28"/>
          <w:szCs w:val="28"/>
          <w:color w:val="231F20"/>
        </w:rPr>
        <w:t xml:space="preserve"> each of the seven nominees</w:t>
      </w:r>
    </w:p>
    <w:p>
      <w:pPr>
        <w:spacing w:after="0" w:line="200" w:lineRule="exact"/>
        <w:rPr>
          <w:sz w:val="20"/>
          <w:szCs w:val="20"/>
          <w:color w:val="auto"/>
        </w:rPr>
      </w:pPr>
    </w:p>
    <w:p>
      <w:pPr>
        <w:spacing w:after="0" w:line="27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NOMINEE CHARACTERISTICS AND SELECTION</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Nominating Committee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Nominating Committee assesses the contribution that a particular candidate’s skills and expertise will make with respect to guiding our strategy and management when considered as a whole with the skills and expertise of other trustees.</w:t>
      </w: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 nominate that individual. Further information on each nominee’s qualifications and relevant experience is provided in the individual biographical descriptions below starting on page 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2954655</wp:posOffset>
                </wp:positionV>
                <wp:extent cx="6400800" cy="17780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26" o:spid="_x0000_s1251" style="position:absolute;margin-left:0pt;margin-top:232.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2954020</wp:posOffset>
                </wp:positionV>
                <wp:extent cx="0" cy="17780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32.6pt" to="0.5pt,246.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2960370</wp:posOffset>
                </wp:positionV>
                <wp:extent cx="64008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3.1pt" to="504pt,233.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2954020</wp:posOffset>
                </wp:positionV>
                <wp:extent cx="0" cy="17780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32.6pt" to="503.5pt,246.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3125470</wp:posOffset>
                </wp:positionV>
                <wp:extent cx="640080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6.1pt" to="504pt,246.1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11</w:t>
      </w:r>
    </w:p>
    <w:p>
      <w:pPr>
        <w:sectPr>
          <w:pgSz w:w="12240" w:h="15840" w:orient="portrait"/>
          <w:cols w:equalWidth="0" w:num="1">
            <w:col w:w="10080"/>
          </w:cols>
          <w:pgMar w:left="1080" w:top="1440" w:right="1080" w:bottom="944" w:gutter="0" w:footer="0" w:header="0"/>
          <w:type w:val="continuous"/>
        </w:sectPr>
      </w:pPr>
    </w:p>
    <w:bookmarkStart w:id="131" w:name="page132"/>
    <w:bookmarkEnd w:id="131"/>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231F20"/>
                <w:w w:val="98"/>
              </w:rPr>
              <w:t>Faeder</w:t>
            </w:r>
          </w:p>
        </w:tc>
        <w:tc>
          <w:tcPr>
            <w:tcW w:w="820" w:type="dxa"/>
            <w:vAlign w:val="bottom"/>
          </w:tcPr>
          <w:p>
            <w:pPr>
              <w:jc w:val="center"/>
              <w:spacing w:after="0"/>
              <w:rPr>
                <w:sz w:val="20"/>
                <w:szCs w:val="20"/>
                <w:color w:val="auto"/>
              </w:rPr>
            </w:pPr>
            <w:r>
              <w:rPr>
                <w:rFonts w:ascii="Arial" w:cs="Arial" w:eastAsia="Arial" w:hAnsi="Arial"/>
                <w:sz w:val="16"/>
                <w:szCs w:val="16"/>
                <w:color w:val="231F20"/>
                <w:w w:val="99"/>
              </w:rPr>
              <w:t>Holland</w:t>
            </w:r>
          </w:p>
        </w:tc>
        <w:tc>
          <w:tcPr>
            <w:tcW w:w="1660" w:type="dxa"/>
            <w:vAlign w:val="bottom"/>
            <w:gridSpan w:val="2"/>
          </w:tcPr>
          <w:p>
            <w:pPr>
              <w:ind w:left="20"/>
              <w:spacing w:after="0"/>
              <w:rPr>
                <w:sz w:val="20"/>
                <w:szCs w:val="20"/>
                <w:color w:val="auto"/>
              </w:rPr>
            </w:pPr>
            <w:r>
              <w:rPr>
                <w:rFonts w:ascii="Arial" w:cs="Arial" w:eastAsia="Arial" w:hAnsi="Arial"/>
                <w:sz w:val="16"/>
                <w:szCs w:val="16"/>
                <w:color w:val="231F20"/>
              </w:rPr>
              <w:t>Lamb-Hale McEachin</w:t>
            </w:r>
          </w:p>
        </w:tc>
        <w:tc>
          <w:tcPr>
            <w:tcW w:w="800" w:type="dxa"/>
            <w:vAlign w:val="bottom"/>
          </w:tcPr>
          <w:p>
            <w:pPr>
              <w:jc w:val="center"/>
              <w:spacing w:after="0"/>
              <w:rPr>
                <w:sz w:val="20"/>
                <w:szCs w:val="20"/>
                <w:color w:val="auto"/>
              </w:rPr>
            </w:pPr>
            <w:r>
              <w:rPr>
                <w:rFonts w:ascii="Arial" w:cs="Arial" w:eastAsia="Arial" w:hAnsi="Arial"/>
                <w:sz w:val="16"/>
                <w:szCs w:val="16"/>
                <w:color w:val="231F20"/>
              </w:rPr>
              <w:t>Nader</w:t>
            </w:r>
          </w:p>
        </w:tc>
        <w:tc>
          <w:tcPr>
            <w:tcW w:w="860" w:type="dxa"/>
            <w:vAlign w:val="bottom"/>
          </w:tcPr>
          <w:p>
            <w:pPr>
              <w:jc w:val="center"/>
              <w:spacing w:after="0"/>
              <w:rPr>
                <w:sz w:val="20"/>
                <w:szCs w:val="20"/>
                <w:color w:val="auto"/>
              </w:rPr>
            </w:pPr>
            <w:r>
              <w:rPr>
                <w:rFonts w:ascii="Arial" w:cs="Arial" w:eastAsia="Arial" w:hAnsi="Arial"/>
                <w:sz w:val="16"/>
                <w:szCs w:val="16"/>
                <w:color w:val="231F20"/>
                <w:w w:val="98"/>
              </w:rPr>
              <w:t>Steinel</w:t>
            </w:r>
          </w:p>
        </w:tc>
        <w:tc>
          <w:tcPr>
            <w:tcW w:w="820" w:type="dxa"/>
            <w:vAlign w:val="bottom"/>
            <w:gridSpan w:val="2"/>
          </w:tcPr>
          <w:p>
            <w:pPr>
              <w:jc w:val="center"/>
              <w:ind w:right="40"/>
              <w:spacing w:after="0"/>
              <w:rPr>
                <w:sz w:val="20"/>
                <w:szCs w:val="20"/>
                <w:color w:val="auto"/>
              </w:rPr>
            </w:pPr>
            <w:r>
              <w:rPr>
                <w:rFonts w:ascii="Arial" w:cs="Arial" w:eastAsia="Arial" w:hAnsi="Arial"/>
                <w:sz w:val="16"/>
                <w:szCs w:val="16"/>
                <w:color w:val="231F20"/>
              </w:rPr>
              <w:t>Wood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Borders>
              <w:bottom w:val="single" w:sz="8" w:color="EF3E2A"/>
            </w:tcBorders>
            <w:shd w:val="clear" w:color="auto" w:fill="EF3E2A"/>
          </w:tcPr>
          <w:p>
            <w:pPr>
              <w:spacing w:after="0"/>
              <w:rPr>
                <w:sz w:val="22"/>
                <w:szCs w:val="22"/>
                <w:color w:val="auto"/>
              </w:rPr>
            </w:pPr>
          </w:p>
        </w:tc>
        <w:tc>
          <w:tcPr>
            <w:tcW w:w="7600" w:type="dxa"/>
            <w:vAlign w:val="bottom"/>
            <w:tcBorders>
              <w:bottom w:val="single" w:sz="8" w:color="EF3E2A"/>
              <w:right w:val="single" w:sz="8" w:color="EF3E2A"/>
            </w:tcBorders>
            <w:gridSpan w:val="5"/>
            <w:shd w:val="clear" w:color="auto" w:fill="EF3E2A"/>
          </w:tcPr>
          <w:p>
            <w:pPr>
              <w:jc w:val="center"/>
              <w:ind w:left="2669"/>
              <w:spacing w:after="0"/>
              <w:rPr>
                <w:sz w:val="20"/>
                <w:szCs w:val="20"/>
                <w:color w:val="auto"/>
              </w:rPr>
            </w:pPr>
            <w:r>
              <w:rPr>
                <w:rFonts w:ascii="Arial" w:cs="Arial" w:eastAsia="Arial" w:hAnsi="Arial"/>
                <w:sz w:val="20"/>
                <w:szCs w:val="20"/>
                <w:b w:val="1"/>
                <w:bCs w:val="1"/>
                <w:color w:val="FFFFFF"/>
                <w:w w:val="99"/>
              </w:rPr>
              <w:t>NOMINEE QUALIFICATIONS AND EXPERIENCE</w:t>
            </w:r>
          </w:p>
        </w:tc>
        <w:tc>
          <w:tcPr>
            <w:tcW w:w="800" w:type="dxa"/>
            <w:vAlign w:val="bottom"/>
            <w:tcBorders>
              <w:bottom w:val="single" w:sz="8" w:color="EF3E2A"/>
              <w:right w:val="single" w:sz="8" w:color="EF3E2A"/>
            </w:tcBorders>
            <w:shd w:val="clear" w:color="auto" w:fill="EF3E2A"/>
          </w:tcPr>
          <w:p>
            <w:pPr>
              <w:spacing w:after="0"/>
              <w:rPr>
                <w:sz w:val="22"/>
                <w:szCs w:val="22"/>
                <w:color w:val="auto"/>
              </w:rPr>
            </w:pPr>
          </w:p>
        </w:tc>
        <w:tc>
          <w:tcPr>
            <w:tcW w:w="860" w:type="dxa"/>
            <w:vAlign w:val="bottom"/>
            <w:tcBorders>
              <w:bottom w:val="single" w:sz="8" w:color="EF3E2A"/>
              <w:right w:val="single" w:sz="8" w:color="EF3E2A"/>
            </w:tcBorders>
            <w:shd w:val="clear" w:color="auto" w:fill="EF3E2A"/>
          </w:tcPr>
          <w:p>
            <w:pPr>
              <w:spacing w:after="0"/>
              <w:rPr>
                <w:sz w:val="22"/>
                <w:szCs w:val="22"/>
                <w:color w:val="auto"/>
              </w:rPr>
            </w:pPr>
          </w:p>
        </w:tc>
        <w:tc>
          <w:tcPr>
            <w:tcW w:w="780" w:type="dxa"/>
            <w:vAlign w:val="bottom"/>
            <w:tcBorders>
              <w:bottom w:val="single" w:sz="8" w:color="EF3E2A"/>
            </w:tcBorders>
            <w:shd w:val="clear" w:color="auto" w:fill="EF3E2A"/>
          </w:tcPr>
          <w:p>
            <w:pPr>
              <w:spacing w:after="0"/>
              <w:rPr>
                <w:sz w:val="22"/>
                <w:szCs w:val="22"/>
                <w:color w:val="auto"/>
              </w:rPr>
            </w:pPr>
          </w:p>
        </w:tc>
        <w:tc>
          <w:tcPr>
            <w:tcW w:w="40" w:type="dxa"/>
            <w:vAlign w:val="bottom"/>
            <w:tcBorders>
              <w:bottom w:val="single" w:sz="8" w:color="EF3E2A"/>
              <w:right w:val="single" w:sz="8" w:color="EF3E2A"/>
            </w:tcBorders>
            <w:shd w:val="clear" w:color="auto" w:fill="EF3E2A"/>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CDDDE"/>
          </w:tcPr>
          <w:p>
            <w:pPr>
              <w:spacing w:after="0"/>
              <w:rPr>
                <w:sz w:val="22"/>
                <w:szCs w:val="22"/>
                <w:color w:val="auto"/>
              </w:rPr>
            </w:pPr>
          </w:p>
        </w:tc>
        <w:tc>
          <w:tcPr>
            <w:tcW w:w="4300" w:type="dxa"/>
            <w:vAlign w:val="bottom"/>
            <w:tcBorders>
              <w:right w:val="single" w:sz="8" w:color="DCDDDE"/>
            </w:tcBorders>
            <w:shd w:val="clear" w:color="auto" w:fill="DCDDDE"/>
          </w:tcPr>
          <w:p>
            <w:pPr>
              <w:ind w:left="20"/>
              <w:spacing w:after="0"/>
              <w:rPr>
                <w:sz w:val="20"/>
                <w:szCs w:val="20"/>
                <w:color w:val="auto"/>
              </w:rPr>
            </w:pPr>
            <w:r>
              <w:rPr>
                <w:rFonts w:ascii="Arial" w:cs="Arial" w:eastAsia="Arial" w:hAnsi="Arial"/>
                <w:sz w:val="18"/>
                <w:szCs w:val="18"/>
                <w:b w:val="1"/>
                <w:bCs w:val="1"/>
                <w:color w:val="231F20"/>
              </w:rPr>
              <w:t>Qualification/Experience</w:t>
            </w:r>
          </w:p>
        </w:tc>
        <w:tc>
          <w:tcPr>
            <w:tcW w:w="820" w:type="dxa"/>
            <w:vAlign w:val="bottom"/>
            <w:tcBorders>
              <w:right w:val="single" w:sz="8" w:color="DCDDDE"/>
            </w:tcBorders>
            <w:shd w:val="clear" w:color="auto" w:fill="DCDDDE"/>
          </w:tcPr>
          <w:p>
            <w:pPr>
              <w:spacing w:after="0"/>
              <w:rPr>
                <w:sz w:val="22"/>
                <w:szCs w:val="22"/>
                <w:color w:val="auto"/>
              </w:rPr>
            </w:pPr>
          </w:p>
        </w:tc>
        <w:tc>
          <w:tcPr>
            <w:tcW w:w="820" w:type="dxa"/>
            <w:vAlign w:val="bottom"/>
            <w:tcBorders>
              <w:right w:val="single" w:sz="8" w:color="DCDDDE"/>
            </w:tcBorders>
            <w:shd w:val="clear" w:color="auto" w:fill="DCDDDE"/>
          </w:tcPr>
          <w:p>
            <w:pPr>
              <w:spacing w:after="0"/>
              <w:rPr>
                <w:sz w:val="22"/>
                <w:szCs w:val="22"/>
                <w:color w:val="auto"/>
              </w:rPr>
            </w:pPr>
          </w:p>
        </w:tc>
        <w:tc>
          <w:tcPr>
            <w:tcW w:w="820" w:type="dxa"/>
            <w:vAlign w:val="bottom"/>
            <w:tcBorders>
              <w:right w:val="single" w:sz="8" w:color="DCDDDE"/>
            </w:tcBorders>
            <w:shd w:val="clear" w:color="auto" w:fill="DCDDDE"/>
          </w:tcPr>
          <w:p>
            <w:pPr>
              <w:spacing w:after="0"/>
              <w:rPr>
                <w:sz w:val="22"/>
                <w:szCs w:val="22"/>
                <w:color w:val="auto"/>
              </w:rPr>
            </w:pPr>
          </w:p>
        </w:tc>
        <w:tc>
          <w:tcPr>
            <w:tcW w:w="840" w:type="dxa"/>
            <w:vAlign w:val="bottom"/>
            <w:tcBorders>
              <w:right w:val="single" w:sz="8" w:color="DCDDDE"/>
            </w:tcBorders>
            <w:shd w:val="clear" w:color="auto" w:fill="DCDDDE"/>
          </w:tcPr>
          <w:p>
            <w:pPr>
              <w:spacing w:after="0"/>
              <w:rPr>
                <w:sz w:val="22"/>
                <w:szCs w:val="22"/>
                <w:color w:val="auto"/>
              </w:rPr>
            </w:pPr>
          </w:p>
        </w:tc>
        <w:tc>
          <w:tcPr>
            <w:tcW w:w="800" w:type="dxa"/>
            <w:vAlign w:val="bottom"/>
            <w:tcBorders>
              <w:right w:val="single" w:sz="8" w:color="DCDDDE"/>
            </w:tcBorders>
            <w:shd w:val="clear" w:color="auto" w:fill="DCDDDE"/>
          </w:tcPr>
          <w:p>
            <w:pPr>
              <w:spacing w:after="0"/>
              <w:rPr>
                <w:sz w:val="22"/>
                <w:szCs w:val="22"/>
                <w:color w:val="auto"/>
              </w:rPr>
            </w:pPr>
          </w:p>
        </w:tc>
        <w:tc>
          <w:tcPr>
            <w:tcW w:w="860" w:type="dxa"/>
            <w:vAlign w:val="bottom"/>
            <w:tcBorders>
              <w:right w:val="single" w:sz="8" w:color="DCDDDE"/>
            </w:tcBorders>
            <w:shd w:val="clear" w:color="auto" w:fill="DCDDDE"/>
          </w:tcPr>
          <w:p>
            <w:pPr>
              <w:spacing w:after="0"/>
              <w:rPr>
                <w:sz w:val="22"/>
                <w:szCs w:val="22"/>
                <w:color w:val="auto"/>
              </w:rPr>
            </w:pPr>
          </w:p>
        </w:tc>
        <w:tc>
          <w:tcPr>
            <w:tcW w:w="780" w:type="dxa"/>
            <w:vAlign w:val="bottom"/>
            <w:shd w:val="clear" w:color="auto" w:fill="DCDDDE"/>
          </w:tcPr>
          <w:p>
            <w:pPr>
              <w:spacing w:after="0"/>
              <w:rPr>
                <w:sz w:val="22"/>
                <w:szCs w:val="22"/>
                <w:color w:val="auto"/>
              </w:rPr>
            </w:pPr>
          </w:p>
        </w:tc>
        <w:tc>
          <w:tcPr>
            <w:tcW w:w="40" w:type="dxa"/>
            <w:vAlign w:val="bottom"/>
            <w:tcBorders>
              <w:right w:val="single" w:sz="8" w:color="DCDDDE"/>
            </w:tcBorders>
            <w:shd w:val="clear" w:color="auto" w:fill="DCDDDE"/>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231F20"/>
            </w:tcBorders>
            <w:shd w:val="clear" w:color="auto" w:fill="DCDDDE"/>
          </w:tcPr>
          <w:p>
            <w:pPr>
              <w:spacing w:after="0"/>
              <w:rPr>
                <w:sz w:val="6"/>
                <w:szCs w:val="6"/>
                <w:color w:val="auto"/>
              </w:rPr>
            </w:pPr>
          </w:p>
        </w:tc>
        <w:tc>
          <w:tcPr>
            <w:tcW w:w="430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40" w:type="dxa"/>
            <w:vAlign w:val="bottom"/>
            <w:tcBorders>
              <w:bottom w:val="single" w:sz="8" w:color="231F20"/>
              <w:right w:val="single" w:sz="8" w:color="DCDDDE"/>
            </w:tcBorders>
            <w:shd w:val="clear" w:color="auto" w:fill="DCDDDE"/>
          </w:tcPr>
          <w:p>
            <w:pPr>
              <w:spacing w:after="0"/>
              <w:rPr>
                <w:sz w:val="6"/>
                <w:szCs w:val="6"/>
                <w:color w:val="auto"/>
              </w:rPr>
            </w:pPr>
          </w:p>
        </w:tc>
        <w:tc>
          <w:tcPr>
            <w:tcW w:w="800" w:type="dxa"/>
            <w:vAlign w:val="bottom"/>
            <w:tcBorders>
              <w:bottom w:val="single" w:sz="8" w:color="231F20"/>
              <w:right w:val="single" w:sz="8" w:color="DCDDDE"/>
            </w:tcBorders>
            <w:shd w:val="clear" w:color="auto" w:fill="DCDDDE"/>
          </w:tcPr>
          <w:p>
            <w:pPr>
              <w:spacing w:after="0"/>
              <w:rPr>
                <w:sz w:val="6"/>
                <w:szCs w:val="6"/>
                <w:color w:val="auto"/>
              </w:rPr>
            </w:pPr>
          </w:p>
        </w:tc>
        <w:tc>
          <w:tcPr>
            <w:tcW w:w="860" w:type="dxa"/>
            <w:vAlign w:val="bottom"/>
            <w:tcBorders>
              <w:bottom w:val="single" w:sz="8" w:color="231F20"/>
              <w:right w:val="single" w:sz="8" w:color="DCDDDE"/>
            </w:tcBorders>
            <w:shd w:val="clear" w:color="auto" w:fill="DCDDDE"/>
          </w:tcPr>
          <w:p>
            <w:pPr>
              <w:spacing w:after="0"/>
              <w:rPr>
                <w:sz w:val="6"/>
                <w:szCs w:val="6"/>
                <w:color w:val="auto"/>
              </w:rPr>
            </w:pPr>
          </w:p>
        </w:tc>
        <w:tc>
          <w:tcPr>
            <w:tcW w:w="780" w:type="dxa"/>
            <w:vAlign w:val="bottom"/>
            <w:tcBorders>
              <w:bottom w:val="single" w:sz="8" w:color="231F20"/>
            </w:tcBorders>
            <w:shd w:val="clear" w:color="auto" w:fill="DCDDDE"/>
          </w:tcPr>
          <w:p>
            <w:pPr>
              <w:spacing w:after="0"/>
              <w:rPr>
                <w:sz w:val="6"/>
                <w:szCs w:val="6"/>
                <w:color w:val="auto"/>
              </w:rPr>
            </w:pPr>
          </w:p>
        </w:tc>
        <w:tc>
          <w:tcPr>
            <w:tcW w:w="40" w:type="dxa"/>
            <w:vAlign w:val="bottom"/>
            <w:tcBorders>
              <w:bottom w:val="single" w:sz="8" w:color="231F20"/>
              <w:right w:val="single" w:sz="8" w:color="DCDDDE"/>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Strategic Planning and Leadership</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CEO/Executive Management</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8"/>
        </w:trPr>
        <w:tc>
          <w:tcPr>
            <w:tcW w:w="20" w:type="dxa"/>
            <w:vAlign w:val="bottom"/>
            <w:tcBorders>
              <w:bottom w:val="single" w:sz="8" w:color="231F20"/>
            </w:tcBorders>
          </w:tcPr>
          <w:p>
            <w:pPr>
              <w:spacing w:after="0"/>
              <w:rPr>
                <w:sz w:val="6"/>
                <w:szCs w:val="6"/>
                <w:color w:val="auto"/>
              </w:rPr>
            </w:pPr>
          </w:p>
        </w:tc>
        <w:tc>
          <w:tcPr>
            <w:tcW w:w="4300" w:type="dxa"/>
            <w:vAlign w:val="bottom"/>
            <w:tcBorders>
              <w:bottom w:val="single" w:sz="8" w:color="231F20"/>
              <w:right w:val="single" w:sz="8" w:color="231F20"/>
            </w:tcBorders>
            <w:vMerge w:val="continue"/>
          </w:tcPr>
          <w:p>
            <w:pPr>
              <w:spacing w:after="0"/>
              <w:rPr>
                <w:sz w:val="6"/>
                <w:szCs w:val="6"/>
                <w:color w:val="auto"/>
              </w:rPr>
            </w:pPr>
          </w:p>
        </w:tc>
        <w:tc>
          <w:tcPr>
            <w:tcW w:w="820" w:type="dxa"/>
            <w:vAlign w:val="bottom"/>
            <w:tcBorders>
              <w:bottom w:val="single" w:sz="8" w:color="231F20"/>
              <w:right w:val="single" w:sz="8" w:color="231F20"/>
            </w:tcBorders>
          </w:tcPr>
          <w:p>
            <w:pPr>
              <w:spacing w:after="0"/>
              <w:rPr>
                <w:sz w:val="6"/>
                <w:szCs w:val="6"/>
                <w:color w:val="auto"/>
              </w:rPr>
            </w:pPr>
          </w:p>
        </w:tc>
        <w:tc>
          <w:tcPr>
            <w:tcW w:w="820" w:type="dxa"/>
            <w:vAlign w:val="bottom"/>
            <w:tcBorders>
              <w:bottom w:val="single" w:sz="8" w:color="231F20"/>
              <w:right w:val="single" w:sz="8" w:color="231F20"/>
            </w:tcBorders>
          </w:tcPr>
          <w:p>
            <w:pPr>
              <w:spacing w:after="0"/>
              <w:rPr>
                <w:sz w:val="6"/>
                <w:szCs w:val="6"/>
                <w:color w:val="auto"/>
              </w:rPr>
            </w:pPr>
          </w:p>
        </w:tc>
        <w:tc>
          <w:tcPr>
            <w:tcW w:w="820" w:type="dxa"/>
            <w:vAlign w:val="bottom"/>
            <w:tcBorders>
              <w:bottom w:val="single" w:sz="8" w:color="231F20"/>
              <w:right w:val="single" w:sz="8" w:color="231F20"/>
            </w:tcBorders>
          </w:tcPr>
          <w:p>
            <w:pPr>
              <w:spacing w:after="0"/>
              <w:rPr>
                <w:sz w:val="6"/>
                <w:szCs w:val="6"/>
                <w:color w:val="auto"/>
              </w:rPr>
            </w:pPr>
          </w:p>
        </w:tc>
        <w:tc>
          <w:tcPr>
            <w:tcW w:w="840" w:type="dxa"/>
            <w:vAlign w:val="bottom"/>
            <w:tcBorders>
              <w:bottom w:val="single" w:sz="8" w:color="231F20"/>
              <w:right w:val="single" w:sz="8" w:color="231F20"/>
            </w:tcBorders>
          </w:tcPr>
          <w:p>
            <w:pPr>
              <w:spacing w:after="0"/>
              <w:rPr>
                <w:sz w:val="6"/>
                <w:szCs w:val="6"/>
                <w:color w:val="auto"/>
              </w:rPr>
            </w:pPr>
          </w:p>
        </w:tc>
        <w:tc>
          <w:tcPr>
            <w:tcW w:w="800" w:type="dxa"/>
            <w:vAlign w:val="bottom"/>
            <w:tcBorders>
              <w:bottom w:val="single" w:sz="8" w:color="231F20"/>
              <w:right w:val="single" w:sz="8" w:color="231F20"/>
            </w:tcBorders>
          </w:tcPr>
          <w:p>
            <w:pPr>
              <w:spacing w:after="0"/>
              <w:rPr>
                <w:sz w:val="6"/>
                <w:szCs w:val="6"/>
                <w:color w:val="auto"/>
              </w:rPr>
            </w:pPr>
          </w:p>
        </w:tc>
        <w:tc>
          <w:tcPr>
            <w:tcW w:w="860" w:type="dxa"/>
            <w:vAlign w:val="bottom"/>
            <w:tcBorders>
              <w:bottom w:val="single" w:sz="8" w:color="231F20"/>
              <w:right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4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REIT/Public Company Executive</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2"/>
                <w:szCs w:val="22"/>
                <w:color w:val="auto"/>
              </w:rPr>
            </w:pPr>
          </w:p>
        </w:tc>
        <w:tc>
          <w:tcPr>
            <w:tcW w:w="82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spacing w:after="0"/>
              <w:rPr>
                <w:sz w:val="22"/>
                <w:szCs w:val="22"/>
                <w:color w:val="auto"/>
              </w:rPr>
            </w:pPr>
          </w:p>
        </w:tc>
        <w:tc>
          <w:tcPr>
            <w:tcW w:w="800" w:type="dxa"/>
            <w:vAlign w:val="bottom"/>
            <w:tcBorders>
              <w:right w:val="single" w:sz="8" w:color="231F20"/>
            </w:tcBorders>
          </w:tcPr>
          <w:p>
            <w:pPr>
              <w:spacing w:after="0"/>
              <w:rPr>
                <w:sz w:val="22"/>
                <w:szCs w:val="22"/>
                <w:color w:val="auto"/>
              </w:rPr>
            </w:pPr>
          </w:p>
        </w:tc>
        <w:tc>
          <w:tcPr>
            <w:tcW w:w="860" w:type="dxa"/>
            <w:vAlign w:val="bottom"/>
            <w:tcBorders>
              <w:right w:val="single" w:sz="8" w:color="231F20"/>
            </w:tcBorders>
          </w:tcPr>
          <w:p>
            <w:pPr>
              <w:spacing w:after="0"/>
              <w:rPr>
                <w:sz w:val="22"/>
                <w:szCs w:val="22"/>
                <w:color w:val="auto"/>
              </w:rPr>
            </w:pP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31F20"/>
            </w:tcBorders>
          </w:tcPr>
          <w:p>
            <w:pPr>
              <w:spacing w:after="0"/>
              <w:rPr>
                <w:sz w:val="3"/>
                <w:szCs w:val="3"/>
                <w:color w:val="auto"/>
              </w:rPr>
            </w:pPr>
          </w:p>
        </w:tc>
        <w:tc>
          <w:tcPr>
            <w:tcW w:w="43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Public Company Board Service</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Financial Expertise/Literacy</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3"/>
                <w:szCs w:val="23"/>
                <w:color w:val="auto"/>
              </w:rPr>
            </w:pPr>
          </w:p>
        </w:tc>
        <w:tc>
          <w:tcPr>
            <w:tcW w:w="84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Real Estate Investing/Finance</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3"/>
                <w:szCs w:val="23"/>
                <w:color w:val="auto"/>
              </w:rPr>
            </w:pPr>
          </w:p>
        </w:tc>
        <w:tc>
          <w:tcPr>
            <w:tcW w:w="840" w:type="dxa"/>
            <w:vAlign w:val="bottom"/>
            <w:tcBorders>
              <w:right w:val="single" w:sz="8" w:color="231F20"/>
            </w:tcBorders>
          </w:tcPr>
          <w:p>
            <w:pPr>
              <w:spacing w:after="0"/>
              <w:rPr>
                <w:sz w:val="23"/>
                <w:szCs w:val="23"/>
                <w:color w:val="auto"/>
              </w:rPr>
            </w:pP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spacing w:after="0"/>
              <w:rPr>
                <w:sz w:val="23"/>
                <w:szCs w:val="23"/>
                <w:color w:val="auto"/>
              </w:rPr>
            </w:pP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Retail Industry</w:t>
            </w:r>
          </w:p>
        </w:tc>
        <w:tc>
          <w:tcPr>
            <w:tcW w:w="820" w:type="dxa"/>
            <w:vAlign w:val="bottom"/>
            <w:tcBorders>
              <w:right w:val="single" w:sz="8" w:color="231F20"/>
            </w:tcBorders>
          </w:tcPr>
          <w:p>
            <w:pPr>
              <w:spacing w:after="0"/>
              <w:rPr>
                <w:sz w:val="23"/>
                <w:szCs w:val="23"/>
                <w:color w:val="auto"/>
              </w:rPr>
            </w:pP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3"/>
                <w:szCs w:val="23"/>
                <w:color w:val="auto"/>
              </w:rPr>
            </w:pPr>
          </w:p>
        </w:tc>
        <w:tc>
          <w:tcPr>
            <w:tcW w:w="840" w:type="dxa"/>
            <w:vAlign w:val="bottom"/>
            <w:tcBorders>
              <w:right w:val="single" w:sz="8" w:color="231F20"/>
            </w:tcBorders>
          </w:tcPr>
          <w:p>
            <w:pPr>
              <w:spacing w:after="0"/>
              <w:rPr>
                <w:sz w:val="23"/>
                <w:szCs w:val="23"/>
                <w:color w:val="auto"/>
              </w:rPr>
            </w:pP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Risk Management</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Human Capital Management</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Corporate Governance</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360"/>
              <w:spacing w:after="0"/>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00" w:type="dxa"/>
            <w:vAlign w:val="bottom"/>
            <w:tcBorders>
              <w:right w:val="single" w:sz="8" w:color="231F20"/>
            </w:tcBorders>
            <w:vMerge w:val="restart"/>
          </w:tcPr>
          <w:p>
            <w:pPr>
              <w:ind w:left="480"/>
              <w:spacing w:after="0"/>
              <w:rPr>
                <w:sz w:val="20"/>
                <w:szCs w:val="20"/>
                <w:color w:val="auto"/>
              </w:rPr>
            </w:pPr>
            <w:r>
              <w:rPr>
                <w:rFonts w:ascii="Arial" w:cs="Arial" w:eastAsia="Arial" w:hAnsi="Arial"/>
                <w:sz w:val="18"/>
                <w:szCs w:val="18"/>
                <w:color w:val="231F20"/>
              </w:rPr>
              <w:t>Sustainability</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3"/>
                <w:szCs w:val="23"/>
                <w:color w:val="auto"/>
              </w:rPr>
            </w:pPr>
          </w:p>
        </w:tc>
        <w:tc>
          <w:tcPr>
            <w:tcW w:w="840" w:type="dxa"/>
            <w:vAlign w:val="bottom"/>
            <w:tcBorders>
              <w:right w:val="single" w:sz="8" w:color="231F20"/>
            </w:tcBorders>
          </w:tcPr>
          <w:p>
            <w:pPr>
              <w:spacing w:after="0"/>
              <w:rPr>
                <w:sz w:val="23"/>
                <w:szCs w:val="23"/>
                <w:color w:val="auto"/>
              </w:rPr>
            </w:pPr>
          </w:p>
        </w:tc>
        <w:tc>
          <w:tcPr>
            <w:tcW w:w="800" w:type="dxa"/>
            <w:vAlign w:val="bottom"/>
            <w:tcBorders>
              <w:right w:val="single" w:sz="8" w:color="231F20"/>
            </w:tcBorders>
          </w:tcPr>
          <w:p>
            <w:pPr>
              <w:spacing w:after="0"/>
              <w:rPr>
                <w:sz w:val="23"/>
                <w:szCs w:val="23"/>
                <w:color w:val="auto"/>
              </w:rPr>
            </w:pPr>
          </w:p>
        </w:tc>
        <w:tc>
          <w:tcPr>
            <w:tcW w:w="860" w:type="dxa"/>
            <w:vAlign w:val="bottom"/>
            <w:tcBorders>
              <w:right w:val="single" w:sz="8" w:color="231F20"/>
            </w:tcBorders>
          </w:tcPr>
          <w:p>
            <w:pPr>
              <w:spacing w:after="0"/>
              <w:rPr>
                <w:sz w:val="23"/>
                <w:szCs w:val="23"/>
                <w:color w:val="auto"/>
              </w:rPr>
            </w:pPr>
          </w:p>
        </w:tc>
        <w:tc>
          <w:tcPr>
            <w:tcW w:w="820" w:type="dxa"/>
            <w:vAlign w:val="bottom"/>
            <w:tcBorders>
              <w:right w:val="single" w:sz="8" w:color="231F20"/>
            </w:tcBorders>
            <w:gridSpan w:val="2"/>
          </w:tcPr>
          <w:p>
            <w:pPr>
              <w:jc w:val="center"/>
              <w:ind w:right="40"/>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Borders>
              <w:right w:val="single" w:sz="8" w:color="231F20"/>
            </w:tcBorders>
            <w:vMerge w:val="continue"/>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0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EF3E2A"/>
            </w:tcBorders>
          </w:tcPr>
          <w:p>
            <w:pPr>
              <w:spacing w:after="0"/>
              <w:rPr>
                <w:sz w:val="5"/>
                <w:szCs w:val="5"/>
                <w:color w:val="auto"/>
              </w:rPr>
            </w:pPr>
          </w:p>
        </w:tc>
        <w:tc>
          <w:tcPr>
            <w:tcW w:w="4300" w:type="dxa"/>
            <w:vAlign w:val="bottom"/>
            <w:tcBorders>
              <w:bottom w:val="single" w:sz="8" w:color="EF3E2A"/>
              <w:right w:val="single" w:sz="8" w:color="231F20"/>
            </w:tcBorders>
          </w:tcPr>
          <w:p>
            <w:pPr>
              <w:spacing w:after="0"/>
              <w:rPr>
                <w:sz w:val="5"/>
                <w:szCs w:val="5"/>
                <w:color w:val="auto"/>
              </w:rPr>
            </w:pPr>
          </w:p>
        </w:tc>
        <w:tc>
          <w:tcPr>
            <w:tcW w:w="820" w:type="dxa"/>
            <w:vAlign w:val="bottom"/>
            <w:tcBorders>
              <w:bottom w:val="single" w:sz="8" w:color="231F20"/>
              <w:right w:val="single" w:sz="8" w:color="231F20"/>
            </w:tcBorders>
          </w:tcPr>
          <w:p>
            <w:pPr>
              <w:spacing w:after="0"/>
              <w:rPr>
                <w:sz w:val="5"/>
                <w:szCs w:val="5"/>
                <w:color w:val="auto"/>
              </w:rPr>
            </w:pPr>
          </w:p>
        </w:tc>
        <w:tc>
          <w:tcPr>
            <w:tcW w:w="820" w:type="dxa"/>
            <w:vAlign w:val="bottom"/>
            <w:tcBorders>
              <w:bottom w:val="single" w:sz="8" w:color="231F20"/>
              <w:right w:val="single" w:sz="8" w:color="231F20"/>
            </w:tcBorders>
          </w:tcPr>
          <w:p>
            <w:pPr>
              <w:spacing w:after="0"/>
              <w:rPr>
                <w:sz w:val="5"/>
                <w:szCs w:val="5"/>
                <w:color w:val="auto"/>
              </w:rPr>
            </w:pPr>
          </w:p>
        </w:tc>
        <w:tc>
          <w:tcPr>
            <w:tcW w:w="820" w:type="dxa"/>
            <w:vAlign w:val="bottom"/>
            <w:tcBorders>
              <w:bottom w:val="single" w:sz="8" w:color="231F20"/>
              <w:right w:val="single" w:sz="8" w:color="231F20"/>
            </w:tcBorders>
          </w:tcPr>
          <w:p>
            <w:pPr>
              <w:spacing w:after="0"/>
              <w:rPr>
                <w:sz w:val="5"/>
                <w:szCs w:val="5"/>
                <w:color w:val="auto"/>
              </w:rPr>
            </w:pPr>
          </w:p>
        </w:tc>
        <w:tc>
          <w:tcPr>
            <w:tcW w:w="840" w:type="dxa"/>
            <w:vAlign w:val="bottom"/>
            <w:tcBorders>
              <w:bottom w:val="single" w:sz="8" w:color="231F20"/>
              <w:right w:val="single" w:sz="8" w:color="231F20"/>
            </w:tcBorders>
          </w:tcPr>
          <w:p>
            <w:pPr>
              <w:spacing w:after="0"/>
              <w:rPr>
                <w:sz w:val="5"/>
                <w:szCs w:val="5"/>
                <w:color w:val="auto"/>
              </w:rPr>
            </w:pPr>
          </w:p>
        </w:tc>
        <w:tc>
          <w:tcPr>
            <w:tcW w:w="800" w:type="dxa"/>
            <w:vAlign w:val="bottom"/>
            <w:tcBorders>
              <w:bottom w:val="single" w:sz="8" w:color="231F20"/>
              <w:right w:val="single" w:sz="8" w:color="231F20"/>
            </w:tcBorders>
          </w:tcPr>
          <w:p>
            <w:pPr>
              <w:spacing w:after="0"/>
              <w:rPr>
                <w:sz w:val="5"/>
                <w:szCs w:val="5"/>
                <w:color w:val="auto"/>
              </w:rPr>
            </w:pPr>
          </w:p>
        </w:tc>
        <w:tc>
          <w:tcPr>
            <w:tcW w:w="860" w:type="dxa"/>
            <w:vAlign w:val="bottom"/>
            <w:tcBorders>
              <w:bottom w:val="single" w:sz="8" w:color="231F20"/>
              <w:right w:val="single" w:sz="8" w:color="231F20"/>
            </w:tcBorders>
          </w:tcPr>
          <w:p>
            <w:pPr>
              <w:spacing w:after="0"/>
              <w:rPr>
                <w:sz w:val="5"/>
                <w:szCs w:val="5"/>
                <w:color w:val="auto"/>
              </w:rPr>
            </w:pPr>
          </w:p>
        </w:tc>
        <w:tc>
          <w:tcPr>
            <w:tcW w:w="780" w:type="dxa"/>
            <w:vAlign w:val="bottom"/>
            <w:tcBorders>
              <w:bottom w:val="single" w:sz="8" w:color="231F20"/>
            </w:tcBorders>
          </w:tcPr>
          <w:p>
            <w:pPr>
              <w:spacing w:after="0"/>
              <w:rPr>
                <w:sz w:val="5"/>
                <w:szCs w:val="5"/>
                <w:color w:val="auto"/>
              </w:rPr>
            </w:pPr>
          </w:p>
        </w:tc>
        <w:tc>
          <w:tcPr>
            <w:tcW w:w="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EF3E2A"/>
            </w:tcBorders>
            <w:shd w:val="clear" w:color="auto" w:fill="EF3E2A"/>
          </w:tcPr>
          <w:p>
            <w:pPr>
              <w:spacing w:after="0"/>
              <w:rPr>
                <w:sz w:val="21"/>
                <w:szCs w:val="21"/>
                <w:color w:val="auto"/>
              </w:rPr>
            </w:pPr>
          </w:p>
        </w:tc>
        <w:tc>
          <w:tcPr>
            <w:tcW w:w="4300" w:type="dxa"/>
            <w:vAlign w:val="bottom"/>
            <w:tcBorders>
              <w:bottom w:val="single" w:sz="8" w:color="EF3E2A"/>
              <w:right w:val="single" w:sz="8" w:color="EF3E2A"/>
            </w:tcBorders>
            <w:shd w:val="clear" w:color="auto" w:fill="EF3E2A"/>
          </w:tcPr>
          <w:p>
            <w:pPr>
              <w:spacing w:after="0"/>
              <w:rPr>
                <w:sz w:val="21"/>
                <w:szCs w:val="21"/>
                <w:color w:val="auto"/>
              </w:rPr>
            </w:pPr>
          </w:p>
        </w:tc>
        <w:tc>
          <w:tcPr>
            <w:tcW w:w="2460" w:type="dxa"/>
            <w:vAlign w:val="bottom"/>
            <w:tcBorders>
              <w:bottom w:val="single" w:sz="8" w:color="EF3E2A"/>
              <w:right w:val="single" w:sz="8" w:color="EF3E2A"/>
            </w:tcBorders>
            <w:gridSpan w:val="3"/>
            <w:shd w:val="clear" w:color="auto" w:fill="EF3E2A"/>
          </w:tcPr>
          <w:p>
            <w:pPr>
              <w:jc w:val="center"/>
              <w:ind w:right="631"/>
              <w:spacing w:after="0" w:line="227" w:lineRule="exact"/>
              <w:rPr>
                <w:sz w:val="20"/>
                <w:szCs w:val="20"/>
                <w:color w:val="auto"/>
              </w:rPr>
            </w:pPr>
            <w:r>
              <w:rPr>
                <w:rFonts w:ascii="Arial" w:cs="Arial" w:eastAsia="Arial" w:hAnsi="Arial"/>
                <w:sz w:val="20"/>
                <w:szCs w:val="20"/>
                <w:b w:val="1"/>
                <w:bCs w:val="1"/>
                <w:color w:val="FFFFFF"/>
              </w:rPr>
              <w:t>DEMOGRAPHICS</w:t>
            </w:r>
          </w:p>
        </w:tc>
        <w:tc>
          <w:tcPr>
            <w:tcW w:w="840" w:type="dxa"/>
            <w:vAlign w:val="bottom"/>
            <w:tcBorders>
              <w:bottom w:val="single" w:sz="8" w:color="EF3E2A"/>
              <w:right w:val="single" w:sz="8" w:color="EF3E2A"/>
            </w:tcBorders>
            <w:shd w:val="clear" w:color="auto" w:fill="EF3E2A"/>
          </w:tcPr>
          <w:p>
            <w:pPr>
              <w:spacing w:after="0"/>
              <w:rPr>
                <w:sz w:val="21"/>
                <w:szCs w:val="21"/>
                <w:color w:val="auto"/>
              </w:rPr>
            </w:pPr>
          </w:p>
        </w:tc>
        <w:tc>
          <w:tcPr>
            <w:tcW w:w="800" w:type="dxa"/>
            <w:vAlign w:val="bottom"/>
            <w:tcBorders>
              <w:bottom w:val="single" w:sz="8" w:color="EF3E2A"/>
              <w:right w:val="single" w:sz="8" w:color="EF3E2A"/>
            </w:tcBorders>
            <w:shd w:val="clear" w:color="auto" w:fill="EF3E2A"/>
          </w:tcPr>
          <w:p>
            <w:pPr>
              <w:spacing w:after="0"/>
              <w:rPr>
                <w:sz w:val="21"/>
                <w:szCs w:val="21"/>
                <w:color w:val="auto"/>
              </w:rPr>
            </w:pPr>
          </w:p>
        </w:tc>
        <w:tc>
          <w:tcPr>
            <w:tcW w:w="860" w:type="dxa"/>
            <w:vAlign w:val="bottom"/>
            <w:tcBorders>
              <w:bottom w:val="single" w:sz="8" w:color="EF3E2A"/>
              <w:right w:val="single" w:sz="8" w:color="EF3E2A"/>
            </w:tcBorders>
            <w:shd w:val="clear" w:color="auto" w:fill="EF3E2A"/>
          </w:tcPr>
          <w:p>
            <w:pPr>
              <w:spacing w:after="0"/>
              <w:rPr>
                <w:sz w:val="21"/>
                <w:szCs w:val="21"/>
                <w:color w:val="auto"/>
              </w:rPr>
            </w:pPr>
          </w:p>
        </w:tc>
        <w:tc>
          <w:tcPr>
            <w:tcW w:w="780" w:type="dxa"/>
            <w:vAlign w:val="bottom"/>
            <w:tcBorders>
              <w:bottom w:val="single" w:sz="8" w:color="EF3E2A"/>
            </w:tcBorders>
            <w:shd w:val="clear" w:color="auto" w:fill="EF3E2A"/>
          </w:tcPr>
          <w:p>
            <w:pPr>
              <w:spacing w:after="0"/>
              <w:rPr>
                <w:sz w:val="21"/>
                <w:szCs w:val="21"/>
                <w:color w:val="auto"/>
              </w:rPr>
            </w:pPr>
          </w:p>
        </w:tc>
        <w:tc>
          <w:tcPr>
            <w:tcW w:w="40" w:type="dxa"/>
            <w:vAlign w:val="bottom"/>
            <w:tcBorders>
              <w:bottom w:val="single" w:sz="8" w:color="EF3E2A"/>
              <w:right w:val="single" w:sz="8" w:color="EF3E2A"/>
            </w:tcBorders>
            <w:shd w:val="clear" w:color="auto" w:fill="EF3E2A"/>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CDDDE"/>
          </w:tcPr>
          <w:p>
            <w:pPr>
              <w:spacing w:after="0"/>
              <w:rPr>
                <w:sz w:val="22"/>
                <w:szCs w:val="22"/>
                <w:color w:val="auto"/>
              </w:rPr>
            </w:pPr>
          </w:p>
        </w:tc>
        <w:tc>
          <w:tcPr>
            <w:tcW w:w="4300" w:type="dxa"/>
            <w:vAlign w:val="bottom"/>
            <w:tcBorders>
              <w:right w:val="single" w:sz="8" w:color="DCDDDE"/>
            </w:tcBorders>
            <w:shd w:val="clear" w:color="auto" w:fill="DCDDDE"/>
          </w:tcPr>
          <w:p>
            <w:pPr>
              <w:ind w:left="20"/>
              <w:spacing w:after="0"/>
              <w:rPr>
                <w:sz w:val="20"/>
                <w:szCs w:val="20"/>
                <w:color w:val="auto"/>
              </w:rPr>
            </w:pPr>
            <w:r>
              <w:rPr>
                <w:rFonts w:ascii="Arial" w:cs="Arial" w:eastAsia="Arial" w:hAnsi="Arial"/>
                <w:sz w:val="18"/>
                <w:szCs w:val="18"/>
                <w:b w:val="1"/>
                <w:bCs w:val="1"/>
                <w:color w:val="231F20"/>
              </w:rPr>
              <w:t>Race/Ethnicity</w:t>
            </w:r>
          </w:p>
        </w:tc>
        <w:tc>
          <w:tcPr>
            <w:tcW w:w="820" w:type="dxa"/>
            <w:vAlign w:val="bottom"/>
            <w:tcBorders>
              <w:right w:val="single" w:sz="8" w:color="DCDDDE"/>
            </w:tcBorders>
            <w:shd w:val="clear" w:color="auto" w:fill="DCDDDE"/>
          </w:tcPr>
          <w:p>
            <w:pPr>
              <w:spacing w:after="0"/>
              <w:rPr>
                <w:sz w:val="22"/>
                <w:szCs w:val="22"/>
                <w:color w:val="auto"/>
              </w:rPr>
            </w:pPr>
          </w:p>
        </w:tc>
        <w:tc>
          <w:tcPr>
            <w:tcW w:w="820" w:type="dxa"/>
            <w:vAlign w:val="bottom"/>
            <w:tcBorders>
              <w:right w:val="single" w:sz="8" w:color="DCDDDE"/>
            </w:tcBorders>
            <w:shd w:val="clear" w:color="auto" w:fill="DCDDDE"/>
          </w:tcPr>
          <w:p>
            <w:pPr>
              <w:spacing w:after="0"/>
              <w:rPr>
                <w:sz w:val="22"/>
                <w:szCs w:val="22"/>
                <w:color w:val="auto"/>
              </w:rPr>
            </w:pPr>
          </w:p>
        </w:tc>
        <w:tc>
          <w:tcPr>
            <w:tcW w:w="820" w:type="dxa"/>
            <w:vAlign w:val="bottom"/>
            <w:tcBorders>
              <w:right w:val="single" w:sz="8" w:color="DCDDDE"/>
            </w:tcBorders>
            <w:shd w:val="clear" w:color="auto" w:fill="DCDDDE"/>
          </w:tcPr>
          <w:p>
            <w:pPr>
              <w:spacing w:after="0"/>
              <w:rPr>
                <w:sz w:val="22"/>
                <w:szCs w:val="22"/>
                <w:color w:val="auto"/>
              </w:rPr>
            </w:pPr>
          </w:p>
        </w:tc>
        <w:tc>
          <w:tcPr>
            <w:tcW w:w="840" w:type="dxa"/>
            <w:vAlign w:val="bottom"/>
            <w:tcBorders>
              <w:right w:val="single" w:sz="8" w:color="DCDDDE"/>
            </w:tcBorders>
            <w:shd w:val="clear" w:color="auto" w:fill="DCDDDE"/>
          </w:tcPr>
          <w:p>
            <w:pPr>
              <w:spacing w:after="0"/>
              <w:rPr>
                <w:sz w:val="22"/>
                <w:szCs w:val="22"/>
                <w:color w:val="auto"/>
              </w:rPr>
            </w:pPr>
          </w:p>
        </w:tc>
        <w:tc>
          <w:tcPr>
            <w:tcW w:w="800" w:type="dxa"/>
            <w:vAlign w:val="bottom"/>
            <w:tcBorders>
              <w:right w:val="single" w:sz="8" w:color="DCDDDE"/>
            </w:tcBorders>
            <w:shd w:val="clear" w:color="auto" w:fill="DCDDDE"/>
          </w:tcPr>
          <w:p>
            <w:pPr>
              <w:spacing w:after="0"/>
              <w:rPr>
                <w:sz w:val="22"/>
                <w:szCs w:val="22"/>
                <w:color w:val="auto"/>
              </w:rPr>
            </w:pPr>
          </w:p>
        </w:tc>
        <w:tc>
          <w:tcPr>
            <w:tcW w:w="860" w:type="dxa"/>
            <w:vAlign w:val="bottom"/>
            <w:tcBorders>
              <w:right w:val="single" w:sz="8" w:color="DCDDDE"/>
            </w:tcBorders>
            <w:shd w:val="clear" w:color="auto" w:fill="DCDDDE"/>
          </w:tcPr>
          <w:p>
            <w:pPr>
              <w:spacing w:after="0"/>
              <w:rPr>
                <w:sz w:val="22"/>
                <w:szCs w:val="22"/>
                <w:color w:val="auto"/>
              </w:rPr>
            </w:pPr>
          </w:p>
        </w:tc>
        <w:tc>
          <w:tcPr>
            <w:tcW w:w="780" w:type="dxa"/>
            <w:vAlign w:val="bottom"/>
            <w:shd w:val="clear" w:color="auto" w:fill="DCDDDE"/>
          </w:tcPr>
          <w:p>
            <w:pPr>
              <w:spacing w:after="0"/>
              <w:rPr>
                <w:sz w:val="22"/>
                <w:szCs w:val="22"/>
                <w:color w:val="auto"/>
              </w:rPr>
            </w:pPr>
          </w:p>
        </w:tc>
        <w:tc>
          <w:tcPr>
            <w:tcW w:w="40" w:type="dxa"/>
            <w:vAlign w:val="bottom"/>
            <w:tcBorders>
              <w:right w:val="single" w:sz="8" w:color="DCDDDE"/>
            </w:tcBorders>
            <w:shd w:val="clear" w:color="auto" w:fill="DCDDDE"/>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231F20"/>
            </w:tcBorders>
            <w:shd w:val="clear" w:color="auto" w:fill="DCDDDE"/>
          </w:tcPr>
          <w:p>
            <w:pPr>
              <w:spacing w:after="0"/>
              <w:rPr>
                <w:sz w:val="6"/>
                <w:szCs w:val="6"/>
                <w:color w:val="auto"/>
              </w:rPr>
            </w:pPr>
          </w:p>
        </w:tc>
        <w:tc>
          <w:tcPr>
            <w:tcW w:w="430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40" w:type="dxa"/>
            <w:vAlign w:val="bottom"/>
            <w:tcBorders>
              <w:bottom w:val="single" w:sz="8" w:color="231F20"/>
              <w:right w:val="single" w:sz="8" w:color="DCDDDE"/>
            </w:tcBorders>
            <w:shd w:val="clear" w:color="auto" w:fill="DCDDDE"/>
          </w:tcPr>
          <w:p>
            <w:pPr>
              <w:spacing w:after="0"/>
              <w:rPr>
                <w:sz w:val="6"/>
                <w:szCs w:val="6"/>
                <w:color w:val="auto"/>
              </w:rPr>
            </w:pPr>
          </w:p>
        </w:tc>
        <w:tc>
          <w:tcPr>
            <w:tcW w:w="800" w:type="dxa"/>
            <w:vAlign w:val="bottom"/>
            <w:tcBorders>
              <w:bottom w:val="single" w:sz="8" w:color="231F20"/>
              <w:right w:val="single" w:sz="8" w:color="DCDDDE"/>
            </w:tcBorders>
            <w:shd w:val="clear" w:color="auto" w:fill="DCDDDE"/>
          </w:tcPr>
          <w:p>
            <w:pPr>
              <w:spacing w:after="0"/>
              <w:rPr>
                <w:sz w:val="6"/>
                <w:szCs w:val="6"/>
                <w:color w:val="auto"/>
              </w:rPr>
            </w:pPr>
          </w:p>
        </w:tc>
        <w:tc>
          <w:tcPr>
            <w:tcW w:w="860" w:type="dxa"/>
            <w:vAlign w:val="bottom"/>
            <w:tcBorders>
              <w:bottom w:val="single" w:sz="8" w:color="231F20"/>
              <w:right w:val="single" w:sz="8" w:color="DCDDDE"/>
            </w:tcBorders>
            <w:shd w:val="clear" w:color="auto" w:fill="DCDDDE"/>
          </w:tcPr>
          <w:p>
            <w:pPr>
              <w:spacing w:after="0"/>
              <w:rPr>
                <w:sz w:val="6"/>
                <w:szCs w:val="6"/>
                <w:color w:val="auto"/>
              </w:rPr>
            </w:pPr>
          </w:p>
        </w:tc>
        <w:tc>
          <w:tcPr>
            <w:tcW w:w="780" w:type="dxa"/>
            <w:vAlign w:val="bottom"/>
            <w:tcBorders>
              <w:bottom w:val="single" w:sz="8" w:color="231F20"/>
            </w:tcBorders>
            <w:shd w:val="clear" w:color="auto" w:fill="DCDDDE"/>
          </w:tcPr>
          <w:p>
            <w:pPr>
              <w:spacing w:after="0"/>
              <w:rPr>
                <w:sz w:val="6"/>
                <w:szCs w:val="6"/>
                <w:color w:val="auto"/>
              </w:rPr>
            </w:pPr>
          </w:p>
        </w:tc>
        <w:tc>
          <w:tcPr>
            <w:tcW w:w="40" w:type="dxa"/>
            <w:vAlign w:val="bottom"/>
            <w:tcBorders>
              <w:bottom w:val="single" w:sz="8" w:color="231F20"/>
              <w:right w:val="single" w:sz="8" w:color="DCDDDE"/>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Borders>
              <w:right w:val="single" w:sz="8" w:color="231F20"/>
            </w:tcBorders>
          </w:tcPr>
          <w:p>
            <w:pPr>
              <w:ind w:left="200"/>
              <w:spacing w:after="0" w:line="190" w:lineRule="exact"/>
              <w:rPr>
                <w:sz w:val="20"/>
                <w:szCs w:val="20"/>
                <w:color w:val="auto"/>
              </w:rPr>
            </w:pPr>
            <w:r>
              <w:rPr>
                <w:rFonts w:ascii="Arial" w:cs="Arial" w:eastAsia="Arial" w:hAnsi="Arial"/>
                <w:sz w:val="18"/>
                <w:szCs w:val="18"/>
                <w:color w:val="231F20"/>
              </w:rPr>
              <w:t>Black or African American</w:t>
            </w:r>
          </w:p>
        </w:tc>
        <w:tc>
          <w:tcPr>
            <w:tcW w:w="8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ind w:left="360"/>
              <w:spacing w:after="0" w:line="190" w:lineRule="exact"/>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360"/>
              <w:spacing w:after="0" w:line="190" w:lineRule="exact"/>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Borders>
              <w:right w:val="single" w:sz="8" w:color="231F20"/>
            </w:tcBorders>
          </w:tcPr>
          <w:p>
            <w:pPr>
              <w:ind w:left="200"/>
              <w:spacing w:after="0" w:line="190" w:lineRule="exact"/>
              <w:rPr>
                <w:sz w:val="20"/>
                <w:szCs w:val="20"/>
                <w:color w:val="auto"/>
              </w:rPr>
            </w:pPr>
            <w:r>
              <w:rPr>
                <w:rFonts w:ascii="Arial" w:cs="Arial" w:eastAsia="Arial" w:hAnsi="Arial"/>
                <w:sz w:val="18"/>
                <w:szCs w:val="18"/>
                <w:color w:val="231F20"/>
              </w:rPr>
              <w:t>White</w:t>
            </w:r>
          </w:p>
        </w:tc>
        <w:tc>
          <w:tcPr>
            <w:tcW w:w="820" w:type="dxa"/>
            <w:vAlign w:val="bottom"/>
            <w:tcBorders>
              <w:right w:val="single" w:sz="8" w:color="231F20"/>
            </w:tcBorders>
          </w:tcPr>
          <w:p>
            <w:pPr>
              <w:jc w:val="center"/>
              <w:spacing w:after="0" w:line="19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spacing w:after="0" w:line="19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center"/>
              <w:spacing w:after="0" w:line="190" w:lineRule="exact"/>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spacing w:after="0" w:line="19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gridSpan w:val="2"/>
          </w:tcPr>
          <w:p>
            <w:pPr>
              <w:jc w:val="center"/>
              <w:ind w:right="40"/>
              <w:spacing w:after="0" w:line="190" w:lineRule="exact"/>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50"/>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DCDDDE"/>
          </w:tcPr>
          <w:p>
            <w:pPr>
              <w:spacing w:after="0"/>
              <w:rPr>
                <w:sz w:val="21"/>
                <w:szCs w:val="21"/>
                <w:color w:val="auto"/>
              </w:rPr>
            </w:pPr>
          </w:p>
        </w:tc>
        <w:tc>
          <w:tcPr>
            <w:tcW w:w="4300" w:type="dxa"/>
            <w:vAlign w:val="bottom"/>
            <w:tcBorders>
              <w:right w:val="single" w:sz="8" w:color="DCDDDE"/>
            </w:tcBorders>
            <w:shd w:val="clear" w:color="auto" w:fill="DCDDDE"/>
          </w:tcPr>
          <w:p>
            <w:pPr>
              <w:ind w:left="20"/>
              <w:spacing w:after="0"/>
              <w:rPr>
                <w:sz w:val="20"/>
                <w:szCs w:val="20"/>
                <w:color w:val="auto"/>
              </w:rPr>
            </w:pPr>
            <w:r>
              <w:rPr>
                <w:rFonts w:ascii="Arial" w:cs="Arial" w:eastAsia="Arial" w:hAnsi="Arial"/>
                <w:sz w:val="18"/>
                <w:szCs w:val="18"/>
                <w:b w:val="1"/>
                <w:bCs w:val="1"/>
                <w:color w:val="231F20"/>
              </w:rPr>
              <w:t>Gender</w:t>
            </w:r>
          </w:p>
        </w:tc>
        <w:tc>
          <w:tcPr>
            <w:tcW w:w="820" w:type="dxa"/>
            <w:vAlign w:val="bottom"/>
            <w:tcBorders>
              <w:right w:val="single" w:sz="8" w:color="DCDDDE"/>
            </w:tcBorders>
            <w:shd w:val="clear" w:color="auto" w:fill="DCDDDE"/>
          </w:tcPr>
          <w:p>
            <w:pPr>
              <w:spacing w:after="0"/>
              <w:rPr>
                <w:sz w:val="21"/>
                <w:szCs w:val="21"/>
                <w:color w:val="auto"/>
              </w:rPr>
            </w:pPr>
          </w:p>
        </w:tc>
        <w:tc>
          <w:tcPr>
            <w:tcW w:w="820" w:type="dxa"/>
            <w:vAlign w:val="bottom"/>
            <w:tcBorders>
              <w:right w:val="single" w:sz="8" w:color="DCDDDE"/>
            </w:tcBorders>
            <w:shd w:val="clear" w:color="auto" w:fill="DCDDDE"/>
          </w:tcPr>
          <w:p>
            <w:pPr>
              <w:spacing w:after="0"/>
              <w:rPr>
                <w:sz w:val="21"/>
                <w:szCs w:val="21"/>
                <w:color w:val="auto"/>
              </w:rPr>
            </w:pPr>
          </w:p>
        </w:tc>
        <w:tc>
          <w:tcPr>
            <w:tcW w:w="820" w:type="dxa"/>
            <w:vAlign w:val="bottom"/>
            <w:tcBorders>
              <w:right w:val="single" w:sz="8" w:color="DCDDDE"/>
            </w:tcBorders>
            <w:shd w:val="clear" w:color="auto" w:fill="DCDDDE"/>
          </w:tcPr>
          <w:p>
            <w:pPr>
              <w:spacing w:after="0"/>
              <w:rPr>
                <w:sz w:val="21"/>
                <w:szCs w:val="21"/>
                <w:color w:val="auto"/>
              </w:rPr>
            </w:pPr>
          </w:p>
        </w:tc>
        <w:tc>
          <w:tcPr>
            <w:tcW w:w="840" w:type="dxa"/>
            <w:vAlign w:val="bottom"/>
            <w:tcBorders>
              <w:right w:val="single" w:sz="8" w:color="DCDDDE"/>
            </w:tcBorders>
            <w:shd w:val="clear" w:color="auto" w:fill="DCDDDE"/>
          </w:tcPr>
          <w:p>
            <w:pPr>
              <w:spacing w:after="0"/>
              <w:rPr>
                <w:sz w:val="21"/>
                <w:szCs w:val="21"/>
                <w:color w:val="auto"/>
              </w:rPr>
            </w:pPr>
          </w:p>
        </w:tc>
        <w:tc>
          <w:tcPr>
            <w:tcW w:w="800" w:type="dxa"/>
            <w:vAlign w:val="bottom"/>
            <w:tcBorders>
              <w:right w:val="single" w:sz="8" w:color="DCDDDE"/>
            </w:tcBorders>
            <w:shd w:val="clear" w:color="auto" w:fill="DCDDDE"/>
          </w:tcPr>
          <w:p>
            <w:pPr>
              <w:spacing w:after="0"/>
              <w:rPr>
                <w:sz w:val="21"/>
                <w:szCs w:val="21"/>
                <w:color w:val="auto"/>
              </w:rPr>
            </w:pPr>
          </w:p>
        </w:tc>
        <w:tc>
          <w:tcPr>
            <w:tcW w:w="860" w:type="dxa"/>
            <w:vAlign w:val="bottom"/>
            <w:tcBorders>
              <w:right w:val="single" w:sz="8" w:color="DCDDDE"/>
            </w:tcBorders>
            <w:shd w:val="clear" w:color="auto" w:fill="DCDDDE"/>
          </w:tcPr>
          <w:p>
            <w:pPr>
              <w:spacing w:after="0"/>
              <w:rPr>
                <w:sz w:val="21"/>
                <w:szCs w:val="21"/>
                <w:color w:val="auto"/>
              </w:rPr>
            </w:pPr>
          </w:p>
        </w:tc>
        <w:tc>
          <w:tcPr>
            <w:tcW w:w="780" w:type="dxa"/>
            <w:vAlign w:val="bottom"/>
            <w:shd w:val="clear" w:color="auto" w:fill="DCDDDE"/>
          </w:tcPr>
          <w:p>
            <w:pPr>
              <w:spacing w:after="0"/>
              <w:rPr>
                <w:sz w:val="21"/>
                <w:szCs w:val="21"/>
                <w:color w:val="auto"/>
              </w:rPr>
            </w:pPr>
          </w:p>
        </w:tc>
        <w:tc>
          <w:tcPr>
            <w:tcW w:w="40" w:type="dxa"/>
            <w:vAlign w:val="bottom"/>
            <w:tcBorders>
              <w:right w:val="single" w:sz="8" w:color="DCDDDE"/>
            </w:tcBorders>
            <w:shd w:val="clear" w:color="auto" w:fill="DCDDDE"/>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231F20"/>
            </w:tcBorders>
            <w:shd w:val="clear" w:color="auto" w:fill="DCDDDE"/>
          </w:tcPr>
          <w:p>
            <w:pPr>
              <w:spacing w:after="0"/>
              <w:rPr>
                <w:sz w:val="6"/>
                <w:szCs w:val="6"/>
                <w:color w:val="auto"/>
              </w:rPr>
            </w:pPr>
          </w:p>
        </w:tc>
        <w:tc>
          <w:tcPr>
            <w:tcW w:w="430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40" w:type="dxa"/>
            <w:vAlign w:val="bottom"/>
            <w:tcBorders>
              <w:bottom w:val="single" w:sz="8" w:color="231F20"/>
              <w:right w:val="single" w:sz="8" w:color="DCDDDE"/>
            </w:tcBorders>
            <w:shd w:val="clear" w:color="auto" w:fill="DCDDDE"/>
          </w:tcPr>
          <w:p>
            <w:pPr>
              <w:spacing w:after="0"/>
              <w:rPr>
                <w:sz w:val="6"/>
                <w:szCs w:val="6"/>
                <w:color w:val="auto"/>
              </w:rPr>
            </w:pPr>
          </w:p>
        </w:tc>
        <w:tc>
          <w:tcPr>
            <w:tcW w:w="800" w:type="dxa"/>
            <w:vAlign w:val="bottom"/>
            <w:tcBorders>
              <w:bottom w:val="single" w:sz="8" w:color="231F20"/>
              <w:right w:val="single" w:sz="8" w:color="DCDDDE"/>
            </w:tcBorders>
            <w:shd w:val="clear" w:color="auto" w:fill="DCDDDE"/>
          </w:tcPr>
          <w:p>
            <w:pPr>
              <w:spacing w:after="0"/>
              <w:rPr>
                <w:sz w:val="6"/>
                <w:szCs w:val="6"/>
                <w:color w:val="auto"/>
              </w:rPr>
            </w:pPr>
          </w:p>
        </w:tc>
        <w:tc>
          <w:tcPr>
            <w:tcW w:w="860" w:type="dxa"/>
            <w:vAlign w:val="bottom"/>
            <w:tcBorders>
              <w:bottom w:val="single" w:sz="8" w:color="231F20"/>
              <w:right w:val="single" w:sz="8" w:color="DCDDDE"/>
            </w:tcBorders>
            <w:shd w:val="clear" w:color="auto" w:fill="DCDDDE"/>
          </w:tcPr>
          <w:p>
            <w:pPr>
              <w:spacing w:after="0"/>
              <w:rPr>
                <w:sz w:val="6"/>
                <w:szCs w:val="6"/>
                <w:color w:val="auto"/>
              </w:rPr>
            </w:pPr>
          </w:p>
        </w:tc>
        <w:tc>
          <w:tcPr>
            <w:tcW w:w="780" w:type="dxa"/>
            <w:vAlign w:val="bottom"/>
            <w:tcBorders>
              <w:bottom w:val="single" w:sz="8" w:color="231F20"/>
            </w:tcBorders>
            <w:shd w:val="clear" w:color="auto" w:fill="DCDDDE"/>
          </w:tcPr>
          <w:p>
            <w:pPr>
              <w:spacing w:after="0"/>
              <w:rPr>
                <w:sz w:val="6"/>
                <w:szCs w:val="6"/>
                <w:color w:val="auto"/>
              </w:rPr>
            </w:pPr>
          </w:p>
        </w:tc>
        <w:tc>
          <w:tcPr>
            <w:tcW w:w="40" w:type="dxa"/>
            <w:vAlign w:val="bottom"/>
            <w:tcBorders>
              <w:bottom w:val="single" w:sz="8" w:color="231F20"/>
              <w:right w:val="single" w:sz="8" w:color="DCDDDE"/>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Borders>
              <w:right w:val="single" w:sz="8" w:color="231F20"/>
            </w:tcBorders>
          </w:tcPr>
          <w:p>
            <w:pPr>
              <w:ind w:left="200"/>
              <w:spacing w:after="0" w:line="190" w:lineRule="exact"/>
              <w:rPr>
                <w:sz w:val="20"/>
                <w:szCs w:val="20"/>
                <w:color w:val="auto"/>
              </w:rPr>
            </w:pPr>
            <w:r>
              <w:rPr>
                <w:rFonts w:ascii="Arial" w:cs="Arial" w:eastAsia="Arial" w:hAnsi="Arial"/>
                <w:sz w:val="18"/>
                <w:szCs w:val="18"/>
                <w:color w:val="231F20"/>
              </w:rPr>
              <w:t>Female</w:t>
            </w:r>
          </w:p>
        </w:tc>
        <w:tc>
          <w:tcPr>
            <w:tcW w:w="8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spacing w:after="0" w:line="19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ind w:left="360"/>
              <w:spacing w:after="0" w:line="190" w:lineRule="exact"/>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jc w:val="center"/>
              <w:spacing w:after="0" w:line="190" w:lineRule="exact"/>
              <w:rPr>
                <w:sz w:val="20"/>
                <w:szCs w:val="20"/>
                <w:color w:val="auto"/>
              </w:rPr>
            </w:pPr>
            <w:r>
              <w:rPr>
                <w:rFonts w:ascii="Arial" w:cs="Arial" w:eastAsia="Arial" w:hAnsi="Arial"/>
                <w:sz w:val="18"/>
                <w:szCs w:val="18"/>
                <w:color w:val="231F20"/>
                <w:w w:val="82"/>
              </w:rPr>
              <w:t>Š</w:t>
            </w:r>
          </w:p>
        </w:tc>
        <w:tc>
          <w:tcPr>
            <w:tcW w:w="780" w:type="dxa"/>
            <w:vAlign w:val="bottom"/>
          </w:tcPr>
          <w:p>
            <w:pPr>
              <w:spacing w:after="0"/>
              <w:rPr>
                <w:sz w:val="16"/>
                <w:szCs w:val="16"/>
                <w:color w:val="auto"/>
              </w:rPr>
            </w:pPr>
          </w:p>
        </w:tc>
        <w:tc>
          <w:tcPr>
            <w:tcW w:w="4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231F20"/>
            </w:tcBorders>
          </w:tcPr>
          <w:p>
            <w:pPr>
              <w:spacing w:after="0"/>
              <w:rPr>
                <w:sz w:val="4"/>
                <w:szCs w:val="4"/>
                <w:color w:val="auto"/>
              </w:rPr>
            </w:pPr>
          </w:p>
        </w:tc>
        <w:tc>
          <w:tcPr>
            <w:tcW w:w="430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30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Male</w:t>
            </w:r>
          </w:p>
        </w:tc>
        <w:tc>
          <w:tcPr>
            <w:tcW w:w="820" w:type="dxa"/>
            <w:vAlign w:val="bottom"/>
            <w:tcBorders>
              <w:right w:val="single" w:sz="8" w:color="231F20"/>
            </w:tcBorders>
          </w:tcPr>
          <w:p>
            <w:pPr>
              <w:jc w:val="center"/>
              <w:spacing w:after="0" w:line="20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1"/>
                <w:szCs w:val="21"/>
                <w:color w:val="auto"/>
              </w:rPr>
            </w:pPr>
          </w:p>
        </w:tc>
        <w:tc>
          <w:tcPr>
            <w:tcW w:w="820" w:type="dxa"/>
            <w:vAlign w:val="bottom"/>
            <w:tcBorders>
              <w:right w:val="single" w:sz="8" w:color="231F20"/>
            </w:tcBorders>
          </w:tcPr>
          <w:p>
            <w:pPr>
              <w:spacing w:after="0"/>
              <w:rPr>
                <w:sz w:val="21"/>
                <w:szCs w:val="21"/>
                <w:color w:val="auto"/>
              </w:rPr>
            </w:pPr>
          </w:p>
        </w:tc>
        <w:tc>
          <w:tcPr>
            <w:tcW w:w="840" w:type="dxa"/>
            <w:vAlign w:val="bottom"/>
            <w:tcBorders>
              <w:right w:val="single" w:sz="8" w:color="231F20"/>
            </w:tcBorders>
          </w:tcPr>
          <w:p>
            <w:pPr>
              <w:ind w:left="360"/>
              <w:spacing w:after="0" w:line="200" w:lineRule="exact"/>
              <w:rPr>
                <w:sz w:val="20"/>
                <w:szCs w:val="20"/>
                <w:color w:val="auto"/>
              </w:rPr>
            </w:pPr>
            <w:r>
              <w:rPr>
                <w:rFonts w:ascii="Arial" w:cs="Arial" w:eastAsia="Arial" w:hAnsi="Arial"/>
                <w:sz w:val="18"/>
                <w:szCs w:val="18"/>
                <w:color w:val="231F20"/>
              </w:rPr>
              <w:t>Š</w:t>
            </w:r>
          </w:p>
        </w:tc>
        <w:tc>
          <w:tcPr>
            <w:tcW w:w="800" w:type="dxa"/>
            <w:vAlign w:val="bottom"/>
            <w:tcBorders>
              <w:right w:val="single" w:sz="8" w:color="231F20"/>
            </w:tcBorders>
          </w:tcPr>
          <w:p>
            <w:pPr>
              <w:jc w:val="center"/>
              <w:spacing w:after="0" w:line="200" w:lineRule="exact"/>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spacing w:after="0"/>
              <w:rPr>
                <w:sz w:val="21"/>
                <w:szCs w:val="21"/>
                <w:color w:val="auto"/>
              </w:rPr>
            </w:pPr>
          </w:p>
        </w:tc>
        <w:tc>
          <w:tcPr>
            <w:tcW w:w="820" w:type="dxa"/>
            <w:vAlign w:val="bottom"/>
            <w:tcBorders>
              <w:right w:val="single" w:sz="8" w:color="231F20"/>
            </w:tcBorders>
            <w:gridSpan w:val="2"/>
          </w:tcPr>
          <w:p>
            <w:pPr>
              <w:jc w:val="center"/>
              <w:ind w:right="40"/>
              <w:spacing w:after="0" w:line="200" w:lineRule="exact"/>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40" w:type="dxa"/>
            <w:vAlign w:val="bottom"/>
            <w:tcBorders>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-4083685</wp:posOffset>
            </wp:positionV>
            <wp:extent cx="182880" cy="3765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54">
                      <a:extLst>
                        <a:ext uri="{28A0092B-C50C-407E-A947-70E740481C1C}"/>
                      </a:extLst>
                    </a:blip>
                    <a:srcRect/>
                    <a:stretch>
                      <a:fillRect/>
                    </a:stretch>
                  </pic:blipFill>
                  <pic:spPr bwMode="auto">
                    <a:xfrm>
                      <a:off x="0" y="0"/>
                      <a:ext cx="182880" cy="3765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-3633470</wp:posOffset>
            </wp:positionV>
            <wp:extent cx="213360" cy="1930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5">
                      <a:extLst>
                        <a:ext uri="{28A0092B-C50C-407E-A947-70E740481C1C}"/>
                      </a:extLst>
                    </a:blip>
                    <a:srcRect/>
                    <a:stretch>
                      <a:fillRect/>
                    </a:stretch>
                  </pic:blipFill>
                  <pic:spPr bwMode="auto">
                    <a:xfrm>
                      <a:off x="0" y="0"/>
                      <a:ext cx="213360" cy="19304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-3324860</wp:posOffset>
            </wp:positionV>
            <wp:extent cx="201295" cy="1377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56">
                      <a:extLst>
                        <a:ext uri="{28A0092B-C50C-407E-A947-70E740481C1C}"/>
                      </a:extLst>
                    </a:blip>
                    <a:srcRect/>
                    <a:stretch>
                      <a:fillRect/>
                    </a:stretch>
                  </pic:blipFill>
                  <pic:spPr bwMode="auto">
                    <a:xfrm>
                      <a:off x="0" y="0"/>
                      <a:ext cx="201295" cy="13779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-3122295</wp:posOffset>
            </wp:positionV>
            <wp:extent cx="207645" cy="2019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57">
                      <a:extLst>
                        <a:ext uri="{28A0092B-C50C-407E-A947-70E740481C1C}"/>
                      </a:extLst>
                    </a:blip>
                    <a:srcRect/>
                    <a:stretch>
                      <a:fillRect/>
                    </a:stretch>
                  </pic:blipFill>
                  <pic:spPr bwMode="auto">
                    <a:xfrm>
                      <a:off x="0" y="0"/>
                      <a:ext cx="207645" cy="20193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-2846070</wp:posOffset>
            </wp:positionV>
            <wp:extent cx="201295" cy="1930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58">
                      <a:extLst>
                        <a:ext uri="{28A0092B-C50C-407E-A947-70E740481C1C}"/>
                      </a:extLst>
                    </a:blip>
                    <a:srcRect/>
                    <a:stretch>
                      <a:fillRect/>
                    </a:stretch>
                  </pic:blipFill>
                  <pic:spPr bwMode="auto">
                    <a:xfrm>
                      <a:off x="0" y="0"/>
                      <a:ext cx="201295" cy="19304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-2597785</wp:posOffset>
            </wp:positionV>
            <wp:extent cx="213360" cy="2114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59">
                      <a:extLst>
                        <a:ext uri="{28A0092B-C50C-407E-A947-70E740481C1C}"/>
                      </a:extLst>
                    </a:blip>
                    <a:srcRect/>
                    <a:stretch>
                      <a:fillRect/>
                    </a:stretch>
                  </pic:blipFill>
                  <pic:spPr bwMode="auto">
                    <a:xfrm>
                      <a:off x="0" y="0"/>
                      <a:ext cx="213360" cy="2114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-2331085</wp:posOffset>
            </wp:positionV>
            <wp:extent cx="213360" cy="2114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60">
                      <a:extLst>
                        <a:ext uri="{28A0092B-C50C-407E-A947-70E740481C1C}"/>
                      </a:extLst>
                    </a:blip>
                    <a:srcRect/>
                    <a:stretch>
                      <a:fillRect/>
                    </a:stretch>
                  </pic:blipFill>
                  <pic:spPr bwMode="auto">
                    <a:xfrm>
                      <a:off x="0" y="0"/>
                      <a:ext cx="213360" cy="2114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-2058035</wp:posOffset>
            </wp:positionV>
            <wp:extent cx="176530" cy="2051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1">
                      <a:extLst>
                        <a:ext uri="{28A0092B-C50C-407E-A947-70E740481C1C}"/>
                      </a:extLst>
                    </a:blip>
                    <a:srcRect/>
                    <a:stretch>
                      <a:fillRect/>
                    </a:stretch>
                  </pic:blipFill>
                  <pic:spPr bwMode="auto">
                    <a:xfrm>
                      <a:off x="0" y="0"/>
                      <a:ext cx="176530" cy="20510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-1751965</wp:posOffset>
            </wp:positionV>
            <wp:extent cx="225425" cy="165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62">
                      <a:extLst>
                        <a:ext uri="{28A0092B-C50C-407E-A947-70E740481C1C}"/>
                      </a:extLst>
                    </a:blip>
                    <a:srcRect/>
                    <a:stretch>
                      <a:fillRect/>
                    </a:stretch>
                  </pic:blipFill>
                  <pic:spPr bwMode="auto">
                    <a:xfrm>
                      <a:off x="0" y="0"/>
                      <a:ext cx="225425" cy="16573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-1530985</wp:posOffset>
            </wp:positionV>
            <wp:extent cx="250190" cy="2114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63">
                      <a:extLst>
                        <a:ext uri="{28A0092B-C50C-407E-A947-70E740481C1C}"/>
                      </a:extLst>
                    </a:blip>
                    <a:srcRect/>
                    <a:stretch>
                      <a:fillRect/>
                    </a:stretch>
                  </pic:blipFill>
                  <pic:spPr bwMode="auto">
                    <a:xfrm>
                      <a:off x="0" y="0"/>
                      <a:ext cx="250190" cy="211455"/>
                    </a:xfrm>
                    <a:prstGeom prst="rect">
                      <a:avLst/>
                    </a:prstGeom>
                    <a:noFill/>
                  </pic:spPr>
                </pic:pic>
              </a:graphicData>
            </a:graphic>
          </wp:anchor>
        </w:drawing>
      </w:r>
    </w:p>
    <w:p>
      <w:pPr>
        <w:spacing w:after="0" w:line="27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To identify, recruit and evaluate qualified candidates for the Board, the Board first looks to individuals known to current Board members through business and other relationships.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2025 Annual Meeting” section starting at page 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1786890</wp:posOffset>
                </wp:positionV>
                <wp:extent cx="6400800" cy="17780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41" o:spid="_x0000_s1266" style="position:absolute;margin-left:0pt;margin-top:140.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1786255</wp:posOffset>
                </wp:positionV>
                <wp:extent cx="0" cy="17780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40.65pt" to="0.5pt,154.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1792605</wp:posOffset>
                </wp:positionV>
                <wp:extent cx="640080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15pt" to="504pt,141.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1786255</wp:posOffset>
                </wp:positionV>
                <wp:extent cx="0" cy="17780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40.65pt" to="503.5pt,154.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1957705</wp:posOffset>
                </wp:positionV>
                <wp:extent cx="640080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4.15pt" to="504pt,154.1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12</w:t>
      </w:r>
    </w:p>
    <w:p>
      <w:pPr>
        <w:sectPr>
          <w:pgSz w:w="12240" w:h="15840" w:orient="portrait"/>
          <w:cols w:equalWidth="0" w:num="1">
            <w:col w:w="10080"/>
          </w:cols>
          <w:pgMar w:left="1080" w:top="1440" w:right="1080" w:bottom="944" w:gutter="0" w:footer="0" w:header="0"/>
          <w:type w:val="continuous"/>
        </w:sectPr>
      </w:pPr>
    </w:p>
    <w:bookmarkStart w:id="132" w:name="page133"/>
    <w:bookmarkEnd w:id="132"/>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NOMINEE DIVERSITY AND TENURE</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45"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1460" w:type="dxa"/>
            <w:vAlign w:val="bottom"/>
          </w:tcPr>
          <w:p>
            <w:pPr>
              <w:jc w:val="center"/>
              <w:ind w:right="408"/>
              <w:spacing w:after="0"/>
              <w:rPr>
                <w:sz w:val="20"/>
                <w:szCs w:val="20"/>
                <w:color w:val="auto"/>
              </w:rPr>
            </w:pPr>
            <w:r>
              <w:rPr>
                <w:rFonts w:ascii="Arial" w:cs="Arial" w:eastAsia="Arial" w:hAnsi="Arial"/>
                <w:sz w:val="20"/>
                <w:szCs w:val="20"/>
                <w:color w:val="EF3E2A"/>
              </w:rPr>
              <w:t>AGE</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gridSpan w:val="3"/>
          </w:tcPr>
          <w:p>
            <w:pPr>
              <w:jc w:val="center"/>
              <w:ind w:left="303"/>
              <w:spacing w:after="0"/>
              <w:rPr>
                <w:sz w:val="20"/>
                <w:szCs w:val="20"/>
                <w:color w:val="auto"/>
              </w:rPr>
            </w:pPr>
            <w:r>
              <w:rPr>
                <w:rFonts w:ascii="Arial" w:cs="Arial" w:eastAsia="Arial" w:hAnsi="Arial"/>
                <w:sz w:val="20"/>
                <w:szCs w:val="20"/>
                <w:color w:val="EF3E2A"/>
                <w:w w:val="99"/>
              </w:rPr>
              <w:t>TENURE</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4"/>
          </w:tcPr>
          <w:p>
            <w:pPr>
              <w:jc w:val="center"/>
              <w:spacing w:after="0"/>
              <w:rPr>
                <w:sz w:val="20"/>
                <w:szCs w:val="20"/>
                <w:color w:val="auto"/>
              </w:rPr>
            </w:pPr>
            <w:r>
              <w:rPr>
                <w:rFonts w:ascii="Arial" w:cs="Arial" w:eastAsia="Arial" w:hAnsi="Arial"/>
                <w:sz w:val="20"/>
                <w:szCs w:val="20"/>
                <w:color w:val="EF3E2A"/>
                <w:w w:val="99"/>
              </w:rPr>
              <w:t>GENDER &amp; ETHNIC DIVERSITY</w:t>
            </w:r>
          </w:p>
        </w:tc>
        <w:tc>
          <w:tcPr>
            <w:tcW w:w="0" w:type="dxa"/>
            <w:vAlign w:val="bottom"/>
          </w:tcPr>
          <w:p>
            <w:pPr>
              <w:spacing w:after="0"/>
              <w:rPr>
                <w:sz w:val="1"/>
                <w:szCs w:val="1"/>
                <w:color w:val="auto"/>
              </w:rPr>
            </w:pPr>
          </w:p>
        </w:tc>
      </w:tr>
      <w:tr>
        <w:trPr>
          <w:trHeight w:val="53"/>
        </w:trPr>
        <w:tc>
          <w:tcPr>
            <w:tcW w:w="1080" w:type="dxa"/>
            <w:vAlign w:val="bottom"/>
            <w:tcBorders>
              <w:bottom w:val="single" w:sz="8" w:color="231F20"/>
            </w:tcBorders>
          </w:tcPr>
          <w:p>
            <w:pPr>
              <w:spacing w:after="0"/>
              <w:rPr>
                <w:sz w:val="4"/>
                <w:szCs w:val="4"/>
                <w:color w:val="auto"/>
              </w:rPr>
            </w:pPr>
          </w:p>
        </w:tc>
        <w:tc>
          <w:tcPr>
            <w:tcW w:w="1460" w:type="dxa"/>
            <w:vAlign w:val="bottom"/>
            <w:tcBorders>
              <w:bottom w:val="single" w:sz="8" w:color="231F20"/>
            </w:tcBorders>
          </w:tcPr>
          <w:p>
            <w:pPr>
              <w:spacing w:after="0"/>
              <w:rPr>
                <w:sz w:val="4"/>
                <w:szCs w:val="4"/>
                <w:color w:val="auto"/>
              </w:rPr>
            </w:pPr>
          </w:p>
        </w:tc>
        <w:tc>
          <w:tcPr>
            <w:tcW w:w="100" w:type="dxa"/>
            <w:vAlign w:val="bottom"/>
            <w:tcBorders>
              <w:bottom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231F20"/>
            </w:tcBorders>
          </w:tcPr>
          <w:p>
            <w:pPr>
              <w:spacing w:after="0"/>
              <w:rPr>
                <w:sz w:val="4"/>
                <w:szCs w:val="4"/>
                <w:color w:val="auto"/>
              </w:rPr>
            </w:pPr>
          </w:p>
        </w:tc>
        <w:tc>
          <w:tcPr>
            <w:tcW w:w="1140" w:type="dxa"/>
            <w:vAlign w:val="bottom"/>
            <w:tcBorders>
              <w:bottom w:val="single" w:sz="8" w:color="231F20"/>
            </w:tcBorders>
          </w:tcPr>
          <w:p>
            <w:pPr>
              <w:spacing w:after="0"/>
              <w:rPr>
                <w:sz w:val="4"/>
                <w:szCs w:val="4"/>
                <w:color w:val="auto"/>
              </w:rPr>
            </w:pPr>
          </w:p>
        </w:tc>
        <w:tc>
          <w:tcPr>
            <w:tcW w:w="100" w:type="dxa"/>
            <w:vAlign w:val="bottom"/>
            <w:tcBorders>
              <w:bottom w:val="single" w:sz="8" w:color="231F20"/>
            </w:tcBorders>
          </w:tcPr>
          <w:p>
            <w:pPr>
              <w:spacing w:after="0"/>
              <w:rPr>
                <w:sz w:val="4"/>
                <w:szCs w:val="4"/>
                <w:color w:val="auto"/>
              </w:rPr>
            </w:pPr>
          </w:p>
        </w:tc>
        <w:tc>
          <w:tcPr>
            <w:tcW w:w="20" w:type="dxa"/>
            <w:vAlign w:val="bottom"/>
            <w:tcBorders>
              <w:bottom w:val="single" w:sz="8" w:color="231F20"/>
            </w:tcBorders>
          </w:tcPr>
          <w:p>
            <w:pPr>
              <w:spacing w:after="0"/>
              <w:rPr>
                <w:sz w:val="4"/>
                <w:szCs w:val="4"/>
                <w:color w:val="auto"/>
              </w:rPr>
            </w:pPr>
          </w:p>
        </w:tc>
        <w:tc>
          <w:tcPr>
            <w:tcW w:w="1180" w:type="dxa"/>
            <w:vAlign w:val="bottom"/>
            <w:tcBorders>
              <w:bottom w:val="single" w:sz="8" w:color="231F20"/>
            </w:tcBorders>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Borders>
              <w:bottom w:val="single" w:sz="8" w:color="231F20"/>
            </w:tcBorders>
          </w:tcPr>
          <w:p>
            <w:pPr>
              <w:spacing w:after="0"/>
              <w:rPr>
                <w:sz w:val="4"/>
                <w:szCs w:val="4"/>
                <w:color w:val="auto"/>
              </w:rPr>
            </w:pPr>
          </w:p>
        </w:tc>
        <w:tc>
          <w:tcPr>
            <w:tcW w:w="220" w:type="dxa"/>
            <w:vAlign w:val="bottom"/>
            <w:tcBorders>
              <w:bottom w:val="single" w:sz="8" w:color="231F20"/>
            </w:tcBorders>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154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080" w:type="dxa"/>
            <w:vAlign w:val="bottom"/>
            <w:tcBorders>
              <w:left w:val="single" w:sz="8" w:color="231F20"/>
            </w:tcBorders>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right w:val="single" w:sz="8" w:color="231F20"/>
            </w:tcBorders>
          </w:tcPr>
          <w:p>
            <w:pPr>
              <w:spacing w:after="0"/>
              <w:rPr>
                <w:sz w:val="18"/>
                <w:szCs w:val="18"/>
                <w:color w:val="auto"/>
              </w:rPr>
            </w:pPr>
          </w:p>
        </w:tc>
        <w:tc>
          <w:tcPr>
            <w:tcW w:w="260" w:type="dxa"/>
            <w:vAlign w:val="bottom"/>
            <w:tcBorders>
              <w:right w:val="single" w:sz="8" w:color="231F20"/>
            </w:tcBorders>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240" w:type="dxa"/>
            <w:vAlign w:val="bottom"/>
            <w:tcBorders>
              <w:right w:val="single" w:sz="8" w:color="231F20"/>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1540" w:type="dxa"/>
            <w:vAlign w:val="bottom"/>
            <w:tcBorders>
              <w:right w:val="single" w:sz="8" w:color="231F20"/>
            </w:tcBorders>
            <w:vMerge w:val="restart"/>
          </w:tcPr>
          <w:p>
            <w:pPr>
              <w:jc w:val="center"/>
              <w:ind w:right="277"/>
              <w:spacing w:after="0"/>
              <w:rPr>
                <w:sz w:val="20"/>
                <w:szCs w:val="20"/>
                <w:color w:val="auto"/>
              </w:rPr>
            </w:pPr>
            <w:r>
              <w:rPr>
                <w:rFonts w:ascii="Arial" w:cs="Arial" w:eastAsia="Arial" w:hAnsi="Arial"/>
                <w:sz w:val="17"/>
                <w:szCs w:val="17"/>
                <w:color w:val="EF3E29"/>
              </w:rPr>
              <w:t>Females</w:t>
            </w:r>
          </w:p>
        </w:tc>
        <w:tc>
          <w:tcPr>
            <w:tcW w:w="0" w:type="dxa"/>
            <w:vAlign w:val="bottom"/>
          </w:tcPr>
          <w:p>
            <w:pPr>
              <w:spacing w:after="0"/>
              <w:rPr>
                <w:sz w:val="1"/>
                <w:szCs w:val="1"/>
                <w:color w:val="auto"/>
              </w:rPr>
            </w:pPr>
          </w:p>
        </w:tc>
      </w:tr>
      <w:tr>
        <w:trPr>
          <w:trHeight w:val="194"/>
        </w:trPr>
        <w:tc>
          <w:tcPr>
            <w:tcW w:w="1080" w:type="dxa"/>
            <w:vAlign w:val="bottom"/>
            <w:tcBorders>
              <w:left w:val="single" w:sz="8" w:color="231F20"/>
            </w:tcBorders>
            <w:vMerge w:val="restart"/>
          </w:tcPr>
          <w:p>
            <w:pPr>
              <w:ind w:left="960"/>
              <w:spacing w:after="0"/>
              <w:rPr>
                <w:sz w:val="20"/>
                <w:szCs w:val="20"/>
                <w:color w:val="auto"/>
              </w:rPr>
            </w:pPr>
            <w:r>
              <w:rPr>
                <w:rFonts w:ascii="Calibri" w:cs="Calibri" w:eastAsia="Calibri" w:hAnsi="Calibri"/>
                <w:sz w:val="17"/>
                <w:szCs w:val="17"/>
                <w:b w:val="1"/>
                <w:bCs w:val="1"/>
                <w:color w:val="FFFFFF"/>
              </w:rPr>
              <w:t>1</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right w:val="single" w:sz="8" w:color="231F20"/>
            </w:tcBorders>
          </w:tcPr>
          <w:p>
            <w:pPr>
              <w:spacing w:after="0"/>
              <w:rPr>
                <w:sz w:val="16"/>
                <w:szCs w:val="16"/>
                <w:color w:val="auto"/>
              </w:rPr>
            </w:pPr>
          </w:p>
        </w:tc>
        <w:tc>
          <w:tcPr>
            <w:tcW w:w="260" w:type="dxa"/>
            <w:vAlign w:val="bottom"/>
            <w:tcBorders>
              <w:right w:val="single" w:sz="8" w:color="231F20"/>
            </w:tcBorders>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right w:val="single" w:sz="8" w:color="231F20"/>
            </w:tcBorders>
          </w:tcPr>
          <w:p>
            <w:pPr>
              <w:spacing w:after="0"/>
              <w:rPr>
                <w:sz w:val="16"/>
                <w:szCs w:val="16"/>
                <w:color w:val="auto"/>
              </w:rPr>
            </w:pPr>
          </w:p>
        </w:tc>
        <w:tc>
          <w:tcPr>
            <w:tcW w:w="240" w:type="dxa"/>
            <w:vAlign w:val="bottom"/>
            <w:tcBorders>
              <w:right w:val="single" w:sz="8" w:color="231F20"/>
            </w:tcBorders>
          </w:tcPr>
          <w:p>
            <w:pPr>
              <w:spacing w:after="0"/>
              <w:rPr>
                <w:sz w:val="16"/>
                <w:szCs w:val="16"/>
                <w:color w:val="auto"/>
              </w:rPr>
            </w:pPr>
          </w:p>
        </w:tc>
        <w:tc>
          <w:tcPr>
            <w:tcW w:w="420" w:type="dxa"/>
            <w:vAlign w:val="bottom"/>
            <w:vMerge w:val="restart"/>
            <w:shd w:val="clear" w:color="auto" w:fill="EF3E29"/>
          </w:tcPr>
          <w:p>
            <w:pPr>
              <w:jc w:val="right"/>
              <w:spacing w:after="0"/>
              <w:rPr>
                <w:sz w:val="20"/>
                <w:szCs w:val="20"/>
                <w:color w:val="auto"/>
              </w:rPr>
            </w:pPr>
            <w:r>
              <w:rPr>
                <w:rFonts w:ascii="Arial" w:cs="Arial" w:eastAsia="Arial" w:hAnsi="Arial"/>
                <w:sz w:val="19"/>
                <w:szCs w:val="19"/>
                <w:color w:val="FFFFFF"/>
              </w:rPr>
              <w:t>3</w:t>
            </w:r>
          </w:p>
        </w:tc>
        <w:tc>
          <w:tcPr>
            <w:tcW w:w="220" w:type="dxa"/>
            <w:vAlign w:val="bottom"/>
            <w:shd w:val="clear" w:color="auto" w:fill="EF3E29"/>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c>
          <w:tcPr>
            <w:tcW w:w="1540" w:type="dxa"/>
            <w:vAlign w:val="bottom"/>
            <w:tcBorders>
              <w:right w:val="single" w:sz="8" w:color="231F2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231F20"/>
            </w:tcBorders>
            <w:vMerge w:val="continue"/>
          </w:tcPr>
          <w:p>
            <w:pPr>
              <w:spacing w:after="0"/>
              <w:rPr>
                <w:sz w:val="12"/>
                <w:szCs w:val="12"/>
                <w:color w:val="auto"/>
              </w:rPr>
            </w:pPr>
          </w:p>
        </w:tc>
        <w:tc>
          <w:tcPr>
            <w:tcW w:w="1460" w:type="dxa"/>
            <w:vAlign w:val="bottom"/>
            <w:vMerge w:val="restart"/>
          </w:tcPr>
          <w:p>
            <w:pPr>
              <w:jc w:val="right"/>
              <w:ind w:right="808"/>
              <w:spacing w:after="0"/>
              <w:rPr>
                <w:sz w:val="20"/>
                <w:szCs w:val="20"/>
                <w:color w:val="auto"/>
              </w:rPr>
            </w:pPr>
            <w:r>
              <w:rPr>
                <w:rFonts w:ascii="Calibri" w:cs="Calibri" w:eastAsia="Calibri" w:hAnsi="Calibri"/>
                <w:sz w:val="17"/>
                <w:szCs w:val="17"/>
                <w:b w:val="1"/>
                <w:bCs w:val="1"/>
                <w:color w:val="FFFFFF"/>
              </w:rPr>
              <w:t>2</w:t>
            </w:r>
          </w:p>
        </w:tc>
        <w:tc>
          <w:tcPr>
            <w:tcW w:w="100" w:type="dxa"/>
            <w:vAlign w:val="bottom"/>
          </w:tcPr>
          <w:p>
            <w:pPr>
              <w:spacing w:after="0"/>
              <w:rPr>
                <w:sz w:val="12"/>
                <w:szCs w:val="12"/>
                <w:color w:val="auto"/>
              </w:rPr>
            </w:pPr>
          </w:p>
        </w:tc>
        <w:tc>
          <w:tcPr>
            <w:tcW w:w="480" w:type="dxa"/>
            <w:vAlign w:val="bottom"/>
            <w:tcBorders>
              <w:right w:val="single" w:sz="8" w:color="231F20"/>
            </w:tcBorders>
            <w:vMerge w:val="restart"/>
          </w:tcPr>
          <w:p>
            <w:pPr>
              <w:ind w:left="40"/>
              <w:spacing w:after="0"/>
              <w:rPr>
                <w:sz w:val="20"/>
                <w:szCs w:val="20"/>
                <w:color w:val="auto"/>
              </w:rPr>
            </w:pPr>
            <w:r>
              <w:rPr>
                <w:rFonts w:ascii="Calibri" w:cs="Calibri" w:eastAsia="Calibri" w:hAnsi="Calibri"/>
                <w:sz w:val="17"/>
                <w:szCs w:val="17"/>
                <w:color w:val="77787B"/>
              </w:rPr>
              <w:t>50s</w:t>
            </w:r>
          </w:p>
        </w:tc>
        <w:tc>
          <w:tcPr>
            <w:tcW w:w="260" w:type="dxa"/>
            <w:vAlign w:val="bottom"/>
            <w:tcBorders>
              <w:right w:val="single" w:sz="8" w:color="231F20"/>
            </w:tcBorders>
          </w:tcPr>
          <w:p>
            <w:pPr>
              <w:spacing w:after="0"/>
              <w:rPr>
                <w:sz w:val="12"/>
                <w:szCs w:val="12"/>
                <w:color w:val="auto"/>
              </w:rPr>
            </w:pPr>
          </w:p>
        </w:tc>
        <w:tc>
          <w:tcPr>
            <w:tcW w:w="740" w:type="dxa"/>
            <w:vAlign w:val="bottom"/>
            <w:vMerge w:val="restart"/>
          </w:tcPr>
          <w:p>
            <w:pPr>
              <w:jc w:val="right"/>
              <w:ind w:right="126"/>
              <w:spacing w:after="0"/>
              <w:rPr>
                <w:sz w:val="20"/>
                <w:szCs w:val="20"/>
                <w:color w:val="auto"/>
              </w:rPr>
            </w:pPr>
            <w:r>
              <w:rPr>
                <w:rFonts w:ascii="Calibri" w:cs="Calibri" w:eastAsia="Calibri" w:hAnsi="Calibri"/>
                <w:sz w:val="20"/>
                <w:szCs w:val="20"/>
                <w:b w:val="1"/>
                <w:bCs w:val="1"/>
                <w:color w:val="FFFFFF"/>
              </w:rPr>
              <w:t>3</w:t>
            </w:r>
          </w:p>
        </w:tc>
        <w:tc>
          <w:tcPr>
            <w:tcW w:w="1140" w:type="dxa"/>
            <w:vAlign w:val="bottom"/>
            <w:vMerge w:val="restart"/>
          </w:tcPr>
          <w:p>
            <w:pPr>
              <w:jc w:val="right"/>
              <w:ind w:right="223"/>
              <w:spacing w:after="0"/>
              <w:rPr>
                <w:sz w:val="20"/>
                <w:szCs w:val="20"/>
                <w:color w:val="auto"/>
              </w:rPr>
            </w:pPr>
            <w:r>
              <w:rPr>
                <w:rFonts w:ascii="Calibri" w:cs="Calibri" w:eastAsia="Calibri" w:hAnsi="Calibri"/>
                <w:sz w:val="20"/>
                <w:szCs w:val="20"/>
                <w:b w:val="1"/>
                <w:bCs w:val="1"/>
                <w:color w:val="FFFFFF"/>
              </w:rPr>
              <w:t>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right w:val="single" w:sz="8" w:color="231F20"/>
            </w:tcBorders>
            <w:vMerge w:val="restart"/>
          </w:tcPr>
          <w:p>
            <w:pPr>
              <w:ind w:left="20"/>
              <w:spacing w:after="0"/>
              <w:rPr>
                <w:sz w:val="20"/>
                <w:szCs w:val="20"/>
                <w:color w:val="auto"/>
              </w:rPr>
            </w:pPr>
            <w:r>
              <w:rPr>
                <w:rFonts w:ascii="Calibri" w:cs="Calibri" w:eastAsia="Calibri" w:hAnsi="Calibri"/>
                <w:sz w:val="17"/>
                <w:szCs w:val="17"/>
                <w:color w:val="77787B"/>
              </w:rPr>
              <w:t>&lt; 5 years</w:t>
            </w:r>
          </w:p>
        </w:tc>
        <w:tc>
          <w:tcPr>
            <w:tcW w:w="240" w:type="dxa"/>
            <w:vAlign w:val="bottom"/>
            <w:tcBorders>
              <w:right w:val="single" w:sz="8" w:color="231F20"/>
            </w:tcBorders>
          </w:tcPr>
          <w:p>
            <w:pPr>
              <w:spacing w:after="0"/>
              <w:rPr>
                <w:sz w:val="12"/>
                <w:szCs w:val="12"/>
                <w:color w:val="auto"/>
              </w:rPr>
            </w:pPr>
          </w:p>
        </w:tc>
        <w:tc>
          <w:tcPr>
            <w:tcW w:w="420" w:type="dxa"/>
            <w:vAlign w:val="bottom"/>
            <w:vMerge w:val="continue"/>
            <w:shd w:val="clear" w:color="auto" w:fill="EF3E29"/>
          </w:tcPr>
          <w:p>
            <w:pPr>
              <w:spacing w:after="0"/>
              <w:rPr>
                <w:sz w:val="12"/>
                <w:szCs w:val="12"/>
                <w:color w:val="auto"/>
              </w:rPr>
            </w:pPr>
          </w:p>
        </w:tc>
        <w:tc>
          <w:tcPr>
            <w:tcW w:w="220" w:type="dxa"/>
            <w:vAlign w:val="bottom"/>
            <w:shd w:val="clear" w:color="auto" w:fill="EF3E29"/>
          </w:tcPr>
          <w:p>
            <w:pPr>
              <w:spacing w:after="0"/>
              <w:rPr>
                <w:sz w:val="12"/>
                <w:szCs w:val="12"/>
                <w:color w:val="auto"/>
              </w:rPr>
            </w:pPr>
          </w:p>
        </w:tc>
        <w:tc>
          <w:tcPr>
            <w:tcW w:w="860" w:type="dxa"/>
            <w:vAlign w:val="bottom"/>
            <w:tcBorders>
              <w:right w:val="single" w:sz="8" w:color="231F20"/>
            </w:tcBorders>
            <w:vMerge w:val="restart"/>
          </w:tcPr>
          <w:p>
            <w:pPr>
              <w:spacing w:after="0"/>
              <w:rPr>
                <w:sz w:val="12"/>
                <w:szCs w:val="12"/>
                <w:color w:val="auto"/>
              </w:rPr>
            </w:pPr>
          </w:p>
        </w:tc>
        <w:tc>
          <w:tcPr>
            <w:tcW w:w="1540" w:type="dxa"/>
            <w:vAlign w:val="bottom"/>
            <w:tcBorders>
              <w:right w:val="single" w:sz="8" w:color="231F20"/>
            </w:tcBorders>
            <w:vMerge w:val="restart"/>
          </w:tcPr>
          <w:p>
            <w:pPr>
              <w:jc w:val="center"/>
              <w:ind w:right="297"/>
              <w:spacing w:after="0"/>
              <w:rPr>
                <w:sz w:val="20"/>
                <w:szCs w:val="20"/>
                <w:color w:val="auto"/>
              </w:rPr>
            </w:pPr>
            <w:r>
              <w:rPr>
                <w:rFonts w:ascii="Arial" w:cs="Arial" w:eastAsia="Arial" w:hAnsi="Arial"/>
                <w:sz w:val="17"/>
                <w:szCs w:val="17"/>
                <w:color w:val="EF3E29"/>
              </w:rPr>
              <w:t>43%</w:t>
            </w:r>
          </w:p>
        </w:tc>
        <w:tc>
          <w:tcPr>
            <w:tcW w:w="0" w:type="dxa"/>
            <w:vAlign w:val="bottom"/>
          </w:tcPr>
          <w:p>
            <w:pPr>
              <w:spacing w:after="0"/>
              <w:rPr>
                <w:sz w:val="1"/>
                <w:szCs w:val="1"/>
                <w:color w:val="auto"/>
              </w:rPr>
            </w:pPr>
          </w:p>
        </w:tc>
      </w:tr>
      <w:tr>
        <w:trPr>
          <w:trHeight w:val="135"/>
        </w:trPr>
        <w:tc>
          <w:tcPr>
            <w:tcW w:w="1080" w:type="dxa"/>
            <w:vAlign w:val="bottom"/>
            <w:tcBorders>
              <w:left w:val="single" w:sz="8" w:color="231F20"/>
            </w:tcBorders>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Borders>
              <w:bottom w:val="single" w:sz="8" w:color="EF3D27"/>
            </w:tcBorders>
            <w:shd w:val="clear" w:color="auto" w:fill="EF3D27"/>
          </w:tcPr>
          <w:p>
            <w:pPr>
              <w:spacing w:after="0"/>
              <w:rPr>
                <w:sz w:val="11"/>
                <w:szCs w:val="11"/>
                <w:color w:val="auto"/>
              </w:rPr>
            </w:pPr>
          </w:p>
        </w:tc>
        <w:tc>
          <w:tcPr>
            <w:tcW w:w="480" w:type="dxa"/>
            <w:vAlign w:val="bottom"/>
            <w:tcBorders>
              <w:right w:val="single" w:sz="8" w:color="231F20"/>
            </w:tcBorders>
            <w:vMerge w:val="continue"/>
          </w:tcPr>
          <w:p>
            <w:pPr>
              <w:spacing w:after="0"/>
              <w:rPr>
                <w:sz w:val="11"/>
                <w:szCs w:val="11"/>
                <w:color w:val="auto"/>
              </w:rPr>
            </w:pPr>
          </w:p>
        </w:tc>
        <w:tc>
          <w:tcPr>
            <w:tcW w:w="260" w:type="dxa"/>
            <w:vAlign w:val="bottom"/>
            <w:tcBorders>
              <w:right w:val="single" w:sz="8" w:color="231F20"/>
            </w:tcBorders>
          </w:tcPr>
          <w:p>
            <w:pPr>
              <w:spacing w:after="0"/>
              <w:rPr>
                <w:sz w:val="11"/>
                <w:szCs w:val="11"/>
                <w:color w:val="auto"/>
              </w:rPr>
            </w:pPr>
          </w:p>
        </w:tc>
        <w:tc>
          <w:tcPr>
            <w:tcW w:w="7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shd w:val="clear" w:color="auto" w:fill="EF3D27"/>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240" w:type="dxa"/>
            <w:vAlign w:val="bottom"/>
            <w:tcBorders>
              <w:right w:val="single" w:sz="8" w:color="231F20"/>
            </w:tcBorders>
          </w:tcPr>
          <w:p>
            <w:pPr>
              <w:spacing w:after="0"/>
              <w:rPr>
                <w:sz w:val="11"/>
                <w:szCs w:val="11"/>
                <w:color w:val="auto"/>
              </w:rPr>
            </w:pPr>
          </w:p>
        </w:tc>
        <w:tc>
          <w:tcPr>
            <w:tcW w:w="420" w:type="dxa"/>
            <w:vAlign w:val="bottom"/>
            <w:tcBorders>
              <w:bottom w:val="single" w:sz="8" w:color="EF3E29"/>
            </w:tcBorders>
            <w:shd w:val="clear" w:color="auto" w:fill="EF3E29"/>
          </w:tcPr>
          <w:p>
            <w:pPr>
              <w:spacing w:after="0"/>
              <w:rPr>
                <w:sz w:val="11"/>
                <w:szCs w:val="11"/>
                <w:color w:val="auto"/>
              </w:rPr>
            </w:pPr>
          </w:p>
        </w:tc>
        <w:tc>
          <w:tcPr>
            <w:tcW w:w="220" w:type="dxa"/>
            <w:vAlign w:val="bottom"/>
            <w:tcBorders>
              <w:bottom w:val="single" w:sz="8" w:color="EF3E29"/>
            </w:tcBorders>
            <w:shd w:val="clear" w:color="auto" w:fill="EF3E29"/>
          </w:tcPr>
          <w:p>
            <w:pPr>
              <w:spacing w:after="0"/>
              <w:rPr>
                <w:sz w:val="11"/>
                <w:szCs w:val="11"/>
                <w:color w:val="auto"/>
              </w:rPr>
            </w:pPr>
          </w:p>
        </w:tc>
        <w:tc>
          <w:tcPr>
            <w:tcW w:w="860" w:type="dxa"/>
            <w:vAlign w:val="bottom"/>
            <w:tcBorders>
              <w:right w:val="single" w:sz="8" w:color="231F20"/>
            </w:tcBorders>
            <w:vMerge w:val="continue"/>
          </w:tcPr>
          <w:p>
            <w:pPr>
              <w:spacing w:after="0"/>
              <w:rPr>
                <w:sz w:val="11"/>
                <w:szCs w:val="11"/>
                <w:color w:val="auto"/>
              </w:rPr>
            </w:pPr>
          </w:p>
        </w:tc>
        <w:tc>
          <w:tcPr>
            <w:tcW w:w="15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80" w:type="dxa"/>
            <w:vAlign w:val="bottom"/>
            <w:tcBorders>
              <w:left w:val="single" w:sz="8" w:color="231F20"/>
            </w:tcBorders>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right w:val="single" w:sz="8" w:color="231F20"/>
            </w:tcBorders>
            <w:vMerge w:val="restart"/>
          </w:tcPr>
          <w:p>
            <w:pPr>
              <w:ind w:left="40"/>
              <w:spacing w:after="0"/>
              <w:rPr>
                <w:sz w:val="20"/>
                <w:szCs w:val="20"/>
                <w:color w:val="auto"/>
              </w:rPr>
            </w:pPr>
            <w:r>
              <w:rPr>
                <w:rFonts w:ascii="Calibri" w:cs="Calibri" w:eastAsia="Calibri" w:hAnsi="Calibri"/>
                <w:sz w:val="17"/>
                <w:szCs w:val="17"/>
                <w:color w:val="77787B"/>
              </w:rPr>
              <w:t>60s</w:t>
            </w:r>
          </w:p>
        </w:tc>
        <w:tc>
          <w:tcPr>
            <w:tcW w:w="260" w:type="dxa"/>
            <w:vAlign w:val="bottom"/>
            <w:tcBorders>
              <w:right w:val="single" w:sz="8" w:color="231F20"/>
            </w:tcBorders>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right w:val="single" w:sz="8" w:color="231F20"/>
            </w:tcBorders>
            <w:vMerge w:val="restart"/>
          </w:tcPr>
          <w:p>
            <w:pPr>
              <w:ind w:left="20"/>
              <w:spacing w:after="0"/>
              <w:rPr>
                <w:sz w:val="20"/>
                <w:szCs w:val="20"/>
                <w:color w:val="auto"/>
              </w:rPr>
            </w:pPr>
            <w:r>
              <w:rPr>
                <w:rFonts w:ascii="Calibri" w:cs="Calibri" w:eastAsia="Calibri" w:hAnsi="Calibri"/>
                <w:sz w:val="17"/>
                <w:szCs w:val="17"/>
                <w:color w:val="77787B"/>
              </w:rPr>
              <w:t>5-10 years</w:t>
            </w:r>
          </w:p>
        </w:tc>
        <w:tc>
          <w:tcPr>
            <w:tcW w:w="240" w:type="dxa"/>
            <w:vAlign w:val="bottom"/>
            <w:tcBorders>
              <w:right w:val="single" w:sz="8" w:color="231F20"/>
            </w:tcBorders>
          </w:tcPr>
          <w:p>
            <w:pPr>
              <w:spacing w:after="0"/>
              <w:rPr>
                <w:sz w:val="14"/>
                <w:szCs w:val="14"/>
                <w:color w:val="auto"/>
              </w:rPr>
            </w:pPr>
          </w:p>
        </w:tc>
        <w:tc>
          <w:tcPr>
            <w:tcW w:w="420" w:type="dxa"/>
            <w:vAlign w:val="bottom"/>
            <w:tcBorders>
              <w:top w:val="single" w:sz="8" w:color="231F20"/>
            </w:tcBorders>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860" w:type="dxa"/>
            <w:vAlign w:val="bottom"/>
            <w:tcBorders>
              <w:top w:val="single" w:sz="8" w:color="231F20"/>
            </w:tcBorders>
          </w:tcPr>
          <w:p>
            <w:pPr>
              <w:spacing w:after="0"/>
              <w:rPr>
                <w:sz w:val="14"/>
                <w:szCs w:val="14"/>
                <w:color w:val="auto"/>
              </w:rPr>
            </w:pPr>
          </w:p>
        </w:tc>
        <w:tc>
          <w:tcPr>
            <w:tcW w:w="1540" w:type="dxa"/>
            <w:vAlign w:val="bottom"/>
            <w:tcBorders>
              <w:right w:val="single" w:sz="8" w:color="231F20"/>
            </w:tcBorders>
            <w:vMerge w:val="restart"/>
          </w:tcPr>
          <w:p>
            <w:pPr>
              <w:jc w:val="center"/>
              <w:ind w:right="297"/>
              <w:spacing w:after="0"/>
              <w:rPr>
                <w:sz w:val="20"/>
                <w:szCs w:val="20"/>
                <w:color w:val="auto"/>
              </w:rPr>
            </w:pPr>
            <w:r>
              <w:rPr>
                <w:rFonts w:ascii="Arial" w:cs="Arial" w:eastAsia="Arial" w:hAnsi="Arial"/>
                <w:sz w:val="17"/>
                <w:szCs w:val="17"/>
                <w:color w:val="EF3E29"/>
              </w:rPr>
              <w:t>Ethnic</w:t>
            </w:r>
          </w:p>
        </w:tc>
        <w:tc>
          <w:tcPr>
            <w:tcW w:w="0" w:type="dxa"/>
            <w:vAlign w:val="bottom"/>
          </w:tcPr>
          <w:p>
            <w:pPr>
              <w:spacing w:after="0"/>
              <w:rPr>
                <w:sz w:val="1"/>
                <w:szCs w:val="1"/>
                <w:color w:val="auto"/>
              </w:rPr>
            </w:pPr>
          </w:p>
        </w:tc>
      </w:tr>
      <w:tr>
        <w:trPr>
          <w:trHeight w:val="95"/>
        </w:trPr>
        <w:tc>
          <w:tcPr>
            <w:tcW w:w="1080" w:type="dxa"/>
            <w:vAlign w:val="bottom"/>
            <w:tcBorders>
              <w:left w:val="single" w:sz="8" w:color="231F20"/>
            </w:tcBorders>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Borders>
              <w:bottom w:val="single" w:sz="8" w:color="B2B4B6"/>
            </w:tcBorders>
            <w:shd w:val="clear" w:color="auto" w:fill="B2B4B6"/>
          </w:tcPr>
          <w:p>
            <w:pPr>
              <w:spacing w:after="0"/>
              <w:rPr>
                <w:sz w:val="8"/>
                <w:szCs w:val="8"/>
                <w:color w:val="auto"/>
              </w:rPr>
            </w:pPr>
          </w:p>
        </w:tc>
        <w:tc>
          <w:tcPr>
            <w:tcW w:w="480" w:type="dxa"/>
            <w:vAlign w:val="bottom"/>
            <w:tcBorders>
              <w:right w:val="single" w:sz="8" w:color="231F20"/>
            </w:tcBorders>
            <w:vMerge w:val="continue"/>
          </w:tcPr>
          <w:p>
            <w:pPr>
              <w:spacing w:after="0"/>
              <w:rPr>
                <w:sz w:val="8"/>
                <w:szCs w:val="8"/>
                <w:color w:val="auto"/>
              </w:rPr>
            </w:pPr>
          </w:p>
        </w:tc>
        <w:tc>
          <w:tcPr>
            <w:tcW w:w="260" w:type="dxa"/>
            <w:vAlign w:val="bottom"/>
            <w:tcBorders>
              <w:right w:val="single" w:sz="8" w:color="231F20"/>
            </w:tcBorders>
          </w:tcPr>
          <w:p>
            <w:pPr>
              <w:spacing w:after="0"/>
              <w:rPr>
                <w:sz w:val="8"/>
                <w:szCs w:val="8"/>
                <w:color w:val="auto"/>
              </w:rPr>
            </w:pPr>
          </w:p>
        </w:tc>
        <w:tc>
          <w:tcPr>
            <w:tcW w:w="7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shd w:val="clear" w:color="auto" w:fill="B2B4B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right w:val="single" w:sz="8" w:color="231F20"/>
            </w:tcBorders>
            <w:vMerge w:val="continue"/>
          </w:tcPr>
          <w:p>
            <w:pPr>
              <w:spacing w:after="0"/>
              <w:rPr>
                <w:sz w:val="8"/>
                <w:szCs w:val="8"/>
                <w:color w:val="auto"/>
              </w:rPr>
            </w:pPr>
          </w:p>
        </w:tc>
        <w:tc>
          <w:tcPr>
            <w:tcW w:w="240" w:type="dxa"/>
            <w:vAlign w:val="bottom"/>
            <w:tcBorders>
              <w:right w:val="single" w:sz="8" w:color="231F20"/>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80" w:type="dxa"/>
            <w:vAlign w:val="bottom"/>
            <w:tcBorders>
              <w:left w:val="single" w:sz="8" w:color="231F20"/>
            </w:tcBorders>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right w:val="single" w:sz="8" w:color="231F20"/>
            </w:tcBorders>
            <w:vMerge w:val="continue"/>
          </w:tcPr>
          <w:p>
            <w:pPr>
              <w:spacing w:after="0"/>
              <w:rPr>
                <w:sz w:val="4"/>
                <w:szCs w:val="4"/>
                <w:color w:val="auto"/>
              </w:rPr>
            </w:pPr>
          </w:p>
        </w:tc>
        <w:tc>
          <w:tcPr>
            <w:tcW w:w="260" w:type="dxa"/>
            <w:vAlign w:val="bottom"/>
            <w:tcBorders>
              <w:right w:val="single" w:sz="8" w:color="231F20"/>
            </w:tcBorders>
          </w:tcPr>
          <w:p>
            <w:pPr>
              <w:spacing w:after="0"/>
              <w:rPr>
                <w:sz w:val="4"/>
                <w:szCs w:val="4"/>
                <w:color w:val="auto"/>
              </w:rPr>
            </w:pPr>
          </w:p>
        </w:tc>
        <w:tc>
          <w:tcPr>
            <w:tcW w:w="7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right w:val="single" w:sz="8" w:color="231F20"/>
            </w:tcBorders>
            <w:vMerge w:val="continue"/>
          </w:tcPr>
          <w:p>
            <w:pPr>
              <w:spacing w:after="0"/>
              <w:rPr>
                <w:sz w:val="4"/>
                <w:szCs w:val="4"/>
                <w:color w:val="auto"/>
              </w:rPr>
            </w:pPr>
          </w:p>
        </w:tc>
        <w:tc>
          <w:tcPr>
            <w:tcW w:w="240" w:type="dxa"/>
            <w:vAlign w:val="bottom"/>
            <w:tcBorders>
              <w:right w:val="single" w:sz="8" w:color="231F20"/>
            </w:tcBorders>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Borders>
              <w:right w:val="single" w:sz="8" w:color="231F2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080" w:type="dxa"/>
            <w:vAlign w:val="bottom"/>
            <w:tcBorders>
              <w:left w:val="single" w:sz="8" w:color="231F20"/>
            </w:tcBorders>
            <w:vMerge w:val="restart"/>
          </w:tcPr>
          <w:p>
            <w:pPr>
              <w:ind w:left="940"/>
              <w:spacing w:after="0"/>
              <w:rPr>
                <w:sz w:val="20"/>
                <w:szCs w:val="20"/>
                <w:color w:val="auto"/>
              </w:rPr>
            </w:pPr>
            <w:r>
              <w:rPr>
                <w:rFonts w:ascii="Calibri" w:cs="Calibri" w:eastAsia="Calibri" w:hAnsi="Calibri"/>
                <w:sz w:val="17"/>
                <w:szCs w:val="17"/>
                <w:b w:val="1"/>
                <w:bCs w:val="1"/>
                <w:color w:val="231F20"/>
              </w:rPr>
              <w:t>4</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231F20"/>
            </w:tcBorders>
            <w:vMerge w:val="restart"/>
          </w:tcPr>
          <w:p>
            <w:pPr>
              <w:ind w:left="40"/>
              <w:spacing w:after="0"/>
              <w:rPr>
                <w:sz w:val="20"/>
                <w:szCs w:val="20"/>
                <w:color w:val="auto"/>
              </w:rPr>
            </w:pPr>
            <w:r>
              <w:rPr>
                <w:rFonts w:ascii="Calibri" w:cs="Calibri" w:eastAsia="Calibri" w:hAnsi="Calibri"/>
                <w:sz w:val="17"/>
                <w:szCs w:val="17"/>
                <w:color w:val="77787B"/>
              </w:rPr>
              <w:t>70s</w:t>
            </w:r>
          </w:p>
        </w:tc>
        <w:tc>
          <w:tcPr>
            <w:tcW w:w="260" w:type="dxa"/>
            <w:vAlign w:val="bottom"/>
            <w:tcBorders>
              <w:right w:val="single" w:sz="8" w:color="231F20"/>
            </w:tcBorders>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right w:val="single" w:sz="8" w:color="231F20"/>
            </w:tcBorders>
            <w:vMerge w:val="restart"/>
          </w:tcPr>
          <w:p>
            <w:pPr>
              <w:ind w:left="20"/>
              <w:spacing w:after="0"/>
              <w:rPr>
                <w:sz w:val="20"/>
                <w:szCs w:val="20"/>
                <w:color w:val="auto"/>
              </w:rPr>
            </w:pPr>
            <w:r>
              <w:rPr>
                <w:rFonts w:ascii="Calibri" w:cs="Calibri" w:eastAsia="Calibri" w:hAnsi="Calibri"/>
                <w:sz w:val="17"/>
                <w:szCs w:val="17"/>
                <w:color w:val="77787B"/>
              </w:rPr>
              <w:t>&gt; 10 years</w:t>
            </w:r>
          </w:p>
        </w:tc>
        <w:tc>
          <w:tcPr>
            <w:tcW w:w="240" w:type="dxa"/>
            <w:vAlign w:val="bottom"/>
            <w:tcBorders>
              <w:right w:val="single" w:sz="8" w:color="231F20"/>
            </w:tcBorders>
          </w:tcPr>
          <w:p>
            <w:pPr>
              <w:spacing w:after="0"/>
              <w:rPr>
                <w:sz w:val="12"/>
                <w:szCs w:val="12"/>
                <w:color w:val="auto"/>
              </w:rPr>
            </w:pPr>
          </w:p>
        </w:tc>
        <w:tc>
          <w:tcPr>
            <w:tcW w:w="420" w:type="dxa"/>
            <w:vAlign w:val="bottom"/>
            <w:tcBorders>
              <w:bottom w:val="single" w:sz="8" w:color="231F20"/>
            </w:tcBorders>
          </w:tcPr>
          <w:p>
            <w:pPr>
              <w:spacing w:after="0"/>
              <w:rPr>
                <w:sz w:val="12"/>
                <w:szCs w:val="12"/>
                <w:color w:val="auto"/>
              </w:rPr>
            </w:pPr>
          </w:p>
        </w:tc>
        <w:tc>
          <w:tcPr>
            <w:tcW w:w="220" w:type="dxa"/>
            <w:vAlign w:val="bottom"/>
            <w:tcBorders>
              <w:bottom w:val="single" w:sz="8" w:color="231F20"/>
            </w:tcBorders>
          </w:tcPr>
          <w:p>
            <w:pPr>
              <w:spacing w:after="0"/>
              <w:rPr>
                <w:sz w:val="12"/>
                <w:szCs w:val="12"/>
                <w:color w:val="auto"/>
              </w:rPr>
            </w:pPr>
          </w:p>
        </w:tc>
        <w:tc>
          <w:tcPr>
            <w:tcW w:w="860" w:type="dxa"/>
            <w:vAlign w:val="bottom"/>
            <w:tcBorders>
              <w:bottom w:val="single" w:sz="8" w:color="231F20"/>
            </w:tcBorders>
          </w:tcPr>
          <w:p>
            <w:pPr>
              <w:spacing w:after="0"/>
              <w:rPr>
                <w:sz w:val="12"/>
                <w:szCs w:val="12"/>
                <w:color w:val="auto"/>
              </w:rPr>
            </w:pPr>
          </w:p>
        </w:tc>
        <w:tc>
          <w:tcPr>
            <w:tcW w:w="1540" w:type="dxa"/>
            <w:vAlign w:val="bottom"/>
            <w:tcBorders>
              <w:right w:val="single" w:sz="8" w:color="231F2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080" w:type="dxa"/>
            <w:vAlign w:val="bottom"/>
            <w:tcBorders>
              <w:left w:val="single" w:sz="8" w:color="231F20"/>
            </w:tcBorders>
            <w:vMerge w:val="continue"/>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shd w:val="clear" w:color="auto" w:fill="262525"/>
          </w:tcPr>
          <w:p>
            <w:pPr>
              <w:spacing w:after="0"/>
              <w:rPr>
                <w:sz w:val="8"/>
                <w:szCs w:val="8"/>
                <w:color w:val="auto"/>
              </w:rPr>
            </w:pPr>
          </w:p>
        </w:tc>
        <w:tc>
          <w:tcPr>
            <w:tcW w:w="480" w:type="dxa"/>
            <w:vAlign w:val="bottom"/>
            <w:tcBorders>
              <w:right w:val="single" w:sz="8" w:color="231F20"/>
            </w:tcBorders>
            <w:vMerge w:val="continue"/>
          </w:tcPr>
          <w:p>
            <w:pPr>
              <w:spacing w:after="0"/>
              <w:rPr>
                <w:sz w:val="8"/>
                <w:szCs w:val="8"/>
                <w:color w:val="auto"/>
              </w:rPr>
            </w:pPr>
          </w:p>
        </w:tc>
        <w:tc>
          <w:tcPr>
            <w:tcW w:w="260" w:type="dxa"/>
            <w:vAlign w:val="bottom"/>
            <w:tcBorders>
              <w:right w:val="single" w:sz="8" w:color="231F20"/>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shd w:val="clear" w:color="auto" w:fill="262525"/>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right w:val="single" w:sz="8" w:color="231F20"/>
            </w:tcBorders>
            <w:vMerge w:val="continue"/>
          </w:tcPr>
          <w:p>
            <w:pPr>
              <w:spacing w:after="0"/>
              <w:rPr>
                <w:sz w:val="8"/>
                <w:szCs w:val="8"/>
                <w:color w:val="auto"/>
              </w:rPr>
            </w:pPr>
          </w:p>
        </w:tc>
        <w:tc>
          <w:tcPr>
            <w:tcW w:w="240" w:type="dxa"/>
            <w:vAlign w:val="bottom"/>
            <w:tcBorders>
              <w:right w:val="single" w:sz="8" w:color="231F20"/>
            </w:tcBorders>
          </w:tcPr>
          <w:p>
            <w:pPr>
              <w:spacing w:after="0"/>
              <w:rPr>
                <w:sz w:val="8"/>
                <w:szCs w:val="8"/>
                <w:color w:val="auto"/>
              </w:rPr>
            </w:pPr>
          </w:p>
        </w:tc>
        <w:tc>
          <w:tcPr>
            <w:tcW w:w="420" w:type="dxa"/>
            <w:vAlign w:val="bottom"/>
            <w:shd w:val="clear" w:color="auto" w:fill="231F20"/>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right w:val="single" w:sz="8" w:color="231F20"/>
            </w:tcBorders>
          </w:tcPr>
          <w:p>
            <w:pPr>
              <w:spacing w:after="0"/>
              <w:rPr>
                <w:sz w:val="8"/>
                <w:szCs w:val="8"/>
                <w:color w:val="auto"/>
              </w:rPr>
            </w:pPr>
          </w:p>
        </w:tc>
        <w:tc>
          <w:tcPr>
            <w:tcW w:w="154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080" w:type="dxa"/>
            <w:vAlign w:val="bottom"/>
            <w:tcBorders>
              <w:left w:val="single" w:sz="8" w:color="231F20"/>
            </w:tcBorders>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right w:val="single" w:sz="8" w:color="231F20"/>
            </w:tcBorders>
          </w:tcPr>
          <w:p>
            <w:pPr>
              <w:spacing w:after="0"/>
              <w:rPr>
                <w:sz w:val="18"/>
                <w:szCs w:val="18"/>
                <w:color w:val="auto"/>
              </w:rPr>
            </w:pPr>
          </w:p>
        </w:tc>
        <w:tc>
          <w:tcPr>
            <w:tcW w:w="260" w:type="dxa"/>
            <w:vAlign w:val="bottom"/>
            <w:tcBorders>
              <w:right w:val="single" w:sz="8" w:color="231F20"/>
            </w:tcBorders>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ind w:right="723"/>
              <w:spacing w:after="0" w:line="208" w:lineRule="exact"/>
              <w:rPr>
                <w:sz w:val="20"/>
                <w:szCs w:val="20"/>
                <w:color w:val="auto"/>
              </w:rPr>
            </w:pPr>
            <w:r>
              <w:rPr>
                <w:rFonts w:ascii="Calibri" w:cs="Calibri" w:eastAsia="Calibri" w:hAnsi="Calibri"/>
                <w:sz w:val="20"/>
                <w:szCs w:val="20"/>
                <w:b w:val="1"/>
                <w:bCs w:val="1"/>
                <w:color w:val="231F20"/>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right w:val="single" w:sz="8" w:color="231F20"/>
            </w:tcBorders>
          </w:tcPr>
          <w:p>
            <w:pPr>
              <w:spacing w:after="0"/>
              <w:rPr>
                <w:sz w:val="18"/>
                <w:szCs w:val="18"/>
                <w:color w:val="auto"/>
              </w:rPr>
            </w:pPr>
          </w:p>
        </w:tc>
        <w:tc>
          <w:tcPr>
            <w:tcW w:w="240" w:type="dxa"/>
            <w:vAlign w:val="bottom"/>
            <w:tcBorders>
              <w:right w:val="single" w:sz="8" w:color="231F20"/>
            </w:tcBorders>
          </w:tcPr>
          <w:p>
            <w:pPr>
              <w:spacing w:after="0"/>
              <w:rPr>
                <w:sz w:val="18"/>
                <w:szCs w:val="18"/>
                <w:color w:val="auto"/>
              </w:rPr>
            </w:pPr>
          </w:p>
        </w:tc>
        <w:tc>
          <w:tcPr>
            <w:tcW w:w="420" w:type="dxa"/>
            <w:vAlign w:val="bottom"/>
            <w:shd w:val="clear" w:color="auto" w:fill="231F20"/>
          </w:tcPr>
          <w:p>
            <w:pPr>
              <w:jc w:val="right"/>
              <w:ind w:right="66"/>
              <w:spacing w:after="0" w:line="208" w:lineRule="exact"/>
              <w:rPr>
                <w:sz w:val="20"/>
                <w:szCs w:val="20"/>
                <w:color w:val="auto"/>
              </w:rPr>
            </w:pPr>
            <w:r>
              <w:rPr>
                <w:rFonts w:ascii="Arial" w:cs="Arial" w:eastAsia="Arial" w:hAnsi="Arial"/>
                <w:sz w:val="19"/>
                <w:szCs w:val="19"/>
                <w:color w:val="FFFFFF"/>
              </w:rPr>
              <w:t>2</w:t>
            </w:r>
          </w:p>
        </w:tc>
        <w:tc>
          <w:tcPr>
            <w:tcW w:w="220" w:type="dxa"/>
            <w:vAlign w:val="bottom"/>
          </w:tcPr>
          <w:p>
            <w:pPr>
              <w:spacing w:after="0"/>
              <w:rPr>
                <w:sz w:val="18"/>
                <w:szCs w:val="18"/>
                <w:color w:val="auto"/>
              </w:rPr>
            </w:pPr>
          </w:p>
        </w:tc>
        <w:tc>
          <w:tcPr>
            <w:tcW w:w="860" w:type="dxa"/>
            <w:vAlign w:val="bottom"/>
            <w:tcBorders>
              <w:right w:val="single" w:sz="8" w:color="231F20"/>
            </w:tcBorders>
          </w:tcPr>
          <w:p>
            <w:pPr>
              <w:spacing w:after="0"/>
              <w:rPr>
                <w:sz w:val="18"/>
                <w:szCs w:val="18"/>
                <w:color w:val="auto"/>
              </w:rPr>
            </w:pPr>
          </w:p>
        </w:tc>
        <w:tc>
          <w:tcPr>
            <w:tcW w:w="1540" w:type="dxa"/>
            <w:vAlign w:val="bottom"/>
            <w:tcBorders>
              <w:right w:val="single" w:sz="8" w:color="231F20"/>
            </w:tcBorders>
          </w:tcPr>
          <w:p>
            <w:pPr>
              <w:jc w:val="center"/>
              <w:ind w:right="297"/>
              <w:spacing w:after="0"/>
              <w:rPr>
                <w:sz w:val="20"/>
                <w:szCs w:val="20"/>
                <w:color w:val="auto"/>
              </w:rPr>
            </w:pPr>
            <w:r>
              <w:rPr>
                <w:rFonts w:ascii="Arial" w:cs="Arial" w:eastAsia="Arial" w:hAnsi="Arial"/>
                <w:sz w:val="17"/>
                <w:szCs w:val="17"/>
                <w:color w:val="EF3E29"/>
              </w:rPr>
              <w:t>Minority</w:t>
            </w:r>
          </w:p>
        </w:tc>
        <w:tc>
          <w:tcPr>
            <w:tcW w:w="0" w:type="dxa"/>
            <w:vAlign w:val="bottom"/>
          </w:tcPr>
          <w:p>
            <w:pPr>
              <w:spacing w:after="0"/>
              <w:rPr>
                <w:sz w:val="1"/>
                <w:szCs w:val="1"/>
                <w:color w:val="auto"/>
              </w:rPr>
            </w:pPr>
          </w:p>
        </w:tc>
      </w:tr>
      <w:tr>
        <w:trPr>
          <w:trHeight w:val="135"/>
        </w:trPr>
        <w:tc>
          <w:tcPr>
            <w:tcW w:w="1080" w:type="dxa"/>
            <w:vAlign w:val="bottom"/>
            <w:tcBorders>
              <w:left w:val="single" w:sz="8" w:color="231F20"/>
            </w:tcBorders>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231F20"/>
            </w:tcBorders>
          </w:tcPr>
          <w:p>
            <w:pPr>
              <w:spacing w:after="0"/>
              <w:rPr>
                <w:sz w:val="11"/>
                <w:szCs w:val="11"/>
                <w:color w:val="auto"/>
              </w:rPr>
            </w:pPr>
          </w:p>
        </w:tc>
        <w:tc>
          <w:tcPr>
            <w:tcW w:w="260" w:type="dxa"/>
            <w:vAlign w:val="bottom"/>
            <w:tcBorders>
              <w:right w:val="single" w:sz="8" w:color="231F20"/>
            </w:tcBorders>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240" w:type="dxa"/>
            <w:vAlign w:val="bottom"/>
            <w:tcBorders>
              <w:right w:val="single" w:sz="8" w:color="231F20"/>
            </w:tcBorders>
          </w:tcPr>
          <w:p>
            <w:pPr>
              <w:spacing w:after="0"/>
              <w:rPr>
                <w:sz w:val="11"/>
                <w:szCs w:val="11"/>
                <w:color w:val="auto"/>
              </w:rPr>
            </w:pPr>
          </w:p>
        </w:tc>
        <w:tc>
          <w:tcPr>
            <w:tcW w:w="420" w:type="dxa"/>
            <w:vAlign w:val="bottom"/>
            <w:tcBorders>
              <w:bottom w:val="single" w:sz="8" w:color="231F20"/>
            </w:tcBorders>
            <w:shd w:val="clear" w:color="auto" w:fill="231F20"/>
          </w:tcPr>
          <w:p>
            <w:pPr>
              <w:spacing w:after="0"/>
              <w:rPr>
                <w:sz w:val="11"/>
                <w:szCs w:val="11"/>
                <w:color w:val="auto"/>
              </w:rPr>
            </w:pPr>
          </w:p>
        </w:tc>
        <w:tc>
          <w:tcPr>
            <w:tcW w:w="220" w:type="dxa"/>
            <w:vAlign w:val="bottom"/>
            <w:tcBorders>
              <w:bottom w:val="single" w:sz="8" w:color="231F20"/>
            </w:tcBorders>
          </w:tcPr>
          <w:p>
            <w:pPr>
              <w:spacing w:after="0"/>
              <w:rPr>
                <w:sz w:val="11"/>
                <w:szCs w:val="11"/>
                <w:color w:val="auto"/>
              </w:rPr>
            </w:pPr>
          </w:p>
        </w:tc>
        <w:tc>
          <w:tcPr>
            <w:tcW w:w="860" w:type="dxa"/>
            <w:vAlign w:val="bottom"/>
            <w:tcBorders>
              <w:bottom w:val="single" w:sz="8" w:color="231F20"/>
              <w:right w:val="single" w:sz="8" w:color="231F20"/>
            </w:tcBorders>
          </w:tcPr>
          <w:p>
            <w:pPr>
              <w:spacing w:after="0"/>
              <w:rPr>
                <w:sz w:val="11"/>
                <w:szCs w:val="11"/>
                <w:color w:val="auto"/>
              </w:rPr>
            </w:pPr>
          </w:p>
        </w:tc>
        <w:tc>
          <w:tcPr>
            <w:tcW w:w="1540" w:type="dxa"/>
            <w:vAlign w:val="bottom"/>
            <w:tcBorders>
              <w:right w:val="single" w:sz="8" w:color="231F20"/>
            </w:tcBorders>
          </w:tcPr>
          <w:p>
            <w:pPr>
              <w:jc w:val="center"/>
              <w:ind w:right="357"/>
              <w:spacing w:after="0" w:line="135" w:lineRule="exact"/>
              <w:rPr>
                <w:sz w:val="20"/>
                <w:szCs w:val="20"/>
                <w:color w:val="auto"/>
              </w:rPr>
            </w:pPr>
            <w:r>
              <w:rPr>
                <w:rFonts w:ascii="Arial" w:cs="Arial" w:eastAsia="Arial" w:hAnsi="Arial"/>
                <w:sz w:val="15"/>
                <w:szCs w:val="15"/>
                <w:color w:val="EF3E29"/>
              </w:rPr>
              <w:t>29%</w:t>
            </w:r>
          </w:p>
        </w:tc>
        <w:tc>
          <w:tcPr>
            <w:tcW w:w="0" w:type="dxa"/>
            <w:vAlign w:val="bottom"/>
          </w:tcPr>
          <w:p>
            <w:pPr>
              <w:spacing w:after="0"/>
              <w:rPr>
                <w:sz w:val="1"/>
                <w:szCs w:val="1"/>
                <w:color w:val="auto"/>
              </w:rPr>
            </w:pPr>
          </w:p>
        </w:tc>
      </w:tr>
      <w:tr>
        <w:trPr>
          <w:trHeight w:val="243"/>
        </w:trPr>
        <w:tc>
          <w:tcPr>
            <w:tcW w:w="1080" w:type="dxa"/>
            <w:vAlign w:val="bottom"/>
            <w:tcBorders>
              <w:left w:val="single" w:sz="8" w:color="231F20"/>
              <w:bottom w:val="single" w:sz="8" w:color="231F20"/>
            </w:tcBorders>
          </w:tcPr>
          <w:p>
            <w:pPr>
              <w:spacing w:after="0"/>
              <w:rPr>
                <w:sz w:val="21"/>
                <w:szCs w:val="21"/>
                <w:color w:val="auto"/>
              </w:rPr>
            </w:pPr>
          </w:p>
        </w:tc>
        <w:tc>
          <w:tcPr>
            <w:tcW w:w="146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480" w:type="dxa"/>
            <w:vAlign w:val="bottom"/>
            <w:tcBorders>
              <w:bottom w:val="single" w:sz="8" w:color="231F20"/>
              <w:right w:val="single" w:sz="8" w:color="231F20"/>
            </w:tcBorders>
          </w:tcPr>
          <w:p>
            <w:pPr>
              <w:spacing w:after="0"/>
              <w:rPr>
                <w:sz w:val="21"/>
                <w:szCs w:val="21"/>
                <w:color w:val="auto"/>
              </w:rPr>
            </w:pPr>
          </w:p>
        </w:tc>
        <w:tc>
          <w:tcPr>
            <w:tcW w:w="260" w:type="dxa"/>
            <w:vAlign w:val="bottom"/>
            <w:tcBorders>
              <w:right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right w:val="single" w:sz="8" w:color="231F20"/>
            </w:tcBorders>
          </w:tcPr>
          <w:p>
            <w:pPr>
              <w:spacing w:after="0"/>
              <w:rPr>
                <w:sz w:val="21"/>
                <w:szCs w:val="21"/>
                <w:color w:val="auto"/>
              </w:rPr>
            </w:pPr>
          </w:p>
        </w:tc>
        <w:tc>
          <w:tcPr>
            <w:tcW w:w="240" w:type="dxa"/>
            <w:vAlign w:val="bottom"/>
            <w:tcBorders>
              <w:right w:val="single" w:sz="8" w:color="231F20"/>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3120" w:type="dxa"/>
            <w:vAlign w:val="bottom"/>
            <w:gridSpan w:val="4"/>
          </w:tcPr>
          <w:p>
            <w:pPr>
              <w:jc w:val="center"/>
              <w:spacing w:after="0"/>
              <w:rPr>
                <w:sz w:val="20"/>
                <w:szCs w:val="20"/>
                <w:color w:val="auto"/>
              </w:rPr>
            </w:pPr>
            <w:r>
              <w:rPr>
                <w:rFonts w:ascii="Arial" w:cs="Arial" w:eastAsia="Arial" w:hAnsi="Arial"/>
                <w:sz w:val="18"/>
                <w:szCs w:val="18"/>
                <w:color w:val="231F20"/>
              </w:rPr>
              <w:t>Average age of independent trustees</w:t>
            </w:r>
          </w:p>
        </w:tc>
        <w:tc>
          <w:tcPr>
            <w:tcW w:w="260" w:type="dxa"/>
            <w:vAlign w:val="bottom"/>
          </w:tcPr>
          <w:p>
            <w:pPr>
              <w:spacing w:after="0"/>
              <w:rPr>
                <w:sz w:val="24"/>
                <w:szCs w:val="24"/>
                <w:color w:val="auto"/>
              </w:rPr>
            </w:pPr>
          </w:p>
        </w:tc>
        <w:tc>
          <w:tcPr>
            <w:tcW w:w="3180" w:type="dxa"/>
            <w:vAlign w:val="bottom"/>
            <w:gridSpan w:val="5"/>
          </w:tcPr>
          <w:p>
            <w:pPr>
              <w:jc w:val="center"/>
              <w:spacing w:after="0"/>
              <w:rPr>
                <w:sz w:val="20"/>
                <w:szCs w:val="20"/>
                <w:color w:val="auto"/>
              </w:rPr>
            </w:pPr>
            <w:r>
              <w:rPr>
                <w:rFonts w:ascii="Arial" w:cs="Arial" w:eastAsia="Arial" w:hAnsi="Arial"/>
                <w:sz w:val="18"/>
                <w:szCs w:val="18"/>
                <w:color w:val="231F20"/>
                <w:w w:val="99"/>
              </w:rPr>
              <w:t>Average tenure of independent trustees</w:t>
            </w:r>
          </w:p>
        </w:tc>
        <w:tc>
          <w:tcPr>
            <w:tcW w:w="240" w:type="dxa"/>
            <w:vAlign w:val="bottom"/>
          </w:tcPr>
          <w:p>
            <w:pPr>
              <w:spacing w:after="0"/>
              <w:rPr>
                <w:sz w:val="24"/>
                <w:szCs w:val="24"/>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231F20"/>
                <w:w w:val="99"/>
              </w:rPr>
              <w:t>Committees chaired by women</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1460" w:type="dxa"/>
            <w:vAlign w:val="bottom"/>
          </w:tcPr>
          <w:p>
            <w:pPr>
              <w:jc w:val="center"/>
              <w:ind w:right="408"/>
              <w:spacing w:after="0"/>
              <w:rPr>
                <w:sz w:val="20"/>
                <w:szCs w:val="20"/>
                <w:color w:val="auto"/>
              </w:rPr>
            </w:pPr>
            <w:r>
              <w:rPr>
                <w:rFonts w:ascii="Arial" w:cs="Arial" w:eastAsia="Arial" w:hAnsi="Arial"/>
                <w:sz w:val="18"/>
                <w:szCs w:val="18"/>
                <w:b w:val="1"/>
                <w:bCs w:val="1"/>
                <w:color w:val="EF3E2A"/>
              </w:rPr>
              <w:t>63.3 years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gridSpan w:val="3"/>
          </w:tcPr>
          <w:p>
            <w:pPr>
              <w:jc w:val="center"/>
              <w:ind w:left="303"/>
              <w:spacing w:after="0"/>
              <w:rPr>
                <w:sz w:val="20"/>
                <w:szCs w:val="20"/>
                <w:color w:val="auto"/>
              </w:rPr>
            </w:pPr>
            <w:r>
              <w:rPr>
                <w:rFonts w:ascii="Arial" w:cs="Arial" w:eastAsia="Arial" w:hAnsi="Arial"/>
                <w:sz w:val="18"/>
                <w:szCs w:val="18"/>
                <w:b w:val="1"/>
                <w:bCs w:val="1"/>
                <w:color w:val="EF3E2A"/>
              </w:rPr>
              <w:t>9.3 years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57"/>
              <w:spacing w:after="0"/>
              <w:rPr>
                <w:sz w:val="20"/>
                <w:szCs w:val="20"/>
                <w:color w:val="auto"/>
              </w:rPr>
            </w:pPr>
            <w:r>
              <w:rPr>
                <w:rFonts w:ascii="Arial" w:cs="Arial" w:eastAsia="Arial" w:hAnsi="Arial"/>
                <w:sz w:val="18"/>
                <w:szCs w:val="18"/>
                <w:b w:val="1"/>
                <w:bCs w:val="1"/>
                <w:color w:val="EF3E2A"/>
                <w:w w:val="99"/>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-1487805</wp:posOffset>
            </wp:positionV>
            <wp:extent cx="986155" cy="9893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64">
                      <a:extLst>
                        <a:ext uri="{28A0092B-C50C-407E-A947-70E740481C1C}"/>
                      </a:extLst>
                    </a:blip>
                    <a:srcRect/>
                    <a:stretch>
                      <a:fillRect/>
                    </a:stretch>
                  </pic:blipFill>
                  <pic:spPr bwMode="auto">
                    <a:xfrm>
                      <a:off x="0" y="0"/>
                      <a:ext cx="986155" cy="98933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-1482090</wp:posOffset>
            </wp:positionV>
            <wp:extent cx="986790" cy="944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5">
                      <a:extLst>
                        <a:ext uri="{28A0092B-C50C-407E-A947-70E740481C1C}"/>
                      </a:extLst>
                    </a:blip>
                    <a:srcRect/>
                    <a:stretch>
                      <a:fillRect/>
                    </a:stretch>
                  </pic:blipFill>
                  <pic:spPr bwMode="auto">
                    <a:xfrm>
                      <a:off x="0" y="0"/>
                      <a:ext cx="986790" cy="944880"/>
                    </a:xfrm>
                    <a:prstGeom prst="rect">
                      <a:avLst/>
                    </a:prstGeom>
                    <a:noFill/>
                  </pic:spPr>
                </pic:pic>
              </a:graphicData>
            </a:graphic>
          </wp:anchor>
        </w:drawing>
      </w:r>
    </w:p>
    <w:p>
      <w:pPr>
        <w:spacing w:after="0" w:line="19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OUR NOMINEES</w:t>
      </w:r>
    </w:p>
    <w:p>
      <w:pPr>
        <w:spacing w:after="0" w:line="25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following biographical descriptions set forth certain information with respect to each nominee for election at the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4057650</wp:posOffset>
                </wp:positionV>
                <wp:extent cx="6400800" cy="17780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48" o:spid="_x0000_s1273" style="position:absolute;margin-left:0pt;margin-top:319.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4057650</wp:posOffset>
                </wp:positionV>
                <wp:extent cx="0" cy="17780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19.5pt" to="0.5pt,33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4064000</wp:posOffset>
                </wp:positionV>
                <wp:extent cx="64008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0pt" to="504pt,320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4057650</wp:posOffset>
                </wp:positionV>
                <wp:extent cx="0" cy="17780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19.5pt" to="503.5pt,33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4229100</wp:posOffset>
                </wp:positionV>
                <wp:extent cx="640080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3pt" to="504pt,333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13</w:t>
      </w:r>
    </w:p>
    <w:p>
      <w:pPr>
        <w:sectPr>
          <w:pgSz w:w="12240" w:h="15840" w:orient="portrait"/>
          <w:cols w:equalWidth="0" w:num="1">
            <w:col w:w="10080"/>
          </w:cols>
          <w:pgMar w:left="1080" w:top="1440" w:right="1080" w:bottom="944" w:gutter="0" w:footer="0" w:header="0"/>
          <w:type w:val="continuous"/>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914400</wp:posOffset>
            </wp:positionV>
            <wp:extent cx="6400800" cy="78860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6">
                      <a:extLst>
                        <a:ext uri="{28A0092B-C50C-407E-A947-70E740481C1C}"/>
                      </a:extLst>
                    </a:blip>
                    <a:srcRect/>
                    <a:stretch>
                      <a:fillRect/>
                    </a:stretch>
                  </pic:blipFill>
                  <pic:spPr bwMode="auto">
                    <a:xfrm>
                      <a:off x="0" y="0"/>
                      <a:ext cx="6400800" cy="7886065"/>
                    </a:xfrm>
                    <a:prstGeom prst="rect">
                      <a:avLst/>
                    </a:prstGeom>
                    <a:noFill/>
                  </pic:spPr>
                </pic:pic>
              </a:graphicData>
            </a:graphic>
          </wp:anchor>
        </w:drawing>
      </w:r>
    </w:p>
    <w:p>
      <w:pPr>
        <w:spacing w:after="0" w:line="238"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231F20"/>
        </w:rPr>
        <w:t>DAVID W. FAEDER</w:t>
      </w:r>
    </w:p>
    <w:p>
      <w:pPr>
        <w:ind w:left="2420"/>
        <w:spacing w:after="0"/>
        <w:rPr>
          <w:sz w:val="20"/>
          <w:szCs w:val="20"/>
          <w:color w:val="auto"/>
        </w:rPr>
      </w:pPr>
      <w:r>
        <w:rPr>
          <w:rFonts w:ascii="Arial" w:cs="Arial" w:eastAsia="Arial" w:hAnsi="Arial"/>
          <w:sz w:val="20"/>
          <w:szCs w:val="20"/>
          <w:color w:val="231F20"/>
        </w:rPr>
        <w:t>Age: 67</w:t>
      </w:r>
    </w:p>
    <w:p>
      <w:pPr>
        <w:ind w:left="2420"/>
        <w:spacing w:after="0"/>
        <w:rPr>
          <w:sz w:val="20"/>
          <w:szCs w:val="20"/>
          <w:color w:val="auto"/>
        </w:rPr>
      </w:pPr>
      <w:r>
        <w:rPr>
          <w:rFonts w:ascii="Arial" w:cs="Arial" w:eastAsia="Arial" w:hAnsi="Arial"/>
          <w:sz w:val="20"/>
          <w:szCs w:val="20"/>
          <w:color w:val="231F20"/>
        </w:rPr>
        <w:t>Trustee Since: 2003</w:t>
      </w:r>
    </w:p>
    <w:p>
      <w:pPr>
        <w:ind w:left="2420"/>
        <w:spacing w:after="0"/>
        <w:rPr>
          <w:sz w:val="20"/>
          <w:szCs w:val="20"/>
          <w:color w:val="auto"/>
        </w:rPr>
      </w:pPr>
      <w:r>
        <w:rPr>
          <w:rFonts w:ascii="Arial" w:cs="Arial" w:eastAsia="Arial" w:hAnsi="Arial"/>
          <w:sz w:val="20"/>
          <w:szCs w:val="20"/>
          <w:b w:val="1"/>
          <w:bCs w:val="1"/>
          <w:color w:val="231F20"/>
        </w:rPr>
        <w:t>Non-Executive Chairman</w:t>
      </w:r>
    </w:p>
    <w:p>
      <w:pPr>
        <w:ind w:left="2420"/>
        <w:spacing w:after="0"/>
        <w:rPr>
          <w:sz w:val="20"/>
          <w:szCs w:val="20"/>
          <w:color w:val="auto"/>
        </w:rPr>
      </w:pPr>
      <w:r>
        <w:rPr>
          <w:rFonts w:ascii="Arial" w:cs="Arial" w:eastAsia="Arial" w:hAnsi="Arial"/>
          <w:sz w:val="20"/>
          <w:szCs w:val="20"/>
          <w:color w:val="231F20"/>
        </w:rPr>
        <w:t>Managing Partner of</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9"/>
          <w:szCs w:val="19"/>
          <w:color w:val="231F20"/>
        </w:rPr>
        <w:t>Fountain Square Properties</w:t>
      </w:r>
    </w:p>
    <w:p>
      <w:pPr>
        <w:spacing w:after="0" w:line="7" w:lineRule="exact"/>
        <w:rPr>
          <w:sz w:val="20"/>
          <w:szCs w:val="20"/>
          <w:color w:val="auto"/>
        </w:rPr>
      </w:pPr>
    </w:p>
    <w:p>
      <w:pPr>
        <w:ind w:left="2420"/>
        <w:spacing w:after="0"/>
        <w:rPr>
          <w:sz w:val="20"/>
          <w:szCs w:val="20"/>
          <w:color w:val="auto"/>
        </w:rPr>
      </w:pPr>
      <w:r>
        <w:rPr>
          <w:rFonts w:ascii="Arial" w:cs="Arial" w:eastAsia="Arial" w:hAnsi="Arial"/>
          <w:sz w:val="20"/>
          <w:szCs w:val="20"/>
          <w:color w:val="231F20"/>
        </w:rPr>
        <w:t>and Managing Member of</w:t>
      </w:r>
    </w:p>
    <w:p>
      <w:pPr>
        <w:ind w:left="2420"/>
        <w:spacing w:after="0"/>
        <w:rPr>
          <w:sz w:val="20"/>
          <w:szCs w:val="20"/>
          <w:color w:val="auto"/>
        </w:rPr>
      </w:pPr>
      <w:r>
        <w:rPr>
          <w:rFonts w:ascii="Arial" w:cs="Arial" w:eastAsia="Arial" w:hAnsi="Arial"/>
          <w:sz w:val="20"/>
          <w:szCs w:val="20"/>
          <w:color w:val="231F20"/>
        </w:rPr>
        <w:t>Kensington Senior Living</w:t>
      </w:r>
    </w:p>
    <w:p>
      <w:pPr>
        <w:spacing w:after="0" w:line="200" w:lineRule="exact"/>
        <w:rPr>
          <w:sz w:val="20"/>
          <w:szCs w:val="20"/>
          <w:color w:val="auto"/>
        </w:rPr>
      </w:pPr>
    </w:p>
    <w:p>
      <w:pPr>
        <w:spacing w:after="0" w:line="337" w:lineRule="exact"/>
        <w:rPr>
          <w:sz w:val="20"/>
          <w:szCs w:val="20"/>
          <w:color w:val="auto"/>
        </w:rPr>
      </w:pPr>
    </w:p>
    <w:p>
      <w:pPr>
        <w:jc w:val="both"/>
        <w:ind w:left="340" w:right="60"/>
        <w:spacing w:after="0" w:line="239" w:lineRule="auto"/>
        <w:rPr>
          <w:sz w:val="20"/>
          <w:szCs w:val="20"/>
          <w:color w:val="auto"/>
        </w:rPr>
      </w:pPr>
      <w:r>
        <w:rPr>
          <w:rFonts w:ascii="Arial" w:cs="Arial" w:eastAsia="Arial" w:hAnsi="Arial"/>
          <w:sz w:val="20"/>
          <w:szCs w:val="20"/>
          <w:color w:val="231F20"/>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Skills and Qualifications</w:t>
      </w:r>
    </w:p>
    <w:p>
      <w:pPr>
        <w:spacing w:after="0" w:line="5" w:lineRule="exact"/>
        <w:rPr>
          <w:sz w:val="20"/>
          <w:szCs w:val="20"/>
          <w:color w:val="auto"/>
        </w:rPr>
      </w:pPr>
    </w:p>
    <w:p>
      <w:pPr>
        <w:jc w:val="both"/>
        <w:ind w:left="340" w:right="60"/>
        <w:spacing w:after="0" w:line="239" w:lineRule="auto"/>
        <w:rPr>
          <w:sz w:val="20"/>
          <w:szCs w:val="20"/>
          <w:color w:val="auto"/>
        </w:rPr>
      </w:pPr>
      <w:r>
        <w:rPr>
          <w:rFonts w:ascii="Arial" w:cs="Arial" w:eastAsia="Arial" w:hAnsi="Arial"/>
          <w:sz w:val="20"/>
          <w:szCs w:val="20"/>
          <w:color w:val="231F20"/>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Prior Public Company Directorships:</w:t>
      </w:r>
    </w:p>
    <w:p>
      <w:pPr>
        <w:ind w:left="340"/>
        <w:spacing w:after="0"/>
        <w:rPr>
          <w:sz w:val="20"/>
          <w:szCs w:val="20"/>
          <w:color w:val="auto"/>
        </w:rPr>
      </w:pPr>
      <w:r>
        <w:rPr>
          <w:rFonts w:ascii="Arial" w:cs="Arial" w:eastAsia="Arial" w:hAnsi="Arial"/>
          <w:sz w:val="20"/>
          <w:szCs w:val="20"/>
          <w:color w:val="231F20"/>
        </w:rPr>
        <w:t>Arlington Asset Investment Corp.</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Committees:</w:t>
      </w:r>
    </w:p>
    <w:p>
      <w:pPr>
        <w:ind w:left="340"/>
        <w:spacing w:after="0"/>
        <w:rPr>
          <w:sz w:val="20"/>
          <w:szCs w:val="20"/>
          <w:color w:val="auto"/>
        </w:rPr>
      </w:pPr>
      <w:r>
        <w:rPr>
          <w:rFonts w:ascii="Arial" w:cs="Arial" w:eastAsia="Arial" w:hAnsi="Arial"/>
          <w:sz w:val="20"/>
          <w:szCs w:val="20"/>
          <w:color w:val="231F20"/>
        </w:rPr>
        <w:t>Audit Committee</w:t>
      </w:r>
    </w:p>
    <w:p>
      <w:pPr>
        <w:ind w:left="340"/>
        <w:spacing w:after="0" w:line="237" w:lineRule="auto"/>
        <w:rPr>
          <w:sz w:val="20"/>
          <w:szCs w:val="20"/>
          <w:color w:val="auto"/>
        </w:rPr>
      </w:pPr>
      <w:r>
        <w:rPr>
          <w:rFonts w:ascii="Arial" w:cs="Arial" w:eastAsia="Arial" w:hAnsi="Arial"/>
          <w:sz w:val="20"/>
          <w:szCs w:val="20"/>
          <w:color w:val="231F20"/>
        </w:rPr>
        <w:t>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351155</wp:posOffset>
                </wp:positionV>
                <wp:extent cx="6400165" cy="17780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8E7E4"/>
                        </a:solidFill>
                      </wps:spPr>
                      <wps:bodyPr/>
                    </wps:wsp>
                  </a:graphicData>
                </a:graphic>
              </wp:anchor>
            </w:drawing>
          </mc:Choice>
          <mc:Fallback>
            <w:pict>
              <v:rect id="Shape 254" o:spid="_x0000_s1279" style="position:absolute;margin-left:-3.9499pt;margin-top:27.65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-44450</wp:posOffset>
                </wp:positionH>
                <wp:positionV relativeFrom="paragraph">
                  <wp:posOffset>350520</wp:posOffset>
                </wp:positionV>
                <wp:extent cx="0" cy="17780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99pt,27.6pt" to="-3.4999pt,41.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356870</wp:posOffset>
                </wp:positionV>
                <wp:extent cx="64008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8.1pt" to="500pt,28.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521970</wp:posOffset>
                </wp:positionV>
                <wp:extent cx="64008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41.1pt" to="500pt,41.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6343650</wp:posOffset>
                </wp:positionH>
                <wp:positionV relativeFrom="paragraph">
                  <wp:posOffset>350520</wp:posOffset>
                </wp:positionV>
                <wp:extent cx="0" cy="17780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5pt,27.6pt" to="499.5pt,41.6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231F20"/>
        </w:rPr>
        <w:t>ELIZABETH I. HOLLAND</w:t>
      </w:r>
    </w:p>
    <w:p>
      <w:pPr>
        <w:ind w:left="2060"/>
        <w:spacing w:after="0"/>
        <w:rPr>
          <w:sz w:val="20"/>
          <w:szCs w:val="20"/>
          <w:color w:val="auto"/>
        </w:rPr>
      </w:pPr>
      <w:r>
        <w:rPr>
          <w:rFonts w:ascii="Arial" w:cs="Arial" w:eastAsia="Arial" w:hAnsi="Arial"/>
          <w:sz w:val="20"/>
          <w:szCs w:val="20"/>
          <w:color w:val="231F20"/>
        </w:rPr>
        <w:t>Age: 58</w:t>
      </w:r>
    </w:p>
    <w:p>
      <w:pPr>
        <w:ind w:left="2060"/>
        <w:spacing w:after="0"/>
        <w:rPr>
          <w:sz w:val="20"/>
          <w:szCs w:val="20"/>
          <w:color w:val="auto"/>
        </w:rPr>
      </w:pPr>
      <w:r>
        <w:rPr>
          <w:rFonts w:ascii="Arial" w:cs="Arial" w:eastAsia="Arial" w:hAnsi="Arial"/>
          <w:sz w:val="20"/>
          <w:szCs w:val="20"/>
          <w:color w:val="231F20"/>
        </w:rPr>
        <w:t>Trustee Since: 2017</w:t>
      </w:r>
    </w:p>
    <w:p>
      <w:pPr>
        <w:ind w:left="2060"/>
        <w:spacing w:after="0"/>
        <w:rPr>
          <w:sz w:val="20"/>
          <w:szCs w:val="20"/>
          <w:color w:val="auto"/>
        </w:rPr>
      </w:pPr>
      <w:r>
        <w:rPr>
          <w:rFonts w:ascii="Arial" w:cs="Arial" w:eastAsia="Arial" w:hAnsi="Arial"/>
          <w:sz w:val="20"/>
          <w:szCs w:val="20"/>
          <w:color w:val="231F20"/>
        </w:rPr>
        <w:t>Chief Executive Officer of</w:t>
      </w:r>
    </w:p>
    <w:p>
      <w:pPr>
        <w:ind w:left="2060"/>
        <w:spacing w:after="0"/>
        <w:rPr>
          <w:sz w:val="20"/>
          <w:szCs w:val="20"/>
          <w:color w:val="auto"/>
        </w:rPr>
      </w:pPr>
      <w:r>
        <w:rPr>
          <w:rFonts w:ascii="Arial" w:cs="Arial" w:eastAsia="Arial" w:hAnsi="Arial"/>
          <w:sz w:val="20"/>
          <w:szCs w:val="20"/>
          <w:color w:val="231F20"/>
        </w:rPr>
        <w:t>Abbell Credit Corporation</w:t>
      </w:r>
    </w:p>
    <w:p>
      <w:pPr>
        <w:spacing w:after="0" w:line="5" w:lineRule="exact"/>
        <w:rPr>
          <w:sz w:val="20"/>
          <w:szCs w:val="20"/>
          <w:color w:val="auto"/>
        </w:rPr>
      </w:pPr>
    </w:p>
    <w:p>
      <w:pPr>
        <w:ind w:left="2060"/>
        <w:spacing w:after="0"/>
        <w:rPr>
          <w:sz w:val="20"/>
          <w:szCs w:val="20"/>
          <w:color w:val="auto"/>
        </w:rPr>
      </w:pPr>
      <w:r>
        <w:rPr>
          <w:rFonts w:ascii="Arial" w:cs="Arial" w:eastAsia="Arial" w:hAnsi="Arial"/>
          <w:sz w:val="19"/>
          <w:szCs w:val="19"/>
          <w:color w:val="231F20"/>
        </w:rPr>
        <w:t>and Abbell Associates,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40"/>
        <w:spacing w:after="0" w:line="239" w:lineRule="auto"/>
        <w:rPr>
          <w:sz w:val="20"/>
          <w:szCs w:val="20"/>
          <w:color w:val="auto"/>
        </w:rPr>
      </w:pPr>
      <w:r>
        <w:rPr>
          <w:rFonts w:ascii="Arial" w:cs="Arial" w:eastAsia="Arial" w:hAnsi="Arial"/>
          <w:sz w:val="20"/>
          <w:szCs w:val="20"/>
          <w:color w:val="231F20"/>
        </w:rPr>
        <w:t>Ms. Holland is the Chief Executive Officer of Abbell Credit Corporation and Abbell Associates, LLC, a private retail real estate company. She has held that position since 1997.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1000 Friends of Iowa, a non-profit organization focused on responsible land use, and Primo Center for Women &amp; Children whose mission is to provide family shelter and permanent supportive housing and other supportive services to homeless families in Chicago.</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Skills and Qualifications</w:t>
      </w:r>
    </w:p>
    <w:p>
      <w:pPr>
        <w:spacing w:after="0" w:line="7" w:lineRule="exact"/>
        <w:rPr>
          <w:sz w:val="20"/>
          <w:szCs w:val="20"/>
          <w:color w:val="auto"/>
        </w:rPr>
      </w:pPr>
    </w:p>
    <w:p>
      <w:pPr>
        <w:jc w:val="both"/>
        <w:ind w:right="40"/>
        <w:spacing w:after="0" w:line="239" w:lineRule="auto"/>
        <w:rPr>
          <w:sz w:val="20"/>
          <w:szCs w:val="20"/>
          <w:color w:val="auto"/>
        </w:rPr>
      </w:pPr>
      <w:r>
        <w:rPr>
          <w:rFonts w:ascii="Arial" w:cs="Arial" w:eastAsia="Arial" w:hAnsi="Arial"/>
          <w:sz w:val="20"/>
          <w:szCs w:val="20"/>
          <w:color w:val="231F20"/>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Other Public Company Directorships:</w:t>
      </w:r>
    </w:p>
    <w:p>
      <w:pPr>
        <w:spacing w:after="0"/>
        <w:rPr>
          <w:sz w:val="20"/>
          <w:szCs w:val="20"/>
          <w:color w:val="auto"/>
        </w:rPr>
      </w:pPr>
      <w:r>
        <w:rPr>
          <w:rFonts w:ascii="Arial" w:cs="Arial" w:eastAsia="Arial" w:hAnsi="Arial"/>
          <w:sz w:val="20"/>
          <w:szCs w:val="20"/>
          <w:color w:val="231F20"/>
        </w:rPr>
        <w:t>VICI Properties, Inc.</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Committees:</w:t>
      </w:r>
    </w:p>
    <w:p>
      <w:pPr>
        <w:spacing w:after="0"/>
        <w:rPr>
          <w:sz w:val="20"/>
          <w:szCs w:val="20"/>
          <w:color w:val="auto"/>
        </w:rPr>
      </w:pPr>
      <w:r>
        <w:rPr>
          <w:rFonts w:ascii="Arial" w:cs="Arial" w:eastAsia="Arial" w:hAnsi="Arial"/>
          <w:sz w:val="20"/>
          <w:szCs w:val="20"/>
          <w:color w:val="231F20"/>
        </w:rPr>
        <w:t>Audit Committee</w:t>
      </w:r>
    </w:p>
    <w:p>
      <w:pPr>
        <w:spacing w:after="0"/>
        <w:rPr>
          <w:sz w:val="20"/>
          <w:szCs w:val="20"/>
          <w:color w:val="auto"/>
        </w:rPr>
      </w:pPr>
      <w:r>
        <w:rPr>
          <w:rFonts w:ascii="Arial" w:cs="Arial" w:eastAsia="Arial" w:hAnsi="Arial"/>
          <w:sz w:val="20"/>
          <w:szCs w:val="20"/>
          <w:color w:val="231F20"/>
        </w:rPr>
        <w:t>Compensation Committee (Chair)</w:t>
      </w:r>
    </w:p>
    <w:p>
      <w:pPr>
        <w:spacing w:after="0" w:line="200" w:lineRule="exact"/>
        <w:rPr>
          <w:sz w:val="20"/>
          <w:szCs w:val="20"/>
          <w:color w:val="auto"/>
        </w:rPr>
      </w:pPr>
    </w:p>
    <w:p>
      <w:pPr>
        <w:sectPr>
          <w:pgSz w:w="12240" w:h="15840" w:orient="portrait"/>
          <w:cols w:equalWidth="0" w:num="2">
            <w:col w:w="4800" w:space="480"/>
            <w:col w:w="4440"/>
          </w:cols>
          <w:pgMar w:left="1160" w:top="1440" w:right="1360" w:bottom="944" w:gutter="0" w:footer="0" w:header="0"/>
        </w:sectPr>
      </w:pPr>
    </w:p>
    <w:p>
      <w:pPr>
        <w:spacing w:after="0" w:line="397" w:lineRule="exact"/>
        <w:rPr>
          <w:sz w:val="20"/>
          <w:szCs w:val="20"/>
          <w:color w:val="auto"/>
        </w:rPr>
      </w:pPr>
    </w:p>
    <w:p>
      <w:pPr>
        <w:spacing w:after="0"/>
        <w:tabs>
          <w:tab w:leader="none" w:pos="1340" w:val="left"/>
          <w:tab w:leader="none" w:pos="308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14</w:t>
      </w:r>
    </w:p>
    <w:p>
      <w:pPr>
        <w:sectPr>
          <w:pgSz w:w="12240" w:h="15840" w:orient="portrait"/>
          <w:cols w:equalWidth="0" w:num="1">
            <w:col w:w="9720"/>
          </w:cols>
          <w:pgMar w:left="1160" w:top="1440" w:right="1360" w:bottom="944" w:gutter="0" w:footer="0" w:header="0"/>
          <w:type w:val="continuous"/>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914400</wp:posOffset>
            </wp:positionV>
            <wp:extent cx="6400800" cy="78860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7">
                      <a:extLst>
                        <a:ext uri="{28A0092B-C50C-407E-A947-70E740481C1C}"/>
                      </a:extLst>
                    </a:blip>
                    <a:srcRect/>
                    <a:stretch>
                      <a:fillRect/>
                    </a:stretch>
                  </pic:blipFill>
                  <pic:spPr bwMode="auto">
                    <a:xfrm>
                      <a:off x="0" y="0"/>
                      <a:ext cx="6400800" cy="7886065"/>
                    </a:xfrm>
                    <a:prstGeom prst="rect">
                      <a:avLst/>
                    </a:prstGeom>
                    <a:noFill/>
                  </pic:spPr>
                </pic:pic>
              </a:graphicData>
            </a:graphic>
          </wp:anchor>
        </w:drawing>
      </w:r>
    </w:p>
    <w:p>
      <w:pPr>
        <w:spacing w:after="0" w:line="268"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231F20"/>
        </w:rPr>
        <w:t>NICOLE Y. LAMB HALE</w:t>
      </w:r>
    </w:p>
    <w:p>
      <w:pPr>
        <w:ind w:left="2260"/>
        <w:spacing w:after="0" w:line="220" w:lineRule="auto"/>
        <w:rPr>
          <w:sz w:val="20"/>
          <w:szCs w:val="20"/>
          <w:color w:val="auto"/>
        </w:rPr>
      </w:pPr>
      <w:r>
        <w:rPr>
          <w:rFonts w:ascii="Arial" w:cs="Arial" w:eastAsia="Arial" w:hAnsi="Arial"/>
          <w:sz w:val="20"/>
          <w:szCs w:val="20"/>
          <w:color w:val="231F20"/>
        </w:rPr>
        <w:t>Age: 57</w:t>
      </w:r>
    </w:p>
    <w:p>
      <w:pPr>
        <w:ind w:left="2260"/>
        <w:spacing w:after="0" w:line="218" w:lineRule="auto"/>
        <w:rPr>
          <w:sz w:val="20"/>
          <w:szCs w:val="20"/>
          <w:color w:val="auto"/>
        </w:rPr>
      </w:pPr>
      <w:r>
        <w:rPr>
          <w:rFonts w:ascii="Arial" w:cs="Arial" w:eastAsia="Arial" w:hAnsi="Arial"/>
          <w:sz w:val="20"/>
          <w:szCs w:val="20"/>
          <w:color w:val="231F20"/>
        </w:rPr>
        <w:t>Trustee Since: 2020</w:t>
      </w:r>
    </w:p>
    <w:p>
      <w:pPr>
        <w:ind w:left="2260"/>
        <w:spacing w:after="0" w:line="220" w:lineRule="auto"/>
        <w:rPr>
          <w:sz w:val="20"/>
          <w:szCs w:val="20"/>
          <w:color w:val="auto"/>
        </w:rPr>
      </w:pPr>
      <w:r>
        <w:rPr>
          <w:rFonts w:ascii="Arial" w:cs="Arial" w:eastAsia="Arial" w:hAnsi="Arial"/>
          <w:sz w:val="20"/>
          <w:szCs w:val="20"/>
          <w:color w:val="231F20"/>
        </w:rPr>
        <w:t>Vice President, Chief</w:t>
      </w:r>
    </w:p>
    <w:p>
      <w:pPr>
        <w:ind w:left="2260"/>
        <w:spacing w:after="0" w:line="220" w:lineRule="auto"/>
        <w:rPr>
          <w:sz w:val="20"/>
          <w:szCs w:val="20"/>
          <w:color w:val="auto"/>
        </w:rPr>
      </w:pPr>
      <w:r>
        <w:rPr>
          <w:rFonts w:ascii="Arial" w:cs="Arial" w:eastAsia="Arial" w:hAnsi="Arial"/>
          <w:sz w:val="20"/>
          <w:szCs w:val="20"/>
          <w:color w:val="231F20"/>
        </w:rPr>
        <w:t>Legal Officer and</w:t>
      </w:r>
    </w:p>
    <w:p>
      <w:pPr>
        <w:ind w:left="2260"/>
        <w:spacing w:after="0" w:line="222" w:lineRule="auto"/>
        <w:rPr>
          <w:sz w:val="20"/>
          <w:szCs w:val="20"/>
          <w:color w:val="auto"/>
        </w:rPr>
      </w:pPr>
      <w:r>
        <w:rPr>
          <w:rFonts w:ascii="Arial" w:cs="Arial" w:eastAsia="Arial" w:hAnsi="Arial"/>
          <w:sz w:val="20"/>
          <w:szCs w:val="20"/>
          <w:color w:val="231F20"/>
        </w:rPr>
        <w:t>Corporate Secretary of</w:t>
      </w:r>
    </w:p>
    <w:p>
      <w:pPr>
        <w:ind w:left="2260"/>
        <w:spacing w:after="0" w:line="221" w:lineRule="auto"/>
        <w:rPr>
          <w:sz w:val="20"/>
          <w:szCs w:val="20"/>
          <w:color w:val="auto"/>
        </w:rPr>
      </w:pPr>
      <w:r>
        <w:rPr>
          <w:rFonts w:ascii="Arial" w:cs="Arial" w:eastAsia="Arial" w:hAnsi="Arial"/>
          <w:sz w:val="20"/>
          <w:szCs w:val="20"/>
          <w:color w:val="231F20"/>
        </w:rPr>
        <w:t>Cummins, Inc.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0"/>
        <w:spacing w:after="0" w:line="203" w:lineRule="auto"/>
        <w:rPr>
          <w:sz w:val="20"/>
          <w:szCs w:val="20"/>
          <w:color w:val="auto"/>
        </w:rPr>
      </w:pPr>
      <w:r>
        <w:rPr>
          <w:rFonts w:ascii="Arial" w:cs="Arial" w:eastAsia="Arial" w:hAnsi="Arial"/>
          <w:sz w:val="20"/>
          <w:szCs w:val="20"/>
          <w:color w:val="231F20"/>
        </w:rPr>
        <w:t>Ms. Lamb-Hale currently serves as the Vice President, Chief Legal Officer and Corporate Secretary of Cummins Inc., a position she has held since 2023 overseeing all legal affairs and related risk management. While at Cummins Inc., Ms. Lamb-Hale has also held the titles Vice President and Chief Legal Officer (2023) and Vice President and General Counsel (2021-2022). Prior to that time, she was a Managing Director at Kroll, a global governance, risk and transparency consultant (2016-2021), a Senior Vice President at Albright Stonebridge Group (2013-2016), a global strategy consultancy, and served as the</w:t>
      </w:r>
    </w:p>
    <w:p>
      <w:pPr>
        <w:spacing w:after="0" w:line="12" w:lineRule="exact"/>
        <w:rPr>
          <w:sz w:val="20"/>
          <w:szCs w:val="20"/>
          <w:color w:val="auto"/>
        </w:rPr>
      </w:pPr>
    </w:p>
    <w:p>
      <w:pPr>
        <w:jc w:val="both"/>
        <w:ind w:left="60"/>
        <w:spacing w:after="0" w:line="201" w:lineRule="auto"/>
        <w:rPr>
          <w:sz w:val="20"/>
          <w:szCs w:val="20"/>
          <w:color w:val="auto"/>
        </w:rPr>
      </w:pPr>
      <w:r>
        <w:rPr>
          <w:rFonts w:ascii="Arial" w:cs="Arial" w:eastAsia="Arial" w:hAnsi="Arial"/>
          <w:sz w:val="20"/>
          <w:szCs w:val="20"/>
          <w:color w:val="231F20"/>
        </w:rPr>
        <w:t>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various non-profit groups including the American Leadership Initiative and the Center for International Private Enterprise.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231F20"/>
        </w:rPr>
        <w:t>Skills and Qualifications</w:t>
      </w:r>
    </w:p>
    <w:p>
      <w:pPr>
        <w:jc w:val="both"/>
        <w:ind w:left="60"/>
        <w:spacing w:after="0" w:line="201" w:lineRule="auto"/>
        <w:rPr>
          <w:sz w:val="20"/>
          <w:szCs w:val="20"/>
          <w:color w:val="auto"/>
        </w:rPr>
      </w:pPr>
      <w:r>
        <w:rPr>
          <w:rFonts w:ascii="Arial" w:cs="Arial" w:eastAsia="Arial" w:hAnsi="Arial"/>
          <w:sz w:val="20"/>
          <w:szCs w:val="20"/>
          <w:color w:val="231F20"/>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231F20"/>
        </w:rPr>
        <w:t>Committees:</w:t>
      </w:r>
    </w:p>
    <w:p>
      <w:pPr>
        <w:ind w:left="60"/>
        <w:spacing w:after="0" w:line="218" w:lineRule="auto"/>
        <w:rPr>
          <w:sz w:val="20"/>
          <w:szCs w:val="20"/>
          <w:color w:val="auto"/>
        </w:rPr>
      </w:pPr>
      <w:r>
        <w:rPr>
          <w:rFonts w:ascii="Arial" w:cs="Arial" w:eastAsia="Arial" w:hAnsi="Arial"/>
          <w:sz w:val="20"/>
          <w:szCs w:val="20"/>
          <w:color w:val="231F20"/>
        </w:rPr>
        <w:t>Compensation Committee</w:t>
      </w:r>
    </w:p>
    <w:p>
      <w:pPr>
        <w:ind w:left="60"/>
        <w:spacing w:after="0" w:line="220" w:lineRule="auto"/>
        <w:rPr>
          <w:sz w:val="20"/>
          <w:szCs w:val="20"/>
          <w:color w:val="auto"/>
        </w:rPr>
      </w:pPr>
      <w:r>
        <w:rPr>
          <w:rFonts w:ascii="Arial" w:cs="Arial" w:eastAsia="Arial" w:hAnsi="Arial"/>
          <w:sz w:val="20"/>
          <w:szCs w:val="20"/>
          <w:color w:val="231F20"/>
        </w:rPr>
        <w:t>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-227965</wp:posOffset>
                </wp:positionH>
                <wp:positionV relativeFrom="paragraph">
                  <wp:posOffset>932180</wp:posOffset>
                </wp:positionV>
                <wp:extent cx="6400165" cy="17780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8E7E4"/>
                        </a:solidFill>
                      </wps:spPr>
                      <wps:bodyPr/>
                    </wps:wsp>
                  </a:graphicData>
                </a:graphic>
              </wp:anchor>
            </w:drawing>
          </mc:Choice>
          <mc:Fallback>
            <w:pict>
              <v:rect id="Shape 260" o:spid="_x0000_s1285" style="position:absolute;margin-left:-17.9499pt;margin-top:73.4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-222250</wp:posOffset>
                </wp:positionH>
                <wp:positionV relativeFrom="paragraph">
                  <wp:posOffset>932180</wp:posOffset>
                </wp:positionV>
                <wp:extent cx="0" cy="17780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999pt,73.4pt" to="-17.4999pt,87.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938530</wp:posOffset>
                </wp:positionV>
                <wp:extent cx="640080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73.9pt" to="486pt,73.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1103630</wp:posOffset>
                </wp:positionV>
                <wp:extent cx="640080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86.9pt" to="486pt,86.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6165850</wp:posOffset>
                </wp:positionH>
                <wp:positionV relativeFrom="paragraph">
                  <wp:posOffset>932180</wp:posOffset>
                </wp:positionV>
                <wp:extent cx="0" cy="17780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73.4pt" to="485.5pt,87.4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231F20"/>
        </w:rPr>
        <w:t>THOMAS A. McEACHIN</w:t>
      </w:r>
    </w:p>
    <w:p>
      <w:pPr>
        <w:ind w:left="2100"/>
        <w:spacing w:after="0" w:line="220" w:lineRule="auto"/>
        <w:rPr>
          <w:sz w:val="20"/>
          <w:szCs w:val="20"/>
          <w:color w:val="auto"/>
        </w:rPr>
      </w:pPr>
      <w:r>
        <w:rPr>
          <w:rFonts w:ascii="Arial" w:cs="Arial" w:eastAsia="Arial" w:hAnsi="Arial"/>
          <w:sz w:val="20"/>
          <w:szCs w:val="20"/>
          <w:color w:val="231F20"/>
        </w:rPr>
        <w:t>Age: 71</w:t>
      </w:r>
    </w:p>
    <w:p>
      <w:pPr>
        <w:ind w:left="2100"/>
        <w:spacing w:after="0" w:line="218" w:lineRule="auto"/>
        <w:rPr>
          <w:sz w:val="20"/>
          <w:szCs w:val="20"/>
          <w:color w:val="auto"/>
        </w:rPr>
      </w:pPr>
      <w:r>
        <w:rPr>
          <w:rFonts w:ascii="Arial" w:cs="Arial" w:eastAsia="Arial" w:hAnsi="Arial"/>
          <w:sz w:val="20"/>
          <w:szCs w:val="20"/>
          <w:color w:val="231F20"/>
        </w:rPr>
        <w:t>Trustee Since: 2022</w:t>
      </w:r>
    </w:p>
    <w:p>
      <w:pPr>
        <w:ind w:left="2100"/>
        <w:spacing w:after="0" w:line="220" w:lineRule="auto"/>
        <w:rPr>
          <w:sz w:val="20"/>
          <w:szCs w:val="20"/>
          <w:color w:val="auto"/>
        </w:rPr>
      </w:pPr>
      <w:r>
        <w:rPr>
          <w:rFonts w:ascii="Arial" w:cs="Arial" w:eastAsia="Arial" w:hAnsi="Arial"/>
          <w:sz w:val="20"/>
          <w:szCs w:val="20"/>
          <w:color w:val="231F20"/>
        </w:rPr>
        <w:t>Retired Vice President</w:t>
      </w:r>
    </w:p>
    <w:p>
      <w:pPr>
        <w:ind w:left="2100"/>
        <w:spacing w:after="0" w:line="232" w:lineRule="auto"/>
        <w:rPr>
          <w:sz w:val="20"/>
          <w:szCs w:val="20"/>
          <w:color w:val="auto"/>
        </w:rPr>
      </w:pPr>
      <w:r>
        <w:rPr>
          <w:rFonts w:ascii="Arial" w:cs="Arial" w:eastAsia="Arial" w:hAnsi="Arial"/>
          <w:sz w:val="19"/>
          <w:szCs w:val="19"/>
          <w:color w:val="231F20"/>
        </w:rPr>
        <w:t>and Group Chief Financial</w:t>
      </w:r>
    </w:p>
    <w:p>
      <w:pPr>
        <w:ind w:left="2100"/>
        <w:spacing w:after="0" w:line="222" w:lineRule="auto"/>
        <w:rPr>
          <w:sz w:val="20"/>
          <w:szCs w:val="20"/>
          <w:color w:val="auto"/>
        </w:rPr>
      </w:pPr>
      <w:r>
        <w:rPr>
          <w:rFonts w:ascii="Arial" w:cs="Arial" w:eastAsia="Arial" w:hAnsi="Arial"/>
          <w:sz w:val="20"/>
          <w:szCs w:val="20"/>
          <w:color w:val="231F20"/>
        </w:rPr>
        <w:t>Officer of Covidien</w:t>
      </w:r>
    </w:p>
    <w:p>
      <w:pPr>
        <w:ind w:left="2100"/>
        <w:spacing w:after="0" w:line="220" w:lineRule="auto"/>
        <w:rPr>
          <w:sz w:val="20"/>
          <w:szCs w:val="20"/>
          <w:color w:val="auto"/>
        </w:rPr>
      </w:pPr>
      <w:r>
        <w:rPr>
          <w:rFonts w:ascii="Arial" w:cs="Arial" w:eastAsia="Arial" w:hAnsi="Arial"/>
          <w:sz w:val="20"/>
          <w:szCs w:val="20"/>
          <w:color w:val="231F20"/>
        </w:rPr>
        <w:t>Surgical Solutions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40"/>
        <w:spacing w:after="0" w:line="213" w:lineRule="auto"/>
        <w:rPr>
          <w:sz w:val="20"/>
          <w:szCs w:val="20"/>
          <w:color w:val="auto"/>
        </w:rPr>
      </w:pPr>
      <w:r>
        <w:rPr>
          <w:rFonts w:ascii="Arial" w:cs="Arial" w:eastAsia="Arial" w:hAnsi="Arial"/>
          <w:sz w:val="19"/>
          <w:szCs w:val="19"/>
          <w:color w:val="231F20"/>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School of Engineering, an MBA from Stanford University and completed the Advance Management Program at University of Pennsylvania’s Wharton School.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Skills and Qualifications</w:t>
      </w:r>
    </w:p>
    <w:p>
      <w:pPr>
        <w:jc w:val="both"/>
        <w:ind w:right="240"/>
        <w:spacing w:after="0" w:line="201" w:lineRule="auto"/>
        <w:rPr>
          <w:sz w:val="20"/>
          <w:szCs w:val="20"/>
          <w:color w:val="auto"/>
        </w:rPr>
      </w:pPr>
      <w:r>
        <w:rPr>
          <w:rFonts w:ascii="Arial" w:cs="Arial" w:eastAsia="Arial" w:hAnsi="Arial"/>
          <w:sz w:val="20"/>
          <w:szCs w:val="20"/>
          <w:color w:val="231F20"/>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Other Public Company Directorships:</w:t>
      </w:r>
    </w:p>
    <w:p>
      <w:pPr>
        <w:spacing w:after="0" w:line="210" w:lineRule="auto"/>
        <w:rPr>
          <w:sz w:val="20"/>
          <w:szCs w:val="20"/>
          <w:color w:val="auto"/>
        </w:rPr>
      </w:pPr>
      <w:r>
        <w:rPr>
          <w:rFonts w:ascii="Arial" w:cs="Arial" w:eastAsia="Arial" w:hAnsi="Arial"/>
          <w:sz w:val="20"/>
          <w:szCs w:val="20"/>
          <w:color w:val="231F20"/>
        </w:rPr>
        <w:t>Pediatrix Medical Group, Inc.</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Prior Public Company Directorships:</w:t>
      </w:r>
    </w:p>
    <w:p>
      <w:pPr>
        <w:spacing w:after="0" w:line="212" w:lineRule="auto"/>
        <w:rPr>
          <w:sz w:val="20"/>
          <w:szCs w:val="20"/>
          <w:color w:val="auto"/>
        </w:rPr>
      </w:pPr>
      <w:r>
        <w:rPr>
          <w:rFonts w:ascii="Arial" w:cs="Arial" w:eastAsia="Arial" w:hAnsi="Arial"/>
          <w:sz w:val="20"/>
          <w:szCs w:val="20"/>
          <w:color w:val="231F20"/>
        </w:rPr>
        <w:t>Surgalign Holdings, Inc.</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Committees:</w:t>
      </w:r>
    </w:p>
    <w:p>
      <w:pPr>
        <w:spacing w:after="0" w:line="208" w:lineRule="auto"/>
        <w:rPr>
          <w:sz w:val="20"/>
          <w:szCs w:val="20"/>
          <w:color w:val="auto"/>
        </w:rPr>
      </w:pPr>
      <w:r>
        <w:rPr>
          <w:rFonts w:ascii="Arial" w:cs="Arial" w:eastAsia="Arial" w:hAnsi="Arial"/>
          <w:sz w:val="20"/>
          <w:szCs w:val="20"/>
          <w:color w:val="231F20"/>
        </w:rPr>
        <w:t>Compensation Committee</w:t>
      </w:r>
    </w:p>
    <w:p>
      <w:pPr>
        <w:spacing w:after="0" w:line="220" w:lineRule="auto"/>
        <w:rPr>
          <w:sz w:val="20"/>
          <w:szCs w:val="20"/>
          <w:color w:val="auto"/>
        </w:rPr>
      </w:pPr>
      <w:r>
        <w:rPr>
          <w:rFonts w:ascii="Arial" w:cs="Arial" w:eastAsia="Arial" w:hAnsi="Arial"/>
          <w:sz w:val="20"/>
          <w:szCs w:val="20"/>
          <w:color w:val="231F20"/>
        </w:rPr>
        <w:t>Nominating Committee</w:t>
      </w:r>
    </w:p>
    <w:p>
      <w:pPr>
        <w:spacing w:after="0" w:line="200" w:lineRule="exact"/>
        <w:rPr>
          <w:sz w:val="20"/>
          <w:szCs w:val="20"/>
          <w:color w:val="auto"/>
        </w:rPr>
      </w:pPr>
    </w:p>
    <w:p>
      <w:pPr>
        <w:sectPr>
          <w:pgSz w:w="12240" w:h="15840" w:orient="portrait"/>
          <w:cols w:equalWidth="0" w:num="2">
            <w:col w:w="4500" w:space="540"/>
            <w:col w:w="4600"/>
          </w:cols>
          <w:pgMar w:left="1440" w:top="1440" w:right="1160" w:bottom="944" w:gutter="0" w:footer="0" w:header="0"/>
        </w:sectPr>
      </w:pPr>
    </w:p>
    <w:p>
      <w:pPr>
        <w:spacing w:after="0" w:line="381" w:lineRule="exact"/>
        <w:rPr>
          <w:sz w:val="20"/>
          <w:szCs w:val="20"/>
          <w:color w:val="auto"/>
        </w:rPr>
      </w:pPr>
    </w:p>
    <w:p>
      <w:pPr>
        <w:ind w:left="6360"/>
        <w:spacing w:after="0"/>
        <w:tabs>
          <w:tab w:leader="none" w:pos="7700" w:val="left"/>
          <w:tab w:leader="none" w:pos="944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15</w:t>
      </w:r>
    </w:p>
    <w:p>
      <w:pPr>
        <w:sectPr>
          <w:pgSz w:w="12240" w:h="15840" w:orient="portrait"/>
          <w:cols w:equalWidth="0" w:num="1">
            <w:col w:w="9640"/>
          </w:cols>
          <w:pgMar w:left="1440" w:top="1440" w:right="1160" w:bottom="944" w:gutter="0" w:footer="0" w:header="0"/>
          <w:type w:val="continuous"/>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914400</wp:posOffset>
            </wp:positionV>
            <wp:extent cx="6400800" cy="7886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68">
                      <a:extLst>
                        <a:ext uri="{28A0092B-C50C-407E-A947-70E740481C1C}"/>
                      </a:extLst>
                    </a:blip>
                    <a:srcRect/>
                    <a:stretch>
                      <a:fillRect/>
                    </a:stretch>
                  </pic:blipFill>
                  <pic:spPr bwMode="auto">
                    <a:xfrm>
                      <a:off x="0" y="0"/>
                      <a:ext cx="6400800" cy="7886700"/>
                    </a:xfrm>
                    <a:prstGeom prst="rect">
                      <a:avLst/>
                    </a:prstGeom>
                    <a:noFill/>
                  </pic:spPr>
                </pic:pic>
              </a:graphicData>
            </a:graphic>
          </wp:anchor>
        </w:drawing>
      </w:r>
    </w:p>
    <w:p>
      <w:pPr>
        <w:spacing w:after="0" w:line="331"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20"/>
                <w:szCs w:val="20"/>
                <w:b w:val="1"/>
                <w:bCs w:val="1"/>
                <w:color w:val="231F20"/>
              </w:rPr>
              <w:t>ANTHONY P. NADER, III</w:t>
            </w:r>
          </w:p>
        </w:tc>
        <w:tc>
          <w:tcPr>
            <w:tcW w:w="3120" w:type="dxa"/>
            <w:vAlign w:val="bottom"/>
          </w:tcPr>
          <w:p>
            <w:pPr>
              <w:ind w:left="1340"/>
              <w:spacing w:after="0"/>
              <w:rPr>
                <w:sz w:val="20"/>
                <w:szCs w:val="20"/>
                <w:color w:val="auto"/>
              </w:rPr>
            </w:pPr>
            <w:r>
              <w:rPr>
                <w:rFonts w:ascii="Arial" w:cs="Arial" w:eastAsia="Arial" w:hAnsi="Arial"/>
                <w:sz w:val="20"/>
                <w:szCs w:val="20"/>
                <w:b w:val="1"/>
                <w:bCs w:val="1"/>
                <w:color w:val="231F20"/>
              </w:rPr>
              <w:t>GAIL P. STEINEL</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231F20"/>
              </w:rPr>
              <w:t>Age: 60</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231F20"/>
              </w:rPr>
              <w:t>Age: 67</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231F20"/>
              </w:rPr>
              <w:t>Trustee Since: 2020</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231F20"/>
                <w:w w:val="98"/>
              </w:rPr>
              <w:t>Trustee Since: 2006</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231F20"/>
              </w:rPr>
              <w:t>Managing Director of</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231F20"/>
              </w:rPr>
              <w:t>Owner of Executive</w:t>
            </w:r>
          </w:p>
        </w:tc>
      </w:tr>
      <w:tr>
        <w:trPr>
          <w:trHeight w:val="218"/>
        </w:trPr>
        <w:tc>
          <w:tcPr>
            <w:tcW w:w="3600" w:type="dxa"/>
            <w:vAlign w:val="bottom"/>
          </w:tcPr>
          <w:p>
            <w:pPr>
              <w:spacing w:after="0" w:line="218" w:lineRule="exact"/>
              <w:rPr>
                <w:sz w:val="20"/>
                <w:szCs w:val="20"/>
                <w:color w:val="auto"/>
              </w:rPr>
            </w:pPr>
            <w:r>
              <w:rPr>
                <w:rFonts w:ascii="Arial" w:cs="Arial" w:eastAsia="Arial" w:hAnsi="Arial"/>
                <w:sz w:val="20"/>
                <w:szCs w:val="20"/>
                <w:color w:val="231F20"/>
              </w:rPr>
              <w:t>SWaN &amp; Legend Venture</w:t>
            </w:r>
          </w:p>
        </w:tc>
        <w:tc>
          <w:tcPr>
            <w:tcW w:w="3120" w:type="dxa"/>
            <w:vAlign w:val="bottom"/>
          </w:tcPr>
          <w:p>
            <w:pPr>
              <w:ind w:left="1340"/>
              <w:spacing w:after="0" w:line="218" w:lineRule="exact"/>
              <w:rPr>
                <w:sz w:val="20"/>
                <w:szCs w:val="20"/>
                <w:color w:val="auto"/>
              </w:rPr>
            </w:pPr>
            <w:r>
              <w:rPr>
                <w:rFonts w:ascii="Arial" w:cs="Arial" w:eastAsia="Arial" w:hAnsi="Arial"/>
                <w:sz w:val="20"/>
                <w:szCs w:val="20"/>
                <w:color w:val="231F20"/>
              </w:rPr>
              <w:t>Advisors</w:t>
            </w:r>
          </w:p>
        </w:tc>
      </w:tr>
      <w:tr>
        <w:trPr>
          <w:trHeight w:val="225"/>
        </w:trPr>
        <w:tc>
          <w:tcPr>
            <w:tcW w:w="3600" w:type="dxa"/>
            <w:vAlign w:val="bottom"/>
          </w:tcPr>
          <w:p>
            <w:pPr>
              <w:spacing w:after="0" w:line="226" w:lineRule="exact"/>
              <w:rPr>
                <w:sz w:val="20"/>
                <w:szCs w:val="20"/>
                <w:color w:val="auto"/>
              </w:rPr>
            </w:pPr>
            <w:r>
              <w:rPr>
                <w:rFonts w:ascii="Arial" w:cs="Arial" w:eastAsia="Arial" w:hAnsi="Arial"/>
                <w:sz w:val="20"/>
                <w:szCs w:val="20"/>
                <w:color w:val="231F20"/>
              </w:rPr>
              <w:t>Partners</w:t>
            </w:r>
          </w:p>
        </w:tc>
        <w:tc>
          <w:tcPr>
            <w:tcW w:w="312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680"/>
          </w:cols>
          <w:pgMar w:left="1160" w:top="1440" w:right="140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340"/>
        <w:spacing w:after="0" w:line="227" w:lineRule="auto"/>
        <w:rPr>
          <w:sz w:val="20"/>
          <w:szCs w:val="20"/>
          <w:color w:val="auto"/>
        </w:rPr>
      </w:pPr>
      <w:r>
        <w:rPr>
          <w:rFonts w:ascii="Arial" w:cs="Arial" w:eastAsia="Arial" w:hAnsi="Arial"/>
          <w:sz w:val="20"/>
          <w:szCs w:val="20"/>
          <w:color w:val="231F20"/>
        </w:rPr>
        <w:t>Mr. Nader is a Managing Director of SWaN &amp; Legend Venture Partners, an investment firm that Mr. Nader co-founded in 2006, making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served as the Chairman of the Inova Health System Board of Trustees until December 31 2023. Mr. Nader has been designated by the Board as an audit committee financial expert in accordance with the SEC definition.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Skills and Qualifications</w:t>
      </w:r>
    </w:p>
    <w:p>
      <w:pPr>
        <w:jc w:val="both"/>
        <w:ind w:left="340"/>
        <w:spacing w:after="0" w:line="227" w:lineRule="auto"/>
        <w:rPr>
          <w:sz w:val="20"/>
          <w:szCs w:val="20"/>
          <w:color w:val="auto"/>
        </w:rPr>
      </w:pPr>
      <w:r>
        <w:rPr>
          <w:rFonts w:ascii="Arial" w:cs="Arial" w:eastAsia="Arial" w:hAnsi="Arial"/>
          <w:sz w:val="20"/>
          <w:szCs w:val="20"/>
          <w:color w:val="231F20"/>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Prior Public Company Directorships:</w:t>
      </w:r>
    </w:p>
    <w:p>
      <w:pPr>
        <w:ind w:left="340"/>
        <w:spacing w:after="0" w:line="225" w:lineRule="auto"/>
        <w:rPr>
          <w:sz w:val="20"/>
          <w:szCs w:val="20"/>
          <w:color w:val="auto"/>
        </w:rPr>
      </w:pPr>
      <w:r>
        <w:rPr>
          <w:rFonts w:ascii="Arial" w:cs="Arial" w:eastAsia="Arial" w:hAnsi="Arial"/>
          <w:sz w:val="20"/>
          <w:szCs w:val="20"/>
          <w:color w:val="231F20"/>
        </w:rPr>
        <w:t>Arlington Asset Investment Corp.</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Committees:</w:t>
      </w:r>
    </w:p>
    <w:p>
      <w:pPr>
        <w:ind w:left="340"/>
        <w:spacing w:after="0" w:line="229" w:lineRule="auto"/>
        <w:rPr>
          <w:sz w:val="20"/>
          <w:szCs w:val="20"/>
          <w:color w:val="auto"/>
        </w:rPr>
      </w:pPr>
      <w:r>
        <w:rPr>
          <w:rFonts w:ascii="Arial" w:cs="Arial" w:eastAsia="Arial" w:hAnsi="Arial"/>
          <w:sz w:val="20"/>
          <w:szCs w:val="20"/>
          <w:color w:val="231F20"/>
        </w:rPr>
        <w:t>Audit Committee</w:t>
      </w:r>
    </w:p>
    <w:p>
      <w:pPr>
        <w:ind w:left="340"/>
        <w:spacing w:after="0" w:line="225" w:lineRule="auto"/>
        <w:rPr>
          <w:sz w:val="20"/>
          <w:szCs w:val="20"/>
          <w:color w:val="auto"/>
        </w:rPr>
      </w:pPr>
      <w:r>
        <w:rPr>
          <w:rFonts w:ascii="Arial" w:cs="Arial" w:eastAsia="Arial" w:hAnsi="Arial"/>
          <w:sz w:val="20"/>
          <w:szCs w:val="20"/>
          <w:color w:val="231F20"/>
        </w:rPr>
        <w:t>Nominating Committee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342265</wp:posOffset>
                </wp:positionV>
                <wp:extent cx="6400165" cy="17780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8E7E4"/>
                        </a:solidFill>
                      </wps:spPr>
                      <wps:bodyPr/>
                    </wps:wsp>
                  </a:graphicData>
                </a:graphic>
              </wp:anchor>
            </w:drawing>
          </mc:Choice>
          <mc:Fallback>
            <w:pict>
              <v:rect id="Shape 266" o:spid="_x0000_s1291" style="position:absolute;margin-left:-3.9499pt;margin-top:26.95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-44450</wp:posOffset>
                </wp:positionH>
                <wp:positionV relativeFrom="paragraph">
                  <wp:posOffset>341630</wp:posOffset>
                </wp:positionV>
                <wp:extent cx="0" cy="17780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99pt,26.9pt" to="-3.4999pt,40.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347980</wp:posOffset>
                </wp:positionV>
                <wp:extent cx="640080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7.4pt" to="500pt,27.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513080</wp:posOffset>
                </wp:positionV>
                <wp:extent cx="640080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40.4pt" to="500pt,4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6343650</wp:posOffset>
                </wp:positionH>
                <wp:positionV relativeFrom="paragraph">
                  <wp:posOffset>341630</wp:posOffset>
                </wp:positionV>
                <wp:extent cx="0" cy="17780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5pt,26.9pt" to="499.5pt,40.9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231F20"/>
        </w:rPr>
        <w:t>Ms. Steinel is the owner of Executive Advisors (2007-present), a business that provides consulting services to chief executives and senior officers and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231F20"/>
        </w:rPr>
        <w:t>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on the boards of Invesque, Inc., a Toronto stock exchange company that invests in a highly diversified portfolio of properties across the health care spectrum throughout the US and Canada,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Skills and Qualifications</w:t>
      </w:r>
    </w:p>
    <w:p>
      <w:pPr>
        <w:jc w:val="both"/>
        <w:spacing w:after="0" w:line="227" w:lineRule="auto"/>
        <w:rPr>
          <w:sz w:val="20"/>
          <w:szCs w:val="20"/>
          <w:color w:val="auto"/>
        </w:rPr>
      </w:pPr>
      <w:r>
        <w:rPr>
          <w:rFonts w:ascii="Arial" w:cs="Arial" w:eastAsia="Arial" w:hAnsi="Arial"/>
          <w:sz w:val="20"/>
          <w:szCs w:val="20"/>
          <w:color w:val="231F20"/>
        </w:rPr>
        <w:t>Ms. Steinel’s history as a CPA combined with her more than 35 years of experience in auditing, leadership, leadership development and financial systems provides us with valuable insights on leadership, leadership development, risk management and systems operations.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Prior Public Company Directorships:</w:t>
      </w:r>
    </w:p>
    <w:p>
      <w:pPr>
        <w:spacing w:after="0" w:line="225" w:lineRule="auto"/>
        <w:rPr>
          <w:sz w:val="20"/>
          <w:szCs w:val="20"/>
          <w:color w:val="auto"/>
        </w:rPr>
      </w:pPr>
      <w:r>
        <w:rPr>
          <w:rFonts w:ascii="Arial" w:cs="Arial" w:eastAsia="Arial" w:hAnsi="Arial"/>
          <w:sz w:val="20"/>
          <w:szCs w:val="20"/>
          <w:color w:val="231F20"/>
        </w:rPr>
        <w:t>MTS Systems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Committees:</w:t>
      </w:r>
    </w:p>
    <w:p>
      <w:pPr>
        <w:spacing w:after="0" w:line="229" w:lineRule="auto"/>
        <w:rPr>
          <w:sz w:val="20"/>
          <w:szCs w:val="20"/>
          <w:color w:val="auto"/>
        </w:rPr>
      </w:pPr>
      <w:r>
        <w:rPr>
          <w:rFonts w:ascii="Arial" w:cs="Arial" w:eastAsia="Arial" w:hAnsi="Arial"/>
          <w:sz w:val="20"/>
          <w:szCs w:val="20"/>
          <w:color w:val="231F20"/>
        </w:rPr>
        <w:t>Audit Committee (Chair)</w:t>
      </w:r>
    </w:p>
    <w:p>
      <w:pPr>
        <w:spacing w:after="0" w:line="225" w:lineRule="auto"/>
        <w:rPr>
          <w:sz w:val="20"/>
          <w:szCs w:val="20"/>
          <w:color w:val="auto"/>
        </w:rPr>
      </w:pPr>
      <w:r>
        <w:rPr>
          <w:rFonts w:ascii="Arial" w:cs="Arial" w:eastAsia="Arial" w:hAnsi="Arial"/>
          <w:sz w:val="20"/>
          <w:szCs w:val="20"/>
          <w:color w:val="231F20"/>
        </w:rPr>
        <w:t>Compensation Committee</w:t>
      </w:r>
    </w:p>
    <w:p>
      <w:pPr>
        <w:spacing w:after="0" w:line="200" w:lineRule="exact"/>
        <w:rPr>
          <w:sz w:val="20"/>
          <w:szCs w:val="20"/>
          <w:color w:val="auto"/>
        </w:rPr>
      </w:pPr>
    </w:p>
    <w:p>
      <w:pPr>
        <w:sectPr>
          <w:pgSz w:w="12240" w:h="15840" w:orient="portrait"/>
          <w:cols w:equalWidth="0" w:num="2">
            <w:col w:w="4740" w:space="540"/>
            <w:col w:w="4400"/>
          </w:cols>
          <w:pgMar w:left="1160" w:top="1440" w:right="1400" w:bottom="944" w:gutter="0" w:footer="0" w:header="0"/>
          <w:type w:val="continuous"/>
        </w:sectPr>
      </w:pPr>
    </w:p>
    <w:p>
      <w:pPr>
        <w:spacing w:after="0" w:line="387" w:lineRule="exact"/>
        <w:rPr>
          <w:sz w:val="20"/>
          <w:szCs w:val="20"/>
          <w:color w:val="auto"/>
        </w:rPr>
      </w:pPr>
    </w:p>
    <w:p>
      <w:pPr>
        <w:spacing w:after="0"/>
        <w:tabs>
          <w:tab w:leader="none" w:pos="1340" w:val="left"/>
          <w:tab w:leader="none" w:pos="308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16</w:t>
      </w:r>
    </w:p>
    <w:p>
      <w:pPr>
        <w:sectPr>
          <w:pgSz w:w="12240" w:h="15840" w:orient="portrait"/>
          <w:cols w:equalWidth="0" w:num="1">
            <w:col w:w="9680"/>
          </w:cols>
          <w:pgMar w:left="1160" w:top="1440" w:right="1400" w:bottom="944" w:gutter="0" w:footer="0" w:header="0"/>
          <w:type w:val="continuous"/>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914400</wp:posOffset>
            </wp:positionV>
            <wp:extent cx="6400800" cy="48209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69">
                      <a:extLst>
                        <a:ext uri="{28A0092B-C50C-407E-A947-70E740481C1C}"/>
                      </a:extLst>
                    </a:blip>
                    <a:srcRect/>
                    <a:stretch>
                      <a:fillRect/>
                    </a:stretch>
                  </pic:blipFill>
                  <pic:spPr bwMode="auto">
                    <a:xfrm>
                      <a:off x="0" y="0"/>
                      <a:ext cx="6400800" cy="4820920"/>
                    </a:xfrm>
                    <a:prstGeom prst="rect">
                      <a:avLst/>
                    </a:prstGeom>
                    <a:noFill/>
                  </pic:spPr>
                </pic:pic>
              </a:graphicData>
            </a:graphic>
          </wp:anchor>
        </w:drawing>
      </w:r>
    </w:p>
    <w:p>
      <w:pPr>
        <w:spacing w:after="0" w:line="36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231F20"/>
        </w:rPr>
        <w:t>DONALD C. WOOD</w:t>
      </w:r>
    </w:p>
    <w:p>
      <w:pPr>
        <w:ind w:left="2580"/>
        <w:spacing w:after="0" w:line="235" w:lineRule="auto"/>
        <w:rPr>
          <w:sz w:val="20"/>
          <w:szCs w:val="20"/>
          <w:color w:val="auto"/>
        </w:rPr>
      </w:pPr>
      <w:r>
        <w:rPr>
          <w:rFonts w:ascii="Arial" w:cs="Arial" w:eastAsia="Arial" w:hAnsi="Arial"/>
          <w:sz w:val="20"/>
          <w:szCs w:val="20"/>
          <w:color w:val="231F20"/>
        </w:rPr>
        <w:t>Age: 63</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0"/>
          <w:szCs w:val="20"/>
          <w:color w:val="231F20"/>
        </w:rPr>
        <w:t>Trustee Since: 2003</w:t>
      </w:r>
    </w:p>
    <w:p>
      <w:pPr>
        <w:ind w:left="2580"/>
        <w:spacing w:after="0" w:line="235" w:lineRule="auto"/>
        <w:rPr>
          <w:sz w:val="20"/>
          <w:szCs w:val="20"/>
          <w:color w:val="auto"/>
        </w:rPr>
      </w:pPr>
      <w:r>
        <w:rPr>
          <w:rFonts w:ascii="Arial" w:cs="Arial" w:eastAsia="Arial" w:hAnsi="Arial"/>
          <w:sz w:val="20"/>
          <w:szCs w:val="20"/>
          <w:color w:val="231F20"/>
        </w:rPr>
        <w:t>Chief Executive Officer of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20" w:right="320"/>
        <w:spacing w:after="0" w:line="237" w:lineRule="auto"/>
        <w:rPr>
          <w:sz w:val="20"/>
          <w:szCs w:val="20"/>
          <w:color w:val="auto"/>
        </w:rPr>
      </w:pPr>
      <w:r>
        <w:rPr>
          <w:rFonts w:ascii="Arial" w:cs="Arial" w:eastAsia="Arial" w:hAnsi="Arial"/>
          <w:sz w:val="20"/>
          <w:szCs w:val="20"/>
          <w:color w:val="231F20"/>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231F20"/>
        </w:rPr>
        <w:t>Skills and Qualifications</w:t>
      </w:r>
    </w:p>
    <w:p>
      <w:pPr>
        <w:spacing w:after="0" w:line="3" w:lineRule="exact"/>
        <w:rPr>
          <w:sz w:val="20"/>
          <w:szCs w:val="20"/>
          <w:color w:val="auto"/>
        </w:rPr>
      </w:pPr>
    </w:p>
    <w:p>
      <w:pPr>
        <w:jc w:val="both"/>
        <w:ind w:left="420" w:right="320"/>
        <w:spacing w:after="0" w:line="236" w:lineRule="auto"/>
        <w:rPr>
          <w:sz w:val="20"/>
          <w:szCs w:val="20"/>
          <w:color w:val="auto"/>
        </w:rPr>
      </w:pPr>
      <w:r>
        <w:rPr>
          <w:rFonts w:ascii="Arial" w:cs="Arial" w:eastAsia="Arial" w:hAnsi="Arial"/>
          <w:sz w:val="20"/>
          <w:szCs w:val="20"/>
          <w:color w:val="231F20"/>
        </w:rPr>
        <w:t>Mr. Wood’s 25 years of experience with Federal, including his responsibilities as chief executive officer and as a REIT CFO, provide the Board with familiarity and details on all aspects of the operations and financial condition of the Company.</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231F20"/>
        </w:rPr>
        <w:t>Prior Public Company Directorships:</w:t>
      </w:r>
    </w:p>
    <w:p>
      <w:pPr>
        <w:ind w:left="420"/>
        <w:spacing w:after="0" w:line="237" w:lineRule="auto"/>
        <w:rPr>
          <w:sz w:val="20"/>
          <w:szCs w:val="20"/>
          <w:color w:val="auto"/>
        </w:rPr>
      </w:pPr>
      <w:r>
        <w:rPr>
          <w:rFonts w:ascii="Arial" w:cs="Arial" w:eastAsia="Arial" w:hAnsi="Arial"/>
          <w:sz w:val="20"/>
          <w:szCs w:val="20"/>
          <w:color w:val="231F20"/>
        </w:rPr>
        <w:t>Quality Care Properties</w:t>
      </w:r>
    </w:p>
    <w:p>
      <w:pPr>
        <w:ind w:left="420"/>
        <w:spacing w:after="0" w:line="236" w:lineRule="auto"/>
        <w:rPr>
          <w:sz w:val="20"/>
          <w:szCs w:val="20"/>
          <w:color w:val="auto"/>
        </w:rPr>
      </w:pPr>
      <w:r>
        <w:rPr>
          <w:rFonts w:ascii="Arial" w:cs="Arial" w:eastAsia="Arial" w:hAnsi="Arial"/>
          <w:sz w:val="20"/>
          <w:szCs w:val="20"/>
          <w:color w:val="231F20"/>
        </w:rPr>
        <w:t>Post Properties</w:t>
      </w:r>
    </w:p>
    <w:p>
      <w:pPr>
        <w:spacing w:after="0" w:line="200" w:lineRule="exact"/>
        <w:rPr>
          <w:sz w:val="20"/>
          <w:szCs w:val="20"/>
          <w:color w:val="auto"/>
        </w:rPr>
      </w:pPr>
    </w:p>
    <w:p>
      <w:pPr>
        <w:spacing w:after="0" w:line="325" w:lineRule="exact"/>
        <w:rPr>
          <w:sz w:val="20"/>
          <w:szCs w:val="20"/>
          <w:color w:val="auto"/>
        </w:rPr>
      </w:pPr>
    </w:p>
    <w:p>
      <w:pPr>
        <w:spacing w:after="0" w:line="295" w:lineRule="exact"/>
        <w:tabs>
          <w:tab w:leader="none" w:pos="380" w:val="left"/>
        </w:tabs>
        <w:rPr>
          <w:sz w:val="20"/>
          <w:szCs w:val="20"/>
          <w:color w:val="auto"/>
        </w:rPr>
      </w:pPr>
      <w:r>
        <w:rPr>
          <w:rFonts w:ascii="Arial Unicode MS" w:cs="Arial Unicode MS" w:eastAsia="Arial Unicode MS" w:hAnsi="Arial Unicode MS"/>
          <w:sz w:val="20"/>
          <w:szCs w:val="20"/>
          <w:color w:val="EF3E2B"/>
        </w:rPr>
        <w:t>➢</w:t>
      </w:r>
      <w:r>
        <w:rPr>
          <w:sz w:val="20"/>
          <w:szCs w:val="20"/>
          <w:color w:val="auto"/>
        </w:rPr>
        <w:tab/>
      </w:r>
      <w:r>
        <w:rPr>
          <w:rFonts w:ascii="Arial" w:cs="Arial" w:eastAsia="Arial" w:hAnsi="Arial"/>
          <w:sz w:val="19"/>
          <w:szCs w:val="19"/>
          <w:b w:val="1"/>
          <w:bCs w:val="1"/>
          <w:color w:val="231F20"/>
        </w:rPr>
        <w:t>TRUSTEE COMPENSATION</w:t>
      </w:r>
    </w:p>
    <w:p>
      <w:pPr>
        <w:spacing w:after="0" w:line="266"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As of December 31, 2023, our standard arrangement for compensation for our non-management trustees included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60" w:type="dxa"/>
            <w:vAlign w:val="bottom"/>
            <w:shd w:val="clear" w:color="auto" w:fill="EF3E2B"/>
          </w:tcPr>
          <w:p>
            <w:pPr>
              <w:ind w:left="40"/>
              <w:spacing w:after="0"/>
              <w:rPr>
                <w:sz w:val="20"/>
                <w:szCs w:val="20"/>
                <w:color w:val="auto"/>
              </w:rPr>
            </w:pPr>
            <w:r>
              <w:rPr>
                <w:rFonts w:ascii="Arial" w:cs="Arial" w:eastAsia="Arial" w:hAnsi="Arial"/>
                <w:sz w:val="18"/>
                <w:szCs w:val="18"/>
                <w:b w:val="1"/>
                <w:bCs w:val="1"/>
                <w:color w:val="FFFFFF"/>
              </w:rPr>
              <w:t>Trustee Compensation Element</w:t>
            </w:r>
          </w:p>
        </w:tc>
        <w:tc>
          <w:tcPr>
            <w:tcW w:w="1440" w:type="dxa"/>
            <w:vAlign w:val="bottom"/>
            <w:gridSpan w:val="2"/>
            <w:shd w:val="clear" w:color="auto" w:fill="EF3E2B"/>
          </w:tcPr>
          <w:p>
            <w:pPr>
              <w:ind w:left="360"/>
              <w:spacing w:after="0"/>
              <w:rPr>
                <w:sz w:val="20"/>
                <w:szCs w:val="20"/>
                <w:color w:val="auto"/>
              </w:rPr>
            </w:pPr>
            <w:r>
              <w:rPr>
                <w:rFonts w:ascii="Arial" w:cs="Arial" w:eastAsia="Arial" w:hAnsi="Arial"/>
                <w:sz w:val="18"/>
                <w:szCs w:val="18"/>
                <w:b w:val="1"/>
                <w:bCs w:val="1"/>
                <w:color w:val="FFFFFF"/>
              </w:rPr>
              <w:t>Amount</w:t>
            </w:r>
          </w:p>
        </w:tc>
        <w:tc>
          <w:tcPr>
            <w:tcW w:w="2180" w:type="dxa"/>
            <w:vAlign w:val="bottom"/>
            <w:shd w:val="clear" w:color="auto" w:fill="EF3E2B"/>
          </w:tcPr>
          <w:p>
            <w:pPr>
              <w:ind w:left="60"/>
              <w:spacing w:after="0"/>
              <w:rPr>
                <w:sz w:val="20"/>
                <w:szCs w:val="20"/>
                <w:color w:val="auto"/>
              </w:rPr>
            </w:pPr>
            <w:r>
              <w:rPr>
                <w:rFonts w:ascii="Arial" w:cs="Arial" w:eastAsia="Arial" w:hAnsi="Arial"/>
                <w:sz w:val="18"/>
                <w:szCs w:val="18"/>
                <w:b w:val="1"/>
                <w:bCs w:val="1"/>
                <w:color w:val="FFFFFF"/>
              </w:rPr>
              <w:t>Payment Form</w:t>
            </w:r>
          </w:p>
        </w:tc>
      </w:tr>
      <w:tr>
        <w:trPr>
          <w:trHeight w:val="64"/>
        </w:trPr>
        <w:tc>
          <w:tcPr>
            <w:tcW w:w="3760" w:type="dxa"/>
            <w:vAlign w:val="bottom"/>
            <w:shd w:val="clear" w:color="auto" w:fill="EF3E2B"/>
          </w:tcPr>
          <w:p>
            <w:pPr>
              <w:spacing w:after="0"/>
              <w:rPr>
                <w:sz w:val="5"/>
                <w:szCs w:val="5"/>
                <w:color w:val="auto"/>
              </w:rPr>
            </w:pPr>
          </w:p>
        </w:tc>
        <w:tc>
          <w:tcPr>
            <w:tcW w:w="600" w:type="dxa"/>
            <w:vAlign w:val="bottom"/>
            <w:shd w:val="clear" w:color="auto" w:fill="EF3E2B"/>
          </w:tcPr>
          <w:p>
            <w:pPr>
              <w:spacing w:after="0"/>
              <w:rPr>
                <w:sz w:val="5"/>
                <w:szCs w:val="5"/>
                <w:color w:val="auto"/>
              </w:rPr>
            </w:pPr>
          </w:p>
        </w:tc>
        <w:tc>
          <w:tcPr>
            <w:tcW w:w="840" w:type="dxa"/>
            <w:vAlign w:val="bottom"/>
            <w:shd w:val="clear" w:color="auto" w:fill="EF3E2B"/>
          </w:tcPr>
          <w:p>
            <w:pPr>
              <w:spacing w:after="0"/>
              <w:rPr>
                <w:sz w:val="5"/>
                <w:szCs w:val="5"/>
                <w:color w:val="auto"/>
              </w:rPr>
            </w:pPr>
          </w:p>
        </w:tc>
        <w:tc>
          <w:tcPr>
            <w:tcW w:w="2180" w:type="dxa"/>
            <w:vAlign w:val="bottom"/>
            <w:shd w:val="clear" w:color="auto" w:fill="EF3E2B"/>
          </w:tcPr>
          <w:p>
            <w:pPr>
              <w:spacing w:after="0"/>
              <w:rPr>
                <w:sz w:val="5"/>
                <w:szCs w:val="5"/>
                <w:color w:val="auto"/>
              </w:rPr>
            </w:pPr>
          </w:p>
        </w:tc>
      </w:tr>
      <w:tr>
        <w:trPr>
          <w:trHeight w:val="296"/>
        </w:trPr>
        <w:tc>
          <w:tcPr>
            <w:tcW w:w="3760" w:type="dxa"/>
            <w:vAlign w:val="bottom"/>
          </w:tcPr>
          <w:p>
            <w:pPr>
              <w:ind w:left="40"/>
              <w:spacing w:after="0"/>
              <w:rPr>
                <w:sz w:val="20"/>
                <w:szCs w:val="20"/>
                <w:color w:val="auto"/>
              </w:rPr>
            </w:pPr>
            <w:r>
              <w:rPr>
                <w:rFonts w:ascii="Arial" w:cs="Arial" w:eastAsia="Arial" w:hAnsi="Arial"/>
                <w:sz w:val="18"/>
                <w:szCs w:val="18"/>
                <w:b w:val="1"/>
                <w:bCs w:val="1"/>
                <w:color w:val="231F20"/>
              </w:rPr>
              <w:t>Board Service</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4"/>
        </w:trPr>
        <w:tc>
          <w:tcPr>
            <w:tcW w:w="37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180" w:type="dxa"/>
            <w:vAlign w:val="bottom"/>
            <w:tcBorders>
              <w:bottom w:val="single" w:sz="8" w:color="231F20"/>
            </w:tcBorders>
          </w:tcPr>
          <w:p>
            <w:pPr>
              <w:spacing w:after="0"/>
              <w:rPr>
                <w:sz w:val="2"/>
                <w:szCs w:val="2"/>
                <w:color w:val="auto"/>
              </w:rPr>
            </w:pPr>
          </w:p>
        </w:tc>
      </w:tr>
      <w:tr>
        <w:trPr>
          <w:trHeight w:val="286"/>
        </w:trPr>
        <w:tc>
          <w:tcPr>
            <w:tcW w:w="3760" w:type="dxa"/>
            <w:vAlign w:val="bottom"/>
          </w:tcPr>
          <w:p>
            <w:pPr>
              <w:ind w:left="40"/>
              <w:spacing w:after="0"/>
              <w:rPr>
                <w:sz w:val="20"/>
                <w:szCs w:val="20"/>
                <w:color w:val="auto"/>
              </w:rPr>
            </w:pPr>
            <w:r>
              <w:rPr>
                <w:rFonts w:ascii="Arial" w:cs="Arial" w:eastAsia="Arial" w:hAnsi="Arial"/>
                <w:sz w:val="18"/>
                <w:szCs w:val="18"/>
                <w:color w:val="231F20"/>
              </w:rPr>
              <w:t>Annual Retainer</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200,000</w:t>
            </w:r>
          </w:p>
        </w:tc>
        <w:tc>
          <w:tcPr>
            <w:tcW w:w="2180" w:type="dxa"/>
            <w:vAlign w:val="bottom"/>
          </w:tcPr>
          <w:p>
            <w:pPr>
              <w:ind w:left="60"/>
              <w:spacing w:after="0"/>
              <w:rPr>
                <w:sz w:val="20"/>
                <w:szCs w:val="20"/>
                <w:color w:val="auto"/>
              </w:rPr>
            </w:pPr>
            <w:r>
              <w:rPr>
                <w:rFonts w:ascii="Arial" w:cs="Arial" w:eastAsia="Arial" w:hAnsi="Arial"/>
                <w:sz w:val="18"/>
                <w:szCs w:val="18"/>
                <w:color w:val="231F20"/>
              </w:rPr>
              <w:t>40% cash; 60% equity</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231F20"/>
              </w:rPr>
              <w:t>Annual Retainer Non-Executive Chairman</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225,000</w:t>
            </w:r>
          </w:p>
        </w:tc>
        <w:tc>
          <w:tcPr>
            <w:tcW w:w="2180" w:type="dxa"/>
            <w:vAlign w:val="bottom"/>
          </w:tcPr>
          <w:p>
            <w:pPr>
              <w:ind w:left="60"/>
              <w:spacing w:after="0"/>
              <w:rPr>
                <w:sz w:val="20"/>
                <w:szCs w:val="20"/>
                <w:color w:val="auto"/>
              </w:rPr>
            </w:pPr>
            <w:r>
              <w:rPr>
                <w:rFonts w:ascii="Arial" w:cs="Arial" w:eastAsia="Arial" w:hAnsi="Arial"/>
                <w:sz w:val="18"/>
                <w:szCs w:val="18"/>
                <w:color w:val="231F20"/>
              </w:rPr>
              <w:t>60% cash; 40% equity</w:t>
            </w:r>
          </w:p>
        </w:tc>
      </w:tr>
      <w:tr>
        <w:trPr>
          <w:trHeight w:val="34"/>
        </w:trPr>
        <w:tc>
          <w:tcPr>
            <w:tcW w:w="37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180" w:type="dxa"/>
            <w:vAlign w:val="bottom"/>
            <w:tcBorders>
              <w:bottom w:val="single" w:sz="8" w:color="231F20"/>
            </w:tcBorders>
          </w:tcPr>
          <w:p>
            <w:pPr>
              <w:spacing w:after="0"/>
              <w:rPr>
                <w:sz w:val="2"/>
                <w:szCs w:val="2"/>
                <w:color w:val="auto"/>
              </w:rPr>
            </w:pPr>
          </w:p>
        </w:tc>
      </w:tr>
      <w:tr>
        <w:trPr>
          <w:trHeight w:val="366"/>
        </w:trPr>
        <w:tc>
          <w:tcPr>
            <w:tcW w:w="3760" w:type="dxa"/>
            <w:vAlign w:val="bottom"/>
          </w:tcPr>
          <w:p>
            <w:pPr>
              <w:ind w:left="40"/>
              <w:spacing w:after="0"/>
              <w:rPr>
                <w:sz w:val="20"/>
                <w:szCs w:val="20"/>
                <w:color w:val="auto"/>
              </w:rPr>
            </w:pPr>
            <w:r>
              <w:rPr>
                <w:rFonts w:ascii="Arial" w:cs="Arial" w:eastAsia="Arial" w:hAnsi="Arial"/>
                <w:sz w:val="18"/>
                <w:szCs w:val="18"/>
                <w:b w:val="1"/>
                <w:bCs w:val="1"/>
                <w:color w:val="231F20"/>
              </w:rPr>
              <w:t>Committee Chairs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4"/>
        </w:trPr>
        <w:tc>
          <w:tcPr>
            <w:tcW w:w="37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180" w:type="dxa"/>
            <w:vAlign w:val="bottom"/>
            <w:tcBorders>
              <w:bottom w:val="single" w:sz="8" w:color="231F20"/>
            </w:tcBorders>
          </w:tcPr>
          <w:p>
            <w:pPr>
              <w:spacing w:after="0"/>
              <w:rPr>
                <w:sz w:val="2"/>
                <w:szCs w:val="2"/>
                <w:color w:val="auto"/>
              </w:rPr>
            </w:pPr>
          </w:p>
        </w:tc>
      </w:tr>
      <w:tr>
        <w:trPr>
          <w:trHeight w:val="286"/>
        </w:trPr>
        <w:tc>
          <w:tcPr>
            <w:tcW w:w="3760" w:type="dxa"/>
            <w:vAlign w:val="bottom"/>
          </w:tcPr>
          <w:p>
            <w:pPr>
              <w:ind w:left="40"/>
              <w:spacing w:after="0"/>
              <w:rPr>
                <w:sz w:val="20"/>
                <w:szCs w:val="20"/>
                <w:color w:val="auto"/>
              </w:rPr>
            </w:pPr>
            <w:r>
              <w:rPr>
                <w:rFonts w:ascii="Arial" w:cs="Arial" w:eastAsia="Arial" w:hAnsi="Arial"/>
                <w:sz w:val="18"/>
                <w:szCs w:val="18"/>
                <w:color w:val="231F20"/>
              </w:rPr>
              <w:t>Audit Committee</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25,000</w:t>
            </w:r>
          </w:p>
        </w:tc>
        <w:tc>
          <w:tcPr>
            <w:tcW w:w="2180" w:type="dxa"/>
            <w:vAlign w:val="bottom"/>
          </w:tcPr>
          <w:p>
            <w:pPr>
              <w:ind w:left="60"/>
              <w:spacing w:after="0"/>
              <w:rPr>
                <w:sz w:val="20"/>
                <w:szCs w:val="20"/>
                <w:color w:val="auto"/>
              </w:rPr>
            </w:pPr>
            <w:r>
              <w:rPr>
                <w:rFonts w:ascii="Arial" w:cs="Arial" w:eastAsia="Arial" w:hAnsi="Arial"/>
                <w:sz w:val="18"/>
                <w:szCs w:val="18"/>
                <w:color w:val="231F20"/>
              </w:rPr>
              <w:t>Cash</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231F20"/>
              </w:rPr>
              <w:t>Compensation Committee</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15,000</w:t>
            </w:r>
          </w:p>
        </w:tc>
        <w:tc>
          <w:tcPr>
            <w:tcW w:w="2180" w:type="dxa"/>
            <w:vAlign w:val="bottom"/>
          </w:tcPr>
          <w:p>
            <w:pPr>
              <w:ind w:left="60"/>
              <w:spacing w:after="0"/>
              <w:rPr>
                <w:sz w:val="20"/>
                <w:szCs w:val="20"/>
                <w:color w:val="auto"/>
              </w:rPr>
            </w:pPr>
            <w:r>
              <w:rPr>
                <w:rFonts w:ascii="Arial" w:cs="Arial" w:eastAsia="Arial" w:hAnsi="Arial"/>
                <w:sz w:val="18"/>
                <w:szCs w:val="18"/>
                <w:color w:val="231F20"/>
              </w:rPr>
              <w:t>Cash</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231F20"/>
              </w:rPr>
              <w:t>Nominating Committee</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15,000</w:t>
            </w:r>
          </w:p>
        </w:tc>
        <w:tc>
          <w:tcPr>
            <w:tcW w:w="2180" w:type="dxa"/>
            <w:vAlign w:val="bottom"/>
          </w:tcPr>
          <w:p>
            <w:pPr>
              <w:ind w:left="60"/>
              <w:spacing w:after="0"/>
              <w:rPr>
                <w:sz w:val="20"/>
                <w:szCs w:val="20"/>
                <w:color w:val="auto"/>
              </w:rPr>
            </w:pPr>
            <w:r>
              <w:rPr>
                <w:rFonts w:ascii="Arial" w:cs="Arial" w:eastAsia="Arial" w:hAnsi="Arial"/>
                <w:sz w:val="18"/>
                <w:szCs w:val="18"/>
                <w:color w:val="231F20"/>
              </w:rPr>
              <w:t>Cash</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2489200</wp:posOffset>
                </wp:positionH>
                <wp:positionV relativeFrom="paragraph">
                  <wp:posOffset>-1727835</wp:posOffset>
                </wp:positionV>
                <wp:extent cx="0" cy="18415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136.0499pt" to="196pt,-121.5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3289300</wp:posOffset>
                </wp:positionH>
                <wp:positionV relativeFrom="paragraph">
                  <wp:posOffset>-1727835</wp:posOffset>
                </wp:positionV>
                <wp:extent cx="0" cy="18415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136.0499pt" to="259pt,-121.5499pt" o:allowincell="f" strokecolor="#FFFFFF" strokeweight="1.5pt"/>
            </w:pict>
          </mc:Fallback>
        </mc:AlternateConten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231F20"/>
        </w:rPr>
        <w:t>All amounts are prorated for any partial years of service and shares issued are fully vested on the grant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208280</wp:posOffset>
                </wp:positionV>
                <wp:extent cx="6400800" cy="17780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74" o:spid="_x0000_s1299" style="position:absolute;margin-left:0pt;margin-top:16.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208280</wp:posOffset>
                </wp:positionV>
                <wp:extent cx="0" cy="17780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6.4pt" to="0.5pt,3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214630</wp:posOffset>
                </wp:positionV>
                <wp:extent cx="640080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9pt" to="504pt,16.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208280</wp:posOffset>
                </wp:positionV>
                <wp:extent cx="0" cy="17780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6.4pt" to="503.5pt,3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379730</wp:posOffset>
                </wp:positionV>
                <wp:extent cx="640080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9pt" to="504pt,29.9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376"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17</w:t>
      </w:r>
    </w:p>
    <w:p>
      <w:pPr>
        <w:sectPr>
          <w:pgSz w:w="12240" w:h="15840" w:orient="portrait"/>
          <w:cols w:equalWidth="0" w:num="1">
            <w:col w:w="10080"/>
          </w:cols>
          <w:pgMar w:left="1080" w:top="1440" w:right="1080" w:bottom="944" w:gutter="0" w:footer="0" w:header="0"/>
          <w:type w:val="continuous"/>
        </w:sectPr>
      </w:pPr>
    </w:p>
    <w:bookmarkStart w:id="137" w:name="page138"/>
    <w:bookmarkEnd w:id="137"/>
    <w:p>
      <w:pPr>
        <w:spacing w:after="0" w:line="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non-management Trustees are required to maintain ownership of our shares having a value equal to at least 5 times the amount of their annual cash retainer. This requirement must be met within 5 years after joining the Board. As of December 31, 2023, all of our Trustees who have been on the Board for 5 or more years were in full compliance with this ownership requirement. We expect our newest Trustees who joined the Board in 2020 and 2022 to be in compliance with this equity ownership requirement within the 5-year time frame.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The actual compensation awarded to our Trustees for service in 2023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60" w:type="dxa"/>
            <w:vAlign w:val="bottom"/>
            <w:shd w:val="clear" w:color="auto" w:fill="EF3E2B"/>
          </w:tcPr>
          <w:p>
            <w:pPr>
              <w:spacing w:after="0"/>
              <w:rPr>
                <w:sz w:val="21"/>
                <w:szCs w:val="21"/>
                <w:color w:val="auto"/>
              </w:rPr>
            </w:pPr>
          </w:p>
        </w:tc>
        <w:tc>
          <w:tcPr>
            <w:tcW w:w="1320" w:type="dxa"/>
            <w:vAlign w:val="bottom"/>
            <w:shd w:val="clear" w:color="auto" w:fill="EF3E2B"/>
          </w:tcPr>
          <w:p>
            <w:pPr>
              <w:spacing w:after="0"/>
              <w:rPr>
                <w:sz w:val="21"/>
                <w:szCs w:val="21"/>
                <w:color w:val="auto"/>
              </w:rPr>
            </w:pPr>
          </w:p>
        </w:tc>
        <w:tc>
          <w:tcPr>
            <w:tcW w:w="2860" w:type="dxa"/>
            <w:vAlign w:val="bottom"/>
            <w:gridSpan w:val="3"/>
            <w:shd w:val="clear" w:color="auto" w:fill="EF3E2B"/>
          </w:tcPr>
          <w:p>
            <w:pPr>
              <w:jc w:val="right"/>
              <w:ind w:right="840"/>
              <w:spacing w:after="0"/>
              <w:rPr>
                <w:sz w:val="20"/>
                <w:szCs w:val="20"/>
                <w:color w:val="auto"/>
              </w:rPr>
            </w:pPr>
            <w:r>
              <w:rPr>
                <w:rFonts w:ascii="Calibri" w:cs="Calibri" w:eastAsia="Calibri" w:hAnsi="Calibri"/>
                <w:sz w:val="20"/>
                <w:szCs w:val="20"/>
                <w:b w:val="1"/>
                <w:bCs w:val="1"/>
                <w:color w:val="FFFFFF"/>
              </w:rPr>
              <w:t>Annual Retainer</w:t>
            </w:r>
          </w:p>
        </w:tc>
        <w:tc>
          <w:tcPr>
            <w:tcW w:w="380" w:type="dxa"/>
            <w:vAlign w:val="bottom"/>
            <w:shd w:val="clear" w:color="auto" w:fill="EF3E2B"/>
          </w:tcPr>
          <w:p>
            <w:pPr>
              <w:spacing w:after="0"/>
              <w:rPr>
                <w:sz w:val="21"/>
                <w:szCs w:val="21"/>
                <w:color w:val="auto"/>
              </w:rPr>
            </w:pPr>
          </w:p>
        </w:tc>
        <w:tc>
          <w:tcPr>
            <w:tcW w:w="1220" w:type="dxa"/>
            <w:vAlign w:val="bottom"/>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Committee</w:t>
            </w:r>
          </w:p>
        </w:tc>
        <w:tc>
          <w:tcPr>
            <w:tcW w:w="400" w:type="dxa"/>
            <w:vAlign w:val="bottom"/>
            <w:shd w:val="clear" w:color="auto" w:fill="EF3E2B"/>
          </w:tcPr>
          <w:p>
            <w:pPr>
              <w:spacing w:after="0"/>
              <w:rPr>
                <w:sz w:val="21"/>
                <w:szCs w:val="21"/>
                <w:color w:val="auto"/>
              </w:rPr>
            </w:pPr>
          </w:p>
        </w:tc>
        <w:tc>
          <w:tcPr>
            <w:tcW w:w="1140" w:type="dxa"/>
            <w:vAlign w:val="bottom"/>
            <w:shd w:val="clear" w:color="auto" w:fill="EF3E2B"/>
          </w:tcPr>
          <w:p>
            <w:pPr>
              <w:spacing w:after="0"/>
              <w:rPr>
                <w:sz w:val="21"/>
                <w:szCs w:val="21"/>
                <w:color w:val="auto"/>
              </w:rPr>
            </w:pPr>
          </w:p>
        </w:tc>
      </w:tr>
      <w:tr>
        <w:trPr>
          <w:trHeight w:val="264"/>
        </w:trPr>
        <w:tc>
          <w:tcPr>
            <w:tcW w:w="2760" w:type="dxa"/>
            <w:vAlign w:val="bottom"/>
            <w:shd w:val="clear" w:color="auto" w:fill="EF3E2B"/>
          </w:tcPr>
          <w:p>
            <w:pPr>
              <w:ind w:left="60"/>
              <w:spacing w:after="0" w:line="220" w:lineRule="exact"/>
              <w:rPr>
                <w:sz w:val="20"/>
                <w:szCs w:val="20"/>
                <w:color w:val="auto"/>
              </w:rPr>
            </w:pPr>
            <w:r>
              <w:rPr>
                <w:rFonts w:ascii="Calibri" w:cs="Calibri" w:eastAsia="Calibri" w:hAnsi="Calibri"/>
                <w:sz w:val="20"/>
                <w:szCs w:val="20"/>
                <w:b w:val="1"/>
                <w:bCs w:val="1"/>
                <w:color w:val="FFFFFF"/>
              </w:rPr>
              <w:t>Name</w:t>
            </w:r>
          </w:p>
        </w:tc>
        <w:tc>
          <w:tcPr>
            <w:tcW w:w="1320" w:type="dxa"/>
            <w:vAlign w:val="bottom"/>
            <w:shd w:val="clear" w:color="auto" w:fill="EF3E2B"/>
          </w:tcPr>
          <w:p>
            <w:pPr>
              <w:spacing w:after="0"/>
              <w:rPr>
                <w:sz w:val="22"/>
                <w:szCs w:val="22"/>
                <w:color w:val="auto"/>
              </w:rPr>
            </w:pPr>
          </w:p>
        </w:tc>
        <w:tc>
          <w:tcPr>
            <w:tcW w:w="1240" w:type="dxa"/>
            <w:vAlign w:val="bottom"/>
            <w:shd w:val="clear" w:color="auto" w:fill="EF3E2B"/>
          </w:tcPr>
          <w:p>
            <w:pPr>
              <w:jc w:val="right"/>
              <w:spacing w:after="0" w:line="220" w:lineRule="exact"/>
              <w:rPr>
                <w:sz w:val="20"/>
                <w:szCs w:val="20"/>
                <w:color w:val="auto"/>
              </w:rPr>
            </w:pPr>
            <w:r>
              <w:rPr>
                <w:rFonts w:ascii="Calibri" w:cs="Calibri" w:eastAsia="Calibri" w:hAnsi="Calibri"/>
                <w:sz w:val="20"/>
                <w:szCs w:val="20"/>
                <w:b w:val="1"/>
                <w:bCs w:val="1"/>
                <w:color w:val="FFFFFF"/>
              </w:rPr>
              <w:t>Paid in Cash</w:t>
            </w:r>
          </w:p>
        </w:tc>
        <w:tc>
          <w:tcPr>
            <w:tcW w:w="200" w:type="dxa"/>
            <w:vAlign w:val="bottom"/>
            <w:shd w:val="clear" w:color="auto" w:fill="EF3E2B"/>
          </w:tcPr>
          <w:p>
            <w:pPr>
              <w:spacing w:after="0"/>
              <w:rPr>
                <w:sz w:val="22"/>
                <w:szCs w:val="22"/>
                <w:color w:val="auto"/>
              </w:rPr>
            </w:pPr>
          </w:p>
        </w:tc>
        <w:tc>
          <w:tcPr>
            <w:tcW w:w="1420" w:type="dxa"/>
            <w:vAlign w:val="bottom"/>
            <w:shd w:val="clear" w:color="auto" w:fill="EF3E2B"/>
          </w:tcPr>
          <w:p>
            <w:pPr>
              <w:jc w:val="right"/>
              <w:spacing w:after="0" w:line="264" w:lineRule="exact"/>
              <w:rPr>
                <w:sz w:val="20"/>
                <w:szCs w:val="20"/>
                <w:color w:val="auto"/>
              </w:rPr>
            </w:pPr>
            <w:r>
              <w:rPr>
                <w:rFonts w:ascii="Calibri" w:cs="Calibri" w:eastAsia="Calibri" w:hAnsi="Calibri"/>
                <w:sz w:val="20"/>
                <w:szCs w:val="20"/>
                <w:b w:val="1"/>
                <w:bCs w:val="1"/>
                <w:color w:val="FFFFFF"/>
                <w:w w:val="97"/>
              </w:rPr>
              <w:t>Paid in Shares</w:t>
            </w:r>
            <w:r>
              <w:rPr>
                <w:rFonts w:ascii="Calibri" w:cs="Calibri" w:eastAsia="Calibri" w:hAnsi="Calibri"/>
                <w:sz w:val="26"/>
                <w:szCs w:val="26"/>
                <w:b w:val="1"/>
                <w:bCs w:val="1"/>
                <w:color w:val="FFFFFF"/>
                <w:w w:val="97"/>
                <w:vertAlign w:val="superscript"/>
              </w:rPr>
              <w:t>(1)</w:t>
            </w:r>
          </w:p>
        </w:tc>
        <w:tc>
          <w:tcPr>
            <w:tcW w:w="380" w:type="dxa"/>
            <w:vAlign w:val="bottom"/>
            <w:shd w:val="clear" w:color="auto" w:fill="EF3E2B"/>
          </w:tcPr>
          <w:p>
            <w:pPr>
              <w:spacing w:after="0"/>
              <w:rPr>
                <w:sz w:val="22"/>
                <w:szCs w:val="22"/>
                <w:color w:val="auto"/>
              </w:rPr>
            </w:pPr>
          </w:p>
        </w:tc>
        <w:tc>
          <w:tcPr>
            <w:tcW w:w="1220" w:type="dxa"/>
            <w:vAlign w:val="bottom"/>
            <w:shd w:val="clear" w:color="auto" w:fill="EF3E2B"/>
          </w:tcPr>
          <w:p>
            <w:pPr>
              <w:jc w:val="right"/>
              <w:spacing w:after="0" w:line="220" w:lineRule="exact"/>
              <w:rPr>
                <w:sz w:val="20"/>
                <w:szCs w:val="20"/>
                <w:color w:val="auto"/>
              </w:rPr>
            </w:pPr>
            <w:r>
              <w:rPr>
                <w:rFonts w:ascii="Calibri" w:cs="Calibri" w:eastAsia="Calibri" w:hAnsi="Calibri"/>
                <w:sz w:val="20"/>
                <w:szCs w:val="20"/>
                <w:b w:val="1"/>
                <w:bCs w:val="1"/>
                <w:color w:val="FFFFFF"/>
              </w:rPr>
              <w:t>Chair Fees</w:t>
            </w:r>
          </w:p>
        </w:tc>
        <w:tc>
          <w:tcPr>
            <w:tcW w:w="400" w:type="dxa"/>
            <w:vAlign w:val="bottom"/>
            <w:shd w:val="clear" w:color="auto" w:fill="EF3E2B"/>
          </w:tcPr>
          <w:p>
            <w:pPr>
              <w:spacing w:after="0"/>
              <w:rPr>
                <w:sz w:val="22"/>
                <w:szCs w:val="22"/>
                <w:color w:val="auto"/>
              </w:rPr>
            </w:pPr>
          </w:p>
        </w:tc>
        <w:tc>
          <w:tcPr>
            <w:tcW w:w="1140" w:type="dxa"/>
            <w:vAlign w:val="bottom"/>
            <w:shd w:val="clear" w:color="auto" w:fill="EF3E2B"/>
          </w:tcPr>
          <w:p>
            <w:pPr>
              <w:jc w:val="right"/>
              <w:spacing w:after="0" w:line="220" w:lineRule="exact"/>
              <w:rPr>
                <w:sz w:val="20"/>
                <w:szCs w:val="20"/>
                <w:color w:val="auto"/>
              </w:rPr>
            </w:pPr>
            <w:r>
              <w:rPr>
                <w:rFonts w:ascii="Calibri" w:cs="Calibri" w:eastAsia="Calibri" w:hAnsi="Calibri"/>
                <w:sz w:val="20"/>
                <w:szCs w:val="20"/>
                <w:b w:val="1"/>
                <w:bCs w:val="1"/>
                <w:color w:val="FFFFFF"/>
              </w:rPr>
              <w:t>Total</w:t>
            </w:r>
          </w:p>
        </w:tc>
      </w:tr>
      <w:tr>
        <w:trPr>
          <w:trHeight w:val="278"/>
        </w:trPr>
        <w:tc>
          <w:tcPr>
            <w:tcW w:w="2760" w:type="dxa"/>
            <w:vAlign w:val="bottom"/>
          </w:tcPr>
          <w:p>
            <w:pPr>
              <w:ind w:left="60"/>
              <w:spacing w:after="0"/>
              <w:rPr>
                <w:sz w:val="20"/>
                <w:szCs w:val="20"/>
                <w:color w:val="auto"/>
              </w:rPr>
            </w:pPr>
            <w:r>
              <w:rPr>
                <w:rFonts w:ascii="Calibri" w:cs="Calibri" w:eastAsia="Calibri" w:hAnsi="Calibri"/>
                <w:sz w:val="20"/>
                <w:szCs w:val="20"/>
                <w:color w:val="231F20"/>
              </w:rPr>
              <w:t>David W. Faeder</w:t>
            </w:r>
          </w:p>
        </w:tc>
        <w:tc>
          <w:tcPr>
            <w:tcW w:w="1320" w:type="dxa"/>
            <w:vAlign w:val="bottom"/>
          </w:tcPr>
          <w:p>
            <w:pPr>
              <w:jc w:val="right"/>
              <w:ind w:right="10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231F20"/>
              </w:rPr>
              <w:t>135,000</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231F20"/>
              </w:rPr>
              <w:t>90,000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231F20"/>
              </w:rPr>
              <w:t>-</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225,000</w:t>
            </w:r>
          </w:p>
        </w:tc>
      </w:tr>
      <w:tr>
        <w:trPr>
          <w:trHeight w:val="320"/>
        </w:trPr>
        <w:tc>
          <w:tcPr>
            <w:tcW w:w="2760" w:type="dxa"/>
            <w:vAlign w:val="bottom"/>
          </w:tcPr>
          <w:p>
            <w:pPr>
              <w:ind w:left="60"/>
              <w:spacing w:after="0"/>
              <w:rPr>
                <w:sz w:val="20"/>
                <w:szCs w:val="20"/>
                <w:color w:val="auto"/>
              </w:rPr>
            </w:pPr>
            <w:r>
              <w:rPr>
                <w:rFonts w:ascii="Calibri" w:cs="Calibri" w:eastAsia="Calibri" w:hAnsi="Calibri"/>
                <w:sz w:val="20"/>
                <w:szCs w:val="20"/>
                <w:color w:val="231F20"/>
              </w:rPr>
              <w:t>Elizabeth I. Holland</w:t>
            </w:r>
          </w:p>
        </w:tc>
        <w:tc>
          <w:tcPr>
            <w:tcW w:w="1320" w:type="dxa"/>
            <w:vAlign w:val="bottom"/>
          </w:tcPr>
          <w:p>
            <w:pPr>
              <w:jc w:val="right"/>
              <w:ind w:right="10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231F20"/>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231F20"/>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231F20"/>
              </w:rPr>
              <w:t>15,000</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215,000</w:t>
            </w:r>
          </w:p>
        </w:tc>
      </w:tr>
      <w:tr>
        <w:trPr>
          <w:trHeight w:val="320"/>
        </w:trPr>
        <w:tc>
          <w:tcPr>
            <w:tcW w:w="2760" w:type="dxa"/>
            <w:vAlign w:val="bottom"/>
          </w:tcPr>
          <w:p>
            <w:pPr>
              <w:ind w:left="60"/>
              <w:spacing w:after="0"/>
              <w:rPr>
                <w:sz w:val="20"/>
                <w:szCs w:val="20"/>
                <w:color w:val="auto"/>
              </w:rPr>
            </w:pPr>
            <w:r>
              <w:rPr>
                <w:rFonts w:ascii="Calibri" w:cs="Calibri" w:eastAsia="Calibri" w:hAnsi="Calibri"/>
                <w:sz w:val="20"/>
                <w:szCs w:val="20"/>
                <w:color w:val="231F20"/>
              </w:rPr>
              <w:t>Nicole Y. Lamb-Hale</w:t>
            </w:r>
          </w:p>
        </w:tc>
        <w:tc>
          <w:tcPr>
            <w:tcW w:w="1320" w:type="dxa"/>
            <w:vAlign w:val="bottom"/>
          </w:tcPr>
          <w:p>
            <w:pPr>
              <w:jc w:val="right"/>
              <w:ind w:right="10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231F20"/>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231F20"/>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231F20"/>
              </w:rPr>
              <w:t>-</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200,000</w:t>
            </w:r>
          </w:p>
        </w:tc>
      </w:tr>
      <w:tr>
        <w:trPr>
          <w:trHeight w:val="320"/>
        </w:trPr>
        <w:tc>
          <w:tcPr>
            <w:tcW w:w="2760" w:type="dxa"/>
            <w:vAlign w:val="bottom"/>
          </w:tcPr>
          <w:p>
            <w:pPr>
              <w:ind w:left="60"/>
              <w:spacing w:after="0"/>
              <w:rPr>
                <w:sz w:val="20"/>
                <w:szCs w:val="20"/>
                <w:color w:val="auto"/>
              </w:rPr>
            </w:pPr>
            <w:r>
              <w:rPr>
                <w:rFonts w:ascii="Calibri" w:cs="Calibri" w:eastAsia="Calibri" w:hAnsi="Calibri"/>
                <w:sz w:val="20"/>
                <w:szCs w:val="20"/>
                <w:color w:val="231F20"/>
              </w:rPr>
              <w:t>Thomas A. McEachin</w:t>
            </w:r>
          </w:p>
        </w:tc>
        <w:tc>
          <w:tcPr>
            <w:tcW w:w="1320" w:type="dxa"/>
            <w:vAlign w:val="bottom"/>
          </w:tcPr>
          <w:p>
            <w:pPr>
              <w:jc w:val="right"/>
              <w:ind w:right="10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231F20"/>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231F20"/>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231F20"/>
              </w:rPr>
              <w:t>-</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200,000</w:t>
            </w:r>
          </w:p>
        </w:tc>
      </w:tr>
      <w:tr>
        <w:trPr>
          <w:trHeight w:val="320"/>
        </w:trPr>
        <w:tc>
          <w:tcPr>
            <w:tcW w:w="2760" w:type="dxa"/>
            <w:vAlign w:val="bottom"/>
          </w:tcPr>
          <w:p>
            <w:pPr>
              <w:ind w:left="60"/>
              <w:spacing w:after="0"/>
              <w:rPr>
                <w:sz w:val="20"/>
                <w:szCs w:val="20"/>
                <w:color w:val="auto"/>
              </w:rPr>
            </w:pPr>
            <w:r>
              <w:rPr>
                <w:rFonts w:ascii="Calibri" w:cs="Calibri" w:eastAsia="Calibri" w:hAnsi="Calibri"/>
                <w:sz w:val="20"/>
                <w:szCs w:val="20"/>
                <w:color w:val="231F20"/>
              </w:rPr>
              <w:t>Anthony P. Nader, III</w:t>
            </w:r>
          </w:p>
        </w:tc>
        <w:tc>
          <w:tcPr>
            <w:tcW w:w="1320" w:type="dxa"/>
            <w:vAlign w:val="bottom"/>
          </w:tcPr>
          <w:p>
            <w:pPr>
              <w:jc w:val="right"/>
              <w:ind w:right="10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231F20"/>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231F20"/>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231F20"/>
              </w:rPr>
              <w:t>15,000</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215,000</w:t>
            </w:r>
          </w:p>
        </w:tc>
      </w:tr>
      <w:tr>
        <w:trPr>
          <w:trHeight w:val="320"/>
        </w:trPr>
        <w:tc>
          <w:tcPr>
            <w:tcW w:w="2760" w:type="dxa"/>
            <w:vAlign w:val="bottom"/>
          </w:tcPr>
          <w:p>
            <w:pPr>
              <w:ind w:left="60"/>
              <w:spacing w:after="0"/>
              <w:rPr>
                <w:sz w:val="20"/>
                <w:szCs w:val="20"/>
                <w:color w:val="auto"/>
              </w:rPr>
            </w:pPr>
            <w:r>
              <w:rPr>
                <w:rFonts w:ascii="Calibri" w:cs="Calibri" w:eastAsia="Calibri" w:hAnsi="Calibri"/>
                <w:sz w:val="20"/>
                <w:szCs w:val="20"/>
                <w:color w:val="231F20"/>
              </w:rPr>
              <w:t>Gail P. Steinel</w:t>
            </w:r>
          </w:p>
        </w:tc>
        <w:tc>
          <w:tcPr>
            <w:tcW w:w="1320" w:type="dxa"/>
            <w:vAlign w:val="bottom"/>
          </w:tcPr>
          <w:p>
            <w:pPr>
              <w:jc w:val="right"/>
              <w:ind w:right="10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color w:val="231F20"/>
              </w:rPr>
              <w:t>80,000</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color w:val="231F20"/>
              </w:rPr>
              <w:t>120,000</w:t>
            </w:r>
          </w:p>
        </w:tc>
        <w:tc>
          <w:tcPr>
            <w:tcW w:w="38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color w:val="231F20"/>
              </w:rPr>
              <w:t>25,000</w:t>
            </w:r>
          </w:p>
        </w:tc>
        <w:tc>
          <w:tcPr>
            <w:tcW w:w="400" w:type="dxa"/>
            <w:vAlign w:val="bottom"/>
          </w:tcPr>
          <w:p>
            <w:pPr>
              <w:jc w:val="right"/>
              <w:ind w:right="12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225,000</w:t>
            </w:r>
          </w:p>
        </w:tc>
      </w:tr>
      <w:tr>
        <w:trPr>
          <w:trHeight w:val="32"/>
        </w:trPr>
        <w:tc>
          <w:tcPr>
            <w:tcW w:w="276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r>
      <w:tr>
        <w:trPr>
          <w:trHeight w:val="306"/>
        </w:trPr>
        <w:tc>
          <w:tcPr>
            <w:tcW w:w="2760" w:type="dxa"/>
            <w:vAlign w:val="bottom"/>
          </w:tcPr>
          <w:p>
            <w:pPr>
              <w:ind w:left="60"/>
              <w:spacing w:after="0"/>
              <w:rPr>
                <w:sz w:val="20"/>
                <w:szCs w:val="20"/>
                <w:color w:val="auto"/>
              </w:rPr>
            </w:pPr>
            <w:r>
              <w:rPr>
                <w:rFonts w:ascii="Calibri" w:cs="Calibri" w:eastAsia="Calibri" w:hAnsi="Calibri"/>
                <w:sz w:val="20"/>
                <w:szCs w:val="20"/>
                <w:b w:val="1"/>
                <w:bCs w:val="1"/>
                <w:color w:val="231F20"/>
              </w:rPr>
              <w:t>Total</w:t>
            </w:r>
          </w:p>
        </w:tc>
        <w:tc>
          <w:tcPr>
            <w:tcW w:w="1320" w:type="dxa"/>
            <w:vAlign w:val="bottom"/>
          </w:tcPr>
          <w:p>
            <w:pPr>
              <w:jc w:val="right"/>
              <w:ind w:right="100"/>
              <w:spacing w:after="0"/>
              <w:rPr>
                <w:sz w:val="20"/>
                <w:szCs w:val="20"/>
                <w:color w:val="auto"/>
              </w:rPr>
            </w:pPr>
            <w:r>
              <w:rPr>
                <w:rFonts w:ascii="Calibri" w:cs="Calibri" w:eastAsia="Calibri" w:hAnsi="Calibri"/>
                <w:sz w:val="20"/>
                <w:szCs w:val="20"/>
                <w:b w:val="1"/>
                <w:bCs w:val="1"/>
                <w:color w:val="231F20"/>
              </w:rPr>
              <w:t>$</w:t>
            </w:r>
          </w:p>
        </w:tc>
        <w:tc>
          <w:tcPr>
            <w:tcW w:w="1240" w:type="dxa"/>
            <w:vAlign w:val="bottom"/>
          </w:tcPr>
          <w:p>
            <w:pPr>
              <w:jc w:val="right"/>
              <w:ind w:right="20"/>
              <w:spacing w:after="0"/>
              <w:rPr>
                <w:sz w:val="20"/>
                <w:szCs w:val="20"/>
                <w:color w:val="auto"/>
              </w:rPr>
            </w:pPr>
            <w:r>
              <w:rPr>
                <w:rFonts w:ascii="Calibri" w:cs="Calibri" w:eastAsia="Calibri" w:hAnsi="Calibri"/>
                <w:sz w:val="20"/>
                <w:szCs w:val="20"/>
                <w:b w:val="1"/>
                <w:bCs w:val="1"/>
                <w:color w:val="231F20"/>
              </w:rPr>
              <w:t>535,000</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231F20"/>
              </w:rPr>
              <w:t>$</w:t>
            </w:r>
          </w:p>
        </w:tc>
        <w:tc>
          <w:tcPr>
            <w:tcW w:w="1420" w:type="dxa"/>
            <w:vAlign w:val="bottom"/>
          </w:tcPr>
          <w:p>
            <w:pPr>
              <w:jc w:val="right"/>
              <w:ind w:right="40"/>
              <w:spacing w:after="0"/>
              <w:rPr>
                <w:sz w:val="20"/>
                <w:szCs w:val="20"/>
                <w:color w:val="auto"/>
              </w:rPr>
            </w:pPr>
            <w:r>
              <w:rPr>
                <w:rFonts w:ascii="Calibri" w:cs="Calibri" w:eastAsia="Calibri" w:hAnsi="Calibri"/>
                <w:sz w:val="20"/>
                <w:szCs w:val="20"/>
                <w:b w:val="1"/>
                <w:bCs w:val="1"/>
                <w:color w:val="231F20"/>
              </w:rPr>
              <w:t>690,000</w:t>
            </w:r>
          </w:p>
        </w:tc>
        <w:tc>
          <w:tcPr>
            <w:tcW w:w="380" w:type="dxa"/>
            <w:vAlign w:val="bottom"/>
          </w:tcPr>
          <w:p>
            <w:pPr>
              <w:jc w:val="right"/>
              <w:ind w:right="120"/>
              <w:spacing w:after="0"/>
              <w:rPr>
                <w:sz w:val="20"/>
                <w:szCs w:val="20"/>
                <w:color w:val="auto"/>
              </w:rPr>
            </w:pPr>
            <w:r>
              <w:rPr>
                <w:rFonts w:ascii="Calibri" w:cs="Calibri" w:eastAsia="Calibri" w:hAnsi="Calibri"/>
                <w:sz w:val="20"/>
                <w:szCs w:val="20"/>
                <w:b w:val="1"/>
                <w:bCs w:val="1"/>
                <w:color w:val="231F20"/>
              </w:rPr>
              <w:t>$</w:t>
            </w:r>
          </w:p>
        </w:tc>
        <w:tc>
          <w:tcPr>
            <w:tcW w:w="1220" w:type="dxa"/>
            <w:vAlign w:val="bottom"/>
          </w:tcPr>
          <w:p>
            <w:pPr>
              <w:jc w:val="right"/>
              <w:ind w:right="20"/>
              <w:spacing w:after="0"/>
              <w:rPr>
                <w:sz w:val="20"/>
                <w:szCs w:val="20"/>
                <w:color w:val="auto"/>
              </w:rPr>
            </w:pPr>
            <w:r>
              <w:rPr>
                <w:rFonts w:ascii="Calibri" w:cs="Calibri" w:eastAsia="Calibri" w:hAnsi="Calibri"/>
                <w:sz w:val="20"/>
                <w:szCs w:val="20"/>
                <w:b w:val="1"/>
                <w:bCs w:val="1"/>
                <w:color w:val="231F20"/>
              </w:rPr>
              <w:t>55,000</w:t>
            </w:r>
          </w:p>
        </w:tc>
        <w:tc>
          <w:tcPr>
            <w:tcW w:w="400" w:type="dxa"/>
            <w:vAlign w:val="bottom"/>
          </w:tcPr>
          <w:p>
            <w:pPr>
              <w:jc w:val="right"/>
              <w:ind w:right="120"/>
              <w:spacing w:after="0"/>
              <w:rPr>
                <w:sz w:val="20"/>
                <w:szCs w:val="20"/>
                <w:color w:val="auto"/>
              </w:rPr>
            </w:pPr>
            <w:r>
              <w:rPr>
                <w:rFonts w:ascii="Calibri" w:cs="Calibri" w:eastAsia="Calibri" w:hAnsi="Calibri"/>
                <w:sz w:val="20"/>
                <w:szCs w:val="20"/>
                <w:b w:val="1"/>
                <w:bCs w:val="1"/>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231F20"/>
              </w:rPr>
              <w:t>1,280,000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126365</wp:posOffset>
                </wp:positionV>
                <wp:extent cx="60960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5pt" to="48pt,9.95pt" o:allowincell="f" strokecolor="#231F20" strokeweight="0.5pt"/>
            </w:pict>
          </mc:Fallback>
        </mc:AlternateContent>
      </w:r>
    </w:p>
    <w:p>
      <w:pPr>
        <w:spacing w:after="0" w:line="239" w:lineRule="exact"/>
        <w:rPr>
          <w:sz w:val="20"/>
          <w:szCs w:val="20"/>
          <w:color w:val="auto"/>
        </w:rPr>
      </w:pPr>
    </w:p>
    <w:p>
      <w:pPr>
        <w:ind w:left="360" w:hanging="360"/>
        <w:spacing w:after="0" w:line="214" w:lineRule="auto"/>
        <w:tabs>
          <w:tab w:leader="none" w:pos="360" w:val="left"/>
        </w:tabs>
        <w:numPr>
          <w:ilvl w:val="0"/>
          <w:numId w:val="103"/>
        </w:numPr>
        <w:rPr>
          <w:rFonts w:ascii="Arial" w:cs="Arial" w:eastAsia="Arial" w:hAnsi="Arial"/>
          <w:sz w:val="23"/>
          <w:szCs w:val="23"/>
          <w:color w:val="231F20"/>
          <w:vertAlign w:val="superscript"/>
        </w:rPr>
      </w:pPr>
      <w:r>
        <w:rPr>
          <w:rFonts w:ascii="Arial" w:cs="Arial" w:eastAsia="Arial" w:hAnsi="Arial"/>
          <w:sz w:val="18"/>
          <w:szCs w:val="18"/>
          <w:color w:val="231F20"/>
        </w:rPr>
        <w:t>Shares were issued on January 2, 2024 with the number of shares received by each Trustee determined by dividing the amount to be paid in shares by $103.05, the closing price of our shares on the NYSE on December 29,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300990</wp:posOffset>
                </wp:positionV>
                <wp:extent cx="640080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7pt" to="504pt,23.7pt" o:allowincell="f" strokecolor="#EF3E2A" strokeweight="3pt"/>
            </w:pict>
          </mc:Fallback>
        </mc:AlternateContent>
      </w: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231F20"/>
        </w:rPr>
        <w:t>Proposal 2: Approving our Executive Compensation</w:t>
      </w:r>
    </w:p>
    <w:p>
      <w:pPr>
        <w:spacing w:after="0" w:line="2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We are seeking an advisory vote to approve our executive compensation for 2023. We have always held our “Say on Pay” vote annually and in 2023, a majority of our shareholders voted to continue to hold this vote annually. Although this “Say on Pay” vote is advisory and is not binding on our Board, our Compensation Committee will take into consideration the outcome of this vote when making future executive compensation decisions.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The text of the resolution if Proposal 2 is passed is:</w:t>
      </w:r>
    </w:p>
    <w:p>
      <w:pPr>
        <w:spacing w:after="0" w:line="255" w:lineRule="exact"/>
        <w:rPr>
          <w:sz w:val="20"/>
          <w:szCs w:val="20"/>
          <w:color w:val="auto"/>
        </w:rPr>
      </w:pPr>
    </w:p>
    <w:p>
      <w:pPr>
        <w:jc w:val="both"/>
        <w:ind w:left="280"/>
        <w:spacing w:after="0" w:line="247" w:lineRule="auto"/>
        <w:rPr>
          <w:sz w:val="20"/>
          <w:szCs w:val="20"/>
          <w:color w:val="auto"/>
        </w:rPr>
      </w:pPr>
      <w:r>
        <w:rPr>
          <w:rFonts w:ascii="Arial" w:cs="Arial" w:eastAsia="Arial" w:hAnsi="Arial"/>
          <w:sz w:val="20"/>
          <w:szCs w:val="20"/>
          <w:color w:val="231F20"/>
        </w:rPr>
        <w:t>RESOLVED, that the shareholders of the Company hereby approve, on an advisory basis, the compensation of our NEOs as described in the CD&amp;A and the Executive Compensation section that follows as required by Item 402 of Regulation S-K.</w:t>
      </w:r>
    </w:p>
    <w:p>
      <w:pPr>
        <w:spacing w:after="0" w:line="25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affirmative vote of a majority of votes cast at the Annual Meeting, in person or by proxy, is required to approve this proposal. An “abstention” or “broker non-vote” will have no effect on the outcome of the vote for this proposal.</w:t>
      </w:r>
    </w:p>
    <w:p>
      <w:pPr>
        <w:spacing w:after="0" w:line="25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Board has designed our current executive compensation program to appropriately link compensation realized by our NEOs to our performance and properly align the interests of our NEOs with those of our shareholders. The details of this compensation for 2023, and the reasons we awarded it, are described in the “Compensation Discussion and Analysis,” starting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122555</wp:posOffset>
            </wp:positionV>
            <wp:extent cx="6223000" cy="533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70">
                      <a:extLst>
                        <a:ext uri="{28A0092B-C50C-407E-A947-70E740481C1C}"/>
                      </a:extLst>
                    </a:blip>
                    <a:srcRect/>
                    <a:stretch>
                      <a:fillRect/>
                    </a:stretch>
                  </pic:blipFill>
                  <pic:spPr bwMode="auto">
                    <a:xfrm>
                      <a:off x="0" y="0"/>
                      <a:ext cx="6223000" cy="533400"/>
                    </a:xfrm>
                    <a:prstGeom prst="rect">
                      <a:avLst/>
                    </a:prstGeom>
                    <a:noFill/>
                  </pic:spPr>
                </pic:pic>
              </a:graphicData>
            </a:graphic>
          </wp:anchor>
        </w:drawing>
      </w:r>
    </w:p>
    <w:p>
      <w:pPr>
        <w:spacing w:after="0" w:line="389" w:lineRule="exact"/>
        <w:rPr>
          <w:sz w:val="20"/>
          <w:szCs w:val="20"/>
          <w:color w:val="auto"/>
        </w:rPr>
      </w:pPr>
    </w:p>
    <w:p>
      <w:pPr>
        <w:ind w:left="1220"/>
        <w:spacing w:after="0"/>
        <w:rPr>
          <w:sz w:val="20"/>
          <w:szCs w:val="20"/>
          <w:color w:val="auto"/>
        </w:rPr>
      </w:pPr>
      <w:r>
        <w:rPr>
          <w:rFonts w:ascii="Arial" w:cs="Arial" w:eastAsia="Arial" w:hAnsi="Arial"/>
          <w:sz w:val="28"/>
          <w:szCs w:val="28"/>
          <w:color w:val="231F20"/>
        </w:rPr>
        <w:t xml:space="preserve">Our Board recommends a vote </w:t>
      </w:r>
      <w:r>
        <w:rPr>
          <w:rFonts w:ascii="Arial" w:cs="Arial" w:eastAsia="Arial" w:hAnsi="Arial"/>
          <w:sz w:val="28"/>
          <w:szCs w:val="28"/>
          <w:b w:val="1"/>
          <w:bCs w:val="1"/>
          <w:color w:val="231F20"/>
        </w:rPr>
        <w:t>FOR</w:t>
      </w:r>
      <w:r>
        <w:rPr>
          <w:rFonts w:ascii="Arial" w:cs="Arial" w:eastAsia="Arial" w:hAnsi="Arial"/>
          <w:sz w:val="28"/>
          <w:szCs w:val="28"/>
          <w:color w:val="231F20"/>
        </w:rPr>
        <w:t xml:space="preserve"> the compensation of our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534670</wp:posOffset>
                </wp:positionV>
                <wp:extent cx="6400800" cy="17780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82" o:spid="_x0000_s1307" style="position:absolute;margin-left:0pt;margin-top:42.1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534670</wp:posOffset>
                </wp:positionV>
                <wp:extent cx="0" cy="17780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2.1pt" to="0.5pt,56.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541020</wp:posOffset>
                </wp:positionV>
                <wp:extent cx="640080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6pt" to="504pt,42.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534670</wp:posOffset>
                </wp:positionV>
                <wp:extent cx="0" cy="17780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42.1pt" to="503.5pt,56.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706120</wp:posOffset>
                </wp:positionV>
                <wp:extent cx="640080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6pt" to="504pt,55.6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18</w:t>
      </w:r>
    </w:p>
    <w:p>
      <w:pPr>
        <w:sectPr>
          <w:pgSz w:w="12240" w:h="15840" w:orient="portrait"/>
          <w:cols w:equalWidth="0" w:num="1">
            <w:col w:w="10080"/>
          </w:cols>
          <w:pgMar w:left="1080" w:top="1440" w:right="1080" w:bottom="944" w:gutter="0" w:footer="0" w:header="0"/>
          <w:type w:val="continuous"/>
        </w:sectPr>
      </w:pPr>
    </w:p>
    <w:bookmarkStart w:id="138" w:name="page139"/>
    <w:bookmarkEnd w:id="138"/>
    <w:p>
      <w:pPr>
        <w:spacing w:after="0" w:line="8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933450</wp:posOffset>
                </wp:positionV>
                <wp:extent cx="640080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3.5pt" to="558pt,73.5pt" o:allowincell="f" strokecolor="#EF3E2A" strokeweight="3pt">
                <w10:wrap anchorx="page" anchory="page"/>
              </v:line>
            </w:pict>
          </mc:Fallback>
        </mc:AlternateContent>
      </w:r>
    </w:p>
    <w:p>
      <w:pPr>
        <w:ind w:left="140"/>
        <w:spacing w:after="0"/>
        <w:rPr>
          <w:sz w:val="20"/>
          <w:szCs w:val="20"/>
          <w:color w:val="auto"/>
        </w:rPr>
      </w:pPr>
      <w:r>
        <w:rPr>
          <w:rFonts w:ascii="Arial" w:cs="Arial" w:eastAsia="Arial" w:hAnsi="Arial"/>
          <w:sz w:val="35"/>
          <w:szCs w:val="35"/>
          <w:b w:val="1"/>
          <w:bCs w:val="1"/>
          <w:color w:val="231F2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110490</wp:posOffset>
            </wp:positionV>
            <wp:extent cx="3124200" cy="42608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71">
                      <a:extLst>
                        <a:ext uri="{28A0092B-C50C-407E-A947-70E740481C1C}"/>
                      </a:extLst>
                    </a:blip>
                    <a:srcRect/>
                    <a:stretch>
                      <a:fillRect/>
                    </a:stretch>
                  </pic:blipFill>
                  <pic:spPr bwMode="auto">
                    <a:xfrm>
                      <a:off x="0" y="0"/>
                      <a:ext cx="3124200" cy="4260850"/>
                    </a:xfrm>
                    <a:prstGeom prst="rect">
                      <a:avLst/>
                    </a:prstGeom>
                    <a:noFill/>
                  </pic:spPr>
                </pic:pic>
              </a:graphicData>
            </a:graphic>
          </wp:anchor>
        </w:drawing>
      </w:r>
    </w:p>
    <w:p>
      <w:pPr>
        <w:sectPr>
          <w:pgSz w:w="12240" w:h="15840" w:orient="portrait"/>
          <w:cols w:equalWidth="0" w:num="1">
            <w:col w:w="10000"/>
          </w:cols>
          <w:pgMar w:left="1080" w:top="1440" w:right="1160" w:bottom="944" w:gutter="0" w:footer="0" w:header="0"/>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100" w:type="dxa"/>
            <w:vAlign w:val="bottom"/>
            <w:tcBorders>
              <w:bottom w:val="single" w:sz="8" w:color="EF3E2A"/>
            </w:tcBorders>
            <w:shd w:val="clear" w:color="auto" w:fill="EF3E2A"/>
          </w:tcPr>
          <w:p>
            <w:pPr>
              <w:ind w:left="60"/>
              <w:spacing w:after="0"/>
              <w:rPr>
                <w:sz w:val="20"/>
                <w:szCs w:val="20"/>
                <w:color w:val="auto"/>
              </w:rPr>
            </w:pPr>
            <w:r>
              <w:rPr>
                <w:rFonts w:ascii="Arial" w:cs="Arial" w:eastAsia="Arial" w:hAnsi="Arial"/>
                <w:sz w:val="20"/>
                <w:szCs w:val="20"/>
                <w:b w:val="1"/>
                <w:bCs w:val="1"/>
                <w:color w:val="FFFFFF"/>
              </w:rPr>
              <w:t>CD&amp;A TABLE OF CONTENTS</w:t>
            </w:r>
          </w:p>
        </w:tc>
        <w:tc>
          <w:tcPr>
            <w:tcW w:w="820" w:type="dxa"/>
            <w:vAlign w:val="bottom"/>
            <w:tcBorders>
              <w:bottom w:val="single" w:sz="8" w:color="EF3E2A"/>
            </w:tcBorders>
            <w:shd w:val="clear" w:color="auto" w:fill="EF3E2A"/>
          </w:tcPr>
          <w:p>
            <w:pPr>
              <w:jc w:val="center"/>
              <w:spacing w:after="0"/>
              <w:rPr>
                <w:sz w:val="20"/>
                <w:szCs w:val="20"/>
                <w:color w:val="auto"/>
              </w:rPr>
            </w:pPr>
            <w:r>
              <w:rPr>
                <w:rFonts w:ascii="Arial" w:cs="Arial" w:eastAsia="Arial" w:hAnsi="Arial"/>
                <w:sz w:val="20"/>
                <w:szCs w:val="20"/>
                <w:b w:val="1"/>
                <w:bCs w:val="1"/>
                <w:color w:val="FFFFFF"/>
                <w:w w:val="99"/>
              </w:rPr>
              <w:t>Page #</w:t>
            </w:r>
          </w:p>
        </w:tc>
      </w:tr>
      <w:tr>
        <w:trPr>
          <w:trHeight w:val="445"/>
        </w:trPr>
        <w:tc>
          <w:tcPr>
            <w:tcW w:w="4100" w:type="dxa"/>
            <w:vAlign w:val="bottom"/>
            <w:tcBorders>
              <w:bottom w:val="single" w:sz="8" w:color="EF3E2B"/>
            </w:tcBorders>
          </w:tcPr>
          <w:p>
            <w:pPr>
              <w:ind w:left="60"/>
              <w:spacing w:after="0"/>
              <w:rPr>
                <w:sz w:val="20"/>
                <w:szCs w:val="20"/>
                <w:color w:val="auto"/>
              </w:rPr>
            </w:pPr>
            <w:r>
              <w:rPr>
                <w:rFonts w:ascii="Arial" w:cs="Arial" w:eastAsia="Arial" w:hAnsi="Arial"/>
                <w:sz w:val="20"/>
                <w:szCs w:val="20"/>
                <w:b w:val="1"/>
                <w:bCs w:val="1"/>
                <w:color w:val="231F20"/>
              </w:rPr>
              <w:t>Introduction</w:t>
            </w:r>
          </w:p>
        </w:tc>
        <w:tc>
          <w:tcPr>
            <w:tcW w:w="820" w:type="dxa"/>
            <w:vAlign w:val="bottom"/>
            <w:tcBorders>
              <w:bottom w:val="single" w:sz="8" w:color="EF3E2B"/>
            </w:tcBorders>
          </w:tcPr>
          <w:p>
            <w:pPr>
              <w:jc w:val="center"/>
              <w:spacing w:after="0"/>
              <w:rPr>
                <w:sz w:val="20"/>
                <w:szCs w:val="20"/>
                <w:color w:val="auto"/>
              </w:rPr>
            </w:pPr>
            <w:r>
              <w:rPr>
                <w:rFonts w:ascii="Arial" w:cs="Arial" w:eastAsia="Arial" w:hAnsi="Arial"/>
                <w:sz w:val="20"/>
                <w:szCs w:val="20"/>
                <w:b w:val="1"/>
                <w:bCs w:val="1"/>
                <w:color w:val="231F20"/>
                <w:w w:val="98"/>
              </w:rPr>
              <w:t>20</w:t>
            </w:r>
          </w:p>
        </w:tc>
      </w:tr>
      <w:tr>
        <w:trPr>
          <w:trHeight w:val="275"/>
        </w:trPr>
        <w:tc>
          <w:tcPr>
            <w:tcW w:w="4100" w:type="dxa"/>
            <w:vAlign w:val="bottom"/>
          </w:tcPr>
          <w:p>
            <w:pPr>
              <w:ind w:left="60"/>
              <w:spacing w:after="0"/>
              <w:rPr>
                <w:sz w:val="20"/>
                <w:szCs w:val="20"/>
                <w:color w:val="auto"/>
              </w:rPr>
            </w:pPr>
            <w:r>
              <w:rPr>
                <w:rFonts w:ascii="Arial" w:cs="Arial" w:eastAsia="Arial" w:hAnsi="Arial"/>
                <w:sz w:val="20"/>
                <w:szCs w:val="20"/>
                <w:color w:val="231F20"/>
              </w:rPr>
              <w:t>2023 Business Highlights Supporting</w:t>
            </w:r>
          </w:p>
        </w:tc>
        <w:tc>
          <w:tcPr>
            <w:tcW w:w="820" w:type="dxa"/>
            <w:vAlign w:val="bottom"/>
          </w:tcPr>
          <w:p>
            <w:pPr>
              <w:spacing w:after="0"/>
              <w:rPr>
                <w:sz w:val="23"/>
                <w:szCs w:val="23"/>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Compensation Decisions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20</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Program Philosophy and Objectives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20</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Executive Compensation Practices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21</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Components of Compensation</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21</w:t>
            </w:r>
          </w:p>
        </w:tc>
      </w:tr>
      <w:tr>
        <w:trPr>
          <w:trHeight w:val="465"/>
        </w:trPr>
        <w:tc>
          <w:tcPr>
            <w:tcW w:w="4100" w:type="dxa"/>
            <w:vAlign w:val="bottom"/>
            <w:tcBorders>
              <w:bottom w:val="single" w:sz="8" w:color="EF3E2B"/>
            </w:tcBorders>
          </w:tcPr>
          <w:p>
            <w:pPr>
              <w:ind w:left="60"/>
              <w:spacing w:after="0"/>
              <w:rPr>
                <w:sz w:val="20"/>
                <w:szCs w:val="20"/>
                <w:color w:val="auto"/>
              </w:rPr>
            </w:pPr>
            <w:r>
              <w:rPr>
                <w:rFonts w:ascii="Arial" w:cs="Arial" w:eastAsia="Arial" w:hAnsi="Arial"/>
                <w:sz w:val="20"/>
                <w:szCs w:val="20"/>
                <w:b w:val="1"/>
                <w:bCs w:val="1"/>
                <w:color w:val="231F20"/>
              </w:rPr>
              <w:t>Compensation Setting Process</w:t>
            </w:r>
          </w:p>
        </w:tc>
        <w:tc>
          <w:tcPr>
            <w:tcW w:w="820" w:type="dxa"/>
            <w:vAlign w:val="bottom"/>
            <w:tcBorders>
              <w:bottom w:val="single" w:sz="8" w:color="EF3E2B"/>
            </w:tcBorders>
          </w:tcPr>
          <w:p>
            <w:pPr>
              <w:jc w:val="center"/>
              <w:spacing w:after="0"/>
              <w:rPr>
                <w:sz w:val="20"/>
                <w:szCs w:val="20"/>
                <w:color w:val="auto"/>
              </w:rPr>
            </w:pPr>
            <w:r>
              <w:rPr>
                <w:rFonts w:ascii="Arial" w:cs="Arial" w:eastAsia="Arial" w:hAnsi="Arial"/>
                <w:sz w:val="20"/>
                <w:szCs w:val="20"/>
                <w:b w:val="1"/>
                <w:bCs w:val="1"/>
                <w:color w:val="231F20"/>
                <w:w w:val="98"/>
              </w:rPr>
              <w:t>22</w:t>
            </w:r>
          </w:p>
        </w:tc>
      </w:tr>
      <w:tr>
        <w:trPr>
          <w:trHeight w:val="275"/>
        </w:trPr>
        <w:tc>
          <w:tcPr>
            <w:tcW w:w="4100" w:type="dxa"/>
            <w:vAlign w:val="bottom"/>
          </w:tcPr>
          <w:p>
            <w:pPr>
              <w:ind w:left="60"/>
              <w:spacing w:after="0"/>
              <w:rPr>
                <w:sz w:val="20"/>
                <w:szCs w:val="20"/>
                <w:color w:val="auto"/>
              </w:rPr>
            </w:pPr>
            <w:r>
              <w:rPr>
                <w:rFonts w:ascii="Arial" w:cs="Arial" w:eastAsia="Arial" w:hAnsi="Arial"/>
                <w:sz w:val="20"/>
                <w:szCs w:val="20"/>
                <w:color w:val="231F20"/>
              </w:rPr>
              <w:t>Annual Compensation Decision Making</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22</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Role of the Compensation Committee</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22</w:t>
            </w:r>
          </w:p>
        </w:tc>
      </w:tr>
      <w:tr>
        <w:trPr>
          <w:trHeight w:val="302"/>
        </w:trPr>
        <w:tc>
          <w:tcPr>
            <w:tcW w:w="4100" w:type="dxa"/>
            <w:vAlign w:val="bottom"/>
          </w:tcPr>
          <w:p>
            <w:pPr>
              <w:ind w:left="60"/>
              <w:spacing w:after="0"/>
              <w:rPr>
                <w:sz w:val="20"/>
                <w:szCs w:val="20"/>
                <w:color w:val="auto"/>
              </w:rPr>
            </w:pPr>
            <w:r>
              <w:rPr>
                <w:rFonts w:ascii="Arial" w:cs="Arial" w:eastAsia="Arial" w:hAnsi="Arial"/>
                <w:sz w:val="20"/>
                <w:szCs w:val="20"/>
                <w:color w:val="231F20"/>
              </w:rPr>
              <w:t>Role of Management</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22</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Role of Independent Compensation</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Consultant</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22</w:t>
            </w:r>
          </w:p>
        </w:tc>
      </w:tr>
      <w:tr>
        <w:trPr>
          <w:trHeight w:val="464"/>
        </w:trPr>
        <w:tc>
          <w:tcPr>
            <w:tcW w:w="4100" w:type="dxa"/>
            <w:vAlign w:val="bottom"/>
            <w:tcBorders>
              <w:bottom w:val="single" w:sz="8" w:color="EF3E2B"/>
            </w:tcBorders>
          </w:tcPr>
          <w:p>
            <w:pPr>
              <w:ind w:left="60"/>
              <w:spacing w:after="0"/>
              <w:rPr>
                <w:sz w:val="20"/>
                <w:szCs w:val="20"/>
                <w:color w:val="auto"/>
              </w:rPr>
            </w:pPr>
            <w:r>
              <w:rPr>
                <w:rFonts w:ascii="Arial" w:cs="Arial" w:eastAsia="Arial" w:hAnsi="Arial"/>
                <w:sz w:val="20"/>
                <w:szCs w:val="20"/>
                <w:b w:val="1"/>
                <w:bCs w:val="1"/>
                <w:color w:val="231F20"/>
              </w:rPr>
              <w:t>2023 Compensation Decisions</w:t>
            </w:r>
          </w:p>
        </w:tc>
        <w:tc>
          <w:tcPr>
            <w:tcW w:w="820" w:type="dxa"/>
            <w:vAlign w:val="bottom"/>
            <w:tcBorders>
              <w:bottom w:val="single" w:sz="8" w:color="EF3E2B"/>
            </w:tcBorders>
          </w:tcPr>
          <w:p>
            <w:pPr>
              <w:jc w:val="center"/>
              <w:spacing w:after="0"/>
              <w:rPr>
                <w:sz w:val="20"/>
                <w:szCs w:val="20"/>
                <w:color w:val="auto"/>
              </w:rPr>
            </w:pPr>
            <w:r>
              <w:rPr>
                <w:rFonts w:ascii="Arial" w:cs="Arial" w:eastAsia="Arial" w:hAnsi="Arial"/>
                <w:sz w:val="20"/>
                <w:szCs w:val="20"/>
                <w:b w:val="1"/>
                <w:bCs w:val="1"/>
                <w:color w:val="231F20"/>
                <w:w w:val="98"/>
              </w:rPr>
              <w:t>22</w:t>
            </w:r>
          </w:p>
        </w:tc>
      </w:tr>
      <w:tr>
        <w:trPr>
          <w:trHeight w:val="276"/>
        </w:trPr>
        <w:tc>
          <w:tcPr>
            <w:tcW w:w="4100" w:type="dxa"/>
            <w:vAlign w:val="bottom"/>
          </w:tcPr>
          <w:p>
            <w:pPr>
              <w:ind w:left="60"/>
              <w:spacing w:after="0"/>
              <w:rPr>
                <w:sz w:val="20"/>
                <w:szCs w:val="20"/>
                <w:color w:val="auto"/>
              </w:rPr>
            </w:pPr>
            <w:r>
              <w:rPr>
                <w:rFonts w:ascii="Arial" w:cs="Arial" w:eastAsia="Arial" w:hAnsi="Arial"/>
                <w:sz w:val="20"/>
                <w:szCs w:val="20"/>
                <w:color w:val="231F20"/>
              </w:rPr>
              <w:t>Setting 2023 Target Compensation</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22</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Individual Elements of 2023 Pay</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231F20"/>
              </w:rPr>
              <w:t>Base Pay</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231F20"/>
              </w:rPr>
              <w:t>Annual Bonus Program</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231F20"/>
              </w:rPr>
              <w:t>Long-Term Incentive Program</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24</w:t>
            </w:r>
          </w:p>
        </w:tc>
      </w:tr>
      <w:tr>
        <w:trPr>
          <w:trHeight w:val="464"/>
        </w:trPr>
        <w:tc>
          <w:tcPr>
            <w:tcW w:w="4100" w:type="dxa"/>
            <w:vAlign w:val="bottom"/>
            <w:tcBorders>
              <w:bottom w:val="single" w:sz="8" w:color="EF3E2B"/>
            </w:tcBorders>
          </w:tcPr>
          <w:p>
            <w:pPr>
              <w:ind w:left="60"/>
              <w:spacing w:after="0"/>
              <w:rPr>
                <w:sz w:val="20"/>
                <w:szCs w:val="20"/>
                <w:color w:val="auto"/>
              </w:rPr>
            </w:pPr>
            <w:r>
              <w:rPr>
                <w:rFonts w:ascii="Arial" w:cs="Arial" w:eastAsia="Arial" w:hAnsi="Arial"/>
                <w:sz w:val="20"/>
                <w:szCs w:val="20"/>
                <w:b w:val="1"/>
                <w:bCs w:val="1"/>
                <w:color w:val="231F20"/>
              </w:rPr>
              <w:t>2023 NEO Performance Summary</w:t>
            </w:r>
          </w:p>
        </w:tc>
        <w:tc>
          <w:tcPr>
            <w:tcW w:w="820" w:type="dxa"/>
            <w:vAlign w:val="bottom"/>
            <w:tcBorders>
              <w:bottom w:val="single" w:sz="8" w:color="EF3E2B"/>
            </w:tcBorders>
          </w:tcPr>
          <w:p>
            <w:pPr>
              <w:jc w:val="center"/>
              <w:spacing w:after="0"/>
              <w:rPr>
                <w:sz w:val="20"/>
                <w:szCs w:val="20"/>
                <w:color w:val="auto"/>
              </w:rPr>
            </w:pPr>
            <w:r>
              <w:rPr>
                <w:rFonts w:ascii="Arial" w:cs="Arial" w:eastAsia="Arial" w:hAnsi="Arial"/>
                <w:sz w:val="20"/>
                <w:szCs w:val="20"/>
                <w:b w:val="1"/>
                <w:bCs w:val="1"/>
                <w:color w:val="231F20"/>
                <w:w w:val="98"/>
              </w:rPr>
              <w:t>26</w:t>
            </w:r>
          </w:p>
        </w:tc>
      </w:tr>
      <w:tr>
        <w:trPr>
          <w:trHeight w:val="436"/>
        </w:trPr>
        <w:tc>
          <w:tcPr>
            <w:tcW w:w="4100" w:type="dxa"/>
            <w:vAlign w:val="bottom"/>
          </w:tcPr>
          <w:p>
            <w:pPr>
              <w:ind w:left="60"/>
              <w:spacing w:after="0"/>
              <w:rPr>
                <w:sz w:val="20"/>
                <w:szCs w:val="20"/>
                <w:color w:val="auto"/>
              </w:rPr>
            </w:pPr>
            <w:r>
              <w:rPr>
                <w:rFonts w:ascii="Arial" w:cs="Arial" w:eastAsia="Arial" w:hAnsi="Arial"/>
                <w:sz w:val="20"/>
                <w:szCs w:val="20"/>
                <w:b w:val="1"/>
                <w:bCs w:val="1"/>
                <w:color w:val="231F20"/>
              </w:rPr>
              <w:t>Other Compensation Practices and</w:t>
            </w:r>
          </w:p>
        </w:tc>
        <w:tc>
          <w:tcPr>
            <w:tcW w:w="820" w:type="dxa"/>
            <w:vAlign w:val="bottom"/>
          </w:tcPr>
          <w:p>
            <w:pPr>
              <w:spacing w:after="0"/>
              <w:rPr>
                <w:sz w:val="24"/>
                <w:szCs w:val="24"/>
                <w:color w:val="auto"/>
              </w:rPr>
            </w:pPr>
          </w:p>
        </w:tc>
      </w:tr>
      <w:tr>
        <w:trPr>
          <w:trHeight w:val="244"/>
        </w:trPr>
        <w:tc>
          <w:tcPr>
            <w:tcW w:w="4100" w:type="dxa"/>
            <w:vAlign w:val="bottom"/>
            <w:tcBorders>
              <w:bottom w:val="single" w:sz="8" w:color="EF3E2B"/>
            </w:tcBorders>
          </w:tcPr>
          <w:p>
            <w:pPr>
              <w:ind w:left="260"/>
              <w:spacing w:after="0"/>
              <w:rPr>
                <w:sz w:val="20"/>
                <w:szCs w:val="20"/>
                <w:color w:val="auto"/>
              </w:rPr>
            </w:pPr>
            <w:r>
              <w:rPr>
                <w:rFonts w:ascii="Arial" w:cs="Arial" w:eastAsia="Arial" w:hAnsi="Arial"/>
                <w:sz w:val="20"/>
                <w:szCs w:val="20"/>
                <w:b w:val="1"/>
                <w:bCs w:val="1"/>
                <w:color w:val="231F20"/>
              </w:rPr>
              <w:t>Policies</w:t>
            </w:r>
          </w:p>
        </w:tc>
        <w:tc>
          <w:tcPr>
            <w:tcW w:w="820" w:type="dxa"/>
            <w:vAlign w:val="bottom"/>
            <w:tcBorders>
              <w:bottom w:val="single" w:sz="8" w:color="EF3E2B"/>
            </w:tcBorders>
          </w:tcPr>
          <w:p>
            <w:pPr>
              <w:jc w:val="center"/>
              <w:spacing w:after="0"/>
              <w:rPr>
                <w:sz w:val="20"/>
                <w:szCs w:val="20"/>
                <w:color w:val="auto"/>
              </w:rPr>
            </w:pPr>
            <w:r>
              <w:rPr>
                <w:rFonts w:ascii="Arial" w:cs="Arial" w:eastAsia="Arial" w:hAnsi="Arial"/>
                <w:sz w:val="20"/>
                <w:szCs w:val="20"/>
                <w:b w:val="1"/>
                <w:bCs w:val="1"/>
                <w:color w:val="231F20"/>
                <w:w w:val="98"/>
              </w:rPr>
              <w:t>28</w:t>
            </w:r>
          </w:p>
        </w:tc>
      </w:tr>
      <w:tr>
        <w:trPr>
          <w:trHeight w:val="276"/>
        </w:trPr>
        <w:tc>
          <w:tcPr>
            <w:tcW w:w="4100" w:type="dxa"/>
            <w:vAlign w:val="bottom"/>
          </w:tcPr>
          <w:p>
            <w:pPr>
              <w:ind w:left="60"/>
              <w:spacing w:after="0"/>
              <w:rPr>
                <w:sz w:val="20"/>
                <w:szCs w:val="20"/>
                <w:color w:val="auto"/>
              </w:rPr>
            </w:pPr>
            <w:r>
              <w:rPr>
                <w:rFonts w:ascii="Arial" w:cs="Arial" w:eastAsia="Arial" w:hAnsi="Arial"/>
                <w:sz w:val="20"/>
                <w:szCs w:val="20"/>
                <w:color w:val="231F20"/>
              </w:rPr>
              <w:t>Consideration of Say on Pay Vote</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No Hedging or Pledging of Our Shares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Severance and Change-in-Control</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Arrangements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Clawback Policy</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Share Ownership Guidelines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Risk Assessment of Compensation</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Programs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Equity Grant Practices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Tax Deductibility of Executive Compensation</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Health and Welfare Benefits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30</w:t>
            </w: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Named Executive Officers (“NEO”)</w:t>
      </w:r>
    </w:p>
    <w:p>
      <w:pPr>
        <w:spacing w:after="0" w:line="287" w:lineRule="exact"/>
        <w:rPr>
          <w:sz w:val="20"/>
          <w:szCs w:val="20"/>
          <w:color w:val="auto"/>
        </w:rPr>
      </w:pPr>
    </w:p>
    <w:p>
      <w:pPr>
        <w:ind w:left="460" w:right="1540"/>
        <w:spacing w:after="0" w:line="266" w:lineRule="auto"/>
        <w:rPr>
          <w:sz w:val="20"/>
          <w:szCs w:val="20"/>
          <w:color w:val="auto"/>
        </w:rPr>
      </w:pPr>
      <w:r>
        <w:rPr>
          <w:rFonts w:ascii="Arial" w:cs="Arial" w:eastAsia="Arial" w:hAnsi="Arial"/>
          <w:sz w:val="19"/>
          <w:szCs w:val="19"/>
          <w:b w:val="1"/>
          <w:bCs w:val="1"/>
          <w:color w:val="231F20"/>
        </w:rPr>
        <w:t xml:space="preserve">DONALD C. WOOD </w:t>
      </w:r>
      <w:r>
        <w:rPr>
          <w:rFonts w:ascii="Arial" w:cs="Arial" w:eastAsia="Arial" w:hAnsi="Arial"/>
          <w:sz w:val="19"/>
          <w:szCs w:val="19"/>
          <w:color w:val="231F20"/>
        </w:rPr>
        <w:t>Chief Executive Officer</w:t>
      </w:r>
    </w:p>
    <w:p>
      <w:pPr>
        <w:ind w:left="460"/>
        <w:spacing w:after="0"/>
        <w:tabs>
          <w:tab w:leader="none" w:pos="1860" w:val="left"/>
        </w:tabs>
        <w:rPr>
          <w:sz w:val="20"/>
          <w:szCs w:val="20"/>
          <w:color w:val="auto"/>
        </w:rPr>
      </w:pPr>
      <w:r>
        <w:rPr>
          <w:rFonts w:ascii="Arial" w:cs="Arial" w:eastAsia="Arial" w:hAnsi="Arial"/>
          <w:sz w:val="20"/>
          <w:szCs w:val="20"/>
          <w:color w:val="231F20"/>
        </w:rPr>
        <w:t>Age: 63</w:t>
      </w:r>
      <w:r>
        <w:rPr>
          <w:sz w:val="20"/>
          <w:szCs w:val="20"/>
          <w:color w:val="auto"/>
        </w:rPr>
        <w:tab/>
      </w:r>
      <w:r>
        <w:rPr>
          <w:rFonts w:ascii="Arial" w:cs="Arial" w:eastAsia="Arial" w:hAnsi="Arial"/>
          <w:sz w:val="19"/>
          <w:szCs w:val="19"/>
          <w:color w:val="231F20"/>
        </w:rPr>
        <w:t>Joined Federal: 1998</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231F20"/>
        </w:rPr>
        <w:t>In position since: 2003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31F20"/>
        </w:rPr>
        <w:t>JEFFREY S. BERKES</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20"/>
          <w:szCs w:val="20"/>
          <w:color w:val="231F20"/>
        </w:rPr>
        <w:t>President and Chief Operating Officer</w:t>
      </w:r>
    </w:p>
    <w:p>
      <w:pPr>
        <w:spacing w:after="0" w:line="10" w:lineRule="exact"/>
        <w:rPr>
          <w:sz w:val="20"/>
          <w:szCs w:val="20"/>
          <w:color w:val="auto"/>
        </w:rPr>
      </w:pPr>
    </w:p>
    <w:p>
      <w:pPr>
        <w:ind w:left="460"/>
        <w:spacing w:after="0"/>
        <w:tabs>
          <w:tab w:leader="none" w:pos="1860" w:val="left"/>
        </w:tabs>
        <w:rPr>
          <w:sz w:val="20"/>
          <w:szCs w:val="20"/>
          <w:color w:val="auto"/>
        </w:rPr>
      </w:pPr>
      <w:r>
        <w:rPr>
          <w:rFonts w:ascii="Arial" w:cs="Arial" w:eastAsia="Arial" w:hAnsi="Arial"/>
          <w:sz w:val="20"/>
          <w:szCs w:val="20"/>
          <w:color w:val="231F20"/>
        </w:rPr>
        <w:t>Age: 60</w:t>
      </w:r>
      <w:r>
        <w:rPr>
          <w:sz w:val="20"/>
          <w:szCs w:val="20"/>
          <w:color w:val="auto"/>
        </w:rPr>
        <w:tab/>
      </w:r>
      <w:r>
        <w:rPr>
          <w:rFonts w:ascii="Arial" w:cs="Arial" w:eastAsia="Arial" w:hAnsi="Arial"/>
          <w:sz w:val="19"/>
          <w:szCs w:val="19"/>
          <w:color w:val="231F20"/>
        </w:rPr>
        <w:t>Joined Federal: 2000</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231F20"/>
        </w:rPr>
        <w:t>In position since: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80"/>
        <w:spacing w:after="0" w:line="250" w:lineRule="auto"/>
        <w:rPr>
          <w:sz w:val="20"/>
          <w:szCs w:val="20"/>
          <w:color w:val="auto"/>
        </w:rPr>
      </w:pPr>
      <w:r>
        <w:rPr>
          <w:rFonts w:ascii="Arial" w:cs="Arial" w:eastAsia="Arial" w:hAnsi="Arial"/>
          <w:sz w:val="20"/>
          <w:szCs w:val="20"/>
          <w:b w:val="1"/>
          <w:bCs w:val="1"/>
          <w:color w:val="231F20"/>
        </w:rPr>
        <w:t xml:space="preserve">DANIEL GUGLIELMONE </w:t>
      </w:r>
      <w:r>
        <w:rPr>
          <w:rFonts w:ascii="Arial" w:cs="Arial" w:eastAsia="Arial" w:hAnsi="Arial"/>
          <w:sz w:val="20"/>
          <w:szCs w:val="20"/>
          <w:color w:val="231F20"/>
        </w:rPr>
        <w:t>EVP-Chief Financial Officer and Treasurer</w:t>
      </w:r>
    </w:p>
    <w:p>
      <w:pPr>
        <w:spacing w:after="0" w:line="1"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20"/>
          <w:szCs w:val="20"/>
          <w:color w:val="231F20"/>
        </w:rPr>
        <w:t>Age: 57</w:t>
      </w:r>
      <w:r>
        <w:rPr>
          <w:sz w:val="20"/>
          <w:szCs w:val="20"/>
          <w:color w:val="auto"/>
        </w:rPr>
        <w:tab/>
      </w:r>
      <w:r>
        <w:rPr>
          <w:rFonts w:ascii="Arial" w:cs="Arial" w:eastAsia="Arial" w:hAnsi="Arial"/>
          <w:sz w:val="19"/>
          <w:szCs w:val="19"/>
          <w:color w:val="231F20"/>
        </w:rPr>
        <w:t>Joined Federal: 2016</w:t>
      </w:r>
    </w:p>
    <w:p>
      <w:pPr>
        <w:spacing w:after="0" w:line="10" w:lineRule="exact"/>
        <w:rPr>
          <w:sz w:val="20"/>
          <w:szCs w:val="20"/>
          <w:color w:val="auto"/>
        </w:rPr>
      </w:pPr>
    </w:p>
    <w:p>
      <w:pPr>
        <w:ind w:left="1940"/>
        <w:spacing w:after="0"/>
        <w:rPr>
          <w:sz w:val="20"/>
          <w:szCs w:val="20"/>
          <w:color w:val="auto"/>
        </w:rPr>
      </w:pPr>
      <w:r>
        <w:rPr>
          <w:rFonts w:ascii="Arial" w:cs="Arial" w:eastAsia="Arial" w:hAnsi="Arial"/>
          <w:sz w:val="20"/>
          <w:szCs w:val="20"/>
          <w:color w:val="231F20"/>
        </w:rPr>
        <w:t>In position since: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right="300"/>
        <w:spacing w:after="0" w:line="250" w:lineRule="auto"/>
        <w:rPr>
          <w:sz w:val="20"/>
          <w:szCs w:val="20"/>
          <w:color w:val="auto"/>
        </w:rPr>
      </w:pPr>
      <w:r>
        <w:rPr>
          <w:rFonts w:ascii="Arial" w:cs="Arial" w:eastAsia="Arial" w:hAnsi="Arial"/>
          <w:sz w:val="20"/>
          <w:szCs w:val="20"/>
          <w:b w:val="1"/>
          <w:bCs w:val="1"/>
          <w:color w:val="231F20"/>
        </w:rPr>
        <w:t xml:space="preserve">DAWN M. BECKER </w:t>
      </w:r>
      <w:r>
        <w:rPr>
          <w:rFonts w:ascii="Arial" w:cs="Arial" w:eastAsia="Arial" w:hAnsi="Arial"/>
          <w:sz w:val="20"/>
          <w:szCs w:val="20"/>
          <w:color w:val="231F20"/>
        </w:rPr>
        <w:t>EVP-General Counsel and Secretary</w:t>
      </w:r>
    </w:p>
    <w:p>
      <w:pPr>
        <w:spacing w:after="0" w:line="1"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20"/>
          <w:szCs w:val="20"/>
          <w:color w:val="231F20"/>
        </w:rPr>
        <w:t>Age: 60</w:t>
      </w:r>
      <w:r>
        <w:rPr>
          <w:sz w:val="20"/>
          <w:szCs w:val="20"/>
          <w:color w:val="auto"/>
        </w:rPr>
        <w:tab/>
      </w:r>
      <w:r>
        <w:rPr>
          <w:rFonts w:ascii="Arial" w:cs="Arial" w:eastAsia="Arial" w:hAnsi="Arial"/>
          <w:sz w:val="19"/>
          <w:szCs w:val="19"/>
          <w:color w:val="231F20"/>
        </w:rPr>
        <w:t>Joined Federal: 1997</w:t>
      </w:r>
    </w:p>
    <w:p>
      <w:pPr>
        <w:spacing w:after="0" w:line="10" w:lineRule="exact"/>
        <w:rPr>
          <w:sz w:val="20"/>
          <w:szCs w:val="20"/>
          <w:color w:val="auto"/>
        </w:rPr>
      </w:pPr>
    </w:p>
    <w:p>
      <w:pPr>
        <w:ind w:left="1940"/>
        <w:spacing w:after="0"/>
        <w:rPr>
          <w:sz w:val="20"/>
          <w:szCs w:val="20"/>
          <w:color w:val="auto"/>
        </w:rPr>
      </w:pPr>
      <w:r>
        <w:rPr>
          <w:rFonts w:ascii="Arial" w:cs="Arial" w:eastAsia="Arial" w:hAnsi="Arial"/>
          <w:sz w:val="20"/>
          <w:szCs w:val="20"/>
          <w:color w:val="231F20"/>
        </w:rPr>
        <w:t>In position since: 2002</w:t>
      </w:r>
    </w:p>
    <w:p>
      <w:pPr>
        <w:spacing w:after="0" w:line="4330" w:lineRule="exact"/>
        <w:rPr>
          <w:sz w:val="20"/>
          <w:szCs w:val="20"/>
          <w:color w:val="auto"/>
        </w:rPr>
      </w:pPr>
    </w:p>
    <w:p>
      <w:pPr>
        <w:sectPr>
          <w:pgSz w:w="12240" w:h="15840" w:orient="portrait"/>
          <w:cols w:equalWidth="0" w:num="2">
            <w:col w:w="5260" w:space="720"/>
            <w:col w:w="4020"/>
          </w:cols>
          <w:pgMar w:left="1080" w:top="1440" w:right="1160" w:bottom="944"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EF3E2B"/>
            </w:tcBorders>
          </w:tcPr>
          <w:p>
            <w:pPr>
              <w:ind w:left="60"/>
              <w:spacing w:after="0"/>
              <w:rPr>
                <w:sz w:val="20"/>
                <w:szCs w:val="20"/>
                <w:color w:val="auto"/>
              </w:rPr>
            </w:pPr>
            <w:r>
              <w:rPr>
                <w:rFonts w:ascii="Arial" w:cs="Arial" w:eastAsia="Arial" w:hAnsi="Arial"/>
                <w:sz w:val="20"/>
                <w:szCs w:val="20"/>
                <w:b w:val="1"/>
                <w:bCs w:val="1"/>
                <w:color w:val="231F20"/>
              </w:rPr>
              <w:t>Compensation Committee Report</w:t>
            </w:r>
          </w:p>
        </w:tc>
        <w:tc>
          <w:tcPr>
            <w:tcW w:w="1100" w:type="dxa"/>
            <w:vAlign w:val="bottom"/>
            <w:tcBorders>
              <w:bottom w:val="single" w:sz="8" w:color="EF3E2B"/>
            </w:tcBorders>
          </w:tcPr>
          <w:p>
            <w:pPr>
              <w:jc w:val="right"/>
              <w:ind w:right="220"/>
              <w:spacing w:after="0"/>
              <w:rPr>
                <w:sz w:val="20"/>
                <w:szCs w:val="20"/>
                <w:color w:val="auto"/>
              </w:rPr>
            </w:pPr>
            <w:r>
              <w:rPr>
                <w:rFonts w:ascii="Arial" w:cs="Arial" w:eastAsia="Arial" w:hAnsi="Arial"/>
                <w:sz w:val="20"/>
                <w:szCs w:val="20"/>
                <w:b w:val="1"/>
                <w:bCs w:val="1"/>
                <w:color w:val="231F20"/>
              </w:rPr>
              <w:t>30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711200</wp:posOffset>
                </wp:positionV>
                <wp:extent cx="6400800" cy="17780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289" o:spid="_x0000_s1314" style="position:absolute;margin-left:0pt;margin-top:56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711200</wp:posOffset>
                </wp:positionV>
                <wp:extent cx="0" cy="17780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56pt" to="0.5pt,70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717550</wp:posOffset>
                </wp:positionV>
                <wp:extent cx="64008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504pt,5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711200</wp:posOffset>
                </wp:positionV>
                <wp:extent cx="0" cy="17780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56pt" to="503.5pt,70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882650</wp:posOffset>
                </wp:positionV>
                <wp:extent cx="640080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5pt" to="504pt,69.5pt" o:allowincell="f" strokecolor="#231F20" strokeweight="1pt"/>
            </w:pict>
          </mc:Fallback>
        </mc:AlternateContent>
      </w:r>
    </w:p>
    <w:p>
      <w:pPr>
        <w:sectPr>
          <w:pgSz w:w="12240" w:h="15840" w:orient="portrait"/>
          <w:cols w:equalWidth="0" w:num="1">
            <w:col w:w="10000"/>
          </w:cols>
          <w:pgMar w:left="1080" w:top="1440" w:right="116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19</w:t>
      </w:r>
    </w:p>
    <w:p>
      <w:pPr>
        <w:sectPr>
          <w:pgSz w:w="12240" w:h="15840" w:orient="portrait"/>
          <w:cols w:equalWidth="0" w:num="1">
            <w:col w:w="10000"/>
          </w:cols>
          <w:pgMar w:left="1080" w:top="1440" w:right="1160" w:bottom="944" w:gutter="0" w:footer="0" w:header="0"/>
          <w:type w:val="continuous"/>
        </w:sectPr>
      </w:pPr>
    </w:p>
    <w:bookmarkStart w:id="139" w:name="page140"/>
    <w:bookmarkEnd w:id="139"/>
    <w:p>
      <w:pPr>
        <w:spacing w:after="0" w:line="10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942975</wp:posOffset>
                </wp:positionV>
                <wp:extent cx="640080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4.25pt" to="558pt,74.25pt" o:allowincell="f" strokecolor="#231F20" strokeweight="0.5pt">
                <w10:wrap anchorx="page" anchory="page"/>
              </v:line>
            </w:pict>
          </mc:Fallback>
        </mc:AlternateContent>
      </w:r>
    </w:p>
    <w:p>
      <w:pPr>
        <w:ind w:left="120"/>
        <w:spacing w:after="0"/>
        <w:rPr>
          <w:sz w:val="20"/>
          <w:szCs w:val="20"/>
          <w:color w:val="auto"/>
        </w:rPr>
      </w:pPr>
      <w:r>
        <w:rPr>
          <w:rFonts w:ascii="Arial" w:cs="Arial" w:eastAsia="Arial" w:hAnsi="Arial"/>
          <w:sz w:val="24"/>
          <w:szCs w:val="24"/>
          <w:b w:val="1"/>
          <w:bCs w:val="1"/>
          <w:color w:val="EF3E2A"/>
        </w:rPr>
        <w:t>I</w:t>
      </w:r>
      <w:r>
        <w:rPr>
          <w:rFonts w:ascii="Arial" w:cs="Arial" w:eastAsia="Arial" w:hAnsi="Arial"/>
          <w:sz w:val="18"/>
          <w:szCs w:val="18"/>
          <w:b w:val="1"/>
          <w:bCs w:val="1"/>
          <w:color w:val="EF3E2A"/>
        </w:rPr>
        <w:t>NTRODUCTION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40080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04pt,0.25pt" o:allowincell="f" strokecolor="#231F20" strokeweight="0.5pt"/>
            </w:pict>
          </mc:Fallback>
        </mc:AlternateContent>
      </w:r>
    </w:p>
    <w:p>
      <w:pPr>
        <w:spacing w:after="0" w:line="24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2023 BUSINESS HIGHLIGHTS SUPPORTING COMPENSATION DECISIONS: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Business accomplishments for the year ended December 31, 2023 included the following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127000</wp:posOffset>
            </wp:positionV>
            <wp:extent cx="6301105" cy="3479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72">
                      <a:extLst>
                        <a:ext uri="{28A0092B-C50C-407E-A947-70E740481C1C}"/>
                      </a:extLst>
                    </a:blip>
                    <a:srcRect/>
                    <a:stretch>
                      <a:fillRect/>
                    </a:stretch>
                  </pic:blipFill>
                  <pic:spPr bwMode="auto">
                    <a:xfrm>
                      <a:off x="0" y="0"/>
                      <a:ext cx="6301105" cy="34798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vMerge w:val="restart"/>
          </w:tcPr>
          <w:p>
            <w:pPr>
              <w:jc w:val="center"/>
              <w:ind w:left="1117"/>
              <w:spacing w:after="0"/>
              <w:rPr>
                <w:sz w:val="20"/>
                <w:szCs w:val="20"/>
                <w:color w:val="auto"/>
              </w:rPr>
            </w:pPr>
            <w:r>
              <w:rPr>
                <w:rFonts w:ascii="Arial" w:cs="Arial" w:eastAsia="Arial" w:hAnsi="Arial"/>
                <w:sz w:val="22"/>
                <w:szCs w:val="22"/>
                <w:color w:val="FFFFFF"/>
              </w:rPr>
              <w:t>FFO Per Share</w:t>
            </w:r>
          </w:p>
        </w:tc>
        <w:tc>
          <w:tcPr>
            <w:tcW w:w="7160" w:type="dxa"/>
            <w:vAlign w:val="bottom"/>
          </w:tcPr>
          <w:p>
            <w:pPr>
              <w:ind w:left="120"/>
              <w:spacing w:after="0"/>
              <w:rPr>
                <w:sz w:val="20"/>
                <w:szCs w:val="20"/>
                <w:color w:val="auto"/>
              </w:rPr>
            </w:pPr>
            <w:r>
              <w:rPr>
                <w:rFonts w:ascii="Arial" w:cs="Arial" w:eastAsia="Arial" w:hAnsi="Arial"/>
                <w:sz w:val="20"/>
                <w:szCs w:val="20"/>
                <w:color w:val="231F20"/>
              </w:rPr>
              <w:t xml:space="preserve">FFO per diluted share* of </w:t>
            </w:r>
            <w:r>
              <w:rPr>
                <w:rFonts w:ascii="Arial" w:cs="Arial" w:eastAsia="Arial" w:hAnsi="Arial"/>
                <w:sz w:val="20"/>
                <w:szCs w:val="20"/>
                <w:color w:val="EF3E2A"/>
              </w:rPr>
              <w:t>$6.55</w:t>
            </w:r>
            <w:r>
              <w:rPr>
                <w:rFonts w:ascii="Arial" w:cs="Arial" w:eastAsia="Arial" w:hAnsi="Arial"/>
                <w:sz w:val="20"/>
                <w:szCs w:val="20"/>
                <w:color w:val="231F20"/>
              </w:rPr>
              <w:t xml:space="preserve"> representing growth of </w:t>
            </w:r>
            <w:r>
              <w:rPr>
                <w:rFonts w:ascii="Arial" w:cs="Arial" w:eastAsia="Arial" w:hAnsi="Arial"/>
                <w:sz w:val="20"/>
                <w:szCs w:val="20"/>
                <w:color w:val="EF3E2A"/>
              </w:rPr>
              <w:t>3.6%</w:t>
            </w:r>
            <w:r>
              <w:rPr>
                <w:rFonts w:ascii="Arial" w:cs="Arial" w:eastAsia="Arial" w:hAnsi="Arial"/>
                <w:sz w:val="20"/>
                <w:szCs w:val="20"/>
                <w:color w:val="231F20"/>
              </w:rPr>
              <w:t xml:space="preserve"> over 2022 driven</w:t>
            </w:r>
          </w:p>
        </w:tc>
        <w:tc>
          <w:tcPr>
            <w:tcW w:w="0" w:type="dxa"/>
            <w:vAlign w:val="bottom"/>
          </w:tcPr>
          <w:p>
            <w:pPr>
              <w:spacing w:after="0"/>
              <w:rPr>
                <w:sz w:val="1"/>
                <w:szCs w:val="1"/>
                <w:color w:val="auto"/>
              </w:rPr>
            </w:pPr>
          </w:p>
        </w:tc>
      </w:tr>
      <w:tr>
        <w:trPr>
          <w:trHeight w:val="106"/>
        </w:trPr>
        <w:tc>
          <w:tcPr>
            <w:tcW w:w="2920" w:type="dxa"/>
            <w:vAlign w:val="bottom"/>
            <w:vMerge w:val="continue"/>
          </w:tcPr>
          <w:p>
            <w:pPr>
              <w:spacing w:after="0"/>
              <w:rPr>
                <w:sz w:val="9"/>
                <w:szCs w:val="9"/>
                <w:color w:val="auto"/>
              </w:rPr>
            </w:pPr>
          </w:p>
        </w:tc>
        <w:tc>
          <w:tcPr>
            <w:tcW w:w="7160" w:type="dxa"/>
            <w:vAlign w:val="bottom"/>
            <w:vMerge w:val="restart"/>
          </w:tcPr>
          <w:p>
            <w:pPr>
              <w:ind w:left="120"/>
              <w:spacing w:after="0"/>
              <w:rPr>
                <w:sz w:val="20"/>
                <w:szCs w:val="20"/>
                <w:color w:val="auto"/>
              </w:rPr>
            </w:pPr>
            <w:r>
              <w:rPr>
                <w:rFonts w:ascii="Arial" w:cs="Arial" w:eastAsia="Arial" w:hAnsi="Arial"/>
                <w:sz w:val="20"/>
                <w:szCs w:val="20"/>
                <w:color w:val="231F20"/>
              </w:rPr>
              <w:t>by record levels of total revenue, positive impacts from capital investment,</w:t>
            </w:r>
          </w:p>
        </w:tc>
        <w:tc>
          <w:tcPr>
            <w:tcW w:w="0" w:type="dxa"/>
            <w:vAlign w:val="bottom"/>
          </w:tcPr>
          <w:p>
            <w:pPr>
              <w:spacing w:after="0"/>
              <w:rPr>
                <w:sz w:val="1"/>
                <w:szCs w:val="1"/>
                <w:color w:val="auto"/>
              </w:rPr>
            </w:pPr>
          </w:p>
        </w:tc>
      </w:tr>
      <w:tr>
        <w:trPr>
          <w:trHeight w:val="134"/>
        </w:trPr>
        <w:tc>
          <w:tcPr>
            <w:tcW w:w="2920" w:type="dxa"/>
            <w:vAlign w:val="bottom"/>
            <w:vMerge w:val="restart"/>
          </w:tcPr>
          <w:p>
            <w:pPr>
              <w:jc w:val="center"/>
              <w:ind w:left="1117"/>
              <w:spacing w:after="0"/>
              <w:rPr>
                <w:sz w:val="20"/>
                <w:szCs w:val="20"/>
                <w:color w:val="auto"/>
              </w:rPr>
            </w:pPr>
            <w:r>
              <w:rPr>
                <w:rFonts w:ascii="Arial" w:cs="Arial" w:eastAsia="Arial" w:hAnsi="Arial"/>
                <w:sz w:val="22"/>
                <w:szCs w:val="22"/>
                <w:color w:val="FFFFFF"/>
                <w:w w:val="98"/>
              </w:rPr>
              <w:t>Growth</w:t>
            </w:r>
          </w:p>
        </w:tc>
        <w:tc>
          <w:tcPr>
            <w:tcW w:w="7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920" w:type="dxa"/>
            <w:vAlign w:val="bottom"/>
            <w:vMerge w:val="continue"/>
          </w:tcPr>
          <w:p>
            <w:pPr>
              <w:spacing w:after="0"/>
              <w:rPr>
                <w:sz w:val="10"/>
                <w:szCs w:val="10"/>
                <w:color w:val="auto"/>
              </w:rPr>
            </w:pPr>
          </w:p>
        </w:tc>
        <w:tc>
          <w:tcPr>
            <w:tcW w:w="7160" w:type="dxa"/>
            <w:vAlign w:val="bottom"/>
            <w:vMerge w:val="restart"/>
          </w:tcPr>
          <w:p>
            <w:pPr>
              <w:ind w:left="120"/>
              <w:spacing w:after="0"/>
              <w:rPr>
                <w:sz w:val="20"/>
                <w:szCs w:val="20"/>
                <w:color w:val="auto"/>
              </w:rPr>
            </w:pPr>
            <w:r>
              <w:rPr>
                <w:rFonts w:ascii="Arial" w:cs="Arial" w:eastAsia="Arial" w:hAnsi="Arial"/>
                <w:sz w:val="20"/>
                <w:szCs w:val="20"/>
                <w:color w:val="231F20"/>
              </w:rPr>
              <w:t>and overall continued strength in the broader retail real estate market</w:t>
            </w:r>
          </w:p>
        </w:tc>
        <w:tc>
          <w:tcPr>
            <w:tcW w:w="0" w:type="dxa"/>
            <w:vAlign w:val="bottom"/>
          </w:tcPr>
          <w:p>
            <w:pPr>
              <w:spacing w:after="0"/>
              <w:rPr>
                <w:sz w:val="1"/>
                <w:szCs w:val="1"/>
                <w:color w:val="auto"/>
              </w:rPr>
            </w:pPr>
          </w:p>
        </w:tc>
      </w:tr>
      <w:tr>
        <w:trPr>
          <w:trHeight w:val="114"/>
        </w:trPr>
        <w:tc>
          <w:tcPr>
            <w:tcW w:w="2920" w:type="dxa"/>
            <w:vAlign w:val="bottom"/>
          </w:tcPr>
          <w:p>
            <w:pPr>
              <w:spacing w:after="0"/>
              <w:rPr>
                <w:sz w:val="9"/>
                <w:szCs w:val="9"/>
                <w:color w:val="auto"/>
              </w:rPr>
            </w:pP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920" w:type="dxa"/>
            <w:vAlign w:val="bottom"/>
            <w:tcBorders>
              <w:bottom w:val="single" w:sz="8" w:color="231F20"/>
            </w:tcBorders>
          </w:tcPr>
          <w:p>
            <w:pPr>
              <w:spacing w:after="0"/>
              <w:rPr>
                <w:sz w:val="13"/>
                <w:szCs w:val="13"/>
                <w:color w:val="auto"/>
              </w:rPr>
            </w:pPr>
          </w:p>
        </w:tc>
        <w:tc>
          <w:tcPr>
            <w:tcW w:w="7160" w:type="dxa"/>
            <w:vAlign w:val="bottom"/>
            <w:tcBorders>
              <w:bottom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2920" w:type="dxa"/>
            <w:vAlign w:val="bottom"/>
          </w:tcPr>
          <w:p>
            <w:pPr>
              <w:jc w:val="center"/>
              <w:ind w:left="1117"/>
              <w:spacing w:after="0"/>
              <w:rPr>
                <w:sz w:val="20"/>
                <w:szCs w:val="20"/>
                <w:color w:val="auto"/>
              </w:rPr>
            </w:pPr>
            <w:r>
              <w:rPr>
                <w:rFonts w:ascii="Arial" w:cs="Arial" w:eastAsia="Arial" w:hAnsi="Arial"/>
                <w:sz w:val="20"/>
                <w:szCs w:val="20"/>
                <w:b w:val="1"/>
                <w:bCs w:val="1"/>
                <w:color w:val="FFFFFF"/>
              </w:rPr>
              <w:t>Strong Leasing</w:t>
            </w:r>
          </w:p>
        </w:tc>
        <w:tc>
          <w:tcPr>
            <w:tcW w:w="7160" w:type="dxa"/>
            <w:vAlign w:val="bottom"/>
          </w:tcPr>
          <w:p>
            <w:pPr>
              <w:ind w:left="120"/>
              <w:spacing w:after="0"/>
              <w:rPr>
                <w:sz w:val="20"/>
                <w:szCs w:val="20"/>
                <w:color w:val="auto"/>
              </w:rPr>
            </w:pPr>
            <w:r>
              <w:rPr>
                <w:rFonts w:ascii="Arial" w:cs="Arial" w:eastAsia="Arial" w:hAnsi="Arial"/>
                <w:sz w:val="20"/>
                <w:szCs w:val="20"/>
                <w:color w:val="231F20"/>
              </w:rPr>
              <w:t>Signed new and renewal comparable space leases covering more than</w:t>
            </w:r>
          </w:p>
        </w:tc>
        <w:tc>
          <w:tcPr>
            <w:tcW w:w="0" w:type="dxa"/>
            <w:vAlign w:val="bottom"/>
          </w:tcPr>
          <w:p>
            <w:pPr>
              <w:spacing w:after="0"/>
              <w:rPr>
                <w:sz w:val="1"/>
                <w:szCs w:val="1"/>
                <w:color w:val="auto"/>
              </w:rPr>
            </w:pPr>
          </w:p>
        </w:tc>
      </w:tr>
      <w:tr>
        <w:trPr>
          <w:trHeight w:val="240"/>
        </w:trPr>
        <w:tc>
          <w:tcPr>
            <w:tcW w:w="2920" w:type="dxa"/>
            <w:vAlign w:val="bottom"/>
          </w:tcPr>
          <w:p>
            <w:pPr>
              <w:jc w:val="center"/>
              <w:ind w:left="1097"/>
              <w:spacing w:after="0"/>
              <w:rPr>
                <w:sz w:val="20"/>
                <w:szCs w:val="20"/>
                <w:color w:val="auto"/>
              </w:rPr>
            </w:pPr>
            <w:r>
              <w:rPr>
                <w:rFonts w:ascii="Arial" w:cs="Arial" w:eastAsia="Arial" w:hAnsi="Arial"/>
                <w:sz w:val="20"/>
                <w:szCs w:val="20"/>
                <w:b w:val="1"/>
                <w:bCs w:val="1"/>
                <w:color w:val="FFFFFF"/>
                <w:w w:val="99"/>
              </w:rPr>
              <w:t>Activity</w:t>
            </w:r>
          </w:p>
        </w:tc>
        <w:tc>
          <w:tcPr>
            <w:tcW w:w="7160" w:type="dxa"/>
            <w:vAlign w:val="bottom"/>
          </w:tcPr>
          <w:p>
            <w:pPr>
              <w:ind w:left="120"/>
              <w:spacing w:after="0"/>
              <w:rPr>
                <w:sz w:val="20"/>
                <w:szCs w:val="20"/>
                <w:color w:val="auto"/>
              </w:rPr>
            </w:pPr>
            <w:r>
              <w:rPr>
                <w:rFonts w:ascii="Arial" w:cs="Arial" w:eastAsia="Arial" w:hAnsi="Arial"/>
                <w:sz w:val="20"/>
                <w:szCs w:val="20"/>
                <w:color w:val="EF3E2A"/>
              </w:rPr>
              <w:t xml:space="preserve">2 million </w:t>
            </w:r>
            <w:r>
              <w:rPr>
                <w:rFonts w:ascii="Arial" w:cs="Arial" w:eastAsia="Arial" w:hAnsi="Arial"/>
                <w:sz w:val="20"/>
                <w:szCs w:val="20"/>
                <w:color w:val="231F20"/>
              </w:rPr>
              <w:t>square feet of space and $74.5 million of year 1 revenue</w:t>
            </w:r>
          </w:p>
        </w:tc>
        <w:tc>
          <w:tcPr>
            <w:tcW w:w="0" w:type="dxa"/>
            <w:vAlign w:val="bottom"/>
          </w:tcPr>
          <w:p>
            <w:pPr>
              <w:spacing w:after="0"/>
              <w:rPr>
                <w:sz w:val="1"/>
                <w:szCs w:val="1"/>
                <w:color w:val="auto"/>
              </w:rPr>
            </w:pPr>
          </w:p>
        </w:tc>
      </w:tr>
      <w:tr>
        <w:trPr>
          <w:trHeight w:val="150"/>
        </w:trPr>
        <w:tc>
          <w:tcPr>
            <w:tcW w:w="2920" w:type="dxa"/>
            <w:vAlign w:val="bottom"/>
            <w:tcBorders>
              <w:bottom w:val="single" w:sz="8" w:color="231F20"/>
            </w:tcBorders>
          </w:tcPr>
          <w:p>
            <w:pPr>
              <w:spacing w:after="0"/>
              <w:rPr>
                <w:sz w:val="13"/>
                <w:szCs w:val="13"/>
                <w:color w:val="auto"/>
              </w:rPr>
            </w:pPr>
          </w:p>
        </w:tc>
        <w:tc>
          <w:tcPr>
            <w:tcW w:w="7160" w:type="dxa"/>
            <w:vAlign w:val="bottom"/>
            <w:tcBorders>
              <w:bottom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510"/>
        </w:trPr>
        <w:tc>
          <w:tcPr>
            <w:tcW w:w="2920" w:type="dxa"/>
            <w:vAlign w:val="bottom"/>
          </w:tcPr>
          <w:p>
            <w:pPr>
              <w:jc w:val="center"/>
              <w:ind w:left="1097"/>
              <w:spacing w:after="0"/>
              <w:rPr>
                <w:sz w:val="20"/>
                <w:szCs w:val="20"/>
                <w:color w:val="auto"/>
              </w:rPr>
            </w:pPr>
            <w:r>
              <w:rPr>
                <w:rFonts w:ascii="Arial" w:cs="Arial" w:eastAsia="Arial" w:hAnsi="Arial"/>
                <w:sz w:val="20"/>
                <w:szCs w:val="20"/>
                <w:b w:val="1"/>
                <w:bCs w:val="1"/>
                <w:color w:val="FFFFFF"/>
              </w:rPr>
              <w:t>Productive</w:t>
            </w:r>
          </w:p>
        </w:tc>
        <w:tc>
          <w:tcPr>
            <w:tcW w:w="7160" w:type="dxa"/>
            <w:vAlign w:val="bottom"/>
            <w:vMerge w:val="restart"/>
          </w:tcPr>
          <w:p>
            <w:pPr>
              <w:ind w:left="120"/>
              <w:spacing w:after="0"/>
              <w:rPr>
                <w:sz w:val="20"/>
                <w:szCs w:val="20"/>
                <w:color w:val="auto"/>
              </w:rPr>
            </w:pPr>
            <w:r>
              <w:rPr>
                <w:rFonts w:ascii="Arial" w:cs="Arial" w:eastAsia="Arial" w:hAnsi="Arial"/>
                <w:sz w:val="20"/>
                <w:szCs w:val="20"/>
                <w:color w:val="231F20"/>
              </w:rPr>
              <w:t xml:space="preserve">Investments in existing assets such as </w:t>
            </w:r>
            <w:r>
              <w:rPr>
                <w:rFonts w:ascii="Arial" w:cs="Arial" w:eastAsia="Arial" w:hAnsi="Arial"/>
                <w:sz w:val="20"/>
                <w:szCs w:val="20"/>
                <w:color w:val="EF3E2A"/>
              </w:rPr>
              <w:t>Pike &amp; Rose, Darien Commons,</w:t>
            </w:r>
          </w:p>
        </w:tc>
        <w:tc>
          <w:tcPr>
            <w:tcW w:w="0" w:type="dxa"/>
            <w:vAlign w:val="bottom"/>
          </w:tcPr>
          <w:p>
            <w:pPr>
              <w:spacing w:after="0"/>
              <w:rPr>
                <w:sz w:val="1"/>
                <w:szCs w:val="1"/>
                <w:color w:val="auto"/>
              </w:rPr>
            </w:pPr>
          </w:p>
        </w:tc>
      </w:tr>
      <w:tr>
        <w:trPr>
          <w:trHeight w:val="82"/>
        </w:trPr>
        <w:tc>
          <w:tcPr>
            <w:tcW w:w="2920" w:type="dxa"/>
            <w:vAlign w:val="bottom"/>
            <w:vMerge w:val="restart"/>
          </w:tcPr>
          <w:p>
            <w:pPr>
              <w:jc w:val="center"/>
              <w:ind w:left="1117"/>
              <w:spacing w:after="0"/>
              <w:rPr>
                <w:sz w:val="20"/>
                <w:szCs w:val="20"/>
                <w:color w:val="auto"/>
              </w:rPr>
            </w:pPr>
            <w:r>
              <w:rPr>
                <w:rFonts w:ascii="Arial" w:cs="Arial" w:eastAsia="Arial" w:hAnsi="Arial"/>
                <w:sz w:val="20"/>
                <w:szCs w:val="20"/>
                <w:b w:val="1"/>
                <w:bCs w:val="1"/>
                <w:color w:val="FFFFFF"/>
                <w:w w:val="98"/>
              </w:rPr>
              <w:t>Capital</w:t>
            </w:r>
          </w:p>
        </w:tc>
        <w:tc>
          <w:tcPr>
            <w:tcW w:w="7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920" w:type="dxa"/>
            <w:vAlign w:val="bottom"/>
            <w:vMerge w:val="continue"/>
          </w:tcPr>
          <w:p>
            <w:pPr>
              <w:spacing w:after="0"/>
              <w:rPr>
                <w:sz w:val="13"/>
                <w:szCs w:val="13"/>
                <w:color w:val="auto"/>
              </w:rPr>
            </w:pPr>
          </w:p>
        </w:tc>
        <w:tc>
          <w:tcPr>
            <w:tcW w:w="7160" w:type="dxa"/>
            <w:vAlign w:val="bottom"/>
            <w:vMerge w:val="restart"/>
          </w:tcPr>
          <w:p>
            <w:pPr>
              <w:ind w:left="120"/>
              <w:spacing w:after="0"/>
              <w:rPr>
                <w:sz w:val="20"/>
                <w:szCs w:val="20"/>
                <w:color w:val="auto"/>
              </w:rPr>
            </w:pPr>
            <w:r>
              <w:rPr>
                <w:rFonts w:ascii="Arial" w:cs="Arial" w:eastAsia="Arial" w:hAnsi="Arial"/>
                <w:sz w:val="20"/>
                <w:szCs w:val="20"/>
                <w:color w:val="EF3E2A"/>
              </w:rPr>
              <w:t xml:space="preserve">Mercer on One and Escondido </w:t>
            </w:r>
            <w:r>
              <w:rPr>
                <w:rFonts w:ascii="Arial" w:cs="Arial" w:eastAsia="Arial" w:hAnsi="Arial"/>
                <w:sz w:val="20"/>
                <w:szCs w:val="20"/>
                <w:color w:val="231F20"/>
              </w:rPr>
              <w:t>producing significant year over year growth</w:t>
            </w:r>
          </w:p>
        </w:tc>
        <w:tc>
          <w:tcPr>
            <w:tcW w:w="0" w:type="dxa"/>
            <w:vAlign w:val="bottom"/>
          </w:tcPr>
          <w:p>
            <w:pPr>
              <w:spacing w:after="0"/>
              <w:rPr>
                <w:sz w:val="1"/>
                <w:szCs w:val="1"/>
                <w:color w:val="auto"/>
              </w:rPr>
            </w:pPr>
          </w:p>
        </w:tc>
      </w:tr>
      <w:tr>
        <w:trPr>
          <w:trHeight w:val="80"/>
        </w:trPr>
        <w:tc>
          <w:tcPr>
            <w:tcW w:w="2920" w:type="dxa"/>
            <w:vAlign w:val="bottom"/>
            <w:vMerge w:val="restart"/>
          </w:tcPr>
          <w:p>
            <w:pPr>
              <w:jc w:val="center"/>
              <w:ind w:left="1097"/>
              <w:spacing w:after="0"/>
              <w:rPr>
                <w:sz w:val="20"/>
                <w:szCs w:val="20"/>
                <w:color w:val="auto"/>
              </w:rPr>
            </w:pPr>
            <w:r>
              <w:rPr>
                <w:rFonts w:ascii="Arial" w:cs="Arial" w:eastAsia="Arial" w:hAnsi="Arial"/>
                <w:sz w:val="20"/>
                <w:szCs w:val="20"/>
                <w:b w:val="1"/>
                <w:bCs w:val="1"/>
                <w:color w:val="FFFFFF"/>
                <w:w w:val="99"/>
              </w:rPr>
              <w:t>Investments</w:t>
            </w:r>
          </w:p>
        </w:tc>
        <w:tc>
          <w:tcPr>
            <w:tcW w:w="7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920" w:type="dxa"/>
            <w:vAlign w:val="bottom"/>
            <w:vMerge w:val="continue"/>
          </w:tcPr>
          <w:p>
            <w:pPr>
              <w:spacing w:after="0"/>
              <w:rPr>
                <w:sz w:val="13"/>
                <w:szCs w:val="13"/>
                <w:color w:val="auto"/>
              </w:rPr>
            </w:pPr>
          </w:p>
        </w:tc>
        <w:tc>
          <w:tcPr>
            <w:tcW w:w="7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231F20"/>
            </w:tcBorders>
          </w:tcPr>
          <w:p>
            <w:pPr>
              <w:spacing w:after="0"/>
              <w:rPr>
                <w:sz w:val="16"/>
                <w:szCs w:val="16"/>
                <w:color w:val="auto"/>
              </w:rPr>
            </w:pPr>
          </w:p>
        </w:tc>
        <w:tc>
          <w:tcPr>
            <w:tcW w:w="716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-1250315</wp:posOffset>
            </wp:positionV>
            <wp:extent cx="468630" cy="4641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73">
                      <a:clrChange>
                        <a:clrFrom>
                          <a:srgbClr val="000000"/>
                        </a:clrFrom>
                        <a:clrTo>
                          <a:srgbClr val="000000">
                            <a:alpha val="0"/>
                          </a:srgbClr>
                        </a:clrTo>
                      </a:clrChange>
                      <a:extLst>
                        <a:ext uri="{28A0092B-C50C-407E-A947-70E740481C1C}"/>
                      </a:extLst>
                    </a:blip>
                    <a:srcRect/>
                    <a:stretch>
                      <a:fillRect/>
                    </a:stretch>
                  </pic:blipFill>
                  <pic:spPr bwMode="auto">
                    <a:xfrm>
                      <a:off x="0" y="0"/>
                      <a:ext cx="468630" cy="46418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-1250315</wp:posOffset>
            </wp:positionV>
            <wp:extent cx="468630" cy="4641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68630" cy="464185"/>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-603885</wp:posOffset>
            </wp:positionV>
            <wp:extent cx="444500" cy="4400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75">
                      <a:clrChange>
                        <a:clrFrom>
                          <a:srgbClr val="000000"/>
                        </a:clrFrom>
                        <a:clrTo>
                          <a:srgbClr val="000000">
                            <a:alpha val="0"/>
                          </a:srgbClr>
                        </a:clrTo>
                      </a:clrChange>
                      <a:extLst>
                        <a:ext uri="{28A0092B-C50C-407E-A947-70E740481C1C}"/>
                      </a:extLst>
                    </a:blip>
                    <a:srcRect/>
                    <a:stretch>
                      <a:fillRect/>
                    </a:stretch>
                  </pic:blipFill>
                  <pic:spPr bwMode="auto">
                    <a:xfrm>
                      <a:off x="0" y="0"/>
                      <a:ext cx="444500" cy="440055"/>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-603885</wp:posOffset>
            </wp:positionV>
            <wp:extent cx="444500" cy="4400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444500" cy="4400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113665</wp:posOffset>
            </wp:positionV>
            <wp:extent cx="628015" cy="534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77">
                      <a:clrChange>
                        <a:clrFrom>
                          <a:srgbClr val="000000"/>
                        </a:clrFrom>
                        <a:clrTo>
                          <a:srgbClr val="000000">
                            <a:alpha val="0"/>
                          </a:srgbClr>
                        </a:clrTo>
                      </a:clrChange>
                      <a:extLst>
                        <a:ext uri="{28A0092B-C50C-407E-A947-70E740481C1C}"/>
                      </a:extLst>
                    </a:blip>
                    <a:srcRect/>
                    <a:stretch>
                      <a:fillRect/>
                    </a:stretch>
                  </pic:blipFill>
                  <pic:spPr bwMode="auto">
                    <a:xfrm>
                      <a:off x="0" y="0"/>
                      <a:ext cx="628015" cy="53403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113665</wp:posOffset>
            </wp:positionV>
            <wp:extent cx="628015" cy="534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28015" cy="534035"/>
                    </a:xfrm>
                    <a:prstGeom prst="rect">
                      <a:avLst/>
                    </a:prstGeom>
                    <a:noFill/>
                  </pic:spPr>
                </pic:pic>
              </a:graphicData>
            </a:graphic>
          </wp:anchor>
        </w:drawing>
      </w:r>
    </w:p>
    <w:p>
      <w:pPr>
        <w:sectPr>
          <w:pgSz w:w="12240" w:h="15840" w:orient="portrait"/>
          <w:cols w:equalWidth="0" w:num="1">
            <w:col w:w="10080"/>
          </w:cols>
          <w:pgMar w:left="1080" w:top="1440" w:right="1080" w:bottom="944" w:gutter="0" w:footer="0" w:header="0"/>
        </w:sectPr>
      </w:pPr>
    </w:p>
    <w:p>
      <w:pPr>
        <w:spacing w:after="0" w:line="292" w:lineRule="exact"/>
        <w:rPr>
          <w:sz w:val="20"/>
          <w:szCs w:val="20"/>
          <w:color w:val="auto"/>
        </w:rPr>
      </w:pPr>
    </w:p>
    <w:p>
      <w:pPr>
        <w:jc w:val="center"/>
        <w:ind w:left="1500"/>
        <w:spacing w:after="0" w:line="250" w:lineRule="auto"/>
        <w:rPr>
          <w:sz w:val="20"/>
          <w:szCs w:val="20"/>
          <w:color w:val="auto"/>
        </w:rPr>
      </w:pPr>
      <w:r>
        <w:rPr>
          <w:rFonts w:ascii="Arial" w:cs="Arial" w:eastAsia="Arial" w:hAnsi="Arial"/>
          <w:sz w:val="20"/>
          <w:szCs w:val="20"/>
          <w:b w:val="1"/>
          <w:bCs w:val="1"/>
          <w:color w:val="FFFFFF"/>
        </w:rPr>
        <w:t>56th Year of Dividend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203200</wp:posOffset>
            </wp:positionV>
            <wp:extent cx="487680" cy="4883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79">
                      <a:clrChange>
                        <a:clrFrom>
                          <a:srgbClr val="000000"/>
                        </a:clrFrom>
                        <a:clrTo>
                          <a:srgbClr val="000000">
                            <a:alpha val="0"/>
                          </a:srgbClr>
                        </a:clrTo>
                      </a:clrChange>
                      <a:extLst>
                        <a:ext uri="{28A0092B-C50C-407E-A947-70E740481C1C}"/>
                      </a:extLst>
                    </a:blip>
                    <a:srcRect/>
                    <a:stretch>
                      <a:fillRect/>
                    </a:stretch>
                  </pic:blipFill>
                  <pic:spPr bwMode="auto">
                    <a:xfrm>
                      <a:off x="0" y="0"/>
                      <a:ext cx="487680" cy="48831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203200</wp:posOffset>
            </wp:positionV>
            <wp:extent cx="487680" cy="4883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48768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both"/>
        <w:ind w:right="320"/>
        <w:spacing w:after="0" w:line="247" w:lineRule="auto"/>
        <w:rPr>
          <w:sz w:val="20"/>
          <w:szCs w:val="20"/>
          <w:color w:val="auto"/>
        </w:rPr>
      </w:pPr>
      <w:r>
        <w:rPr>
          <w:rFonts w:ascii="Arial" w:cs="Arial" w:eastAsia="Arial" w:hAnsi="Arial"/>
          <w:sz w:val="20"/>
          <w:szCs w:val="20"/>
          <w:color w:val="231F20"/>
        </w:rPr>
        <w:t xml:space="preserve">Raised the dividend on our common shares for the </w:t>
      </w:r>
      <w:r>
        <w:rPr>
          <w:rFonts w:ascii="Arial" w:cs="Arial" w:eastAsia="Arial" w:hAnsi="Arial"/>
          <w:sz w:val="20"/>
          <w:szCs w:val="20"/>
          <w:color w:val="EF3E2A"/>
        </w:rPr>
        <w:t>56th</w:t>
      </w:r>
      <w:r>
        <w:rPr>
          <w:rFonts w:ascii="Arial" w:cs="Arial" w:eastAsia="Arial" w:hAnsi="Arial"/>
          <w:sz w:val="20"/>
          <w:szCs w:val="20"/>
          <w:color w:val="231F20"/>
        </w:rPr>
        <w:t xml:space="preserve"> consecutive year, a record in the REIT industry, representing a compound annual growth rate of </w:t>
      </w:r>
      <w:r>
        <w:rPr>
          <w:rFonts w:ascii="Arial" w:cs="Arial" w:eastAsia="Arial" w:hAnsi="Arial"/>
          <w:sz w:val="20"/>
          <w:szCs w:val="20"/>
          <w:color w:val="EF3E2A"/>
        </w:rPr>
        <w:t xml:space="preserve">7% </w:t>
      </w:r>
      <w:r>
        <w:rPr>
          <w:rFonts w:ascii="Arial" w:cs="Arial" w:eastAsia="Arial" w:hAnsi="Arial"/>
          <w:sz w:val="20"/>
          <w:szCs w:val="20"/>
          <w:color w:val="231F20"/>
        </w:rPr>
        <w:t>over that 56-year 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-1927225</wp:posOffset>
                </wp:positionH>
                <wp:positionV relativeFrom="paragraph">
                  <wp:posOffset>144780</wp:posOffset>
                </wp:positionV>
                <wp:extent cx="639445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7499pt,11.4pt" to="351.75pt,11.4pt" o:allowincell="f" strokecolor="#231F20" strokeweight="0.5pt"/>
            </w:pict>
          </mc:Fallback>
        </mc:AlternateContent>
      </w:r>
    </w:p>
    <w:p>
      <w:pPr>
        <w:spacing w:after="0" w:line="244" w:lineRule="exact"/>
        <w:rPr>
          <w:sz w:val="20"/>
          <w:szCs w:val="20"/>
          <w:color w:val="auto"/>
        </w:rPr>
      </w:pPr>
    </w:p>
    <w:p>
      <w:pPr>
        <w:sectPr>
          <w:pgSz w:w="12240" w:h="15840" w:orient="portrait"/>
          <w:cols w:equalWidth="0" w:num="2">
            <w:col w:w="2640" w:space="400"/>
            <w:col w:w="7040"/>
          </w:cols>
          <w:pgMar w:left="1080" w:top="1440" w:right="1080" w:bottom="944" w:gutter="0" w:footer="0" w:header="0"/>
          <w:type w:val="continuous"/>
        </w:sectPr>
      </w:pPr>
    </w:p>
    <w:p>
      <w:pPr>
        <w:spacing w:after="0" w:line="122" w:lineRule="exact"/>
        <w:rPr>
          <w:sz w:val="20"/>
          <w:szCs w:val="20"/>
          <w:color w:val="auto"/>
        </w:rPr>
      </w:pPr>
    </w:p>
    <w:p>
      <w:pPr>
        <w:ind w:left="3040"/>
        <w:spacing w:after="0"/>
        <w:rPr>
          <w:sz w:val="20"/>
          <w:szCs w:val="20"/>
          <w:color w:val="auto"/>
        </w:rPr>
      </w:pPr>
      <w:r>
        <w:rPr>
          <w:rFonts w:ascii="Arial" w:cs="Arial" w:eastAsia="Arial" w:hAnsi="Arial"/>
          <w:sz w:val="20"/>
          <w:szCs w:val="20"/>
          <w:color w:val="231F20"/>
        </w:rPr>
        <w:t xml:space="preserve">Achieved </w:t>
      </w:r>
      <w:r>
        <w:rPr>
          <w:rFonts w:ascii="Symbol" w:cs="Symbol" w:eastAsia="Symbol" w:hAnsi="Symbol"/>
          <w:sz w:val="20"/>
          <w:szCs w:val="20"/>
          <w:color w:val="231F20"/>
        </w:rPr>
        <w:t>≈</w:t>
      </w:r>
      <w:r>
        <w:rPr>
          <w:rFonts w:ascii="Arial" w:cs="Arial" w:eastAsia="Arial" w:hAnsi="Arial"/>
          <w:sz w:val="20"/>
          <w:szCs w:val="20"/>
          <w:color w:val="231F20"/>
        </w:rPr>
        <w:t xml:space="preserve"> </w:t>
      </w:r>
      <w:r>
        <w:rPr>
          <w:rFonts w:ascii="Arial" w:cs="Arial" w:eastAsia="Arial" w:hAnsi="Arial"/>
          <w:sz w:val="20"/>
          <w:szCs w:val="20"/>
          <w:color w:val="EF3E2A"/>
        </w:rPr>
        <w:t>32%</w:t>
      </w:r>
      <w:r>
        <w:rPr>
          <w:rFonts w:ascii="Arial" w:cs="Arial" w:eastAsia="Arial" w:hAnsi="Arial"/>
          <w:sz w:val="20"/>
          <w:szCs w:val="20"/>
          <w:color w:val="231F20"/>
        </w:rPr>
        <w:t xml:space="preserve"> decrease in Scope 1 and 2 GHG emissions through 2022</w:t>
      </w:r>
    </w:p>
    <w:p>
      <w:pPr>
        <w:spacing w:after="0" w:line="40" w:lineRule="exact"/>
        <w:rPr>
          <w:sz w:val="20"/>
          <w:szCs w:val="20"/>
          <w:color w:val="auto"/>
        </w:rPr>
      </w:pPr>
    </w:p>
    <w:p>
      <w:pPr>
        <w:ind w:left="3040" w:right="260" w:hanging="1619"/>
        <w:spacing w:after="0" w:line="182" w:lineRule="auto"/>
        <w:tabs>
          <w:tab w:leader="none" w:pos="3020" w:val="left"/>
        </w:tabs>
        <w:rPr>
          <w:sz w:val="20"/>
          <w:szCs w:val="20"/>
          <w:color w:val="auto"/>
        </w:rPr>
      </w:pPr>
      <w:r>
        <w:rPr>
          <w:rFonts w:ascii="Arial" w:cs="Arial" w:eastAsia="Arial" w:hAnsi="Arial"/>
          <w:sz w:val="35"/>
          <w:szCs w:val="35"/>
          <w:b w:val="1"/>
          <w:bCs w:val="1"/>
          <w:color w:val="FFFFFF"/>
          <w:vertAlign w:val="subscript"/>
        </w:rPr>
        <w:t>Sustainability</w:t>
      </w:r>
      <w:r>
        <w:rPr>
          <w:sz w:val="20"/>
          <w:szCs w:val="20"/>
          <w:color w:val="auto"/>
        </w:rPr>
        <w:tab/>
      </w:r>
      <w:r>
        <w:rPr>
          <w:rFonts w:ascii="Arial" w:cs="Arial" w:eastAsia="Arial" w:hAnsi="Arial"/>
          <w:sz w:val="18"/>
          <w:szCs w:val="18"/>
          <w:color w:val="231F20"/>
        </w:rPr>
        <w:t>versus 2019 baseline in alignment with our 2030 GHG reduction target set in accordance with the Science-Based Target initiative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97790</wp:posOffset>
                </wp:positionV>
                <wp:extent cx="639445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7pt" to="503.75pt,7.7pt" o:allowincell="f" strokecolor="#231F20" strokeweight="0.5pt"/>
            </w:pict>
          </mc:Fallback>
        </mc:AlternateContent>
      </w:r>
    </w:p>
    <w:p>
      <w:pPr>
        <w:spacing w:after="0" w:line="200" w:lineRule="exact"/>
        <w:rPr>
          <w:sz w:val="20"/>
          <w:szCs w:val="20"/>
          <w:color w:val="auto"/>
        </w:rPr>
      </w:pPr>
    </w:p>
    <w:p>
      <w:pPr>
        <w:spacing w:after="0" w:line="217" w:lineRule="exact"/>
        <w:rPr>
          <w:sz w:val="20"/>
          <w:szCs w:val="20"/>
          <w:color w:val="auto"/>
        </w:rPr>
      </w:pPr>
    </w:p>
    <w:p>
      <w:pPr>
        <w:ind w:left="360" w:hanging="360"/>
        <w:spacing w:after="0" w:line="232" w:lineRule="auto"/>
        <w:tabs>
          <w:tab w:leader="none" w:pos="360" w:val="left"/>
        </w:tabs>
        <w:numPr>
          <w:ilvl w:val="0"/>
          <w:numId w:val="105"/>
        </w:numPr>
        <w:rPr>
          <w:rFonts w:ascii="Arial" w:cs="Arial" w:eastAsia="Arial" w:hAnsi="Arial"/>
          <w:sz w:val="20"/>
          <w:szCs w:val="20"/>
          <w:color w:val="231F20"/>
        </w:rPr>
      </w:pPr>
      <w:r>
        <w:rPr>
          <w:rFonts w:ascii="Arial" w:cs="Arial" w:eastAsia="Arial" w:hAnsi="Arial"/>
          <w:sz w:val="20"/>
          <w:szCs w:val="20"/>
          <w:color w:val="231F20"/>
        </w:rPr>
        <w:t>FFO per diluted share (“FFO per share”) is a non-GAAP financial measure that we consider significant in our business. See Appendix A for a reconciliation of FFO per share to net income.</w:t>
      </w:r>
    </w:p>
    <w:p>
      <w:pPr>
        <w:spacing w:after="0" w:line="21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PROGRAM PHILOSOPHY AND OBJECTIVES</w:t>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125" w:lineRule="exact"/>
        <w:rPr>
          <w:sz w:val="20"/>
          <w:szCs w:val="20"/>
          <w:color w:val="auto"/>
        </w:rPr>
      </w:pPr>
    </w:p>
    <w:p>
      <w:pPr>
        <w:ind w:left="800" w:hanging="300"/>
        <w:spacing w:after="0"/>
        <w:tabs>
          <w:tab w:leader="none" w:pos="800" w:val="left"/>
        </w:tabs>
        <w:numPr>
          <w:ilvl w:val="0"/>
          <w:numId w:val="107"/>
        </w:numPr>
        <w:rPr>
          <w:rFonts w:ascii="Arial" w:cs="Arial" w:eastAsia="Arial" w:hAnsi="Arial"/>
          <w:sz w:val="20"/>
          <w:szCs w:val="20"/>
          <w:color w:val="231F20"/>
        </w:rPr>
      </w:pPr>
      <w:r>
        <w:rPr>
          <w:rFonts w:ascii="Arial" w:cs="Arial" w:eastAsia="Arial" w:hAnsi="Arial"/>
          <w:sz w:val="20"/>
          <w:szCs w:val="20"/>
          <w:color w:val="231F20"/>
        </w:rPr>
        <w:t>Establish a strong link between pay and performance</w:t>
      </w:r>
    </w:p>
    <w:p>
      <w:pPr>
        <w:spacing w:after="0" w:line="10" w:lineRule="exact"/>
        <w:rPr>
          <w:rFonts w:ascii="Arial" w:cs="Arial" w:eastAsia="Arial" w:hAnsi="Arial"/>
          <w:sz w:val="20"/>
          <w:szCs w:val="20"/>
          <w:color w:val="231F20"/>
        </w:rPr>
      </w:pPr>
    </w:p>
    <w:p>
      <w:pPr>
        <w:ind w:left="800" w:hanging="300"/>
        <w:spacing w:after="0"/>
        <w:tabs>
          <w:tab w:leader="none" w:pos="800" w:val="left"/>
        </w:tabs>
        <w:numPr>
          <w:ilvl w:val="0"/>
          <w:numId w:val="107"/>
        </w:numPr>
        <w:rPr>
          <w:rFonts w:ascii="Arial" w:cs="Arial" w:eastAsia="Arial" w:hAnsi="Arial"/>
          <w:sz w:val="20"/>
          <w:szCs w:val="20"/>
          <w:color w:val="231F20"/>
        </w:rPr>
      </w:pPr>
      <w:r>
        <w:rPr>
          <w:rFonts w:ascii="Arial" w:cs="Arial" w:eastAsia="Arial" w:hAnsi="Arial"/>
          <w:sz w:val="20"/>
          <w:szCs w:val="20"/>
          <w:color w:val="231F20"/>
        </w:rPr>
        <w:t>Align the financial interest of our NEOs with our shareholders, particularly over the longer term</w:t>
      </w:r>
    </w:p>
    <w:p>
      <w:pPr>
        <w:spacing w:after="0" w:line="10" w:lineRule="exact"/>
        <w:rPr>
          <w:rFonts w:ascii="Arial" w:cs="Arial" w:eastAsia="Arial" w:hAnsi="Arial"/>
          <w:sz w:val="20"/>
          <w:szCs w:val="20"/>
          <w:color w:val="231F20"/>
        </w:rPr>
      </w:pPr>
    </w:p>
    <w:p>
      <w:pPr>
        <w:ind w:left="800" w:hanging="300"/>
        <w:spacing w:after="0"/>
        <w:tabs>
          <w:tab w:leader="none" w:pos="800" w:val="left"/>
        </w:tabs>
        <w:numPr>
          <w:ilvl w:val="0"/>
          <w:numId w:val="107"/>
        </w:numPr>
        <w:rPr>
          <w:rFonts w:ascii="Arial" w:cs="Arial" w:eastAsia="Arial" w:hAnsi="Arial"/>
          <w:sz w:val="20"/>
          <w:szCs w:val="20"/>
          <w:color w:val="231F20"/>
        </w:rPr>
      </w:pPr>
      <w:r>
        <w:rPr>
          <w:rFonts w:ascii="Arial" w:cs="Arial" w:eastAsia="Arial" w:hAnsi="Arial"/>
          <w:sz w:val="20"/>
          <w:szCs w:val="20"/>
          <w:color w:val="231F20"/>
        </w:rPr>
        <w:t>Reinforce business strategies and objectives and drive sustained shareholder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1490980</wp:posOffset>
                </wp:positionV>
                <wp:extent cx="6400800" cy="17780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07" o:spid="_x0000_s1332" style="position:absolute;margin-left:0pt;margin-top:117.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1490980</wp:posOffset>
                </wp:positionV>
                <wp:extent cx="0" cy="17780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17.4pt" to="0.5pt,13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1497330</wp:posOffset>
                </wp:positionV>
                <wp:extent cx="640080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9pt" to="504pt,117.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1490980</wp:posOffset>
                </wp:positionV>
                <wp:extent cx="0" cy="17780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17.4pt" to="503.5pt,13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1662430</wp:posOffset>
                </wp:positionV>
                <wp:extent cx="640080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9pt" to="504pt,130.9pt" o:allowincell="f" strokecolor="#231F20" strokeweight="1pt"/>
            </w:pict>
          </mc:Fallback>
        </mc:AlternateContent>
      </w:r>
    </w:p>
    <w:p>
      <w:pPr>
        <w:sectPr>
          <w:pgSz w:w="12240" w:h="15840" w:orient="portrait"/>
          <w:cols w:equalWidth="0" w:num="1">
            <w:col w:w="10080"/>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20</w:t>
      </w:r>
    </w:p>
    <w:p>
      <w:pPr>
        <w:sectPr>
          <w:pgSz w:w="12240" w:h="15840" w:orient="portrait"/>
          <w:cols w:equalWidth="0" w:num="1">
            <w:col w:w="10080"/>
          </w:cols>
          <w:pgMar w:left="1080" w:top="1440" w:right="1080" w:bottom="944" w:gutter="0" w:footer="0" w:header="0"/>
          <w:type w:val="continuous"/>
        </w:sectPr>
      </w:pPr>
    </w:p>
    <w:bookmarkStart w:id="140" w:name="page141"/>
    <w:bookmarkEnd w:id="140"/>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EXECUTIVE COMPENSATION PRACTICES</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231F20"/>
        </w:rPr>
        <w:t>The following table summarizes key governance elements related to our compensation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400800" cy="27940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79400"/>
                        </a:xfrm>
                        <a:prstGeom prst="rect">
                          <a:avLst/>
                        </a:prstGeom>
                        <a:solidFill>
                          <a:srgbClr val="EF3E2A"/>
                        </a:solidFill>
                      </wps:spPr>
                      <wps:bodyPr/>
                    </wps:wsp>
                  </a:graphicData>
                </a:graphic>
              </wp:anchor>
            </w:drawing>
          </mc:Choice>
          <mc:Fallback>
            <w:pict>
              <v:rect id="Shape 312" o:spid="_x0000_s1337" style="position:absolute;margin-left:0pt;margin-top:10.25pt;width:504pt;height: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mc:AlternateContent>
          <mc:Choice Requires="wps">
            <w:drawing>
              <wp:anchor simplePos="0" relativeHeight="251657728" behindDoc="1" locked="0" layoutInCell="0" allowOverlap="1">
                <wp:simplePos x="0" y="0"/>
                <wp:positionH relativeFrom="column">
                  <wp:posOffset>3387725</wp:posOffset>
                </wp:positionH>
                <wp:positionV relativeFrom="paragraph">
                  <wp:posOffset>132715</wp:posOffset>
                </wp:positionV>
                <wp:extent cx="0" cy="291719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171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75pt,10.45pt" to="266.75pt,240.15pt" o:allowincell="f" strokecolor="#231F20" strokeweight="0.5pt"/>
            </w:pict>
          </mc:Fallback>
        </mc:AlternateContent>
      </w:r>
    </w:p>
    <w:p>
      <w:pPr>
        <w:sectPr>
          <w:pgSz w:w="12240" w:h="15840" w:orient="portrait"/>
          <w:cols w:equalWidth="0" w:num="1">
            <w:col w:w="10080"/>
          </w:cols>
          <w:pgMar w:left="1080" w:top="1440" w:right="1080" w:bottom="944" w:gutter="0" w:footer="0" w:header="0"/>
        </w:sect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138430</wp:posOffset>
            </wp:positionV>
            <wp:extent cx="222885" cy="2120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81">
                      <a:extLst>
                        <a:ext uri="{28A0092B-C50C-407E-A947-70E740481C1C}"/>
                      </a:extLst>
                    </a:blip>
                    <a:srcRect/>
                    <a:stretch>
                      <a:fillRect/>
                    </a:stretch>
                  </pic:blipFill>
                  <pic:spPr bwMode="auto">
                    <a:xfrm>
                      <a:off x="0" y="0"/>
                      <a:ext cx="222885" cy="2120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138430</wp:posOffset>
            </wp:positionV>
            <wp:extent cx="222885" cy="2120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82">
                      <a:extLst>
                        <a:ext uri="{28A0092B-C50C-407E-A947-70E740481C1C}"/>
                      </a:extLst>
                    </a:blip>
                    <a:srcRect/>
                    <a:stretch>
                      <a:fillRect/>
                    </a:stretch>
                  </pic:blipFill>
                  <pic:spPr bwMode="auto">
                    <a:xfrm>
                      <a:off x="0" y="0"/>
                      <a:ext cx="222885" cy="212090"/>
                    </a:xfrm>
                    <a:prstGeom prst="rect">
                      <a:avLst/>
                    </a:prstGeom>
                    <a:noFill/>
                  </pic:spPr>
                </pic:pic>
              </a:graphicData>
            </a:graphic>
          </wp:anchor>
        </w:drawing>
      </w:r>
    </w:p>
    <w:p>
      <w:pPr>
        <w:spacing w:after="0" w:line="225" w:lineRule="exact"/>
        <w:rPr>
          <w:sz w:val="20"/>
          <w:szCs w:val="20"/>
          <w:color w:val="auto"/>
        </w:rPr>
      </w:pPr>
    </w:p>
    <w:p>
      <w:pPr>
        <w:ind w:left="640" w:right="1140"/>
        <w:spacing w:after="0" w:line="236" w:lineRule="auto"/>
        <w:rPr>
          <w:sz w:val="20"/>
          <w:szCs w:val="20"/>
          <w:color w:val="auto"/>
        </w:rPr>
      </w:pPr>
      <w:r>
        <w:rPr>
          <w:rFonts w:ascii="Arial" w:cs="Arial" w:eastAsia="Arial" w:hAnsi="Arial"/>
          <w:sz w:val="20"/>
          <w:szCs w:val="20"/>
          <w:color w:val="231F20"/>
        </w:rPr>
        <w:t>Maintain a pay mix that is heavily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34925</wp:posOffset>
            </wp:positionV>
            <wp:extent cx="280035" cy="2578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83">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34925</wp:posOffset>
            </wp:positionV>
            <wp:extent cx="280035" cy="2578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84">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104" w:lineRule="exact"/>
        <w:rPr>
          <w:sz w:val="20"/>
          <w:szCs w:val="20"/>
          <w:color w:val="auto"/>
        </w:rPr>
      </w:pPr>
    </w:p>
    <w:p>
      <w:pPr>
        <w:ind w:left="640" w:right="660"/>
        <w:spacing w:after="0" w:line="236" w:lineRule="auto"/>
        <w:rPr>
          <w:sz w:val="20"/>
          <w:szCs w:val="20"/>
          <w:color w:val="auto"/>
        </w:rPr>
      </w:pPr>
      <w:r>
        <w:rPr>
          <w:rFonts w:ascii="Arial" w:cs="Arial" w:eastAsia="Arial" w:hAnsi="Arial"/>
          <w:sz w:val="20"/>
          <w:szCs w:val="20"/>
          <w:color w:val="231F20"/>
        </w:rPr>
        <w:t>Align compensation with company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111125</wp:posOffset>
            </wp:positionV>
            <wp:extent cx="280035" cy="2578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85">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111125</wp:posOffset>
            </wp:positionV>
            <wp:extent cx="280035" cy="2578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86">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224" w:lineRule="exact"/>
        <w:rPr>
          <w:sz w:val="20"/>
          <w:szCs w:val="20"/>
          <w:color w:val="auto"/>
        </w:rPr>
      </w:pPr>
    </w:p>
    <w:p>
      <w:pPr>
        <w:ind w:left="640" w:right="20"/>
        <w:spacing w:after="0" w:line="235" w:lineRule="auto"/>
        <w:rPr>
          <w:sz w:val="20"/>
          <w:szCs w:val="20"/>
          <w:color w:val="auto"/>
        </w:rPr>
      </w:pPr>
      <w:r>
        <w:rPr>
          <w:rFonts w:ascii="Arial" w:cs="Arial" w:eastAsia="Arial" w:hAnsi="Arial"/>
          <w:sz w:val="20"/>
          <w:szCs w:val="20"/>
          <w:color w:val="231F20"/>
        </w:rPr>
        <w:t>Seek annual shareholder advisory approval of executive compensation</w:t>
      </w:r>
    </w:p>
    <w:p>
      <w:pPr>
        <w:spacing w:after="0" w:line="246" w:lineRule="exact"/>
        <w:rPr>
          <w:sz w:val="20"/>
          <w:szCs w:val="20"/>
          <w:color w:val="auto"/>
        </w:rPr>
      </w:pPr>
    </w:p>
    <w:p>
      <w:pPr>
        <w:ind w:left="640" w:right="20"/>
        <w:spacing w:after="0" w:line="236" w:lineRule="auto"/>
        <w:rPr>
          <w:sz w:val="20"/>
          <w:szCs w:val="20"/>
          <w:color w:val="auto"/>
        </w:rPr>
      </w:pPr>
      <w:r>
        <w:rPr>
          <w:rFonts w:ascii="Arial" w:cs="Arial" w:eastAsia="Arial" w:hAnsi="Arial"/>
          <w:sz w:val="20"/>
          <w:szCs w:val="20"/>
          <w:color w:val="231F20"/>
        </w:rPr>
        <w:t>Maintain strong share ownership guidelines of 7x base salary for our CEO and 2.5x base salary plus annual bonus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-401320</wp:posOffset>
            </wp:positionV>
            <wp:extent cx="280035" cy="2578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87">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-401320</wp:posOffset>
            </wp:positionV>
            <wp:extent cx="280035" cy="2578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88">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112395</wp:posOffset>
            </wp:positionV>
            <wp:extent cx="280035" cy="2578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89">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112395</wp:posOffset>
            </wp:positionV>
            <wp:extent cx="280035" cy="2578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90">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226" w:lineRule="exact"/>
        <w:rPr>
          <w:sz w:val="20"/>
          <w:szCs w:val="20"/>
          <w:color w:val="auto"/>
        </w:rPr>
      </w:pPr>
    </w:p>
    <w:p>
      <w:pPr>
        <w:ind w:left="640" w:right="300"/>
        <w:spacing w:after="0" w:line="236" w:lineRule="auto"/>
        <w:rPr>
          <w:sz w:val="20"/>
          <w:szCs w:val="20"/>
          <w:color w:val="auto"/>
        </w:rPr>
      </w:pPr>
      <w:r>
        <w:rPr>
          <w:rFonts w:ascii="Arial" w:cs="Arial" w:eastAsia="Arial" w:hAnsi="Arial"/>
          <w:sz w:val="20"/>
          <w:szCs w:val="20"/>
          <w:color w:val="231F20"/>
        </w:rPr>
        <w:t>Maintain incentive 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137795</wp:posOffset>
            </wp:positionV>
            <wp:extent cx="222885" cy="2120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91">
                      <a:extLst>
                        <a:ext uri="{28A0092B-C50C-407E-A947-70E740481C1C}"/>
                      </a:extLst>
                    </a:blip>
                    <a:srcRect/>
                    <a:stretch>
                      <a:fillRect/>
                    </a:stretch>
                  </pic:blipFill>
                  <pic:spPr bwMode="auto">
                    <a:xfrm>
                      <a:off x="0" y="0"/>
                      <a:ext cx="222885" cy="2120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137795</wp:posOffset>
            </wp:positionV>
            <wp:extent cx="222885" cy="2120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92">
                      <a:extLst>
                        <a:ext uri="{28A0092B-C50C-407E-A947-70E740481C1C}"/>
                      </a:extLst>
                    </a:blip>
                    <a:srcRect/>
                    <a:stretch>
                      <a:fillRect/>
                    </a:stretch>
                  </pic:blipFill>
                  <pic:spPr bwMode="auto">
                    <a:xfrm>
                      <a:off x="0" y="0"/>
                      <a:ext cx="222885" cy="212090"/>
                    </a:xfrm>
                    <a:prstGeom prst="rect">
                      <a:avLst/>
                    </a:prstGeom>
                    <a:noFill/>
                  </pic:spPr>
                </pic:pic>
              </a:graphicData>
            </a:graphic>
          </wp:anchor>
        </w:drawing>
      </w:r>
    </w:p>
    <w:p>
      <w:pPr>
        <w:spacing w:after="0" w:line="224" w:lineRule="exact"/>
        <w:rPr>
          <w:sz w:val="20"/>
          <w:szCs w:val="20"/>
          <w:color w:val="auto"/>
        </w:rPr>
      </w:pPr>
    </w:p>
    <w:p>
      <w:pPr>
        <w:ind w:left="640" w:right="1020"/>
        <w:spacing w:after="0" w:line="235" w:lineRule="auto"/>
        <w:rPr>
          <w:sz w:val="20"/>
          <w:szCs w:val="20"/>
          <w:color w:val="auto"/>
        </w:rPr>
      </w:pPr>
      <w:r>
        <w:rPr>
          <w:rFonts w:ascii="Arial" w:cs="Arial" w:eastAsia="Arial" w:hAnsi="Arial"/>
          <w:sz w:val="20"/>
          <w:szCs w:val="20"/>
          <w:color w:val="231F20"/>
        </w:rPr>
        <w:t>Conduct annual compensation risk assessment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138430</wp:posOffset>
            </wp:positionV>
            <wp:extent cx="212090" cy="2120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93">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225" w:lineRule="exact"/>
        <w:rPr>
          <w:sz w:val="20"/>
          <w:szCs w:val="20"/>
          <w:color w:val="auto"/>
        </w:rPr>
      </w:pPr>
    </w:p>
    <w:p>
      <w:pPr>
        <w:ind w:left="540" w:right="40"/>
        <w:spacing w:after="0" w:line="257" w:lineRule="auto"/>
        <w:rPr>
          <w:sz w:val="20"/>
          <w:szCs w:val="20"/>
          <w:color w:val="auto"/>
        </w:rPr>
      </w:pPr>
      <w:r>
        <w:rPr>
          <w:rFonts w:ascii="Arial" w:cs="Arial" w:eastAsia="Arial" w:hAnsi="Arial"/>
          <w:sz w:val="19"/>
          <w:szCs w:val="19"/>
          <w:color w:val="231F20"/>
        </w:rPr>
        <w:t>Have employment agreements with our NEOs with required fixed compensation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212090" cy="2120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94">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88" w:lineRule="exact"/>
        <w:rPr>
          <w:sz w:val="20"/>
          <w:szCs w:val="20"/>
          <w:color w:val="auto"/>
        </w:rPr>
      </w:pPr>
    </w:p>
    <w:p>
      <w:pPr>
        <w:ind w:left="540" w:right="560"/>
        <w:spacing w:after="0" w:line="236" w:lineRule="auto"/>
        <w:rPr>
          <w:sz w:val="20"/>
          <w:szCs w:val="20"/>
          <w:color w:val="auto"/>
        </w:rPr>
      </w:pPr>
      <w:r>
        <w:rPr>
          <w:rFonts w:ascii="Arial" w:cs="Arial" w:eastAsia="Arial" w:hAnsi="Arial"/>
          <w:sz w:val="20"/>
          <w:szCs w:val="20"/>
          <w:color w:val="231F20"/>
        </w:rPr>
        <w:t>Grant options below fair market value or reprice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212090" cy="2120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95">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331" w:lineRule="exact"/>
        <w:rPr>
          <w:sz w:val="20"/>
          <w:szCs w:val="20"/>
          <w:color w:val="auto"/>
        </w:rPr>
      </w:pPr>
    </w:p>
    <w:p>
      <w:pPr>
        <w:ind w:left="540"/>
        <w:spacing w:after="0"/>
        <w:rPr>
          <w:sz w:val="20"/>
          <w:szCs w:val="20"/>
          <w:color w:val="auto"/>
        </w:rPr>
      </w:pPr>
      <w:r>
        <w:rPr>
          <w:rFonts w:ascii="Arial" w:cs="Arial" w:eastAsia="Arial" w:hAnsi="Arial"/>
          <w:sz w:val="20"/>
          <w:szCs w:val="20"/>
          <w:color w:val="231F20"/>
        </w:rPr>
        <w:t>Permit hedging or pledging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212090" cy="2120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96">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40" w:right="780"/>
        <w:spacing w:after="0" w:line="255" w:lineRule="auto"/>
        <w:rPr>
          <w:sz w:val="20"/>
          <w:szCs w:val="20"/>
          <w:color w:val="auto"/>
        </w:rPr>
      </w:pPr>
      <w:r>
        <w:rPr>
          <w:rFonts w:ascii="Arial" w:cs="Arial" w:eastAsia="Arial" w:hAnsi="Arial"/>
          <w:sz w:val="19"/>
          <w:szCs w:val="19"/>
          <w:color w:val="231F20"/>
        </w:rPr>
        <w:t>Provide perquisites that are not made available to all of our employees</w:t>
      </w:r>
    </w:p>
    <w:p>
      <w:pPr>
        <w:spacing w:after="0" w:line="1692" w:lineRule="exact"/>
        <w:rPr>
          <w:sz w:val="20"/>
          <w:szCs w:val="20"/>
          <w:color w:val="auto"/>
        </w:rPr>
      </w:pPr>
    </w:p>
    <w:p>
      <w:pPr>
        <w:sectPr>
          <w:pgSz w:w="12240" w:h="15840" w:orient="portrait"/>
          <w:cols w:equalWidth="0" w:num="2">
            <w:col w:w="4720" w:space="720"/>
            <w:col w:w="4640"/>
          </w:cols>
          <w:pgMar w:left="1080" w:top="1440" w:right="1080" w:bottom="944" w:gutter="0" w:footer="0" w:header="0"/>
          <w:type w:val="continuous"/>
        </w:sectPr>
      </w:pPr>
    </w:p>
    <w:p>
      <w:pPr>
        <w:spacing w:after="0" w:line="13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COMPONENTS OF COMPENSATION</w:t>
      </w:r>
    </w:p>
    <w:p>
      <w:pPr>
        <w:spacing w:after="0" w:line="257"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The following table sets out the three components of our compensation plan as well as key information about each component.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6400800" cy="16510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65100"/>
                        </a:xfrm>
                        <a:prstGeom prst="rect">
                          <a:avLst/>
                        </a:prstGeom>
                        <a:solidFill>
                          <a:srgbClr val="E6E7E8"/>
                        </a:solidFill>
                      </wps:spPr>
                      <wps:bodyPr/>
                    </wps:wsp>
                  </a:graphicData>
                </a:graphic>
              </wp:anchor>
            </w:drawing>
          </mc:Choice>
          <mc:Fallback>
            <w:pict>
              <v:rect id="Shape 330" o:spid="_x0000_s1355" style="position:absolute;margin-left:0pt;margin-top:9.85pt;width:504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128270</wp:posOffset>
                </wp:positionV>
                <wp:extent cx="640715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0.1pt" to="504.25pt,10.1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287020</wp:posOffset>
                </wp:positionV>
                <wp:extent cx="640715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2.6pt" to="504.25pt,22.6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0" cy="16510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85pt" to="0pt,22.8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6400800</wp:posOffset>
                </wp:positionH>
                <wp:positionV relativeFrom="paragraph">
                  <wp:posOffset>125095</wp:posOffset>
                </wp:positionV>
                <wp:extent cx="0" cy="16510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9.85pt" to="504pt,22.85pt" o:allowincell="f" strokecolor="#231F20" strokeweight="0.5pt"/>
            </w:pict>
          </mc:Fallback>
        </mc:AlternateContent>
      </w:r>
    </w:p>
    <w:p>
      <w:pPr>
        <w:sectPr>
          <w:pgSz w:w="12240" w:h="15840" w:orient="portrait"/>
          <w:cols w:equalWidth="0" w:num="1">
            <w:col w:w="10080"/>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5" w:type="dxa"/>
        <w:tblCellMar>
          <w:top w:w="0" w:type="dxa"/>
          <w:left w:w="0" w:type="dxa"/>
          <w:bottom w:w="0" w:type="dxa"/>
          <w:right w:w="0" w:type="dxa"/>
        </w:tblCellMar>
      </w:tblPr>
      <w:tr>
        <w:trPr>
          <w:trHeight w:val="3060"/>
        </w:trPr>
        <w:tc>
          <w:tcPr>
            <w:tcW w:w="207" w:type="dxa"/>
            <w:vAlign w:val="bottom"/>
            <w:textDirection w:val="btLr"/>
          </w:tcPr>
          <w:p>
            <w:pPr>
              <w:spacing w:after="0"/>
              <w:rPr>
                <w:sz w:val="20"/>
                <w:szCs w:val="20"/>
                <w:color w:val="auto"/>
              </w:rPr>
            </w:pPr>
            <w:r>
              <w:rPr>
                <w:rFonts w:ascii="Arial" w:cs="Arial" w:eastAsia="Arial" w:hAnsi="Arial"/>
                <w:sz w:val="18"/>
                <w:szCs w:val="18"/>
                <w:color w:val="FFFFFF"/>
              </w:rPr>
              <w:t>Long-Term        Annual / Short-Term</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-2181225</wp:posOffset>
                </wp:positionV>
                <wp:extent cx="190500" cy="150368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503680"/>
                        </a:xfrm>
                        <a:prstGeom prst="rect">
                          <a:avLst/>
                        </a:prstGeom>
                        <a:solidFill>
                          <a:srgbClr val="231F20"/>
                        </a:solidFill>
                      </wps:spPr>
                      <wps:bodyPr/>
                    </wps:wsp>
                  </a:graphicData>
                </a:graphic>
              </wp:anchor>
            </w:drawing>
          </mc:Choice>
          <mc:Fallback>
            <w:pict>
              <v:rect id="Shape 335" o:spid="_x0000_s1360" style="position:absolute;margin-left:0pt;margin-top:-171.7499pt;width:15pt;height:1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-677545</wp:posOffset>
                </wp:positionV>
                <wp:extent cx="190500" cy="799465"/>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799465"/>
                        </a:xfrm>
                        <a:prstGeom prst="rect">
                          <a:avLst/>
                        </a:prstGeom>
                        <a:solidFill>
                          <a:srgbClr val="EF3E2A"/>
                        </a:solidFill>
                      </wps:spPr>
                      <wps:bodyPr/>
                    </wps:wsp>
                  </a:graphicData>
                </a:graphic>
              </wp:anchor>
            </w:drawing>
          </mc:Choice>
          <mc:Fallback>
            <w:pict>
              <v:rect id="Shape 336" o:spid="_x0000_s1361" style="position:absolute;margin-left:0pt;margin-top:-53.3499pt;width:15pt;height:6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1244600</wp:posOffset>
                </wp:positionV>
                <wp:extent cx="6400800" cy="17780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37" o:spid="_x0000_s1362" style="position:absolute;margin-left:0pt;margin-top:9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1244600</wp:posOffset>
                </wp:positionV>
                <wp:extent cx="0" cy="17780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8pt" to="0.5pt,11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1416050</wp:posOffset>
                </wp:positionV>
                <wp:extent cx="640080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5pt" to="504pt,11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1250950</wp:posOffset>
                </wp:positionV>
                <wp:extent cx="640080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8.5pt" to="504pt,9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1244600</wp:posOffset>
                </wp:positionV>
                <wp:extent cx="0" cy="17780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8pt" to="503.5pt,112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60"/>
              <w:spacing w:after="0"/>
              <w:rPr>
                <w:sz w:val="20"/>
                <w:szCs w:val="20"/>
                <w:color w:val="auto"/>
              </w:rPr>
            </w:pPr>
            <w:r>
              <w:rPr>
                <w:rFonts w:ascii="Arial" w:cs="Arial" w:eastAsia="Arial" w:hAnsi="Arial"/>
                <w:sz w:val="18"/>
                <w:szCs w:val="18"/>
                <w:b w:val="1"/>
                <w:bCs w:val="1"/>
                <w:color w:val="231F20"/>
              </w:rPr>
              <w:t>Pay Component</w:t>
            </w:r>
          </w:p>
        </w:tc>
        <w:tc>
          <w:tcPr>
            <w:tcW w:w="700" w:type="dxa"/>
            <w:vAlign w:val="bottom"/>
            <w:gridSpan w:val="2"/>
          </w:tcPr>
          <w:p>
            <w:pPr>
              <w:ind w:left="100"/>
              <w:spacing w:after="0"/>
              <w:rPr>
                <w:sz w:val="20"/>
                <w:szCs w:val="20"/>
                <w:color w:val="auto"/>
              </w:rPr>
            </w:pPr>
            <w:r>
              <w:rPr>
                <w:rFonts w:ascii="Arial" w:cs="Arial" w:eastAsia="Arial" w:hAnsi="Arial"/>
                <w:sz w:val="18"/>
                <w:szCs w:val="18"/>
                <w:b w:val="1"/>
                <w:bCs w:val="1"/>
                <w:color w:val="231F20"/>
              </w:rPr>
              <w:t>Time</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231F20"/>
              </w:rPr>
              <w:t>Metric</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231F20"/>
              </w:rPr>
              <w:t>Purpose</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231F20"/>
              </w:rPr>
              <w:t>Impact</w:t>
            </w:r>
          </w:p>
        </w:tc>
      </w:tr>
      <w:tr>
        <w:trPr>
          <w:trHeight w:val="239"/>
        </w:trPr>
        <w:tc>
          <w:tcPr>
            <w:tcW w:w="1800" w:type="dxa"/>
            <w:vAlign w:val="bottom"/>
          </w:tcPr>
          <w:p>
            <w:pPr>
              <w:ind w:left="60"/>
              <w:spacing w:after="0"/>
              <w:rPr>
                <w:sz w:val="20"/>
                <w:szCs w:val="20"/>
                <w:color w:val="auto"/>
              </w:rPr>
            </w:pPr>
            <w:r>
              <w:rPr>
                <w:rFonts w:ascii="Arial" w:cs="Arial" w:eastAsia="Arial" w:hAnsi="Arial"/>
                <w:sz w:val="18"/>
                <w:szCs w:val="18"/>
                <w:b w:val="1"/>
                <w:bCs w:val="1"/>
                <w:color w:val="231F20"/>
              </w:rPr>
              <w:t>Base Pay</w:t>
            </w:r>
          </w:p>
        </w:tc>
        <w:tc>
          <w:tcPr>
            <w:tcW w:w="700" w:type="dxa"/>
            <w:vAlign w:val="bottom"/>
            <w:gridSpan w:val="2"/>
          </w:tcPr>
          <w:p>
            <w:pPr>
              <w:ind w:left="100"/>
              <w:spacing w:after="0"/>
              <w:rPr>
                <w:sz w:val="20"/>
                <w:szCs w:val="20"/>
                <w:color w:val="auto"/>
              </w:rPr>
            </w:pPr>
            <w:r>
              <w:rPr>
                <w:rFonts w:ascii="Arial" w:cs="Arial" w:eastAsia="Arial" w:hAnsi="Arial"/>
                <w:sz w:val="18"/>
                <w:szCs w:val="18"/>
                <w:color w:val="231F20"/>
              </w:rPr>
              <w:t>1 year</w:t>
            </w:r>
          </w:p>
        </w:tc>
        <w:tc>
          <w:tcPr>
            <w:tcW w:w="2440" w:type="dxa"/>
            <w:vAlign w:val="bottom"/>
          </w:tcPr>
          <w:p>
            <w:pPr>
              <w:ind w:left="100"/>
              <w:spacing w:after="0"/>
              <w:rPr>
                <w:sz w:val="20"/>
                <w:szCs w:val="20"/>
                <w:color w:val="auto"/>
              </w:rPr>
            </w:pPr>
            <w:r>
              <w:rPr>
                <w:rFonts w:ascii="Arial" w:cs="Arial" w:eastAsia="Arial" w:hAnsi="Arial"/>
                <w:sz w:val="18"/>
                <w:szCs w:val="18"/>
                <w:color w:val="231F20"/>
              </w:rPr>
              <w:t>Individual performance</w:t>
            </w:r>
          </w:p>
        </w:tc>
        <w:tc>
          <w:tcPr>
            <w:tcW w:w="2440" w:type="dxa"/>
            <w:vAlign w:val="bottom"/>
          </w:tcPr>
          <w:p>
            <w:pPr>
              <w:ind w:left="100"/>
              <w:spacing w:after="0"/>
              <w:rPr>
                <w:sz w:val="20"/>
                <w:szCs w:val="20"/>
                <w:color w:val="auto"/>
              </w:rPr>
            </w:pPr>
            <w:r>
              <w:rPr>
                <w:rFonts w:ascii="Arial" w:cs="Arial" w:eastAsia="Arial" w:hAnsi="Arial"/>
                <w:sz w:val="18"/>
                <w:szCs w:val="18"/>
                <w:color w:val="231F20"/>
              </w:rPr>
              <w:t>To provide fair and</w:t>
            </w:r>
          </w:p>
        </w:tc>
        <w:tc>
          <w:tcPr>
            <w:tcW w:w="2100" w:type="dxa"/>
            <w:vAlign w:val="bottom"/>
          </w:tcPr>
          <w:p>
            <w:pPr>
              <w:ind w:left="100"/>
              <w:spacing w:after="0"/>
              <w:rPr>
                <w:sz w:val="20"/>
                <w:szCs w:val="20"/>
                <w:color w:val="auto"/>
              </w:rPr>
            </w:pPr>
            <w:r>
              <w:rPr>
                <w:rFonts w:ascii="Arial" w:cs="Arial" w:eastAsia="Arial" w:hAnsi="Arial"/>
                <w:sz w:val="18"/>
                <w:szCs w:val="18"/>
                <w:color w:val="231F20"/>
              </w:rPr>
              <w:t>Attract and retain talent</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231F20"/>
              </w:rPr>
              <w:t>See p. 23 for more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w w:val="99"/>
              </w:rPr>
              <w:t>competitive compensation for</w:t>
            </w:r>
          </w:p>
        </w:tc>
        <w:tc>
          <w:tcPr>
            <w:tcW w:w="2100" w:type="dxa"/>
            <w:vAlign w:val="bottom"/>
          </w:tcPr>
          <w:p>
            <w:pPr>
              <w:spacing w:after="0"/>
              <w:rPr>
                <w:sz w:val="16"/>
                <w:szCs w:val="16"/>
                <w:color w:val="auto"/>
              </w:rPr>
            </w:pP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231F20"/>
              </w:rPr>
              <w:t>information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individual performance and</w:t>
            </w:r>
          </w:p>
        </w:tc>
        <w:tc>
          <w:tcPr>
            <w:tcW w:w="2100" w:type="dxa"/>
            <w:vAlign w:val="bottom"/>
          </w:tcPr>
          <w:p>
            <w:pPr>
              <w:spacing w:after="0"/>
              <w:rPr>
                <w:sz w:val="16"/>
                <w:szCs w:val="16"/>
                <w:color w:val="auto"/>
              </w:rPr>
            </w:pP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level of responsibility of</w:t>
            </w:r>
          </w:p>
        </w:tc>
        <w:tc>
          <w:tcPr>
            <w:tcW w:w="2100" w:type="dxa"/>
            <w:vAlign w:val="bottom"/>
          </w:tcPr>
          <w:p>
            <w:pPr>
              <w:spacing w:after="0"/>
              <w:rPr>
                <w:sz w:val="16"/>
                <w:szCs w:val="16"/>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position held</w:t>
            </w:r>
          </w:p>
        </w:tc>
        <w:tc>
          <w:tcPr>
            <w:tcW w:w="2100" w:type="dxa"/>
            <w:vAlign w:val="bottom"/>
          </w:tcPr>
          <w:p>
            <w:pPr>
              <w:spacing w:after="0"/>
              <w:rPr>
                <w:sz w:val="17"/>
                <w:szCs w:val="17"/>
                <w:color w:val="auto"/>
              </w:rPr>
            </w:pPr>
          </w:p>
        </w:tc>
      </w:tr>
      <w:tr>
        <w:trPr>
          <w:trHeight w:val="335"/>
        </w:trPr>
        <w:tc>
          <w:tcPr>
            <w:tcW w:w="1800" w:type="dxa"/>
            <w:vAlign w:val="bottom"/>
          </w:tcPr>
          <w:p>
            <w:pPr>
              <w:ind w:left="60"/>
              <w:spacing w:after="0"/>
              <w:rPr>
                <w:sz w:val="20"/>
                <w:szCs w:val="20"/>
                <w:color w:val="auto"/>
              </w:rPr>
            </w:pPr>
            <w:r>
              <w:rPr>
                <w:rFonts w:ascii="Arial" w:cs="Arial" w:eastAsia="Arial" w:hAnsi="Arial"/>
                <w:sz w:val="18"/>
                <w:szCs w:val="18"/>
                <w:b w:val="1"/>
                <w:bCs w:val="1"/>
                <w:color w:val="231F20"/>
              </w:rPr>
              <w:t>Annual</w:t>
            </w:r>
          </w:p>
        </w:tc>
        <w:tc>
          <w:tcPr>
            <w:tcW w:w="700" w:type="dxa"/>
            <w:vAlign w:val="bottom"/>
            <w:gridSpan w:val="2"/>
          </w:tcPr>
          <w:p>
            <w:pPr>
              <w:ind w:left="100"/>
              <w:spacing w:after="0"/>
              <w:rPr>
                <w:sz w:val="20"/>
                <w:szCs w:val="20"/>
                <w:color w:val="auto"/>
              </w:rPr>
            </w:pPr>
            <w:r>
              <w:rPr>
                <w:rFonts w:ascii="Arial" w:cs="Arial" w:eastAsia="Arial" w:hAnsi="Arial"/>
                <w:sz w:val="18"/>
                <w:szCs w:val="18"/>
                <w:color w:val="231F20"/>
              </w:rPr>
              <w:t>1 year</w:t>
            </w:r>
          </w:p>
        </w:tc>
        <w:tc>
          <w:tcPr>
            <w:tcW w:w="2440" w:type="dxa"/>
            <w:vAlign w:val="bottom"/>
          </w:tcPr>
          <w:p>
            <w:pPr>
              <w:ind w:left="100"/>
              <w:spacing w:after="0"/>
              <w:rPr>
                <w:sz w:val="20"/>
                <w:szCs w:val="20"/>
                <w:color w:val="auto"/>
              </w:rPr>
            </w:pPr>
            <w:r>
              <w:rPr>
                <w:rFonts w:ascii="Arial" w:cs="Arial" w:eastAsia="Arial" w:hAnsi="Arial"/>
                <w:sz w:val="18"/>
                <w:szCs w:val="18"/>
                <w:color w:val="231F20"/>
              </w:rPr>
              <w:t>FFO per Share</w:t>
            </w:r>
          </w:p>
        </w:tc>
        <w:tc>
          <w:tcPr>
            <w:tcW w:w="2440" w:type="dxa"/>
            <w:vAlign w:val="bottom"/>
          </w:tcPr>
          <w:p>
            <w:pPr>
              <w:ind w:left="100"/>
              <w:spacing w:after="0"/>
              <w:rPr>
                <w:sz w:val="20"/>
                <w:szCs w:val="20"/>
                <w:color w:val="auto"/>
              </w:rPr>
            </w:pPr>
            <w:r>
              <w:rPr>
                <w:rFonts w:ascii="Arial" w:cs="Arial" w:eastAsia="Arial" w:hAnsi="Arial"/>
                <w:sz w:val="18"/>
                <w:szCs w:val="18"/>
                <w:color w:val="231F20"/>
              </w:rPr>
              <w:t>To provide performance</w:t>
            </w:r>
          </w:p>
        </w:tc>
        <w:tc>
          <w:tcPr>
            <w:tcW w:w="2100" w:type="dxa"/>
            <w:vAlign w:val="bottom"/>
          </w:tcPr>
          <w:p>
            <w:pPr>
              <w:ind w:left="100"/>
              <w:spacing w:after="0"/>
              <w:rPr>
                <w:sz w:val="20"/>
                <w:szCs w:val="20"/>
                <w:color w:val="auto"/>
              </w:rPr>
            </w:pPr>
            <w:r>
              <w:rPr>
                <w:rFonts w:ascii="Arial" w:cs="Arial" w:eastAsia="Arial" w:hAnsi="Arial"/>
                <w:sz w:val="18"/>
                <w:szCs w:val="18"/>
                <w:color w:val="231F20"/>
              </w:rPr>
              <w:t>Drive near-term</w:t>
            </w:r>
          </w:p>
        </w:tc>
      </w:tr>
      <w:tr>
        <w:trPr>
          <w:trHeight w:val="193"/>
        </w:trPr>
        <w:tc>
          <w:tcPr>
            <w:tcW w:w="1800" w:type="dxa"/>
            <w:vAlign w:val="bottom"/>
          </w:tcPr>
          <w:p>
            <w:pPr>
              <w:ind w:left="60"/>
              <w:spacing w:after="0" w:line="193" w:lineRule="exact"/>
              <w:rPr>
                <w:sz w:val="20"/>
                <w:szCs w:val="20"/>
                <w:color w:val="auto"/>
              </w:rPr>
            </w:pPr>
            <w:r>
              <w:rPr>
                <w:rFonts w:ascii="Arial" w:cs="Arial" w:eastAsia="Arial" w:hAnsi="Arial"/>
                <w:sz w:val="18"/>
                <w:szCs w:val="18"/>
                <w:b w:val="1"/>
                <w:bCs w:val="1"/>
                <w:color w:val="231F20"/>
              </w:rPr>
              <w:t>Performance Bonus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3" w:lineRule="exact"/>
              <w:rPr>
                <w:sz w:val="20"/>
                <w:szCs w:val="20"/>
                <w:color w:val="auto"/>
              </w:rPr>
            </w:pPr>
            <w:r>
              <w:rPr>
                <w:rFonts w:ascii="Arial" w:cs="Arial" w:eastAsia="Arial" w:hAnsi="Arial"/>
                <w:sz w:val="18"/>
                <w:szCs w:val="18"/>
                <w:color w:val="231F20"/>
              </w:rPr>
              <w:t>Individual performance</w:t>
            </w:r>
          </w:p>
        </w:tc>
        <w:tc>
          <w:tcPr>
            <w:tcW w:w="2440" w:type="dxa"/>
            <w:vAlign w:val="bottom"/>
          </w:tcPr>
          <w:p>
            <w:pPr>
              <w:ind w:left="100"/>
              <w:spacing w:after="0" w:line="193" w:lineRule="exact"/>
              <w:rPr>
                <w:sz w:val="20"/>
                <w:szCs w:val="20"/>
                <w:color w:val="auto"/>
              </w:rPr>
            </w:pPr>
            <w:r>
              <w:rPr>
                <w:rFonts w:ascii="Arial" w:cs="Arial" w:eastAsia="Arial" w:hAnsi="Arial"/>
                <w:sz w:val="18"/>
                <w:szCs w:val="18"/>
                <w:color w:val="231F20"/>
                <w:w w:val="99"/>
              </w:rPr>
              <w:t>based annual cash awards to</w:t>
            </w:r>
          </w:p>
        </w:tc>
        <w:tc>
          <w:tcPr>
            <w:tcW w:w="2100" w:type="dxa"/>
            <w:vAlign w:val="bottom"/>
          </w:tcPr>
          <w:p>
            <w:pPr>
              <w:ind w:left="100"/>
              <w:spacing w:after="0" w:line="193" w:lineRule="exact"/>
              <w:rPr>
                <w:sz w:val="20"/>
                <w:szCs w:val="20"/>
                <w:color w:val="auto"/>
              </w:rPr>
            </w:pPr>
            <w:r>
              <w:rPr>
                <w:rFonts w:ascii="Arial" w:cs="Arial" w:eastAsia="Arial" w:hAnsi="Arial"/>
                <w:sz w:val="18"/>
                <w:szCs w:val="18"/>
                <w:color w:val="231F20"/>
              </w:rPr>
              <w:t>corporate and individual</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231F20"/>
              </w:rPr>
              <w:t>See p. 23 for more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motivate and reward</w:t>
            </w:r>
          </w:p>
        </w:tc>
        <w:tc>
          <w:tcPr>
            <w:tcW w:w="2100" w:type="dxa"/>
            <w:vAlign w:val="bottom"/>
          </w:tcPr>
          <w:p>
            <w:pPr>
              <w:ind w:left="100"/>
              <w:spacing w:after="0" w:line="190" w:lineRule="exact"/>
              <w:rPr>
                <w:sz w:val="20"/>
                <w:szCs w:val="20"/>
                <w:color w:val="auto"/>
              </w:rPr>
            </w:pPr>
            <w:r>
              <w:rPr>
                <w:rFonts w:ascii="Arial" w:cs="Arial" w:eastAsia="Arial" w:hAnsi="Arial"/>
                <w:sz w:val="18"/>
                <w:szCs w:val="18"/>
                <w:color w:val="231F20"/>
              </w:rPr>
              <w:t>performance goals</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231F20"/>
              </w:rPr>
              <w:t>information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employees for achieving our</w:t>
            </w:r>
          </w:p>
        </w:tc>
        <w:tc>
          <w:tcPr>
            <w:tcW w:w="2100" w:type="dxa"/>
            <w:vAlign w:val="bottom"/>
          </w:tcPr>
          <w:p>
            <w:pPr>
              <w:spacing w:after="0"/>
              <w:rPr>
                <w:sz w:val="16"/>
                <w:szCs w:val="16"/>
                <w:color w:val="auto"/>
              </w:rPr>
            </w:pP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short-term business</w:t>
            </w:r>
          </w:p>
        </w:tc>
        <w:tc>
          <w:tcPr>
            <w:tcW w:w="2100" w:type="dxa"/>
            <w:vAlign w:val="bottom"/>
          </w:tcPr>
          <w:p>
            <w:pPr>
              <w:spacing w:after="0"/>
              <w:rPr>
                <w:sz w:val="16"/>
                <w:szCs w:val="16"/>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objectives</w:t>
            </w:r>
          </w:p>
        </w:tc>
        <w:tc>
          <w:tcPr>
            <w:tcW w:w="2100" w:type="dxa"/>
            <w:vAlign w:val="bottom"/>
          </w:tcPr>
          <w:p>
            <w:pPr>
              <w:spacing w:after="0"/>
              <w:rPr>
                <w:sz w:val="17"/>
                <w:szCs w:val="17"/>
                <w:color w:val="auto"/>
              </w:rPr>
            </w:pPr>
          </w:p>
        </w:tc>
      </w:tr>
      <w:tr>
        <w:trPr>
          <w:trHeight w:val="79"/>
        </w:trPr>
        <w:tc>
          <w:tcPr>
            <w:tcW w:w="180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tcBorders>
              <w:bottom w:val="single" w:sz="8" w:color="231F20"/>
            </w:tcBorders>
          </w:tcPr>
          <w:p>
            <w:pPr>
              <w:spacing w:after="0"/>
              <w:rPr>
                <w:sz w:val="6"/>
                <w:szCs w:val="6"/>
                <w:color w:val="auto"/>
              </w:rPr>
            </w:pPr>
          </w:p>
        </w:tc>
        <w:tc>
          <w:tcPr>
            <w:tcW w:w="2440" w:type="dxa"/>
            <w:vAlign w:val="bottom"/>
            <w:tcBorders>
              <w:bottom w:val="single" w:sz="8" w:color="231F20"/>
            </w:tcBorders>
          </w:tcPr>
          <w:p>
            <w:pPr>
              <w:spacing w:after="0"/>
              <w:rPr>
                <w:sz w:val="6"/>
                <w:szCs w:val="6"/>
                <w:color w:val="auto"/>
              </w:rPr>
            </w:pPr>
          </w:p>
        </w:tc>
        <w:tc>
          <w:tcPr>
            <w:tcW w:w="2100" w:type="dxa"/>
            <w:vAlign w:val="bottom"/>
            <w:tcBorders>
              <w:bottom w:val="single" w:sz="8" w:color="231F20"/>
            </w:tcBorders>
          </w:tcPr>
          <w:p>
            <w:pPr>
              <w:spacing w:after="0"/>
              <w:rPr>
                <w:sz w:val="6"/>
                <w:szCs w:val="6"/>
                <w:color w:val="auto"/>
              </w:rPr>
            </w:pPr>
          </w:p>
        </w:tc>
      </w:tr>
      <w:tr>
        <w:trPr>
          <w:trHeight w:val="200"/>
        </w:trPr>
        <w:tc>
          <w:tcPr>
            <w:tcW w:w="1800" w:type="dxa"/>
            <w:vAlign w:val="bottom"/>
          </w:tcPr>
          <w:p>
            <w:pPr>
              <w:ind w:left="60"/>
              <w:spacing w:after="0" w:line="201" w:lineRule="exact"/>
              <w:rPr>
                <w:sz w:val="20"/>
                <w:szCs w:val="20"/>
                <w:color w:val="auto"/>
              </w:rPr>
            </w:pPr>
            <w:r>
              <w:rPr>
                <w:rFonts w:ascii="Arial" w:cs="Arial" w:eastAsia="Arial" w:hAnsi="Arial"/>
                <w:sz w:val="18"/>
                <w:szCs w:val="18"/>
                <w:b w:val="1"/>
                <w:bCs w:val="1"/>
                <w:color w:val="231F20"/>
              </w:rPr>
              <w:t>Equity Incentive</w:t>
            </w:r>
          </w:p>
        </w:tc>
        <w:tc>
          <w:tcPr>
            <w:tcW w:w="700" w:type="dxa"/>
            <w:vAlign w:val="bottom"/>
            <w:gridSpan w:val="2"/>
          </w:tcPr>
          <w:p>
            <w:pPr>
              <w:ind w:left="100"/>
              <w:spacing w:after="0" w:line="201" w:lineRule="exact"/>
              <w:rPr>
                <w:sz w:val="20"/>
                <w:szCs w:val="20"/>
                <w:color w:val="auto"/>
              </w:rPr>
            </w:pPr>
            <w:r>
              <w:rPr>
                <w:rFonts w:ascii="Arial" w:cs="Arial" w:eastAsia="Arial" w:hAnsi="Arial"/>
                <w:sz w:val="18"/>
                <w:szCs w:val="18"/>
                <w:color w:val="231F20"/>
                <w:w w:val="98"/>
              </w:rPr>
              <w:t>3 years</w:t>
            </w: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Relative total shareholder</w:t>
            </w: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To provide performance-</w:t>
            </w:r>
          </w:p>
        </w:tc>
        <w:tc>
          <w:tcPr>
            <w:tcW w:w="2100" w:type="dxa"/>
            <w:vAlign w:val="bottom"/>
          </w:tcPr>
          <w:p>
            <w:pPr>
              <w:ind w:left="100"/>
              <w:spacing w:after="0" w:line="201" w:lineRule="exact"/>
              <w:rPr>
                <w:sz w:val="20"/>
                <w:szCs w:val="20"/>
                <w:color w:val="auto"/>
              </w:rPr>
            </w:pPr>
            <w:r>
              <w:rPr>
                <w:rFonts w:ascii="Arial" w:cs="Arial" w:eastAsia="Arial" w:hAnsi="Arial"/>
                <w:sz w:val="18"/>
                <w:szCs w:val="18"/>
                <w:color w:val="231F20"/>
              </w:rPr>
              <w:t>Drive medium and long-</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231F20"/>
              </w:rPr>
              <w:t>See p. 24 for more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return (34%)</w:t>
            </w: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based equity compensation</w:t>
            </w:r>
          </w:p>
        </w:tc>
        <w:tc>
          <w:tcPr>
            <w:tcW w:w="2100" w:type="dxa"/>
            <w:vAlign w:val="bottom"/>
          </w:tcPr>
          <w:p>
            <w:pPr>
              <w:ind w:left="100"/>
              <w:spacing w:after="0" w:line="190" w:lineRule="exact"/>
              <w:rPr>
                <w:sz w:val="20"/>
                <w:szCs w:val="20"/>
                <w:color w:val="auto"/>
              </w:rPr>
            </w:pPr>
            <w:r>
              <w:rPr>
                <w:rFonts w:ascii="Arial" w:cs="Arial" w:eastAsia="Arial" w:hAnsi="Arial"/>
                <w:sz w:val="18"/>
                <w:szCs w:val="18"/>
                <w:color w:val="231F20"/>
              </w:rPr>
              <w:t>term performance goals</w:t>
            </w:r>
          </w:p>
        </w:tc>
      </w:tr>
      <w:tr>
        <w:trPr>
          <w:trHeight w:val="190"/>
        </w:trPr>
        <w:tc>
          <w:tcPr>
            <w:tcW w:w="1800" w:type="dxa"/>
            <w:vAlign w:val="bottom"/>
          </w:tcPr>
          <w:p>
            <w:pPr>
              <w:ind w:left="60"/>
              <w:spacing w:after="0" w:line="190" w:lineRule="exact"/>
              <w:rPr>
                <w:sz w:val="20"/>
                <w:szCs w:val="20"/>
                <w:color w:val="auto"/>
              </w:rPr>
            </w:pPr>
            <w:r>
              <w:rPr>
                <w:rFonts w:ascii="Arial" w:cs="Arial" w:eastAsia="Arial" w:hAnsi="Arial"/>
                <w:sz w:val="18"/>
                <w:szCs w:val="18"/>
                <w:color w:val="231F20"/>
              </w:rPr>
              <w:t>information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FFO multiple premium (33%)</w:t>
            </w: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in the form of restricted</w:t>
            </w:r>
          </w:p>
        </w:tc>
        <w:tc>
          <w:tcPr>
            <w:tcW w:w="2100" w:type="dxa"/>
            <w:vAlign w:val="bottom"/>
          </w:tcPr>
          <w:p>
            <w:pPr>
              <w:ind w:left="100"/>
              <w:spacing w:after="0" w:line="190" w:lineRule="exact"/>
              <w:rPr>
                <w:sz w:val="20"/>
                <w:szCs w:val="20"/>
                <w:color w:val="auto"/>
              </w:rPr>
            </w:pPr>
            <w:r>
              <w:rPr>
                <w:rFonts w:ascii="Arial" w:cs="Arial" w:eastAsia="Arial" w:hAnsi="Arial"/>
                <w:sz w:val="18"/>
                <w:szCs w:val="18"/>
                <w:color w:val="231F20"/>
              </w:rPr>
              <w:t>and retain talent</w:t>
            </w: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Return on invested capital</w:t>
            </w: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shares to drive medium and</w:t>
            </w:r>
          </w:p>
        </w:tc>
        <w:tc>
          <w:tcPr>
            <w:tcW w:w="2100" w:type="dxa"/>
            <w:vAlign w:val="bottom"/>
          </w:tcPr>
          <w:p>
            <w:pPr>
              <w:spacing w:after="0"/>
              <w:rPr>
                <w:sz w:val="16"/>
                <w:szCs w:val="16"/>
                <w:color w:val="auto"/>
              </w:rPr>
            </w:pPr>
          </w:p>
        </w:tc>
      </w:tr>
      <w:tr>
        <w:trPr>
          <w:trHeight w:val="190"/>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(33%)</w:t>
            </w:r>
          </w:p>
        </w:tc>
        <w:tc>
          <w:tcPr>
            <w:tcW w:w="2440" w:type="dxa"/>
            <w:vAlign w:val="bottom"/>
          </w:tcPr>
          <w:p>
            <w:pPr>
              <w:ind w:left="100"/>
              <w:spacing w:after="0" w:line="190" w:lineRule="exact"/>
              <w:rPr>
                <w:sz w:val="20"/>
                <w:szCs w:val="20"/>
                <w:color w:val="auto"/>
              </w:rPr>
            </w:pPr>
            <w:r>
              <w:rPr>
                <w:rFonts w:ascii="Arial" w:cs="Arial" w:eastAsia="Arial" w:hAnsi="Arial"/>
                <w:sz w:val="18"/>
                <w:szCs w:val="18"/>
                <w:color w:val="231F20"/>
              </w:rPr>
              <w:t>longer-term business</w:t>
            </w:r>
          </w:p>
        </w:tc>
        <w:tc>
          <w:tcPr>
            <w:tcW w:w="2100" w:type="dxa"/>
            <w:vAlign w:val="bottom"/>
          </w:tcPr>
          <w:p>
            <w:pPr>
              <w:spacing w:after="0"/>
              <w:rPr>
                <w:sz w:val="16"/>
                <w:szCs w:val="16"/>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objectives</w:t>
            </w:r>
          </w:p>
        </w:tc>
        <w:tc>
          <w:tcPr>
            <w:tcW w:w="2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6019800</wp:posOffset>
                </wp:positionH>
                <wp:positionV relativeFrom="paragraph">
                  <wp:posOffset>-2249805</wp:posOffset>
                </wp:positionV>
                <wp:extent cx="190500" cy="67945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679450"/>
                        </a:xfrm>
                        <a:prstGeom prst="rect">
                          <a:avLst/>
                        </a:prstGeom>
                        <a:solidFill>
                          <a:srgbClr val="231F20"/>
                        </a:solidFill>
                      </wps:spPr>
                      <wps:bodyPr/>
                    </wps:wsp>
                  </a:graphicData>
                </a:graphic>
              </wp:anchor>
            </w:drawing>
          </mc:Choice>
          <mc:Fallback>
            <w:pict>
              <v:rect id="Shape 342" o:spid="_x0000_s1367" style="position:absolute;margin-left:474pt;margin-top:-177.1499pt;width:15pt;height: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-187325</wp:posOffset>
                </wp:positionH>
                <wp:positionV relativeFrom="paragraph">
                  <wp:posOffset>-1574165</wp:posOffset>
                </wp:positionV>
                <wp:extent cx="6394450"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499pt,-123.9499pt" to="488.75pt,-123.9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6019800</wp:posOffset>
                </wp:positionH>
                <wp:positionV relativeFrom="paragraph">
                  <wp:posOffset>-1558925</wp:posOffset>
                </wp:positionV>
                <wp:extent cx="19050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4763"/>
                        </a:xfrm>
                        <a:prstGeom prst="line">
                          <a:avLst/>
                        </a:prstGeom>
                        <a:solidFill>
                          <a:srgbClr val="FFFFFF"/>
                        </a:solidFill>
                        <a:ln w="24129">
                          <a:solidFill>
                            <a:srgbClr val="EF3E2B"/>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pt,-122.7499pt" to="489pt,-122.7499pt" o:allowincell="f" strokecolor="#EF3E2B" strokeweight="1.8999pt"/>
            </w:pict>
          </mc:Fallback>
        </mc:AlternateContent>
        <mc:AlternateContent>
          <mc:Choice Requires="wps">
            <w:drawing>
              <wp:anchor simplePos="0" relativeHeight="251657728" behindDoc="1" locked="0" layoutInCell="0" allowOverlap="1">
                <wp:simplePos x="0" y="0"/>
                <wp:positionH relativeFrom="column">
                  <wp:posOffset>6019800</wp:posOffset>
                </wp:positionH>
                <wp:positionV relativeFrom="paragraph">
                  <wp:posOffset>-1546225</wp:posOffset>
                </wp:positionV>
                <wp:extent cx="190500" cy="1599565"/>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599565"/>
                        </a:xfrm>
                        <a:prstGeom prst="rect">
                          <a:avLst/>
                        </a:prstGeom>
                        <a:solidFill>
                          <a:srgbClr val="EF3E2A"/>
                        </a:solidFill>
                      </wps:spPr>
                      <wps:bodyPr/>
                    </wps:wsp>
                  </a:graphicData>
                </a:graphic>
              </wp:anchor>
            </w:drawing>
          </mc:Choice>
          <mc:Fallback>
            <w:pict>
              <v:rect id="Shape 345" o:spid="_x0000_s1370" style="position:absolute;margin-left:474pt;margin-top:-121.7499pt;width:15pt;height:12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mc:AlternateContent>
          <mc:Choice Requires="wps">
            <w:drawing>
              <wp:anchor simplePos="0" relativeHeight="251657728" behindDoc="1" locked="0" layoutInCell="0" allowOverlap="1">
                <wp:simplePos x="0" y="0"/>
                <wp:positionH relativeFrom="column">
                  <wp:posOffset>6022975</wp:posOffset>
                </wp:positionH>
                <wp:positionV relativeFrom="paragraph">
                  <wp:posOffset>-1546860</wp:posOffset>
                </wp:positionV>
                <wp:extent cx="18415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4763"/>
                        </a:xfrm>
                        <a:prstGeom prst="line">
                          <a:avLst/>
                        </a:prstGeom>
                        <a:solidFill>
                          <a:srgbClr val="FFFFFF"/>
                        </a:solidFill>
                        <a:ln w="6350">
                          <a:solidFill>
                            <a:srgbClr val="EF3E2A"/>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25pt,-121.7999pt" to="488.75pt,-121.7999pt" o:allowincell="f" strokecolor="#EF3E2A" strokeweight="0.5pt"/>
            </w:pict>
          </mc:Fallback>
        </mc:AlternateContent>
        <mc:AlternateContent>
          <mc:Choice Requires="wps">
            <w:drawing>
              <wp:anchor simplePos="0" relativeHeight="251657728" behindDoc="1" locked="0" layoutInCell="0" allowOverlap="1">
                <wp:simplePos x="0" y="0"/>
                <wp:positionH relativeFrom="column">
                  <wp:posOffset>-187325</wp:posOffset>
                </wp:positionH>
                <wp:positionV relativeFrom="paragraph">
                  <wp:posOffset>49530</wp:posOffset>
                </wp:positionV>
                <wp:extent cx="6394450"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499pt,3.9pt" to="488.75pt,3.9pt" o:allowincell="f" strokecolor="#231F2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440"/>
        </w:trPr>
        <w:tc>
          <w:tcPr>
            <w:tcW w:w="195" w:type="dxa"/>
            <w:vAlign w:val="bottom"/>
            <w:textDirection w:val="btLr"/>
          </w:tcPr>
          <w:p>
            <w:pPr>
              <w:spacing w:after="0"/>
              <w:rPr>
                <w:sz w:val="20"/>
                <w:szCs w:val="20"/>
                <w:color w:val="auto"/>
              </w:rPr>
            </w:pPr>
            <w:r>
              <w:rPr>
                <w:rFonts w:ascii="Arial" w:cs="Arial" w:eastAsia="Arial" w:hAnsi="Arial"/>
                <w:sz w:val="17"/>
                <w:szCs w:val="17"/>
                <w:color w:val="FFFFFF"/>
              </w:rPr>
              <w:t>Fixed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00"/>
        </w:trPr>
        <w:tc>
          <w:tcPr>
            <w:tcW w:w="195" w:type="dxa"/>
            <w:vAlign w:val="bottom"/>
            <w:textDirection w:val="btLr"/>
          </w:tcPr>
          <w:p>
            <w:pPr>
              <w:spacing w:after="0"/>
              <w:rPr>
                <w:sz w:val="20"/>
                <w:szCs w:val="20"/>
                <w:color w:val="auto"/>
              </w:rPr>
            </w:pPr>
            <w:r>
              <w:rPr>
                <w:rFonts w:ascii="Arial" w:cs="Arial" w:eastAsia="Arial" w:hAnsi="Arial"/>
                <w:sz w:val="17"/>
                <w:szCs w:val="17"/>
                <w:color w:val="FFFFFF"/>
              </w:rPr>
              <w:t>Variable / At risk</w:t>
            </w:r>
          </w:p>
        </w:tc>
      </w:tr>
    </w:tbl>
    <w:p>
      <w:pPr>
        <w:spacing w:after="0" w:line="728" w:lineRule="exact"/>
        <w:rPr>
          <w:sz w:val="20"/>
          <w:szCs w:val="20"/>
          <w:color w:val="auto"/>
        </w:rPr>
      </w:pPr>
    </w:p>
    <w:p>
      <w:pPr>
        <w:sectPr>
          <w:pgSz w:w="12240" w:h="15840" w:orient="portrait"/>
          <w:cols w:equalWidth="0" w:num="3">
            <w:col w:w="232" w:space="68"/>
            <w:col w:w="9480" w:space="28"/>
            <w:col w:w="272"/>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21</w:t>
      </w:r>
    </w:p>
    <w:p>
      <w:pPr>
        <w:sectPr>
          <w:pgSz w:w="12240" w:h="15840" w:orient="portrait"/>
          <w:cols w:equalWidth="0" w:num="1">
            <w:col w:w="10080"/>
          </w:cols>
          <w:pgMar w:left="1080" w:top="1440" w:right="1080" w:bottom="944" w:gutter="0" w:footer="0" w:header="0"/>
          <w:type w:val="continuous"/>
        </w:sectPr>
      </w:pPr>
    </w:p>
    <w:bookmarkStart w:id="141" w:name="page142"/>
    <w:bookmarkEnd w:id="141"/>
    <w:p>
      <w:pPr>
        <w:spacing w:after="0" w:line="6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917575</wp:posOffset>
                </wp:positionV>
                <wp:extent cx="640080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2.25pt" to="558pt,72.25pt" o:allowincell="f" strokecolor="#231F20" strokeweight="0.5pt">
                <w10:wrap anchorx="page" anchory="page"/>
              </v:line>
            </w:pict>
          </mc:Fallback>
        </mc:AlternateContent>
      </w:r>
    </w:p>
    <w:p>
      <w:pPr>
        <w:ind w:left="120"/>
        <w:spacing w:after="0"/>
        <w:rPr>
          <w:sz w:val="20"/>
          <w:szCs w:val="20"/>
          <w:color w:val="auto"/>
        </w:rPr>
      </w:pPr>
      <w:r>
        <w:rPr>
          <w:rFonts w:ascii="Arial" w:cs="Arial" w:eastAsia="Arial" w:hAnsi="Arial"/>
          <w:sz w:val="24"/>
          <w:szCs w:val="24"/>
          <w:b w:val="1"/>
          <w:bCs w:val="1"/>
          <w:color w:val="EF3E2A"/>
        </w:rPr>
        <w:t>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S</w:t>
      </w:r>
      <w:r>
        <w:rPr>
          <w:rFonts w:ascii="Arial" w:cs="Arial" w:eastAsia="Arial" w:hAnsi="Arial"/>
          <w:sz w:val="18"/>
          <w:szCs w:val="18"/>
          <w:b w:val="1"/>
          <w:bCs w:val="1"/>
          <w:color w:val="EF3E2A"/>
        </w:rPr>
        <w:t>ETTING</w:t>
      </w:r>
      <w:r>
        <w:rPr>
          <w:rFonts w:ascii="Arial" w:cs="Arial" w:eastAsia="Arial" w:hAnsi="Arial"/>
          <w:sz w:val="24"/>
          <w:szCs w:val="24"/>
          <w:b w:val="1"/>
          <w:bCs w:val="1"/>
          <w:color w:val="EF3E2A"/>
        </w:rPr>
        <w:t xml:space="preserve"> P</w:t>
      </w:r>
      <w:r>
        <w:rPr>
          <w:rFonts w:ascii="Arial" w:cs="Arial" w:eastAsia="Arial" w:hAnsi="Arial"/>
          <w:sz w:val="18"/>
          <w:szCs w:val="18"/>
          <w:b w:val="1"/>
          <w:bCs w:val="1"/>
          <w:color w:val="EF3E2A"/>
        </w:rPr>
        <w:t>ROCESS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40080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04pt,0.25pt" o:allowincell="f" strokecolor="#231F20" strokeweight="0.5pt"/>
            </w:pict>
          </mc:Fallback>
        </mc:AlternateContent>
      </w:r>
    </w:p>
    <w:p>
      <w:pPr>
        <w:spacing w:after="0" w:line="24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ANNUAL COMPENSATION DECISION MAKING</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Compensation Committee develops and executes our executive compensation program on behalf of the Board, including creating compensation programs and policies, setting target compensation levels for our NEOs, setting performance metrics for incentive compensation plans, establishing expectations for individual NEO performance and determining payouts of incentive compensation for completed performance periods.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20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ROLE OF THE COMPENSATION COMMITTEE</w:t>
      </w:r>
    </w:p>
    <w:p>
      <w:pPr>
        <w:spacing w:after="0" w:line="25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ROLE OF MANAGEMENT</w:t>
      </w:r>
    </w:p>
    <w:p>
      <w:pPr>
        <w:spacing w:after="0" w:line="25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ROLE OF INDEPENDENT COMPENSATION CONSULTANT</w:t>
      </w:r>
    </w:p>
    <w:p>
      <w:pPr>
        <w:spacing w:after="0" w:line="255"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The Compensation Committee retains consultants periodically to assist with setting compensation. No consultant was used in connection with the compensation of our NEOs for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64008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pt" to="504pt,9.9pt" o:allowincell="f" strokecolor="#231F20" strokeweight="0.5pt"/>
            </w:pict>
          </mc:Fallback>
        </mc:AlternateConten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EF3E2A"/>
        </w:rPr>
        <w:t>2023 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D</w:t>
      </w:r>
      <w:r>
        <w:rPr>
          <w:rFonts w:ascii="Arial" w:cs="Arial" w:eastAsia="Arial" w:hAnsi="Arial"/>
          <w:sz w:val="18"/>
          <w:szCs w:val="18"/>
          <w:b w:val="1"/>
          <w:bCs w:val="1"/>
          <w:color w:val="EF3E2A"/>
        </w:rPr>
        <w:t>ECISIONS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40080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04pt,0.25pt" o:allowincell="f" strokecolor="#231F20" strokeweight="0.5pt"/>
            </w:pict>
          </mc:Fallback>
        </mc:AlternateContent>
      </w:r>
    </w:p>
    <w:p>
      <w:pPr>
        <w:spacing w:after="0" w:line="24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SETTING 2023 TARGET COMPENSATION</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Compensation Committee determined target compensation for each NEO by considering numerous individual factors for each NEO, including job responsibilities and skill sets, performance in their position, importance to achieving our corporate objectives, retention risk, ability to replace the role, previously issued equity awards and tenure with the company. The Compensation Committee then reviewed the annual NAREIT compensation survey that gathers data from more than 100 REITs for the market compensation information for our NEOs. Applying their individual judgments to our NEOs after consulting the NAREIT survey, the Compensation Committee made no changes to target compensation for our NEOs in 2023 other than to increase in the bonus target with respect to Mr. Berkes to align his target with market.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20" w:type="dxa"/>
            <w:vAlign w:val="bottom"/>
            <w:shd w:val="clear" w:color="auto" w:fill="EF3E2A"/>
          </w:tcPr>
          <w:p>
            <w:pPr>
              <w:spacing w:after="0"/>
              <w:rPr>
                <w:sz w:val="20"/>
                <w:szCs w:val="20"/>
                <w:color w:val="auto"/>
              </w:rPr>
            </w:pPr>
          </w:p>
        </w:tc>
        <w:tc>
          <w:tcPr>
            <w:tcW w:w="820" w:type="dxa"/>
            <w:vAlign w:val="bottom"/>
            <w:shd w:val="clear" w:color="auto" w:fill="EF3E2A"/>
          </w:tcPr>
          <w:p>
            <w:pPr>
              <w:spacing w:after="0"/>
              <w:rPr>
                <w:sz w:val="20"/>
                <w:szCs w:val="20"/>
                <w:color w:val="auto"/>
              </w:rPr>
            </w:pPr>
          </w:p>
        </w:tc>
        <w:tc>
          <w:tcPr>
            <w:tcW w:w="1060" w:type="dxa"/>
            <w:vAlign w:val="bottom"/>
            <w:shd w:val="clear" w:color="auto" w:fill="EF3E2A"/>
          </w:tcPr>
          <w:p>
            <w:pPr>
              <w:spacing w:after="0"/>
              <w:rPr>
                <w:sz w:val="20"/>
                <w:szCs w:val="20"/>
                <w:color w:val="auto"/>
              </w:rPr>
            </w:pPr>
          </w:p>
        </w:tc>
        <w:tc>
          <w:tcPr>
            <w:tcW w:w="2340" w:type="dxa"/>
            <w:vAlign w:val="bottom"/>
            <w:gridSpan w:val="3"/>
            <w:shd w:val="clear" w:color="auto" w:fill="EF3E2A"/>
          </w:tcPr>
          <w:p>
            <w:pPr>
              <w:jc w:val="right"/>
              <w:ind w:right="170"/>
              <w:spacing w:after="0"/>
              <w:rPr>
                <w:sz w:val="20"/>
                <w:szCs w:val="20"/>
                <w:color w:val="auto"/>
              </w:rPr>
            </w:pPr>
            <w:r>
              <w:rPr>
                <w:rFonts w:ascii="Arial" w:cs="Arial" w:eastAsia="Arial" w:hAnsi="Arial"/>
                <w:sz w:val="18"/>
                <w:szCs w:val="18"/>
                <w:b w:val="1"/>
                <w:bCs w:val="1"/>
                <w:color w:val="FFFFFF"/>
              </w:rPr>
              <w:t>Target Annual Bonus</w:t>
            </w:r>
          </w:p>
        </w:tc>
        <w:tc>
          <w:tcPr>
            <w:tcW w:w="1460" w:type="dxa"/>
            <w:vAlign w:val="bottom"/>
            <w:gridSpan w:val="2"/>
            <w:shd w:val="clear" w:color="auto" w:fill="EF3E2A"/>
          </w:tcPr>
          <w:p>
            <w:pPr>
              <w:ind w:left="180"/>
              <w:spacing w:after="0"/>
              <w:rPr>
                <w:sz w:val="20"/>
                <w:szCs w:val="20"/>
                <w:color w:val="auto"/>
              </w:rPr>
            </w:pPr>
            <w:r>
              <w:rPr>
                <w:rFonts w:ascii="Arial" w:cs="Arial" w:eastAsia="Arial" w:hAnsi="Arial"/>
                <w:sz w:val="18"/>
                <w:szCs w:val="18"/>
                <w:b w:val="1"/>
                <w:bCs w:val="1"/>
                <w:color w:val="FFFFFF"/>
              </w:rPr>
              <w:t>Target Long-</w:t>
            </w:r>
          </w:p>
        </w:tc>
        <w:tc>
          <w:tcPr>
            <w:tcW w:w="300" w:type="dxa"/>
            <w:vAlign w:val="bottom"/>
            <w:shd w:val="clear" w:color="auto" w:fill="EF3E2A"/>
          </w:tcPr>
          <w:p>
            <w:pPr>
              <w:spacing w:after="0"/>
              <w:rPr>
                <w:sz w:val="20"/>
                <w:szCs w:val="20"/>
                <w:color w:val="auto"/>
              </w:rPr>
            </w:pPr>
          </w:p>
        </w:tc>
        <w:tc>
          <w:tcPr>
            <w:tcW w:w="880" w:type="dxa"/>
            <w:vAlign w:val="bottom"/>
            <w:shd w:val="clear" w:color="auto" w:fill="EF3E2A"/>
          </w:tcPr>
          <w:p>
            <w:pPr>
              <w:jc w:val="right"/>
              <w:ind w:right="230"/>
              <w:spacing w:after="0"/>
              <w:rPr>
                <w:sz w:val="20"/>
                <w:szCs w:val="20"/>
                <w:color w:val="auto"/>
              </w:rPr>
            </w:pPr>
            <w:r>
              <w:rPr>
                <w:rFonts w:ascii="Arial" w:cs="Arial" w:eastAsia="Arial" w:hAnsi="Arial"/>
                <w:sz w:val="18"/>
                <w:szCs w:val="18"/>
                <w:b w:val="1"/>
                <w:bCs w:val="1"/>
                <w:color w:val="FFFFFF"/>
              </w:rPr>
              <w:t>Total</w:t>
            </w:r>
          </w:p>
        </w:tc>
      </w:tr>
      <w:tr>
        <w:trPr>
          <w:trHeight w:val="220"/>
        </w:trPr>
        <w:tc>
          <w:tcPr>
            <w:tcW w:w="2020" w:type="dxa"/>
            <w:vAlign w:val="bottom"/>
            <w:tcBorders>
              <w:bottom w:val="single" w:sz="8" w:color="EF3E2A"/>
            </w:tcBorders>
            <w:shd w:val="clear" w:color="auto" w:fill="EF3E2A"/>
          </w:tcPr>
          <w:p>
            <w:pPr>
              <w:spacing w:after="0"/>
              <w:rPr>
                <w:sz w:val="19"/>
                <w:szCs w:val="19"/>
                <w:color w:val="auto"/>
              </w:rPr>
            </w:pPr>
          </w:p>
        </w:tc>
        <w:tc>
          <w:tcPr>
            <w:tcW w:w="820" w:type="dxa"/>
            <w:vAlign w:val="bottom"/>
            <w:tcBorders>
              <w:bottom w:val="single" w:sz="8" w:color="EF3E2A"/>
            </w:tcBorders>
            <w:shd w:val="clear" w:color="auto" w:fill="EF3E2A"/>
          </w:tcPr>
          <w:p>
            <w:pPr>
              <w:spacing w:after="0"/>
              <w:rPr>
                <w:sz w:val="19"/>
                <w:szCs w:val="19"/>
                <w:color w:val="auto"/>
              </w:rPr>
            </w:pPr>
          </w:p>
        </w:tc>
        <w:tc>
          <w:tcPr>
            <w:tcW w:w="1060" w:type="dxa"/>
            <w:vAlign w:val="bottom"/>
            <w:tcBorders>
              <w:bottom w:val="single" w:sz="8" w:color="EF3E2A"/>
            </w:tcBorders>
            <w:shd w:val="clear" w:color="auto" w:fill="EF3E2A"/>
          </w:tcPr>
          <w:p>
            <w:pPr>
              <w:jc w:val="right"/>
              <w:ind w:right="150"/>
              <w:spacing w:after="0"/>
              <w:rPr>
                <w:sz w:val="20"/>
                <w:szCs w:val="20"/>
                <w:color w:val="auto"/>
              </w:rPr>
            </w:pPr>
            <w:r>
              <w:rPr>
                <w:rFonts w:ascii="Arial" w:cs="Arial" w:eastAsia="Arial" w:hAnsi="Arial"/>
                <w:sz w:val="18"/>
                <w:szCs w:val="18"/>
                <w:b w:val="1"/>
                <w:bCs w:val="1"/>
                <w:color w:val="FFFFFF"/>
                <w:w w:val="99"/>
              </w:rPr>
              <w:t>Base Pay</w:t>
            </w:r>
          </w:p>
        </w:tc>
        <w:tc>
          <w:tcPr>
            <w:tcW w:w="950" w:type="dxa"/>
            <w:vAlign w:val="bottom"/>
            <w:tcBorders>
              <w:bottom w:val="single" w:sz="8" w:color="EF3E2A"/>
            </w:tcBorders>
            <w:shd w:val="clear" w:color="auto" w:fill="EF3E2A"/>
          </w:tcPr>
          <w:p>
            <w:pPr>
              <w:jc w:val="right"/>
              <w:spacing w:after="0"/>
              <w:rPr>
                <w:sz w:val="20"/>
                <w:szCs w:val="20"/>
                <w:color w:val="auto"/>
              </w:rPr>
            </w:pPr>
            <w:r>
              <w:rPr>
                <w:rFonts w:ascii="Arial" w:cs="Arial" w:eastAsia="Arial" w:hAnsi="Arial"/>
                <w:sz w:val="18"/>
                <w:szCs w:val="18"/>
                <w:b w:val="1"/>
                <w:bCs w:val="1"/>
                <w:color w:val="FFFFFF"/>
              </w:rPr>
              <w:t>% of Base</w:t>
            </w:r>
          </w:p>
        </w:tc>
        <w:tc>
          <w:tcPr>
            <w:tcW w:w="350" w:type="dxa"/>
            <w:vAlign w:val="bottom"/>
            <w:tcBorders>
              <w:bottom w:val="single" w:sz="8" w:color="EF3E2A"/>
            </w:tcBorders>
            <w:shd w:val="clear" w:color="auto" w:fill="EF3E2A"/>
          </w:tcPr>
          <w:p>
            <w:pPr>
              <w:spacing w:after="0"/>
              <w:rPr>
                <w:sz w:val="19"/>
                <w:szCs w:val="19"/>
                <w:color w:val="auto"/>
              </w:rPr>
            </w:pPr>
          </w:p>
        </w:tc>
        <w:tc>
          <w:tcPr>
            <w:tcW w:w="1040" w:type="dxa"/>
            <w:vAlign w:val="bottom"/>
            <w:tcBorders>
              <w:bottom w:val="single" w:sz="8" w:color="EF3E2A"/>
            </w:tcBorders>
            <w:shd w:val="clear" w:color="auto" w:fill="EF3E2A"/>
          </w:tcPr>
          <w:p>
            <w:pPr>
              <w:jc w:val="right"/>
              <w:ind w:right="230"/>
              <w:spacing w:after="0"/>
              <w:rPr>
                <w:sz w:val="20"/>
                <w:szCs w:val="20"/>
                <w:color w:val="auto"/>
              </w:rPr>
            </w:pPr>
            <w:r>
              <w:rPr>
                <w:rFonts w:ascii="Arial" w:cs="Arial" w:eastAsia="Arial" w:hAnsi="Arial"/>
                <w:sz w:val="18"/>
                <w:szCs w:val="18"/>
                <w:b w:val="1"/>
                <w:bCs w:val="1"/>
                <w:color w:val="FFFFFF"/>
              </w:rPr>
              <w:t>Amount</w:t>
            </w:r>
          </w:p>
        </w:tc>
        <w:tc>
          <w:tcPr>
            <w:tcW w:w="1460" w:type="dxa"/>
            <w:vAlign w:val="bottom"/>
            <w:tcBorders>
              <w:bottom w:val="single" w:sz="8" w:color="EF3E2A"/>
            </w:tcBorders>
            <w:gridSpan w:val="2"/>
            <w:shd w:val="clear" w:color="auto" w:fill="EF3E2A"/>
          </w:tcPr>
          <w:p>
            <w:pPr>
              <w:ind w:left="100"/>
              <w:spacing w:after="0"/>
              <w:rPr>
                <w:sz w:val="20"/>
                <w:szCs w:val="20"/>
                <w:color w:val="auto"/>
              </w:rPr>
            </w:pPr>
            <w:r>
              <w:rPr>
                <w:rFonts w:ascii="Arial" w:cs="Arial" w:eastAsia="Arial" w:hAnsi="Arial"/>
                <w:sz w:val="18"/>
                <w:szCs w:val="18"/>
                <w:b w:val="1"/>
                <w:bCs w:val="1"/>
                <w:color w:val="FFFFFF"/>
              </w:rPr>
              <w:t>Term Incentive</w:t>
            </w:r>
          </w:p>
        </w:tc>
        <w:tc>
          <w:tcPr>
            <w:tcW w:w="1180" w:type="dxa"/>
            <w:vAlign w:val="bottom"/>
            <w:tcBorders>
              <w:bottom w:val="single" w:sz="8" w:color="EF3E2A"/>
            </w:tcBorders>
            <w:gridSpan w:val="2"/>
            <w:shd w:val="clear" w:color="auto" w:fill="EF3E2A"/>
          </w:tcPr>
          <w:p>
            <w:pPr>
              <w:jc w:val="right"/>
              <w:spacing w:after="0"/>
              <w:rPr>
                <w:sz w:val="20"/>
                <w:szCs w:val="20"/>
                <w:color w:val="auto"/>
              </w:rPr>
            </w:pPr>
            <w:r>
              <w:rPr>
                <w:rFonts w:ascii="Arial" w:cs="Arial" w:eastAsia="Arial" w:hAnsi="Arial"/>
                <w:sz w:val="18"/>
                <w:szCs w:val="18"/>
                <w:b w:val="1"/>
                <w:bCs w:val="1"/>
                <w:color w:val="FFFFFF"/>
              </w:rPr>
              <w:t>2023 Target</w:t>
            </w:r>
          </w:p>
        </w:tc>
      </w:tr>
      <w:tr>
        <w:trPr>
          <w:trHeight w:val="256"/>
        </w:trPr>
        <w:tc>
          <w:tcPr>
            <w:tcW w:w="2020" w:type="dxa"/>
            <w:vAlign w:val="bottom"/>
          </w:tcPr>
          <w:p>
            <w:pPr>
              <w:spacing w:after="0"/>
              <w:rPr>
                <w:sz w:val="20"/>
                <w:szCs w:val="20"/>
                <w:color w:val="auto"/>
              </w:rPr>
            </w:pPr>
            <w:r>
              <w:rPr>
                <w:rFonts w:ascii="Arial" w:cs="Arial" w:eastAsia="Arial" w:hAnsi="Arial"/>
                <w:sz w:val="18"/>
                <w:szCs w:val="18"/>
                <w:color w:val="231F20"/>
              </w:rPr>
              <w:t>Mr. Wood</w:t>
            </w:r>
          </w:p>
        </w:tc>
        <w:tc>
          <w:tcPr>
            <w:tcW w:w="8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231F20"/>
              </w:rPr>
              <w:t>1,000,000</w:t>
            </w:r>
          </w:p>
        </w:tc>
        <w:tc>
          <w:tcPr>
            <w:tcW w:w="950" w:type="dxa"/>
            <w:vAlign w:val="bottom"/>
          </w:tcPr>
          <w:p>
            <w:pPr>
              <w:jc w:val="right"/>
              <w:ind w:right="20"/>
              <w:spacing w:after="0"/>
              <w:rPr>
                <w:sz w:val="20"/>
                <w:szCs w:val="20"/>
                <w:color w:val="auto"/>
              </w:rPr>
            </w:pPr>
            <w:r>
              <w:rPr>
                <w:rFonts w:ascii="Arial" w:cs="Arial" w:eastAsia="Arial" w:hAnsi="Arial"/>
                <w:sz w:val="18"/>
                <w:szCs w:val="18"/>
                <w:color w:val="231F20"/>
              </w:rPr>
              <w:t>150%</w:t>
            </w:r>
          </w:p>
        </w:tc>
        <w:tc>
          <w:tcPr>
            <w:tcW w:w="350" w:type="dxa"/>
            <w:vAlign w:val="bottom"/>
          </w:tcPr>
          <w:p>
            <w:pPr>
              <w:jc w:val="right"/>
              <w:spacing w:after="0"/>
              <w:rPr>
                <w:sz w:val="20"/>
                <w:szCs w:val="20"/>
                <w:color w:val="auto"/>
              </w:rPr>
            </w:pPr>
            <w:r>
              <w:rPr>
                <w:rFonts w:ascii="Arial" w:cs="Arial" w:eastAsia="Arial" w:hAnsi="Arial"/>
                <w:sz w:val="18"/>
                <w:szCs w:val="18"/>
                <w:color w:val="231F20"/>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231F20"/>
              </w:rPr>
              <w:t>1,500,000</w:t>
            </w:r>
          </w:p>
        </w:tc>
        <w:tc>
          <w:tcPr>
            <w:tcW w:w="380" w:type="dxa"/>
            <w:vAlign w:val="bottom"/>
          </w:tcPr>
          <w:p>
            <w:pPr>
              <w:ind w:left="18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231F20"/>
              </w:rPr>
              <w:t>6,000,000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8,500,000</w:t>
            </w:r>
          </w:p>
        </w:tc>
      </w:tr>
      <w:tr>
        <w:trPr>
          <w:trHeight w:val="220"/>
        </w:trPr>
        <w:tc>
          <w:tcPr>
            <w:tcW w:w="2020" w:type="dxa"/>
            <w:vAlign w:val="bottom"/>
          </w:tcPr>
          <w:p>
            <w:pPr>
              <w:spacing w:after="0"/>
              <w:rPr>
                <w:sz w:val="20"/>
                <w:szCs w:val="20"/>
                <w:color w:val="auto"/>
              </w:rPr>
            </w:pPr>
            <w:r>
              <w:rPr>
                <w:rFonts w:ascii="Arial" w:cs="Arial" w:eastAsia="Arial" w:hAnsi="Arial"/>
                <w:sz w:val="18"/>
                <w:szCs w:val="18"/>
                <w:color w:val="231F20"/>
              </w:rPr>
              <w:t>Mr. Berkes</w:t>
            </w:r>
          </w:p>
        </w:tc>
        <w:tc>
          <w:tcPr>
            <w:tcW w:w="8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231F20"/>
              </w:rPr>
              <w:t>650,000</w:t>
            </w:r>
          </w:p>
        </w:tc>
        <w:tc>
          <w:tcPr>
            <w:tcW w:w="950" w:type="dxa"/>
            <w:vAlign w:val="bottom"/>
          </w:tcPr>
          <w:p>
            <w:pPr>
              <w:jc w:val="right"/>
              <w:ind w:right="20"/>
              <w:spacing w:after="0"/>
              <w:rPr>
                <w:sz w:val="20"/>
                <w:szCs w:val="20"/>
                <w:color w:val="auto"/>
              </w:rPr>
            </w:pPr>
            <w:r>
              <w:rPr>
                <w:rFonts w:ascii="Arial" w:cs="Arial" w:eastAsia="Arial" w:hAnsi="Arial"/>
                <w:sz w:val="18"/>
                <w:szCs w:val="18"/>
                <w:color w:val="231F20"/>
              </w:rPr>
              <w:t>125%</w:t>
            </w:r>
          </w:p>
        </w:tc>
        <w:tc>
          <w:tcPr>
            <w:tcW w:w="350" w:type="dxa"/>
            <w:vAlign w:val="bottom"/>
          </w:tcPr>
          <w:p>
            <w:pPr>
              <w:jc w:val="right"/>
              <w:spacing w:after="0"/>
              <w:rPr>
                <w:sz w:val="20"/>
                <w:szCs w:val="20"/>
                <w:color w:val="auto"/>
              </w:rPr>
            </w:pPr>
            <w:r>
              <w:rPr>
                <w:rFonts w:ascii="Arial" w:cs="Arial" w:eastAsia="Arial" w:hAnsi="Arial"/>
                <w:sz w:val="18"/>
                <w:szCs w:val="18"/>
                <w:color w:val="231F20"/>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231F20"/>
              </w:rPr>
              <w:t>812,500</w:t>
            </w:r>
          </w:p>
        </w:tc>
        <w:tc>
          <w:tcPr>
            <w:tcW w:w="380" w:type="dxa"/>
            <w:vAlign w:val="bottom"/>
          </w:tcPr>
          <w:p>
            <w:pPr>
              <w:ind w:left="18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231F20"/>
              </w:rPr>
              <w:t>1,000,000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2,462,500</w:t>
            </w:r>
          </w:p>
        </w:tc>
      </w:tr>
      <w:tr>
        <w:trPr>
          <w:trHeight w:val="220"/>
        </w:trPr>
        <w:tc>
          <w:tcPr>
            <w:tcW w:w="2020" w:type="dxa"/>
            <w:vAlign w:val="bottom"/>
          </w:tcPr>
          <w:p>
            <w:pPr>
              <w:spacing w:after="0"/>
              <w:rPr>
                <w:sz w:val="20"/>
                <w:szCs w:val="20"/>
                <w:color w:val="auto"/>
              </w:rPr>
            </w:pPr>
            <w:r>
              <w:rPr>
                <w:rFonts w:ascii="Arial" w:cs="Arial" w:eastAsia="Arial" w:hAnsi="Arial"/>
                <w:sz w:val="18"/>
                <w:szCs w:val="18"/>
                <w:color w:val="231F20"/>
              </w:rPr>
              <w:t>Mr. Guglielmone</w:t>
            </w:r>
          </w:p>
        </w:tc>
        <w:tc>
          <w:tcPr>
            <w:tcW w:w="8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231F20"/>
              </w:rPr>
              <w:t>575,000</w:t>
            </w:r>
          </w:p>
        </w:tc>
        <w:tc>
          <w:tcPr>
            <w:tcW w:w="950" w:type="dxa"/>
            <w:vAlign w:val="bottom"/>
          </w:tcPr>
          <w:p>
            <w:pPr>
              <w:jc w:val="right"/>
              <w:ind w:right="20"/>
              <w:spacing w:after="0"/>
              <w:rPr>
                <w:sz w:val="20"/>
                <w:szCs w:val="20"/>
                <w:color w:val="auto"/>
              </w:rPr>
            </w:pPr>
            <w:r>
              <w:rPr>
                <w:rFonts w:ascii="Arial" w:cs="Arial" w:eastAsia="Arial" w:hAnsi="Arial"/>
                <w:sz w:val="18"/>
                <w:szCs w:val="18"/>
                <w:color w:val="231F20"/>
              </w:rPr>
              <w:t>100%</w:t>
            </w:r>
          </w:p>
        </w:tc>
        <w:tc>
          <w:tcPr>
            <w:tcW w:w="350" w:type="dxa"/>
            <w:vAlign w:val="bottom"/>
          </w:tcPr>
          <w:p>
            <w:pPr>
              <w:jc w:val="right"/>
              <w:spacing w:after="0"/>
              <w:rPr>
                <w:sz w:val="20"/>
                <w:szCs w:val="20"/>
                <w:color w:val="auto"/>
              </w:rPr>
            </w:pPr>
            <w:r>
              <w:rPr>
                <w:rFonts w:ascii="Arial" w:cs="Arial" w:eastAsia="Arial" w:hAnsi="Arial"/>
                <w:sz w:val="18"/>
                <w:szCs w:val="18"/>
                <w:color w:val="231F20"/>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231F20"/>
              </w:rPr>
              <w:t>575,000</w:t>
            </w:r>
          </w:p>
        </w:tc>
        <w:tc>
          <w:tcPr>
            <w:tcW w:w="380" w:type="dxa"/>
            <w:vAlign w:val="bottom"/>
          </w:tcPr>
          <w:p>
            <w:pPr>
              <w:ind w:left="18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231F20"/>
              </w:rPr>
              <w:t>1,000,000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2,150,000</w:t>
            </w:r>
          </w:p>
        </w:tc>
      </w:tr>
      <w:tr>
        <w:trPr>
          <w:trHeight w:val="220"/>
        </w:trPr>
        <w:tc>
          <w:tcPr>
            <w:tcW w:w="2020" w:type="dxa"/>
            <w:vAlign w:val="bottom"/>
          </w:tcPr>
          <w:p>
            <w:pPr>
              <w:spacing w:after="0"/>
              <w:rPr>
                <w:sz w:val="20"/>
                <w:szCs w:val="20"/>
                <w:color w:val="auto"/>
              </w:rPr>
            </w:pPr>
            <w:r>
              <w:rPr>
                <w:rFonts w:ascii="Arial" w:cs="Arial" w:eastAsia="Arial" w:hAnsi="Arial"/>
                <w:sz w:val="18"/>
                <w:szCs w:val="18"/>
                <w:color w:val="231F20"/>
              </w:rPr>
              <w:t>Ms. Becker</w:t>
            </w:r>
          </w:p>
        </w:tc>
        <w:tc>
          <w:tcPr>
            <w:tcW w:w="8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231F20"/>
              </w:rPr>
              <w:t>575,000</w:t>
            </w:r>
          </w:p>
        </w:tc>
        <w:tc>
          <w:tcPr>
            <w:tcW w:w="950" w:type="dxa"/>
            <w:vAlign w:val="bottom"/>
          </w:tcPr>
          <w:p>
            <w:pPr>
              <w:jc w:val="right"/>
              <w:ind w:right="20"/>
              <w:spacing w:after="0"/>
              <w:rPr>
                <w:sz w:val="20"/>
                <w:szCs w:val="20"/>
                <w:color w:val="auto"/>
              </w:rPr>
            </w:pPr>
            <w:r>
              <w:rPr>
                <w:rFonts w:ascii="Arial" w:cs="Arial" w:eastAsia="Arial" w:hAnsi="Arial"/>
                <w:sz w:val="18"/>
                <w:szCs w:val="18"/>
                <w:color w:val="231F20"/>
              </w:rPr>
              <w:t>100%</w:t>
            </w:r>
          </w:p>
        </w:tc>
        <w:tc>
          <w:tcPr>
            <w:tcW w:w="350" w:type="dxa"/>
            <w:vAlign w:val="bottom"/>
          </w:tcPr>
          <w:p>
            <w:pPr>
              <w:jc w:val="right"/>
              <w:spacing w:after="0"/>
              <w:rPr>
                <w:sz w:val="20"/>
                <w:szCs w:val="20"/>
                <w:color w:val="auto"/>
              </w:rPr>
            </w:pPr>
            <w:r>
              <w:rPr>
                <w:rFonts w:ascii="Arial" w:cs="Arial" w:eastAsia="Arial" w:hAnsi="Arial"/>
                <w:sz w:val="18"/>
                <w:szCs w:val="18"/>
                <w:color w:val="231F20"/>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231F20"/>
              </w:rPr>
              <w:t>575,000</w:t>
            </w:r>
          </w:p>
        </w:tc>
        <w:tc>
          <w:tcPr>
            <w:tcW w:w="380" w:type="dxa"/>
            <w:vAlign w:val="bottom"/>
          </w:tcPr>
          <w:p>
            <w:pPr>
              <w:ind w:left="18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231F20"/>
              </w:rPr>
              <w:t>1,000,000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2,150,000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307340</wp:posOffset>
                </wp:positionV>
                <wp:extent cx="6400800" cy="17780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52" o:spid="_x0000_s1377" style="position:absolute;margin-left:0pt;margin-top:24.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307340</wp:posOffset>
                </wp:positionV>
                <wp:extent cx="0" cy="17780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4.2pt" to="0.5pt,38.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313690</wp:posOffset>
                </wp:positionV>
                <wp:extent cx="640080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7pt" to="504pt,24.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307340</wp:posOffset>
                </wp:positionV>
                <wp:extent cx="0" cy="17780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4.2pt" to="503.5pt,38.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478790</wp:posOffset>
                </wp:positionV>
                <wp:extent cx="64008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7pt" to="504pt,37.7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332"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22</w:t>
      </w:r>
    </w:p>
    <w:p>
      <w:pPr>
        <w:sectPr>
          <w:pgSz w:w="12240" w:h="15840" w:orient="portrait"/>
          <w:cols w:equalWidth="0" w:num="1">
            <w:col w:w="10080"/>
          </w:cols>
          <w:pgMar w:left="1080" w:top="1440" w:right="1080" w:bottom="944" w:gutter="0" w:footer="0" w:header="0"/>
          <w:type w:val="continuous"/>
        </w:sectPr>
      </w:pPr>
    </w:p>
    <w:bookmarkStart w:id="142" w:name="page143"/>
    <w:bookmarkEnd w:id="142"/>
    <w:p>
      <w:pPr>
        <w:spacing w:after="0" w:line="57"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These target pay packages are heavily weighted to components that are paid based on both company and individual performance which creates significant alignment between our NEOs and shareholders.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231F20"/>
                <w:w w:val="97"/>
              </w:rPr>
              <w:t>CEO Pay</w:t>
            </w:r>
          </w:p>
        </w:tc>
        <w:tc>
          <w:tcPr>
            <w:tcW w:w="1060" w:type="dxa"/>
            <w:vAlign w:val="bottom"/>
            <w:gridSpan w:val="2"/>
          </w:tcPr>
          <w:p>
            <w:pPr>
              <w:jc w:val="center"/>
              <w:spacing w:after="0"/>
              <w:rPr>
                <w:sz w:val="20"/>
                <w:szCs w:val="20"/>
                <w:color w:val="auto"/>
              </w:rPr>
            </w:pPr>
            <w:r>
              <w:rPr>
                <w:rFonts w:ascii="Arial" w:cs="Arial" w:eastAsia="Arial" w:hAnsi="Arial"/>
                <w:sz w:val="17"/>
                <w:szCs w:val="17"/>
                <w:color w:val="231F20"/>
                <w:w w:val="98"/>
              </w:rPr>
              <w:t>Base Pay</w:t>
            </w:r>
          </w:p>
        </w:tc>
        <w:tc>
          <w:tcPr>
            <w:tcW w:w="1600" w:type="dxa"/>
            <w:vAlign w:val="bottom"/>
            <w:gridSpan w:val="2"/>
          </w:tcPr>
          <w:p>
            <w:pPr>
              <w:jc w:val="center"/>
              <w:ind w:left="175"/>
              <w:spacing w:after="0"/>
              <w:rPr>
                <w:sz w:val="20"/>
                <w:szCs w:val="20"/>
                <w:color w:val="auto"/>
              </w:rPr>
            </w:pPr>
            <w:r>
              <w:rPr>
                <w:rFonts w:ascii="Arial" w:cs="Arial" w:eastAsia="Arial" w:hAnsi="Arial"/>
                <w:sz w:val="17"/>
                <w:szCs w:val="17"/>
                <w:color w:val="231F20"/>
              </w:rPr>
              <w:t>Annual Bonus</w:t>
            </w: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jc w:val="center"/>
              <w:ind w:right="2015"/>
              <w:spacing w:after="0"/>
              <w:rPr>
                <w:sz w:val="20"/>
                <w:szCs w:val="20"/>
                <w:color w:val="auto"/>
              </w:rPr>
            </w:pPr>
            <w:r>
              <w:rPr>
                <w:rFonts w:ascii="Arial" w:cs="Arial" w:eastAsia="Arial" w:hAnsi="Arial"/>
                <w:sz w:val="17"/>
                <w:szCs w:val="17"/>
                <w:color w:val="231F20"/>
              </w:rPr>
              <w:t>Long-Term</w:t>
            </w:r>
          </w:p>
        </w:tc>
        <w:tc>
          <w:tcPr>
            <w:tcW w:w="0" w:type="dxa"/>
            <w:vAlign w:val="bottom"/>
          </w:tcPr>
          <w:p>
            <w:pPr>
              <w:spacing w:after="0"/>
              <w:rPr>
                <w:sz w:val="1"/>
                <w:szCs w:val="1"/>
                <w:color w:val="auto"/>
              </w:rPr>
            </w:pPr>
          </w:p>
        </w:tc>
      </w:tr>
      <w:tr>
        <w:trPr>
          <w:trHeight w:val="26"/>
        </w:trPr>
        <w:tc>
          <w:tcPr>
            <w:tcW w:w="11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1180" w:type="dxa"/>
            <w:vAlign w:val="bottom"/>
            <w:vMerge w:val="continue"/>
          </w:tcPr>
          <w:p>
            <w:pPr>
              <w:spacing w:after="0"/>
              <w:rPr>
                <w:sz w:val="9"/>
                <w:szCs w:val="9"/>
                <w:color w:val="auto"/>
              </w:rPr>
            </w:pPr>
          </w:p>
        </w:tc>
        <w:tc>
          <w:tcPr>
            <w:tcW w:w="800" w:type="dxa"/>
            <w:vAlign w:val="bottom"/>
            <w:vMerge w:val="restart"/>
            <w:shd w:val="clear" w:color="auto" w:fill="E6E7E8"/>
          </w:tcPr>
          <w:p>
            <w:pPr>
              <w:jc w:val="right"/>
              <w:spacing w:after="0"/>
              <w:rPr>
                <w:sz w:val="20"/>
                <w:szCs w:val="20"/>
                <w:color w:val="auto"/>
              </w:rPr>
            </w:pPr>
            <w:r>
              <w:rPr>
                <w:rFonts w:ascii="Arial" w:cs="Arial" w:eastAsia="Arial" w:hAnsi="Arial"/>
                <w:sz w:val="17"/>
                <w:szCs w:val="17"/>
                <w:b w:val="1"/>
                <w:bCs w:val="1"/>
                <w:color w:val="231F20"/>
              </w:rPr>
              <w:t>12%</w:t>
            </w:r>
          </w:p>
        </w:tc>
        <w:tc>
          <w:tcPr>
            <w:tcW w:w="260" w:type="dxa"/>
            <w:vAlign w:val="bottom"/>
            <w:tcBorders>
              <w:right w:val="single" w:sz="8" w:color="E6E7E8"/>
            </w:tcBorders>
            <w:shd w:val="clear" w:color="auto" w:fill="E6E7E8"/>
          </w:tcPr>
          <w:p>
            <w:pPr>
              <w:spacing w:after="0"/>
              <w:rPr>
                <w:sz w:val="9"/>
                <w:szCs w:val="9"/>
                <w:color w:val="auto"/>
              </w:rPr>
            </w:pPr>
          </w:p>
        </w:tc>
        <w:tc>
          <w:tcPr>
            <w:tcW w:w="1360" w:type="dxa"/>
            <w:vAlign w:val="bottom"/>
            <w:vMerge w:val="restart"/>
            <w:shd w:val="clear" w:color="auto" w:fill="D1D3D4"/>
          </w:tcPr>
          <w:p>
            <w:pPr>
              <w:jc w:val="right"/>
              <w:ind w:right="175"/>
              <w:spacing w:after="0"/>
              <w:rPr>
                <w:sz w:val="20"/>
                <w:szCs w:val="20"/>
                <w:color w:val="auto"/>
              </w:rPr>
            </w:pPr>
            <w:r>
              <w:rPr>
                <w:rFonts w:ascii="Arial" w:cs="Arial" w:eastAsia="Arial" w:hAnsi="Arial"/>
                <w:sz w:val="17"/>
                <w:szCs w:val="17"/>
                <w:b w:val="1"/>
                <w:bCs w:val="1"/>
                <w:color w:val="231F20"/>
              </w:rPr>
              <w:t>18%</w:t>
            </w:r>
          </w:p>
        </w:tc>
        <w:tc>
          <w:tcPr>
            <w:tcW w:w="240" w:type="dxa"/>
            <w:vAlign w:val="bottom"/>
            <w:shd w:val="clear" w:color="auto" w:fill="D1D3D4"/>
          </w:tcPr>
          <w:p>
            <w:pPr>
              <w:spacing w:after="0"/>
              <w:rPr>
                <w:sz w:val="9"/>
                <w:szCs w:val="9"/>
                <w:color w:val="auto"/>
              </w:rPr>
            </w:pPr>
          </w:p>
        </w:tc>
        <w:tc>
          <w:tcPr>
            <w:tcW w:w="1740" w:type="dxa"/>
            <w:vAlign w:val="bottom"/>
            <w:shd w:val="clear" w:color="auto" w:fill="EF3E2A"/>
          </w:tcPr>
          <w:p>
            <w:pPr>
              <w:spacing w:after="0"/>
              <w:rPr>
                <w:sz w:val="9"/>
                <w:szCs w:val="9"/>
                <w:color w:val="auto"/>
              </w:rPr>
            </w:pPr>
          </w:p>
        </w:tc>
        <w:tc>
          <w:tcPr>
            <w:tcW w:w="4500" w:type="dxa"/>
            <w:vAlign w:val="bottom"/>
            <w:gridSpan w:val="2"/>
            <w:vMerge w:val="restart"/>
            <w:shd w:val="clear" w:color="auto" w:fill="EF3E2A"/>
          </w:tcPr>
          <w:p>
            <w:pPr>
              <w:jc w:val="right"/>
              <w:ind w:right="2735"/>
              <w:spacing w:after="0"/>
              <w:rPr>
                <w:sz w:val="20"/>
                <w:szCs w:val="20"/>
                <w:color w:val="auto"/>
              </w:rPr>
            </w:pPr>
            <w:r>
              <w:rPr>
                <w:rFonts w:ascii="Arial" w:cs="Arial" w:eastAsia="Arial" w:hAnsi="Arial"/>
                <w:sz w:val="17"/>
                <w:szCs w:val="17"/>
                <w:b w:val="1"/>
                <w:bCs w:val="1"/>
                <w:color w:val="FFFFFF"/>
              </w:rPr>
              <w:t>70%</w:t>
            </w:r>
          </w:p>
        </w:tc>
        <w:tc>
          <w:tcPr>
            <w:tcW w:w="0" w:type="dxa"/>
            <w:vAlign w:val="bottom"/>
          </w:tcPr>
          <w:p>
            <w:pPr>
              <w:spacing w:after="0"/>
              <w:rPr>
                <w:sz w:val="1"/>
                <w:szCs w:val="1"/>
                <w:color w:val="auto"/>
              </w:rPr>
            </w:pPr>
          </w:p>
        </w:tc>
      </w:tr>
      <w:tr>
        <w:trPr>
          <w:trHeight w:val="190"/>
        </w:trPr>
        <w:tc>
          <w:tcPr>
            <w:tcW w:w="1180" w:type="dxa"/>
            <w:vAlign w:val="bottom"/>
          </w:tcPr>
          <w:p>
            <w:pPr>
              <w:jc w:val="center"/>
              <w:ind w:right="115"/>
              <w:spacing w:after="0" w:line="190" w:lineRule="exact"/>
              <w:rPr>
                <w:sz w:val="20"/>
                <w:szCs w:val="20"/>
                <w:color w:val="auto"/>
              </w:rPr>
            </w:pPr>
            <w:r>
              <w:rPr>
                <w:rFonts w:ascii="Arial" w:cs="Arial" w:eastAsia="Arial" w:hAnsi="Arial"/>
                <w:sz w:val="17"/>
                <w:szCs w:val="17"/>
                <w:b w:val="1"/>
                <w:bCs w:val="1"/>
                <w:color w:val="231F20"/>
              </w:rPr>
              <w:t>Mix</w:t>
            </w:r>
          </w:p>
        </w:tc>
        <w:tc>
          <w:tcPr>
            <w:tcW w:w="800" w:type="dxa"/>
            <w:vAlign w:val="bottom"/>
            <w:tcBorders>
              <w:bottom w:val="single" w:sz="8" w:color="E6E7E8"/>
            </w:tcBorders>
            <w:vMerge w:val="continue"/>
            <w:shd w:val="clear" w:color="auto" w:fill="E6E7E8"/>
          </w:tcPr>
          <w:p>
            <w:pPr>
              <w:spacing w:after="0"/>
              <w:rPr>
                <w:sz w:val="16"/>
                <w:szCs w:val="16"/>
                <w:color w:val="auto"/>
              </w:rPr>
            </w:pPr>
          </w:p>
        </w:tc>
        <w:tc>
          <w:tcPr>
            <w:tcW w:w="260" w:type="dxa"/>
            <w:vAlign w:val="bottom"/>
            <w:tcBorders>
              <w:bottom w:val="single" w:sz="8" w:color="E6E7E8"/>
              <w:right w:val="single" w:sz="8" w:color="E6E7E8"/>
            </w:tcBorders>
            <w:shd w:val="clear" w:color="auto" w:fill="E6E7E8"/>
          </w:tcPr>
          <w:p>
            <w:pPr>
              <w:spacing w:after="0"/>
              <w:rPr>
                <w:sz w:val="16"/>
                <w:szCs w:val="16"/>
                <w:color w:val="auto"/>
              </w:rPr>
            </w:pPr>
          </w:p>
        </w:tc>
        <w:tc>
          <w:tcPr>
            <w:tcW w:w="1360" w:type="dxa"/>
            <w:vAlign w:val="bottom"/>
            <w:tcBorders>
              <w:bottom w:val="single" w:sz="8" w:color="D1D3D4"/>
            </w:tcBorders>
            <w:vMerge w:val="continue"/>
            <w:shd w:val="clear" w:color="auto" w:fill="D1D3D4"/>
          </w:tcPr>
          <w:p>
            <w:pPr>
              <w:spacing w:after="0"/>
              <w:rPr>
                <w:sz w:val="16"/>
                <w:szCs w:val="16"/>
                <w:color w:val="auto"/>
              </w:rPr>
            </w:pPr>
          </w:p>
        </w:tc>
        <w:tc>
          <w:tcPr>
            <w:tcW w:w="240" w:type="dxa"/>
            <w:vAlign w:val="bottom"/>
            <w:tcBorders>
              <w:bottom w:val="single" w:sz="8" w:color="D1D3D4"/>
            </w:tcBorders>
            <w:shd w:val="clear" w:color="auto" w:fill="D1D3D4"/>
          </w:tcPr>
          <w:p>
            <w:pPr>
              <w:spacing w:after="0"/>
              <w:rPr>
                <w:sz w:val="16"/>
                <w:szCs w:val="16"/>
                <w:color w:val="auto"/>
              </w:rPr>
            </w:pPr>
          </w:p>
        </w:tc>
        <w:tc>
          <w:tcPr>
            <w:tcW w:w="1740" w:type="dxa"/>
            <w:vAlign w:val="bottom"/>
            <w:tcBorders>
              <w:bottom w:val="single" w:sz="8" w:color="EF3E2A"/>
            </w:tcBorders>
            <w:shd w:val="clear" w:color="auto" w:fill="EF3E2A"/>
          </w:tcPr>
          <w:p>
            <w:pPr>
              <w:spacing w:after="0"/>
              <w:rPr>
                <w:sz w:val="16"/>
                <w:szCs w:val="16"/>
                <w:color w:val="auto"/>
              </w:rPr>
            </w:pPr>
          </w:p>
        </w:tc>
        <w:tc>
          <w:tcPr>
            <w:tcW w:w="4500" w:type="dxa"/>
            <w:vAlign w:val="bottom"/>
            <w:tcBorders>
              <w:bottom w:val="single" w:sz="8" w:color="EF3E2A"/>
            </w:tcBorders>
            <w:gridSpan w:val="2"/>
            <w:vMerge w:val="continue"/>
            <w:shd w:val="clear" w:color="auto" w:fill="EF3E2A"/>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Borders>
              <w:top w:val="single" w:sz="8" w:color="231F20"/>
              <w:bottom w:val="single" w:sz="8" w:color="231F20"/>
            </w:tcBorders>
            <w:shd w:val="clear" w:color="auto" w:fill="231F20"/>
          </w:tcPr>
          <w:p>
            <w:pPr>
              <w:spacing w:after="0"/>
              <w:rPr>
                <w:sz w:val="17"/>
                <w:szCs w:val="17"/>
                <w:color w:val="auto"/>
              </w:rPr>
            </w:pPr>
          </w:p>
        </w:tc>
        <w:tc>
          <w:tcPr>
            <w:tcW w:w="240" w:type="dxa"/>
            <w:vAlign w:val="bottom"/>
            <w:tcBorders>
              <w:top w:val="single" w:sz="8" w:color="231F20"/>
              <w:bottom w:val="single" w:sz="8" w:color="231F20"/>
            </w:tcBorders>
            <w:shd w:val="clear" w:color="auto" w:fill="231F20"/>
          </w:tcPr>
          <w:p>
            <w:pPr>
              <w:spacing w:after="0"/>
              <w:rPr>
                <w:sz w:val="17"/>
                <w:szCs w:val="17"/>
                <w:color w:val="auto"/>
              </w:rPr>
            </w:pPr>
          </w:p>
        </w:tc>
        <w:tc>
          <w:tcPr>
            <w:tcW w:w="6240" w:type="dxa"/>
            <w:vAlign w:val="bottom"/>
            <w:tcBorders>
              <w:top w:val="single" w:sz="8" w:color="231F20"/>
              <w:bottom w:val="single" w:sz="8" w:color="231F20"/>
            </w:tcBorders>
            <w:gridSpan w:val="3"/>
            <w:shd w:val="clear" w:color="auto" w:fill="231F20"/>
          </w:tcPr>
          <w:p>
            <w:pPr>
              <w:ind w:left="1120"/>
              <w:spacing w:after="0"/>
              <w:rPr>
                <w:sz w:val="20"/>
                <w:szCs w:val="20"/>
                <w:color w:val="auto"/>
              </w:rPr>
            </w:pPr>
            <w:r>
              <w:rPr>
                <w:rFonts w:ascii="Arial" w:cs="Arial" w:eastAsia="Arial" w:hAnsi="Arial"/>
                <w:sz w:val="17"/>
                <w:szCs w:val="17"/>
                <w:b w:val="1"/>
                <w:bCs w:val="1"/>
                <w:color w:val="FFFFFF"/>
              </w:rPr>
              <w:t>88% Performance-Based At Risk</w:t>
            </w:r>
          </w:p>
        </w:tc>
        <w:tc>
          <w:tcPr>
            <w:tcW w:w="0" w:type="dxa"/>
            <w:vAlign w:val="bottom"/>
          </w:tcPr>
          <w:p>
            <w:pPr>
              <w:spacing w:after="0"/>
              <w:rPr>
                <w:sz w:val="1"/>
                <w:szCs w:val="1"/>
                <w:color w:val="auto"/>
              </w:rPr>
            </w:pPr>
          </w:p>
        </w:tc>
      </w:tr>
      <w:tr>
        <w:trPr>
          <w:trHeight w:val="471"/>
        </w:trPr>
        <w:tc>
          <w:tcPr>
            <w:tcW w:w="1180" w:type="dxa"/>
            <w:vAlign w:val="bottom"/>
          </w:tcPr>
          <w:p>
            <w:pPr>
              <w:jc w:val="center"/>
              <w:ind w:right="115"/>
              <w:spacing w:after="0"/>
              <w:rPr>
                <w:sz w:val="20"/>
                <w:szCs w:val="20"/>
                <w:color w:val="auto"/>
              </w:rPr>
            </w:pPr>
            <w:r>
              <w:rPr>
                <w:rFonts w:ascii="Arial" w:cs="Arial" w:eastAsia="Arial" w:hAnsi="Arial"/>
                <w:sz w:val="17"/>
                <w:szCs w:val="17"/>
                <w:b w:val="1"/>
                <w:bCs w:val="1"/>
                <w:color w:val="231F20"/>
                <w:w w:val="98"/>
              </w:rPr>
              <w:t>Average</w:t>
            </w:r>
          </w:p>
        </w:tc>
        <w:tc>
          <w:tcPr>
            <w:tcW w:w="800" w:type="dxa"/>
            <w:vAlign w:val="bottom"/>
          </w:tcPr>
          <w:p>
            <w:pPr>
              <w:spacing w:after="0"/>
              <w:rPr>
                <w:sz w:val="24"/>
                <w:szCs w:val="24"/>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7"/>
                <w:szCs w:val="17"/>
                <w:color w:val="231F20"/>
                <w:w w:val="98"/>
              </w:rPr>
              <w:t>Base Pay</w:t>
            </w:r>
          </w:p>
        </w:tc>
        <w:tc>
          <w:tcPr>
            <w:tcW w:w="1740" w:type="dxa"/>
            <w:vAlign w:val="bottom"/>
          </w:tcPr>
          <w:p>
            <w:pPr>
              <w:jc w:val="center"/>
              <w:ind w:left="515"/>
              <w:spacing w:after="0"/>
              <w:rPr>
                <w:sz w:val="20"/>
                <w:szCs w:val="20"/>
                <w:color w:val="auto"/>
              </w:rPr>
            </w:pPr>
            <w:r>
              <w:rPr>
                <w:rFonts w:ascii="Arial" w:cs="Arial" w:eastAsia="Arial" w:hAnsi="Arial"/>
                <w:sz w:val="17"/>
                <w:szCs w:val="17"/>
                <w:color w:val="231F20"/>
              </w:rPr>
              <w:t>Annual Bonus</w:t>
            </w:r>
          </w:p>
        </w:tc>
        <w:tc>
          <w:tcPr>
            <w:tcW w:w="600" w:type="dxa"/>
            <w:vAlign w:val="bottom"/>
          </w:tcPr>
          <w:p>
            <w:pPr>
              <w:spacing w:after="0"/>
              <w:rPr>
                <w:sz w:val="24"/>
                <w:szCs w:val="24"/>
                <w:color w:val="auto"/>
              </w:rPr>
            </w:pPr>
          </w:p>
        </w:tc>
        <w:tc>
          <w:tcPr>
            <w:tcW w:w="3900" w:type="dxa"/>
            <w:vAlign w:val="bottom"/>
          </w:tcPr>
          <w:p>
            <w:pPr>
              <w:jc w:val="center"/>
              <w:ind w:left="155"/>
              <w:spacing w:after="0"/>
              <w:rPr>
                <w:sz w:val="20"/>
                <w:szCs w:val="20"/>
                <w:color w:val="auto"/>
              </w:rPr>
            </w:pPr>
            <w:r>
              <w:rPr>
                <w:rFonts w:ascii="Arial" w:cs="Arial" w:eastAsia="Arial" w:hAnsi="Arial"/>
                <w:sz w:val="17"/>
                <w:szCs w:val="17"/>
                <w:color w:val="231F20"/>
                <w:w w:val="98"/>
              </w:rPr>
              <w:t>Long-Term</w:t>
            </w:r>
          </w:p>
        </w:tc>
        <w:tc>
          <w:tcPr>
            <w:tcW w:w="0" w:type="dxa"/>
            <w:vAlign w:val="bottom"/>
          </w:tcPr>
          <w:p>
            <w:pPr>
              <w:spacing w:after="0"/>
              <w:rPr>
                <w:sz w:val="1"/>
                <w:szCs w:val="1"/>
                <w:color w:val="auto"/>
              </w:rPr>
            </w:pPr>
          </w:p>
        </w:tc>
      </w:tr>
      <w:tr>
        <w:trPr>
          <w:trHeight w:val="250"/>
        </w:trPr>
        <w:tc>
          <w:tcPr>
            <w:tcW w:w="1180" w:type="dxa"/>
            <w:vAlign w:val="bottom"/>
          </w:tcPr>
          <w:p>
            <w:pPr>
              <w:jc w:val="center"/>
              <w:ind w:right="115"/>
              <w:spacing w:after="0"/>
              <w:rPr>
                <w:sz w:val="20"/>
                <w:szCs w:val="20"/>
                <w:color w:val="auto"/>
              </w:rPr>
            </w:pPr>
            <w:r>
              <w:rPr>
                <w:rFonts w:ascii="Arial" w:cs="Arial" w:eastAsia="Arial" w:hAnsi="Arial"/>
                <w:sz w:val="17"/>
                <w:szCs w:val="17"/>
                <w:b w:val="1"/>
                <w:bCs w:val="1"/>
                <w:color w:val="231F20"/>
              </w:rPr>
              <w:t>Other NEOs</w:t>
            </w:r>
          </w:p>
        </w:tc>
        <w:tc>
          <w:tcPr>
            <w:tcW w:w="80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E6E7E8"/>
              <w:right w:val="single" w:sz="8" w:color="E6E7E8"/>
            </w:tcBorders>
            <w:shd w:val="clear" w:color="auto" w:fill="E6E7E8"/>
          </w:tcPr>
          <w:p>
            <w:pPr>
              <w:spacing w:after="0"/>
              <w:rPr>
                <w:sz w:val="21"/>
                <w:szCs w:val="21"/>
                <w:color w:val="auto"/>
              </w:rPr>
            </w:pPr>
          </w:p>
        </w:tc>
        <w:tc>
          <w:tcPr>
            <w:tcW w:w="1360" w:type="dxa"/>
            <w:vAlign w:val="bottom"/>
            <w:tcBorders>
              <w:bottom w:val="single" w:sz="8" w:color="E6E7E8"/>
            </w:tcBorders>
            <w:shd w:val="clear" w:color="auto" w:fill="E6E7E8"/>
          </w:tcPr>
          <w:p>
            <w:pPr>
              <w:jc w:val="right"/>
              <w:ind w:right="935"/>
              <w:spacing w:after="0"/>
              <w:rPr>
                <w:sz w:val="20"/>
                <w:szCs w:val="20"/>
                <w:color w:val="auto"/>
              </w:rPr>
            </w:pPr>
            <w:r>
              <w:rPr>
                <w:rFonts w:ascii="Arial" w:cs="Arial" w:eastAsia="Arial" w:hAnsi="Arial"/>
                <w:sz w:val="17"/>
                <w:szCs w:val="17"/>
                <w:b w:val="1"/>
                <w:bCs w:val="1"/>
                <w:color w:val="231F20"/>
                <w:w w:val="93"/>
              </w:rPr>
              <w:t>27%</w:t>
            </w:r>
          </w:p>
        </w:tc>
        <w:tc>
          <w:tcPr>
            <w:tcW w:w="240" w:type="dxa"/>
            <w:vAlign w:val="bottom"/>
            <w:tcBorders>
              <w:bottom w:val="single" w:sz="8" w:color="D1D3D4"/>
            </w:tcBorders>
            <w:shd w:val="clear" w:color="auto" w:fill="D1D3D4"/>
          </w:tcPr>
          <w:p>
            <w:pPr>
              <w:spacing w:after="0"/>
              <w:rPr>
                <w:sz w:val="21"/>
                <w:szCs w:val="21"/>
                <w:color w:val="auto"/>
              </w:rPr>
            </w:pPr>
          </w:p>
        </w:tc>
        <w:tc>
          <w:tcPr>
            <w:tcW w:w="1740" w:type="dxa"/>
            <w:vAlign w:val="bottom"/>
            <w:tcBorders>
              <w:bottom w:val="single" w:sz="8" w:color="D1D3D4"/>
            </w:tcBorders>
            <w:shd w:val="clear" w:color="auto" w:fill="D1D3D4"/>
          </w:tcPr>
          <w:p>
            <w:pPr>
              <w:jc w:val="right"/>
              <w:ind w:right="315"/>
              <w:spacing w:after="0"/>
              <w:rPr>
                <w:sz w:val="20"/>
                <w:szCs w:val="20"/>
                <w:color w:val="auto"/>
              </w:rPr>
            </w:pPr>
            <w:r>
              <w:rPr>
                <w:rFonts w:ascii="Arial" w:cs="Arial" w:eastAsia="Arial" w:hAnsi="Arial"/>
                <w:sz w:val="17"/>
                <w:szCs w:val="17"/>
                <w:b w:val="1"/>
                <w:bCs w:val="1"/>
                <w:color w:val="231F20"/>
              </w:rPr>
              <w:t>29%</w:t>
            </w:r>
          </w:p>
        </w:tc>
        <w:tc>
          <w:tcPr>
            <w:tcW w:w="600" w:type="dxa"/>
            <w:vAlign w:val="bottom"/>
            <w:tcBorders>
              <w:bottom w:val="single" w:sz="8" w:color="D1D3D4"/>
            </w:tcBorders>
            <w:shd w:val="clear" w:color="auto" w:fill="D1D3D4"/>
          </w:tcPr>
          <w:p>
            <w:pPr>
              <w:spacing w:after="0"/>
              <w:rPr>
                <w:sz w:val="21"/>
                <w:szCs w:val="21"/>
                <w:color w:val="auto"/>
              </w:rPr>
            </w:pPr>
          </w:p>
        </w:tc>
        <w:tc>
          <w:tcPr>
            <w:tcW w:w="3900" w:type="dxa"/>
            <w:vAlign w:val="bottom"/>
            <w:tcBorders>
              <w:bottom w:val="single" w:sz="8" w:color="EF3E2A"/>
            </w:tcBorders>
            <w:shd w:val="clear" w:color="auto" w:fill="EF3E2A"/>
          </w:tcPr>
          <w:p>
            <w:pPr>
              <w:jc w:val="right"/>
              <w:ind w:right="1575"/>
              <w:spacing w:after="0"/>
              <w:rPr>
                <w:sz w:val="20"/>
                <w:szCs w:val="20"/>
                <w:color w:val="auto"/>
              </w:rPr>
            </w:pPr>
            <w:r>
              <w:rPr>
                <w:rFonts w:ascii="Arial" w:cs="Arial" w:eastAsia="Arial" w:hAnsi="Arial"/>
                <w:sz w:val="17"/>
                <w:szCs w:val="17"/>
                <w:b w:val="1"/>
                <w:bCs w:val="1"/>
                <w:color w:val="FFFFFF"/>
              </w:rPr>
              <w:t>44%</w:t>
            </w:r>
          </w:p>
        </w:tc>
        <w:tc>
          <w:tcPr>
            <w:tcW w:w="0" w:type="dxa"/>
            <w:vAlign w:val="bottom"/>
          </w:tcPr>
          <w:p>
            <w:pPr>
              <w:spacing w:after="0"/>
              <w:rPr>
                <w:sz w:val="1"/>
                <w:szCs w:val="1"/>
                <w:color w:val="auto"/>
              </w:rPr>
            </w:pPr>
          </w:p>
        </w:tc>
      </w:tr>
      <w:tr>
        <w:trPr>
          <w:trHeight w:val="154"/>
        </w:trPr>
        <w:tc>
          <w:tcPr>
            <w:tcW w:w="1180" w:type="dxa"/>
            <w:vAlign w:val="bottom"/>
          </w:tcPr>
          <w:p>
            <w:pPr>
              <w:jc w:val="center"/>
              <w:ind w:right="115"/>
              <w:spacing w:after="0" w:line="154" w:lineRule="exact"/>
              <w:rPr>
                <w:sz w:val="20"/>
                <w:szCs w:val="20"/>
                <w:color w:val="auto"/>
              </w:rPr>
            </w:pPr>
            <w:r>
              <w:rPr>
                <w:rFonts w:ascii="Arial" w:cs="Arial" w:eastAsia="Arial" w:hAnsi="Arial"/>
                <w:sz w:val="17"/>
                <w:szCs w:val="17"/>
                <w:b w:val="1"/>
                <w:bCs w:val="1"/>
                <w:color w:val="231F20"/>
                <w:w w:val="97"/>
              </w:rPr>
              <w:t>Pay Mix</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shd w:val="clear" w:color="auto" w:fill="231F20"/>
          </w:tcPr>
          <w:p>
            <w:pPr>
              <w:spacing w:after="0"/>
              <w:rPr>
                <w:sz w:val="13"/>
                <w:szCs w:val="13"/>
                <w:color w:val="auto"/>
              </w:rPr>
            </w:pPr>
          </w:p>
        </w:tc>
        <w:tc>
          <w:tcPr>
            <w:tcW w:w="1740" w:type="dxa"/>
            <w:vAlign w:val="bottom"/>
            <w:shd w:val="clear" w:color="auto" w:fill="231F20"/>
          </w:tcPr>
          <w:p>
            <w:pPr>
              <w:spacing w:after="0"/>
              <w:rPr>
                <w:sz w:val="13"/>
                <w:szCs w:val="13"/>
                <w:color w:val="auto"/>
              </w:rPr>
            </w:pPr>
          </w:p>
        </w:tc>
        <w:tc>
          <w:tcPr>
            <w:tcW w:w="4500" w:type="dxa"/>
            <w:vAlign w:val="bottom"/>
            <w:gridSpan w:val="2"/>
            <w:vMerge w:val="restart"/>
            <w:shd w:val="clear" w:color="auto" w:fill="231F20"/>
          </w:tcPr>
          <w:p>
            <w:pPr>
              <w:ind w:left="60"/>
              <w:spacing w:after="0"/>
              <w:rPr>
                <w:sz w:val="20"/>
                <w:szCs w:val="20"/>
                <w:color w:val="auto"/>
              </w:rPr>
            </w:pPr>
            <w:r>
              <w:rPr>
                <w:rFonts w:ascii="Arial" w:cs="Arial" w:eastAsia="Arial" w:hAnsi="Arial"/>
                <w:sz w:val="17"/>
                <w:szCs w:val="17"/>
                <w:b w:val="1"/>
                <w:bCs w:val="1"/>
                <w:color w:val="FFFFFF"/>
              </w:rPr>
              <w:t>73% Performance-Based At Risk</w:t>
            </w:r>
          </w:p>
        </w:tc>
        <w:tc>
          <w:tcPr>
            <w:tcW w:w="0" w:type="dxa"/>
            <w:vAlign w:val="bottom"/>
          </w:tcPr>
          <w:p>
            <w:pPr>
              <w:spacing w:after="0"/>
              <w:rPr>
                <w:sz w:val="1"/>
                <w:szCs w:val="1"/>
                <w:color w:val="auto"/>
              </w:rPr>
            </w:pPr>
          </w:p>
        </w:tc>
      </w:tr>
      <w:tr>
        <w:trPr>
          <w:trHeight w:val="90"/>
        </w:trPr>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shd w:val="clear" w:color="auto" w:fill="231F20"/>
          </w:tcPr>
          <w:p>
            <w:pPr>
              <w:spacing w:after="0"/>
              <w:rPr>
                <w:sz w:val="7"/>
                <w:szCs w:val="7"/>
                <w:color w:val="auto"/>
              </w:rPr>
            </w:pPr>
          </w:p>
        </w:tc>
        <w:tc>
          <w:tcPr>
            <w:tcW w:w="1740" w:type="dxa"/>
            <w:vAlign w:val="bottom"/>
            <w:shd w:val="clear" w:color="auto" w:fill="231F20"/>
          </w:tcPr>
          <w:p>
            <w:pPr>
              <w:spacing w:after="0"/>
              <w:rPr>
                <w:sz w:val="7"/>
                <w:szCs w:val="7"/>
                <w:color w:val="auto"/>
              </w:rPr>
            </w:pPr>
          </w:p>
        </w:tc>
        <w:tc>
          <w:tcPr>
            <w:tcW w:w="4500" w:type="dxa"/>
            <w:vAlign w:val="bottom"/>
            <w:gridSpan w:val="2"/>
            <w:vMerge w:val="continue"/>
            <w:shd w:val="clear" w:color="auto" w:fill="231F20"/>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1740" w:type="dxa"/>
            <w:vAlign w:val="bottom"/>
            <w:shd w:val="clear" w:color="auto" w:fill="231F20"/>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900" w:type="dxa"/>
            <w:vAlign w:val="bottom"/>
            <w:shd w:val="clear" w:color="auto" w:fill="231F2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INDIVIDUAL ELEMENTS OF 2023 PAY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Base Pay</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base pay level established for each of our NEOs represents a modest portion of each individual’s total compensation package and the Compensation Committee believes them to be competitive and appropriate based on market data. There were no changes to base pay made in 2023 for any of our NEOs.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Annual Bonus Program</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bonus plan is an annual cash incentive program designed to reward achievement for the current year based on achieving a level of FFO per share that the Committee has determined is necessary for the Company to achieve its business objectives for the year. The Compensation Committee has determined that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FFO per share at the beginning of each year with levels reflecting performance that ranges from acceptable at the threshold level to exceptional at the stretch level based on budgets reviewed by the entire Board. Approximately 95% of our employees participate in this annual bonus plan.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shd w:val="clear" w:color="auto" w:fill="EF3E2A"/>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right w:val="single" w:sz="8" w:color="EF3E2A"/>
            </w:tcBorders>
            <w:gridSpan w:val="3"/>
            <w:shd w:val="clear" w:color="auto" w:fill="EF3E2A"/>
          </w:tcPr>
          <w:p>
            <w:pPr>
              <w:ind w:left="1000"/>
              <w:spacing w:after="0"/>
              <w:rPr>
                <w:sz w:val="20"/>
                <w:szCs w:val="20"/>
                <w:color w:val="auto"/>
              </w:rPr>
            </w:pPr>
            <w:r>
              <w:rPr>
                <w:rFonts w:ascii="Arial" w:cs="Arial" w:eastAsia="Arial" w:hAnsi="Arial"/>
                <w:sz w:val="18"/>
                <w:szCs w:val="18"/>
                <w:b w:val="1"/>
                <w:bCs w:val="1"/>
                <w:color w:val="FFFFFF"/>
              </w:rPr>
              <w:t>Performance Levels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right w:val="single" w:sz="8" w:color="EF3E2A"/>
            </w:tcBorders>
            <w:shd w:val="clear" w:color="auto" w:fill="EF3E2A"/>
          </w:tcPr>
          <w:p>
            <w:pPr>
              <w:spacing w:after="0"/>
              <w:rPr>
                <w:sz w:val="19"/>
                <w:szCs w:val="19"/>
                <w:color w:val="auto"/>
              </w:rPr>
            </w:pPr>
          </w:p>
        </w:tc>
      </w:tr>
      <w:tr>
        <w:trPr>
          <w:trHeight w:val="257"/>
        </w:trPr>
        <w:tc>
          <w:tcPr>
            <w:tcW w:w="3980" w:type="dxa"/>
            <w:vAlign w:val="bottom"/>
            <w:tcBorders>
              <w:bottom w:val="single" w:sz="8" w:color="EF3E2A"/>
            </w:tcBorders>
            <w:shd w:val="clear" w:color="auto" w:fill="EF3E2A"/>
          </w:tcPr>
          <w:p>
            <w:pPr>
              <w:ind w:left="60"/>
              <w:spacing w:after="0"/>
              <w:rPr>
                <w:sz w:val="20"/>
                <w:szCs w:val="20"/>
                <w:color w:val="auto"/>
              </w:rPr>
            </w:pPr>
            <w:r>
              <w:rPr>
                <w:rFonts w:ascii="Arial" w:cs="Arial" w:eastAsia="Arial" w:hAnsi="Arial"/>
                <w:sz w:val="18"/>
                <w:szCs w:val="18"/>
                <w:b w:val="1"/>
                <w:bCs w:val="1"/>
                <w:color w:val="FFFFFF"/>
              </w:rPr>
              <w:t>Performance Goal</w:t>
            </w:r>
          </w:p>
        </w:tc>
        <w:tc>
          <w:tcPr>
            <w:tcW w:w="100" w:type="dxa"/>
            <w:vAlign w:val="bottom"/>
          </w:tcPr>
          <w:p>
            <w:pPr>
              <w:spacing w:after="0"/>
              <w:rPr>
                <w:sz w:val="22"/>
                <w:szCs w:val="22"/>
                <w:color w:val="auto"/>
              </w:rPr>
            </w:pPr>
          </w:p>
        </w:tc>
        <w:tc>
          <w:tcPr>
            <w:tcW w:w="1280" w:type="dxa"/>
            <w:vAlign w:val="bottom"/>
            <w:tcBorders>
              <w:bottom w:val="single" w:sz="8" w:color="EF3E2A"/>
            </w:tcBorders>
            <w:shd w:val="clear" w:color="auto" w:fill="EF3E2A"/>
          </w:tcPr>
          <w:p>
            <w:pPr>
              <w:ind w:left="200"/>
              <w:spacing w:after="0"/>
              <w:rPr>
                <w:sz w:val="20"/>
                <w:szCs w:val="20"/>
                <w:color w:val="auto"/>
              </w:rPr>
            </w:pPr>
            <w:r>
              <w:rPr>
                <w:rFonts w:ascii="Arial" w:cs="Arial" w:eastAsia="Arial" w:hAnsi="Arial"/>
                <w:sz w:val="18"/>
                <w:szCs w:val="18"/>
                <w:b w:val="1"/>
                <w:bCs w:val="1"/>
                <w:color w:val="FFFFFF"/>
              </w:rPr>
              <w:t>Threshold</w:t>
            </w:r>
          </w:p>
        </w:tc>
        <w:tc>
          <w:tcPr>
            <w:tcW w:w="960" w:type="dxa"/>
            <w:vAlign w:val="bottom"/>
            <w:tcBorders>
              <w:bottom w:val="single" w:sz="8" w:color="EF3E2A"/>
              <w:right w:val="single" w:sz="8" w:color="EF3E2A"/>
            </w:tcBorders>
            <w:shd w:val="clear" w:color="auto" w:fill="EF3E2A"/>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460" w:type="dxa"/>
            <w:vAlign w:val="bottom"/>
            <w:tcBorders>
              <w:bottom w:val="single" w:sz="8" w:color="EF3E2A"/>
              <w:right w:val="single" w:sz="8" w:color="EF3E2A"/>
            </w:tcBorders>
            <w:shd w:val="clear" w:color="auto" w:fill="EF3E2A"/>
          </w:tcPr>
          <w:p>
            <w:pPr>
              <w:jc w:val="center"/>
              <w:spacing w:after="0"/>
              <w:rPr>
                <w:sz w:val="20"/>
                <w:szCs w:val="20"/>
                <w:color w:val="auto"/>
              </w:rPr>
            </w:pPr>
            <w:r>
              <w:rPr>
                <w:rFonts w:ascii="Arial" w:cs="Arial" w:eastAsia="Arial" w:hAnsi="Arial"/>
                <w:sz w:val="18"/>
                <w:szCs w:val="18"/>
                <w:b w:val="1"/>
                <w:bCs w:val="1"/>
                <w:color w:val="FFFFFF"/>
                <w:w w:val="99"/>
              </w:rPr>
              <w:t>Stretch</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EF3E2A"/>
              <w:right w:val="single" w:sz="8" w:color="EF3E2A"/>
            </w:tcBorders>
            <w:shd w:val="clear" w:color="auto" w:fill="EF3E2A"/>
          </w:tcPr>
          <w:p>
            <w:pPr>
              <w:ind w:left="220"/>
              <w:spacing w:after="0"/>
              <w:rPr>
                <w:sz w:val="20"/>
                <w:szCs w:val="20"/>
                <w:color w:val="auto"/>
              </w:rPr>
            </w:pPr>
            <w:r>
              <w:rPr>
                <w:rFonts w:ascii="Arial" w:cs="Arial" w:eastAsia="Arial" w:hAnsi="Arial"/>
                <w:sz w:val="18"/>
                <w:szCs w:val="18"/>
                <w:b w:val="1"/>
                <w:bCs w:val="1"/>
                <w:color w:val="FFFFFF"/>
              </w:rPr>
              <w:t>Actual</w:t>
            </w:r>
          </w:p>
        </w:tc>
      </w:tr>
      <w:tr>
        <w:trPr>
          <w:trHeight w:val="260"/>
        </w:trPr>
        <w:tc>
          <w:tcPr>
            <w:tcW w:w="3980" w:type="dxa"/>
            <w:vAlign w:val="bottom"/>
            <w:tcBorders>
              <w:bottom w:val="single" w:sz="8" w:color="E6E7E8"/>
            </w:tcBorders>
            <w:shd w:val="clear" w:color="auto" w:fill="E6E7E8"/>
          </w:tcPr>
          <w:p>
            <w:pPr>
              <w:ind w:left="60"/>
              <w:spacing w:after="0"/>
              <w:rPr>
                <w:sz w:val="20"/>
                <w:szCs w:val="20"/>
                <w:color w:val="auto"/>
              </w:rPr>
            </w:pPr>
            <w:r>
              <w:rPr>
                <w:rFonts w:ascii="Arial" w:cs="Arial" w:eastAsia="Arial" w:hAnsi="Arial"/>
                <w:sz w:val="18"/>
                <w:szCs w:val="18"/>
                <w:i w:val="1"/>
                <w:iCs w:val="1"/>
                <w:color w:val="231F20"/>
              </w:rPr>
              <w:t>Payout as Percentage of Target</w:t>
            </w:r>
          </w:p>
        </w:tc>
        <w:tc>
          <w:tcPr>
            <w:tcW w:w="100" w:type="dxa"/>
            <w:vAlign w:val="bottom"/>
          </w:tcPr>
          <w:p>
            <w:pPr>
              <w:spacing w:after="0"/>
              <w:rPr>
                <w:sz w:val="22"/>
                <w:szCs w:val="22"/>
                <w:color w:val="auto"/>
              </w:rPr>
            </w:pPr>
          </w:p>
        </w:tc>
        <w:tc>
          <w:tcPr>
            <w:tcW w:w="1280" w:type="dxa"/>
            <w:vAlign w:val="bottom"/>
            <w:tcBorders>
              <w:bottom w:val="single" w:sz="8" w:color="E6E7E8"/>
            </w:tcBorders>
            <w:shd w:val="clear" w:color="auto" w:fill="E6E7E8"/>
          </w:tcPr>
          <w:p>
            <w:pPr>
              <w:jc w:val="right"/>
              <w:ind w:right="370"/>
              <w:spacing w:after="0"/>
              <w:rPr>
                <w:sz w:val="20"/>
                <w:szCs w:val="20"/>
                <w:color w:val="auto"/>
              </w:rPr>
            </w:pPr>
            <w:r>
              <w:rPr>
                <w:rFonts w:ascii="Arial" w:cs="Arial" w:eastAsia="Arial" w:hAnsi="Arial"/>
                <w:sz w:val="18"/>
                <w:szCs w:val="18"/>
                <w:i w:val="1"/>
                <w:iCs w:val="1"/>
                <w:color w:val="231F20"/>
              </w:rPr>
              <w:t>75%</w:t>
            </w:r>
          </w:p>
        </w:tc>
        <w:tc>
          <w:tcPr>
            <w:tcW w:w="960" w:type="dxa"/>
            <w:vAlign w:val="bottom"/>
            <w:tcBorders>
              <w:bottom w:val="single" w:sz="8" w:color="E6E7E8"/>
              <w:right w:val="single" w:sz="8" w:color="E6E7E8"/>
            </w:tcBorders>
            <w:shd w:val="clear" w:color="auto" w:fill="E6E7E8"/>
          </w:tcPr>
          <w:p>
            <w:pPr>
              <w:jc w:val="center"/>
              <w:spacing w:after="0"/>
              <w:rPr>
                <w:sz w:val="20"/>
                <w:szCs w:val="20"/>
                <w:color w:val="auto"/>
              </w:rPr>
            </w:pPr>
            <w:r>
              <w:rPr>
                <w:rFonts w:ascii="Arial" w:cs="Arial" w:eastAsia="Arial" w:hAnsi="Arial"/>
                <w:sz w:val="18"/>
                <w:szCs w:val="18"/>
                <w:i w:val="1"/>
                <w:iCs w:val="1"/>
                <w:color w:val="231F20"/>
                <w:w w:val="99"/>
              </w:rPr>
              <w:t>100%</w:t>
            </w:r>
          </w:p>
        </w:tc>
        <w:tc>
          <w:tcPr>
            <w:tcW w:w="1460" w:type="dxa"/>
            <w:vAlign w:val="bottom"/>
            <w:tcBorders>
              <w:bottom w:val="single" w:sz="8" w:color="E6E7E8"/>
              <w:right w:val="single" w:sz="8" w:color="E6E7E8"/>
            </w:tcBorders>
            <w:shd w:val="clear" w:color="auto" w:fill="E6E7E8"/>
          </w:tcPr>
          <w:p>
            <w:pPr>
              <w:jc w:val="center"/>
              <w:spacing w:after="0"/>
              <w:rPr>
                <w:sz w:val="20"/>
                <w:szCs w:val="20"/>
                <w:color w:val="auto"/>
              </w:rPr>
            </w:pPr>
            <w:r>
              <w:rPr>
                <w:rFonts w:ascii="Arial" w:cs="Arial" w:eastAsia="Arial" w:hAnsi="Arial"/>
                <w:sz w:val="18"/>
                <w:szCs w:val="18"/>
                <w:i w:val="1"/>
                <w:iCs w:val="1"/>
                <w:color w:val="231F20"/>
                <w:w w:val="99"/>
              </w:rPr>
              <w:t>125%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E6E7E8"/>
              <w:right w:val="single" w:sz="8" w:color="E6E7E8"/>
            </w:tcBorders>
            <w:shd w:val="clear" w:color="auto" w:fill="E6E7E8"/>
          </w:tcPr>
          <w:p>
            <w:pPr>
              <w:spacing w:after="0"/>
              <w:rPr>
                <w:sz w:val="22"/>
                <w:szCs w:val="22"/>
                <w:color w:val="auto"/>
              </w:rPr>
            </w:pPr>
          </w:p>
        </w:tc>
      </w:tr>
      <w:tr>
        <w:trPr>
          <w:trHeight w:val="266"/>
        </w:trPr>
        <w:tc>
          <w:tcPr>
            <w:tcW w:w="3980" w:type="dxa"/>
            <w:vAlign w:val="bottom"/>
          </w:tcPr>
          <w:p>
            <w:pPr>
              <w:ind w:left="60"/>
              <w:spacing w:after="0"/>
              <w:rPr>
                <w:sz w:val="20"/>
                <w:szCs w:val="20"/>
                <w:color w:val="auto"/>
              </w:rPr>
            </w:pPr>
            <w:r>
              <w:rPr>
                <w:rFonts w:ascii="Arial" w:cs="Arial" w:eastAsia="Arial" w:hAnsi="Arial"/>
                <w:sz w:val="18"/>
                <w:szCs w:val="18"/>
                <w:color w:val="231F20"/>
              </w:rPr>
              <w:t>FFO per diluted Share</w:t>
            </w:r>
          </w:p>
        </w:tc>
        <w:tc>
          <w:tcPr>
            <w:tcW w:w="1380" w:type="dxa"/>
            <w:vAlign w:val="bottom"/>
            <w:gridSpan w:val="2"/>
          </w:tcPr>
          <w:p>
            <w:pPr>
              <w:jc w:val="right"/>
              <w:ind w:right="330"/>
              <w:spacing w:after="0"/>
              <w:rPr>
                <w:sz w:val="20"/>
                <w:szCs w:val="20"/>
                <w:color w:val="auto"/>
              </w:rPr>
            </w:pPr>
            <w:r>
              <w:rPr>
                <w:rFonts w:ascii="Arial" w:cs="Arial" w:eastAsia="Arial" w:hAnsi="Arial"/>
                <w:sz w:val="18"/>
                <w:szCs w:val="18"/>
                <w:color w:val="231F20"/>
              </w:rPr>
              <w:t>$6.35</w:t>
            </w:r>
          </w:p>
        </w:tc>
        <w:tc>
          <w:tcPr>
            <w:tcW w:w="960" w:type="dxa"/>
            <w:vAlign w:val="bottom"/>
          </w:tcPr>
          <w:p>
            <w:pPr>
              <w:jc w:val="center"/>
              <w:spacing w:after="0"/>
              <w:rPr>
                <w:sz w:val="20"/>
                <w:szCs w:val="20"/>
                <w:color w:val="auto"/>
              </w:rPr>
            </w:pPr>
            <w:r>
              <w:rPr>
                <w:rFonts w:ascii="Arial" w:cs="Arial" w:eastAsia="Arial" w:hAnsi="Arial"/>
                <w:sz w:val="18"/>
                <w:szCs w:val="18"/>
                <w:color w:val="231F20"/>
              </w:rPr>
              <w:t>$6.45</w:t>
            </w:r>
          </w:p>
        </w:tc>
        <w:tc>
          <w:tcPr>
            <w:tcW w:w="1460" w:type="dxa"/>
            <w:vAlign w:val="bottom"/>
            <w:tcBorders>
              <w:bottom w:val="single" w:sz="8" w:color="231F20"/>
            </w:tcBorders>
          </w:tcPr>
          <w:p>
            <w:pPr>
              <w:jc w:val="center"/>
              <w:spacing w:after="0"/>
              <w:rPr>
                <w:sz w:val="20"/>
                <w:szCs w:val="20"/>
                <w:color w:val="auto"/>
              </w:rPr>
            </w:pPr>
            <w:r>
              <w:rPr>
                <w:rFonts w:ascii="Arial" w:cs="Arial" w:eastAsia="Arial" w:hAnsi="Arial"/>
                <w:sz w:val="18"/>
                <w:szCs w:val="18"/>
                <w:color w:val="231F20"/>
                <w:w w:val="97"/>
              </w:rPr>
              <w:t>$6.55</w:t>
            </w:r>
          </w:p>
        </w:tc>
        <w:tc>
          <w:tcPr>
            <w:tcW w:w="80" w:type="dxa"/>
            <w:vAlign w:val="bottom"/>
            <w:tcBorders>
              <w:bottom w:val="single" w:sz="8" w:color="231F20"/>
            </w:tcBorders>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Borders>
              <w:bottom w:val="single" w:sz="8" w:color="231F20"/>
            </w:tcBorders>
          </w:tcPr>
          <w:p>
            <w:pPr>
              <w:jc w:val="right"/>
              <w:ind w:right="210"/>
              <w:spacing w:after="0"/>
              <w:rPr>
                <w:sz w:val="20"/>
                <w:szCs w:val="20"/>
                <w:color w:val="auto"/>
              </w:rPr>
            </w:pPr>
            <w:r>
              <w:rPr>
                <w:rFonts w:ascii="Arial" w:cs="Arial" w:eastAsia="Arial" w:hAnsi="Arial"/>
                <w:sz w:val="18"/>
                <w:szCs w:val="18"/>
                <w:color w:val="231F20"/>
              </w:rPr>
              <w:t>$6.55</w:t>
            </w:r>
          </w:p>
        </w:tc>
      </w:tr>
      <w:tr>
        <w:trPr>
          <w:trHeight w:val="260"/>
        </w:trPr>
        <w:tc>
          <w:tcPr>
            <w:tcW w:w="3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60" w:type="dxa"/>
            <w:vAlign w:val="bottom"/>
            <w:tcBorders>
              <w:right w:val="single" w:sz="8" w:color="231F20"/>
            </w:tcBorders>
          </w:tcPr>
          <w:p>
            <w:pPr>
              <w:spacing w:after="0"/>
              <w:rPr>
                <w:sz w:val="22"/>
                <w:szCs w:val="22"/>
                <w:color w:val="auto"/>
              </w:rPr>
            </w:pPr>
          </w:p>
        </w:tc>
        <w:tc>
          <w:tcPr>
            <w:tcW w:w="146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231F20"/>
              </w:rPr>
              <w:t>Final Payout</w:t>
            </w:r>
          </w:p>
        </w:tc>
        <w:tc>
          <w:tcPr>
            <w:tcW w:w="80" w:type="dxa"/>
            <w:vAlign w:val="bottom"/>
            <w:tcBorders>
              <w:bottom w:val="single" w:sz="8" w:color="231F20"/>
            </w:tcBorders>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231F20"/>
              <w:right w:val="single" w:sz="8" w:color="231F20"/>
            </w:tcBorders>
          </w:tcPr>
          <w:p>
            <w:pPr>
              <w:jc w:val="right"/>
              <w:ind w:right="130"/>
              <w:spacing w:after="0"/>
              <w:rPr>
                <w:sz w:val="20"/>
                <w:szCs w:val="20"/>
                <w:color w:val="auto"/>
              </w:rPr>
            </w:pPr>
            <w:r>
              <w:rPr>
                <w:rFonts w:ascii="Arial" w:cs="Arial" w:eastAsia="Arial" w:hAnsi="Arial"/>
                <w:sz w:val="18"/>
                <w:szCs w:val="18"/>
                <w:b w:val="1"/>
                <w:bCs w:val="1"/>
                <w:color w:val="231F20"/>
              </w:rPr>
              <w:t>125.0%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2597150</wp:posOffset>
                </wp:positionH>
                <wp:positionV relativeFrom="paragraph">
                  <wp:posOffset>-688975</wp:posOffset>
                </wp:positionV>
                <wp:extent cx="233045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54.2499pt" to="388pt,-54.2499pt" o:allowincell="f" strokecolor="#FFFFFF" strokeweight="1pt"/>
            </w:pict>
          </mc:Fallback>
        </mc:AlternateConten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When set in February 2023, the achievement levels of FFO per share represented approximately 2% year-over-year growth at target and nearly 4% year-over-year growth at the stretch level. Consistent with other publicly traded shopping center companies, growth expectations for 2023 were muted as a result of the expected bankruptcy filing of a large anchor tenant whose rent at that time accounted for nearly 1% of our annualized base rent and approximately 1.5% of our total square footage. Our ability to deliver results at the high end of our range was primarily a result of receiving significantly more rent from the spaces occupied by that anchor tenant as well as benefits from continued strong leasing and occupancy gains.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 Company within that NEO’s area of responsibility. Based on a review of each individual’s performance and the considerations outlined in detail on pages 26-27, the Compensation Committee elected to award each of our NEOs the full amount of the individual performance portion of his/her bonus potential.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6400800" cy="17780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58" o:spid="_x0000_s1383" style="position:absolute;margin-left:0pt;margin-top:10.1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128270</wp:posOffset>
                </wp:positionV>
                <wp:extent cx="0" cy="17780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1pt" to="0.5pt,24.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40080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pt" to="504pt,10.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128270</wp:posOffset>
                </wp:positionV>
                <wp:extent cx="0" cy="17780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1pt" to="503.5pt,24.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299720</wp:posOffset>
                </wp:positionV>
                <wp:extent cx="640080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6pt" to="504pt,23.6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5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23</w:t>
      </w:r>
    </w:p>
    <w:p>
      <w:pPr>
        <w:sectPr>
          <w:pgSz w:w="12240" w:h="15840" w:orient="portrait"/>
          <w:cols w:equalWidth="0" w:num="1">
            <w:col w:w="10080"/>
          </w:cols>
          <w:pgMar w:left="1080" w:top="1440" w:right="1080" w:bottom="944"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23"/>
        </w:trPr>
        <w:tc>
          <w:tcPr>
            <w:tcW w:w="2120" w:type="dxa"/>
            <w:vAlign w:val="bottom"/>
            <w:shd w:val="clear" w:color="auto" w:fill="EF3E2A"/>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shd w:val="clear" w:color="auto" w:fill="EF3E2A"/>
          </w:tcPr>
          <w:p>
            <w:pPr>
              <w:spacing w:after="0"/>
              <w:rPr>
                <w:sz w:val="19"/>
                <w:szCs w:val="19"/>
                <w:color w:val="auto"/>
              </w:rPr>
            </w:pPr>
          </w:p>
        </w:tc>
        <w:tc>
          <w:tcPr>
            <w:tcW w:w="220" w:type="dxa"/>
            <w:vAlign w:val="bottom"/>
            <w:shd w:val="clear" w:color="auto" w:fill="EF3E2A"/>
          </w:tcPr>
          <w:p>
            <w:pPr>
              <w:spacing w:after="0"/>
              <w:rPr>
                <w:sz w:val="19"/>
                <w:szCs w:val="19"/>
                <w:color w:val="auto"/>
              </w:rPr>
            </w:pPr>
          </w:p>
        </w:tc>
        <w:tc>
          <w:tcPr>
            <w:tcW w:w="900" w:type="dxa"/>
            <w:vAlign w:val="bottom"/>
            <w:shd w:val="clear" w:color="auto" w:fill="EF3E2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EF3E2A"/>
          </w:tcPr>
          <w:p>
            <w:pPr>
              <w:spacing w:after="0"/>
              <w:rPr>
                <w:sz w:val="19"/>
                <w:szCs w:val="19"/>
                <w:color w:val="auto"/>
              </w:rPr>
            </w:pPr>
          </w:p>
        </w:tc>
        <w:tc>
          <w:tcPr>
            <w:tcW w:w="960" w:type="dxa"/>
            <w:vAlign w:val="bottom"/>
            <w:vMerge w:val="restart"/>
            <w:shd w:val="clear" w:color="auto" w:fill="EF3E2A"/>
          </w:tcPr>
          <w:p>
            <w:pPr>
              <w:jc w:val="center"/>
              <w:ind w:right="30"/>
              <w:spacing w:after="0"/>
              <w:rPr>
                <w:sz w:val="20"/>
                <w:szCs w:val="20"/>
                <w:color w:val="auto"/>
              </w:rPr>
            </w:pPr>
            <w:r>
              <w:rPr>
                <w:rFonts w:ascii="Arial" w:cs="Arial" w:eastAsia="Arial" w:hAnsi="Arial"/>
                <w:sz w:val="18"/>
                <w:szCs w:val="18"/>
                <w:b w:val="1"/>
                <w:bCs w:val="1"/>
                <w:color w:val="FFFFFF"/>
              </w:rPr>
              <w:t>Actual</w:t>
            </w:r>
          </w:p>
        </w:tc>
        <w:tc>
          <w:tcPr>
            <w:tcW w:w="100" w:type="dxa"/>
            <w:vAlign w:val="bottom"/>
          </w:tcPr>
          <w:p>
            <w:pPr>
              <w:spacing w:after="0"/>
              <w:rPr>
                <w:sz w:val="19"/>
                <w:szCs w:val="19"/>
                <w:color w:val="auto"/>
              </w:rPr>
            </w:pPr>
          </w:p>
        </w:tc>
        <w:tc>
          <w:tcPr>
            <w:tcW w:w="280" w:type="dxa"/>
            <w:vAlign w:val="bottom"/>
            <w:shd w:val="clear" w:color="auto" w:fill="EF3E2A"/>
          </w:tcPr>
          <w:p>
            <w:pPr>
              <w:spacing w:after="0"/>
              <w:rPr>
                <w:sz w:val="19"/>
                <w:szCs w:val="19"/>
                <w:color w:val="auto"/>
              </w:rPr>
            </w:pPr>
          </w:p>
        </w:tc>
        <w:tc>
          <w:tcPr>
            <w:tcW w:w="820" w:type="dxa"/>
            <w:vAlign w:val="bottom"/>
            <w:shd w:val="clear" w:color="auto" w:fill="EF3E2A"/>
          </w:tcPr>
          <w:p>
            <w:pPr>
              <w:spacing w:after="0"/>
              <w:rPr>
                <w:sz w:val="19"/>
                <w:szCs w:val="19"/>
                <w:color w:val="auto"/>
              </w:rPr>
            </w:pPr>
          </w:p>
        </w:tc>
        <w:tc>
          <w:tcPr>
            <w:tcW w:w="1420" w:type="dxa"/>
            <w:vAlign w:val="bottom"/>
            <w:gridSpan w:val="2"/>
            <w:shd w:val="clear" w:color="auto" w:fill="EF3E2A"/>
          </w:tcPr>
          <w:p>
            <w:pPr>
              <w:ind w:left="140"/>
              <w:spacing w:after="0"/>
              <w:rPr>
                <w:sz w:val="20"/>
                <w:szCs w:val="20"/>
                <w:color w:val="auto"/>
              </w:rPr>
            </w:pPr>
            <w:r>
              <w:rPr>
                <w:rFonts w:ascii="Arial" w:cs="Arial" w:eastAsia="Arial" w:hAnsi="Arial"/>
                <w:sz w:val="18"/>
                <w:szCs w:val="18"/>
                <w:b w:val="1"/>
                <w:bCs w:val="1"/>
                <w:color w:val="FFFFFF"/>
              </w:rPr>
              <w:t>Actual Earned</w:t>
            </w:r>
          </w:p>
        </w:tc>
        <w:tc>
          <w:tcPr>
            <w:tcW w:w="280" w:type="dxa"/>
            <w:vAlign w:val="bottom"/>
            <w:shd w:val="clear" w:color="auto" w:fill="EF3E2A"/>
          </w:tcPr>
          <w:p>
            <w:pPr>
              <w:spacing w:after="0"/>
              <w:rPr>
                <w:sz w:val="19"/>
                <w:szCs w:val="19"/>
                <w:color w:val="auto"/>
              </w:rPr>
            </w:pPr>
          </w:p>
        </w:tc>
        <w:tc>
          <w:tcPr>
            <w:tcW w:w="880" w:type="dxa"/>
            <w:vAlign w:val="bottom"/>
            <w:shd w:val="clear" w:color="auto" w:fill="EF3E2A"/>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120" w:type="dxa"/>
            <w:vAlign w:val="bottom"/>
            <w:shd w:val="clear" w:color="auto" w:fill="EF3E2A"/>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shd w:val="clear" w:color="auto" w:fill="EF3E2A"/>
          </w:tcPr>
          <w:p>
            <w:pPr>
              <w:spacing w:after="0"/>
              <w:rPr>
                <w:sz w:val="11"/>
                <w:szCs w:val="11"/>
                <w:color w:val="auto"/>
              </w:rPr>
            </w:pPr>
          </w:p>
        </w:tc>
        <w:tc>
          <w:tcPr>
            <w:tcW w:w="220" w:type="dxa"/>
            <w:vAlign w:val="bottom"/>
            <w:shd w:val="clear" w:color="auto" w:fill="EF3E2A"/>
          </w:tcPr>
          <w:p>
            <w:pPr>
              <w:spacing w:after="0"/>
              <w:rPr>
                <w:sz w:val="11"/>
                <w:szCs w:val="11"/>
                <w:color w:val="auto"/>
              </w:rPr>
            </w:pPr>
          </w:p>
        </w:tc>
        <w:tc>
          <w:tcPr>
            <w:tcW w:w="900" w:type="dxa"/>
            <w:vAlign w:val="bottom"/>
            <w:shd w:val="clear" w:color="auto" w:fill="EF3E2A"/>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shd w:val="clear" w:color="auto" w:fill="EF3E2A"/>
          </w:tcPr>
          <w:p>
            <w:pPr>
              <w:spacing w:after="0"/>
              <w:rPr>
                <w:sz w:val="11"/>
                <w:szCs w:val="11"/>
                <w:color w:val="auto"/>
              </w:rPr>
            </w:pPr>
          </w:p>
        </w:tc>
        <w:tc>
          <w:tcPr>
            <w:tcW w:w="960" w:type="dxa"/>
            <w:vAlign w:val="bottom"/>
            <w:vMerge w:val="continue"/>
            <w:shd w:val="clear" w:color="auto" w:fill="EF3E2A"/>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shd w:val="clear" w:color="auto" w:fill="EF3E2A"/>
          </w:tcPr>
          <w:p>
            <w:pPr>
              <w:spacing w:after="0"/>
              <w:rPr>
                <w:sz w:val="11"/>
                <w:szCs w:val="11"/>
                <w:color w:val="auto"/>
              </w:rPr>
            </w:pPr>
          </w:p>
        </w:tc>
        <w:tc>
          <w:tcPr>
            <w:tcW w:w="820" w:type="dxa"/>
            <w:vAlign w:val="bottom"/>
            <w:shd w:val="clear" w:color="auto" w:fill="EF3E2A"/>
          </w:tcPr>
          <w:p>
            <w:pPr>
              <w:spacing w:after="0"/>
              <w:rPr>
                <w:sz w:val="11"/>
                <w:szCs w:val="11"/>
                <w:color w:val="auto"/>
              </w:rPr>
            </w:pPr>
          </w:p>
        </w:tc>
        <w:tc>
          <w:tcPr>
            <w:tcW w:w="320" w:type="dxa"/>
            <w:vAlign w:val="bottom"/>
            <w:shd w:val="clear" w:color="auto" w:fill="EF3E2A"/>
          </w:tcPr>
          <w:p>
            <w:pPr>
              <w:spacing w:after="0"/>
              <w:rPr>
                <w:sz w:val="11"/>
                <w:szCs w:val="11"/>
                <w:color w:val="auto"/>
              </w:rPr>
            </w:pPr>
          </w:p>
        </w:tc>
        <w:tc>
          <w:tcPr>
            <w:tcW w:w="1100" w:type="dxa"/>
            <w:vAlign w:val="bottom"/>
            <w:shd w:val="clear" w:color="auto" w:fill="EF3E2A"/>
          </w:tcPr>
          <w:p>
            <w:pPr>
              <w:spacing w:after="0"/>
              <w:rPr>
                <w:sz w:val="11"/>
                <w:szCs w:val="11"/>
                <w:color w:val="auto"/>
              </w:rPr>
            </w:pPr>
          </w:p>
        </w:tc>
        <w:tc>
          <w:tcPr>
            <w:tcW w:w="280" w:type="dxa"/>
            <w:vAlign w:val="bottom"/>
            <w:shd w:val="clear" w:color="auto" w:fill="EF3E2A"/>
          </w:tcPr>
          <w:p>
            <w:pPr>
              <w:spacing w:after="0"/>
              <w:rPr>
                <w:sz w:val="11"/>
                <w:szCs w:val="11"/>
                <w:color w:val="auto"/>
              </w:rPr>
            </w:pPr>
          </w:p>
        </w:tc>
        <w:tc>
          <w:tcPr>
            <w:tcW w:w="880" w:type="dxa"/>
            <w:vAlign w:val="bottom"/>
            <w:shd w:val="clear" w:color="auto" w:fill="EF3E2A"/>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EF3E2A"/>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shd w:val="clear" w:color="auto" w:fill="EF3E2A"/>
          </w:tcPr>
          <w:p>
            <w:pPr>
              <w:jc w:val="right"/>
              <w:ind w:right="250"/>
              <w:spacing w:after="0" w:line="180" w:lineRule="exact"/>
              <w:rPr>
                <w:sz w:val="20"/>
                <w:szCs w:val="20"/>
                <w:color w:val="auto"/>
              </w:rPr>
            </w:pPr>
            <w:r>
              <w:rPr>
                <w:rFonts w:ascii="Arial" w:cs="Arial" w:eastAsia="Arial" w:hAnsi="Arial"/>
                <w:sz w:val="18"/>
                <w:szCs w:val="18"/>
                <w:b w:val="1"/>
                <w:bCs w:val="1"/>
                <w:color w:val="FFFFFF"/>
              </w:rPr>
              <w:t>Target</w:t>
            </w:r>
          </w:p>
        </w:tc>
        <w:tc>
          <w:tcPr>
            <w:tcW w:w="220" w:type="dxa"/>
            <w:vAlign w:val="bottom"/>
            <w:shd w:val="clear" w:color="auto" w:fill="EF3E2A"/>
          </w:tcPr>
          <w:p>
            <w:pPr>
              <w:spacing w:after="0"/>
              <w:rPr>
                <w:sz w:val="15"/>
                <w:szCs w:val="15"/>
                <w:color w:val="auto"/>
              </w:rPr>
            </w:pPr>
          </w:p>
        </w:tc>
        <w:tc>
          <w:tcPr>
            <w:tcW w:w="900" w:type="dxa"/>
            <w:vAlign w:val="bottom"/>
            <w:shd w:val="clear" w:color="auto" w:fill="EF3E2A"/>
          </w:tcPr>
          <w:p>
            <w:pPr>
              <w:jc w:val="center"/>
              <w:ind w:right="90"/>
              <w:spacing w:after="0" w:line="180" w:lineRule="exact"/>
              <w:rPr>
                <w:sz w:val="20"/>
                <w:szCs w:val="20"/>
                <w:color w:val="auto"/>
              </w:rPr>
            </w:pPr>
            <w:r>
              <w:rPr>
                <w:rFonts w:ascii="Arial" w:cs="Arial" w:eastAsia="Arial" w:hAnsi="Arial"/>
                <w:sz w:val="18"/>
                <w:szCs w:val="18"/>
                <w:b w:val="1"/>
                <w:bCs w:val="1"/>
                <w:color w:val="FFFFFF"/>
              </w:rPr>
              <w:t>Target</w:t>
            </w:r>
          </w:p>
        </w:tc>
        <w:tc>
          <w:tcPr>
            <w:tcW w:w="100" w:type="dxa"/>
            <w:vAlign w:val="bottom"/>
          </w:tcPr>
          <w:p>
            <w:pPr>
              <w:spacing w:after="0"/>
              <w:rPr>
                <w:sz w:val="15"/>
                <w:szCs w:val="15"/>
                <w:color w:val="auto"/>
              </w:rPr>
            </w:pPr>
          </w:p>
        </w:tc>
        <w:tc>
          <w:tcPr>
            <w:tcW w:w="220" w:type="dxa"/>
            <w:vAlign w:val="bottom"/>
            <w:shd w:val="clear" w:color="auto" w:fill="EF3E2A"/>
          </w:tcPr>
          <w:p>
            <w:pPr>
              <w:spacing w:after="0"/>
              <w:rPr>
                <w:sz w:val="15"/>
                <w:szCs w:val="15"/>
                <w:color w:val="auto"/>
              </w:rPr>
            </w:pPr>
          </w:p>
        </w:tc>
        <w:tc>
          <w:tcPr>
            <w:tcW w:w="960" w:type="dxa"/>
            <w:vAlign w:val="bottom"/>
            <w:shd w:val="clear" w:color="auto" w:fill="EF3E2A"/>
          </w:tcPr>
          <w:p>
            <w:pPr>
              <w:jc w:val="center"/>
              <w:ind w:right="30"/>
              <w:spacing w:after="0" w:line="180" w:lineRule="exact"/>
              <w:rPr>
                <w:sz w:val="20"/>
                <w:szCs w:val="20"/>
                <w:color w:val="auto"/>
              </w:rPr>
            </w:pPr>
            <w:r>
              <w:rPr>
                <w:rFonts w:ascii="Arial" w:cs="Arial" w:eastAsia="Arial" w:hAnsi="Arial"/>
                <w:sz w:val="18"/>
                <w:szCs w:val="18"/>
                <w:b w:val="1"/>
                <w:bCs w:val="1"/>
                <w:color w:val="FFFFFF"/>
              </w:rPr>
              <w:t>Maximum</w:t>
            </w:r>
          </w:p>
        </w:tc>
        <w:tc>
          <w:tcPr>
            <w:tcW w:w="100" w:type="dxa"/>
            <w:vAlign w:val="bottom"/>
          </w:tcPr>
          <w:p>
            <w:pPr>
              <w:spacing w:after="0"/>
              <w:rPr>
                <w:sz w:val="15"/>
                <w:szCs w:val="15"/>
                <w:color w:val="auto"/>
              </w:rPr>
            </w:pPr>
          </w:p>
        </w:tc>
        <w:tc>
          <w:tcPr>
            <w:tcW w:w="1100" w:type="dxa"/>
            <w:vAlign w:val="bottom"/>
            <w:gridSpan w:val="2"/>
            <w:shd w:val="clear" w:color="auto" w:fill="EF3E2A"/>
          </w:tcPr>
          <w:p>
            <w:pPr>
              <w:jc w:val="right"/>
              <w:ind w:right="50"/>
              <w:spacing w:after="0" w:line="180" w:lineRule="exact"/>
              <w:rPr>
                <w:sz w:val="20"/>
                <w:szCs w:val="20"/>
                <w:color w:val="auto"/>
              </w:rPr>
            </w:pPr>
            <w:r>
              <w:rPr>
                <w:rFonts w:ascii="Arial" w:cs="Arial" w:eastAsia="Arial" w:hAnsi="Arial"/>
                <w:sz w:val="18"/>
                <w:szCs w:val="18"/>
                <w:b w:val="1"/>
                <w:bCs w:val="1"/>
                <w:color w:val="FFFFFF"/>
              </w:rPr>
              <w:t>Company</w:t>
            </w:r>
          </w:p>
        </w:tc>
        <w:tc>
          <w:tcPr>
            <w:tcW w:w="320" w:type="dxa"/>
            <w:vAlign w:val="bottom"/>
            <w:shd w:val="clear" w:color="auto" w:fill="EF3E2A"/>
          </w:tcPr>
          <w:p>
            <w:pPr>
              <w:spacing w:after="0"/>
              <w:rPr>
                <w:sz w:val="15"/>
                <w:szCs w:val="15"/>
                <w:color w:val="auto"/>
              </w:rPr>
            </w:pPr>
          </w:p>
        </w:tc>
        <w:tc>
          <w:tcPr>
            <w:tcW w:w="1100" w:type="dxa"/>
            <w:vAlign w:val="bottom"/>
            <w:shd w:val="clear" w:color="auto" w:fill="EF3E2A"/>
          </w:tcPr>
          <w:p>
            <w:pPr>
              <w:jc w:val="right"/>
              <w:ind w:right="150"/>
              <w:spacing w:after="0" w:line="180" w:lineRule="exact"/>
              <w:rPr>
                <w:sz w:val="20"/>
                <w:szCs w:val="20"/>
                <w:color w:val="auto"/>
              </w:rPr>
            </w:pPr>
            <w:r>
              <w:rPr>
                <w:rFonts w:ascii="Arial" w:cs="Arial" w:eastAsia="Arial" w:hAnsi="Arial"/>
                <w:sz w:val="18"/>
                <w:szCs w:val="18"/>
                <w:b w:val="1"/>
                <w:bCs w:val="1"/>
                <w:color w:val="FFFFFF"/>
                <w:w w:val="99"/>
              </w:rPr>
              <w:t>Individual</w:t>
            </w:r>
          </w:p>
        </w:tc>
        <w:tc>
          <w:tcPr>
            <w:tcW w:w="280" w:type="dxa"/>
            <w:vAlign w:val="bottom"/>
            <w:shd w:val="clear" w:color="auto" w:fill="EF3E2A"/>
          </w:tcPr>
          <w:p>
            <w:pPr>
              <w:spacing w:after="0"/>
              <w:rPr>
                <w:sz w:val="15"/>
                <w:szCs w:val="15"/>
                <w:color w:val="auto"/>
              </w:rPr>
            </w:pPr>
          </w:p>
        </w:tc>
        <w:tc>
          <w:tcPr>
            <w:tcW w:w="880" w:type="dxa"/>
            <w:vAlign w:val="bottom"/>
            <w:shd w:val="clear" w:color="auto" w:fill="EF3E2A"/>
          </w:tcPr>
          <w:p>
            <w:pPr>
              <w:jc w:val="right"/>
              <w:ind w:right="230"/>
              <w:spacing w:after="0" w:line="180" w:lineRule="exact"/>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27"/>
        </w:trPr>
        <w:tc>
          <w:tcPr>
            <w:tcW w:w="2120" w:type="dxa"/>
            <w:vAlign w:val="bottom"/>
            <w:tcBorders>
              <w:bottom w:val="single" w:sz="8" w:color="EF3E2A"/>
            </w:tcBorders>
            <w:shd w:val="clear" w:color="auto" w:fill="EF3E2A"/>
          </w:tcPr>
          <w:p>
            <w:pPr>
              <w:ind w:left="60"/>
              <w:spacing w:after="0" w:line="203" w:lineRule="exact"/>
              <w:rPr>
                <w:sz w:val="20"/>
                <w:szCs w:val="20"/>
                <w:color w:val="auto"/>
              </w:rPr>
            </w:pPr>
            <w:r>
              <w:rPr>
                <w:rFonts w:ascii="Arial" w:cs="Arial" w:eastAsia="Arial" w:hAnsi="Arial"/>
                <w:sz w:val="18"/>
                <w:szCs w:val="18"/>
                <w:b w:val="1"/>
                <w:bCs w:val="1"/>
                <w:color w:val="FFFFFF"/>
              </w:rPr>
              <w:t>NEO</w:t>
            </w:r>
          </w:p>
        </w:tc>
        <w:tc>
          <w:tcPr>
            <w:tcW w:w="100" w:type="dxa"/>
            <w:vAlign w:val="bottom"/>
          </w:tcPr>
          <w:p>
            <w:pPr>
              <w:spacing w:after="0"/>
              <w:rPr>
                <w:sz w:val="19"/>
                <w:szCs w:val="19"/>
                <w:color w:val="auto"/>
              </w:rPr>
            </w:pPr>
          </w:p>
        </w:tc>
        <w:tc>
          <w:tcPr>
            <w:tcW w:w="1280" w:type="dxa"/>
            <w:vAlign w:val="bottom"/>
            <w:tcBorders>
              <w:bottom w:val="single" w:sz="8" w:color="EF3E2A"/>
            </w:tcBorders>
            <w:shd w:val="clear" w:color="auto" w:fill="EF3E2A"/>
          </w:tcPr>
          <w:p>
            <w:pPr>
              <w:jc w:val="right"/>
              <w:spacing w:after="0" w:line="203" w:lineRule="exact"/>
              <w:rPr>
                <w:sz w:val="20"/>
                <w:szCs w:val="20"/>
                <w:color w:val="auto"/>
              </w:rPr>
            </w:pPr>
            <w:r>
              <w:rPr>
                <w:rFonts w:ascii="Arial" w:cs="Arial" w:eastAsia="Arial" w:hAnsi="Arial"/>
                <w:sz w:val="18"/>
                <w:szCs w:val="18"/>
                <w:b w:val="1"/>
                <w:bCs w:val="1"/>
                <w:color w:val="FFFFFF"/>
              </w:rPr>
              <w:t>(% Base Pay)</w:t>
            </w:r>
          </w:p>
        </w:tc>
        <w:tc>
          <w:tcPr>
            <w:tcW w:w="220" w:type="dxa"/>
            <w:vAlign w:val="bottom"/>
            <w:tcBorders>
              <w:bottom w:val="single" w:sz="8" w:color="EF3E2A"/>
            </w:tcBorders>
            <w:shd w:val="clear" w:color="auto" w:fill="EF3E2A"/>
          </w:tcPr>
          <w:p>
            <w:pPr>
              <w:spacing w:after="0"/>
              <w:rPr>
                <w:sz w:val="19"/>
                <w:szCs w:val="19"/>
                <w:color w:val="auto"/>
              </w:rPr>
            </w:pPr>
          </w:p>
        </w:tc>
        <w:tc>
          <w:tcPr>
            <w:tcW w:w="900" w:type="dxa"/>
            <w:vAlign w:val="bottom"/>
            <w:tcBorders>
              <w:bottom w:val="single" w:sz="8" w:color="EF3E2A"/>
            </w:tcBorders>
            <w:shd w:val="clear" w:color="auto" w:fill="EF3E2A"/>
          </w:tcPr>
          <w:p>
            <w:pPr>
              <w:jc w:val="right"/>
              <w:ind w:right="330"/>
              <w:spacing w:after="0" w:line="203" w:lineRule="exact"/>
              <w:rPr>
                <w:sz w:val="20"/>
                <w:szCs w:val="20"/>
                <w:color w:val="auto"/>
              </w:rPr>
            </w:pPr>
            <w:r>
              <w:rPr>
                <w:rFonts w:ascii="Arial" w:cs="Arial" w:eastAsia="Arial" w:hAnsi="Arial"/>
                <w:sz w:val="18"/>
                <w:szCs w:val="18"/>
                <w:b w:val="1"/>
                <w:bCs w:val="1"/>
                <w:color w:val="FFFFFF"/>
              </w:rPr>
              <w:t>($)</w:t>
            </w:r>
          </w:p>
        </w:tc>
        <w:tc>
          <w:tcPr>
            <w:tcW w:w="100" w:type="dxa"/>
            <w:vAlign w:val="bottom"/>
          </w:tcPr>
          <w:p>
            <w:pPr>
              <w:spacing w:after="0"/>
              <w:rPr>
                <w:sz w:val="19"/>
                <w:szCs w:val="19"/>
                <w:color w:val="auto"/>
              </w:rPr>
            </w:pPr>
          </w:p>
        </w:tc>
        <w:tc>
          <w:tcPr>
            <w:tcW w:w="220" w:type="dxa"/>
            <w:vAlign w:val="bottom"/>
            <w:tcBorders>
              <w:bottom w:val="single" w:sz="8" w:color="EF3E2A"/>
            </w:tcBorders>
            <w:shd w:val="clear" w:color="auto" w:fill="EF3E2A"/>
          </w:tcPr>
          <w:p>
            <w:pPr>
              <w:spacing w:after="0"/>
              <w:rPr>
                <w:sz w:val="19"/>
                <w:szCs w:val="19"/>
                <w:color w:val="auto"/>
              </w:rPr>
            </w:pPr>
          </w:p>
        </w:tc>
        <w:tc>
          <w:tcPr>
            <w:tcW w:w="960" w:type="dxa"/>
            <w:vAlign w:val="bottom"/>
            <w:tcBorders>
              <w:bottom w:val="single" w:sz="8" w:color="EF3E2A"/>
            </w:tcBorders>
            <w:shd w:val="clear" w:color="auto" w:fill="EF3E2A"/>
          </w:tcPr>
          <w:p>
            <w:pPr>
              <w:jc w:val="center"/>
              <w:ind w:right="30"/>
              <w:spacing w:after="0" w:line="203" w:lineRule="exact"/>
              <w:rPr>
                <w:sz w:val="20"/>
                <w:szCs w:val="20"/>
                <w:color w:val="auto"/>
              </w:rPr>
            </w:pPr>
            <w:r>
              <w:rPr>
                <w:rFonts w:ascii="Arial" w:cs="Arial" w:eastAsia="Arial" w:hAnsi="Arial"/>
                <w:sz w:val="18"/>
                <w:szCs w:val="18"/>
                <w:b w:val="1"/>
                <w:bCs w:val="1"/>
                <w:color w:val="FFFFFF"/>
                <w:w w:val="99"/>
              </w:rPr>
              <w:t>Payout</w:t>
            </w:r>
          </w:p>
        </w:tc>
        <w:tc>
          <w:tcPr>
            <w:tcW w:w="100" w:type="dxa"/>
            <w:vAlign w:val="bottom"/>
          </w:tcPr>
          <w:p>
            <w:pPr>
              <w:spacing w:after="0"/>
              <w:rPr>
                <w:sz w:val="19"/>
                <w:szCs w:val="19"/>
                <w:color w:val="auto"/>
              </w:rPr>
            </w:pPr>
          </w:p>
        </w:tc>
        <w:tc>
          <w:tcPr>
            <w:tcW w:w="1100" w:type="dxa"/>
            <w:vAlign w:val="bottom"/>
            <w:tcBorders>
              <w:bottom w:val="single" w:sz="8" w:color="EF3E2A"/>
            </w:tcBorders>
            <w:gridSpan w:val="2"/>
            <w:shd w:val="clear" w:color="auto" w:fill="EF3E2A"/>
          </w:tcPr>
          <w:p>
            <w:pPr>
              <w:jc w:val="right"/>
              <w:spacing w:after="0" w:line="203" w:lineRule="exact"/>
              <w:rPr>
                <w:sz w:val="20"/>
                <w:szCs w:val="20"/>
                <w:color w:val="auto"/>
              </w:rPr>
            </w:pPr>
            <w:r>
              <w:rPr>
                <w:rFonts w:ascii="Arial" w:cs="Arial" w:eastAsia="Arial" w:hAnsi="Arial"/>
                <w:sz w:val="18"/>
                <w:szCs w:val="18"/>
                <w:b w:val="1"/>
                <w:bCs w:val="1"/>
                <w:color w:val="FFFFFF"/>
                <w:w w:val="98"/>
              </w:rPr>
              <w:t>Performance</w:t>
            </w:r>
          </w:p>
        </w:tc>
        <w:tc>
          <w:tcPr>
            <w:tcW w:w="1420" w:type="dxa"/>
            <w:vAlign w:val="bottom"/>
            <w:tcBorders>
              <w:bottom w:val="single" w:sz="8" w:color="EF3E2A"/>
            </w:tcBorders>
            <w:gridSpan w:val="2"/>
            <w:shd w:val="clear" w:color="auto" w:fill="EF3E2A"/>
          </w:tcPr>
          <w:p>
            <w:pPr>
              <w:ind w:left="200"/>
              <w:spacing w:after="0" w:line="203" w:lineRule="exact"/>
              <w:rPr>
                <w:sz w:val="20"/>
                <w:szCs w:val="20"/>
                <w:color w:val="auto"/>
              </w:rPr>
            </w:pPr>
            <w:r>
              <w:rPr>
                <w:rFonts w:ascii="Arial" w:cs="Arial" w:eastAsia="Arial" w:hAnsi="Arial"/>
                <w:sz w:val="18"/>
                <w:szCs w:val="18"/>
                <w:b w:val="1"/>
                <w:bCs w:val="1"/>
                <w:color w:val="FFFFFF"/>
              </w:rPr>
              <w:t>Performance</w:t>
            </w:r>
          </w:p>
        </w:tc>
        <w:tc>
          <w:tcPr>
            <w:tcW w:w="280" w:type="dxa"/>
            <w:vAlign w:val="bottom"/>
            <w:tcBorders>
              <w:bottom w:val="single" w:sz="8" w:color="EF3E2A"/>
            </w:tcBorders>
            <w:shd w:val="clear" w:color="auto" w:fill="EF3E2A"/>
          </w:tcPr>
          <w:p>
            <w:pPr>
              <w:spacing w:after="0"/>
              <w:rPr>
                <w:sz w:val="19"/>
                <w:szCs w:val="19"/>
                <w:color w:val="auto"/>
              </w:rPr>
            </w:pPr>
          </w:p>
        </w:tc>
        <w:tc>
          <w:tcPr>
            <w:tcW w:w="880" w:type="dxa"/>
            <w:vAlign w:val="bottom"/>
            <w:tcBorders>
              <w:bottom w:val="single" w:sz="8" w:color="EF3E2A"/>
            </w:tcBorders>
            <w:shd w:val="clear" w:color="auto" w:fill="EF3E2A"/>
          </w:tcPr>
          <w:p>
            <w:pPr>
              <w:jc w:val="right"/>
              <w:ind w:right="250"/>
              <w:spacing w:after="0" w:line="203" w:lineRule="exact"/>
              <w:rPr>
                <w:sz w:val="20"/>
                <w:szCs w:val="20"/>
                <w:color w:val="auto"/>
              </w:rPr>
            </w:pPr>
            <w:r>
              <w:rPr>
                <w:rFonts w:ascii="Arial" w:cs="Arial" w:eastAsia="Arial" w:hAnsi="Arial"/>
                <w:sz w:val="18"/>
                <w:szCs w:val="18"/>
                <w:b w:val="1"/>
                <w:bCs w:val="1"/>
                <w:color w:val="FFFFFF"/>
              </w:rPr>
              <w:t>Paid</w:t>
            </w:r>
          </w:p>
        </w:tc>
        <w:tc>
          <w:tcPr>
            <w:tcW w:w="0" w:type="dxa"/>
            <w:vAlign w:val="bottom"/>
          </w:tcPr>
          <w:p>
            <w:pPr>
              <w:spacing w:after="0"/>
              <w:rPr>
                <w:sz w:val="1"/>
                <w:szCs w:val="1"/>
                <w:color w:val="auto"/>
              </w:rPr>
            </w:pPr>
          </w:p>
        </w:tc>
      </w:tr>
      <w:tr>
        <w:trPr>
          <w:trHeight w:val="256"/>
        </w:trPr>
        <w:tc>
          <w:tcPr>
            <w:tcW w:w="2220" w:type="dxa"/>
            <w:vAlign w:val="bottom"/>
            <w:gridSpan w:val="2"/>
          </w:tcPr>
          <w:p>
            <w:pPr>
              <w:ind w:left="60"/>
              <w:spacing w:after="0"/>
              <w:rPr>
                <w:sz w:val="20"/>
                <w:szCs w:val="20"/>
                <w:color w:val="auto"/>
              </w:rPr>
            </w:pPr>
            <w:r>
              <w:rPr>
                <w:rFonts w:ascii="Arial" w:cs="Arial" w:eastAsia="Arial" w:hAnsi="Arial"/>
                <w:sz w:val="18"/>
                <w:szCs w:val="18"/>
                <w:color w:val="231F20"/>
              </w:rPr>
              <w:t>Mr. Wood</w:t>
            </w:r>
          </w:p>
        </w:tc>
        <w:tc>
          <w:tcPr>
            <w:tcW w:w="1280" w:type="dxa"/>
            <w:vAlign w:val="bottom"/>
          </w:tcPr>
          <w:p>
            <w:pPr>
              <w:jc w:val="right"/>
              <w:ind w:right="230"/>
              <w:spacing w:after="0"/>
              <w:rPr>
                <w:sz w:val="20"/>
                <w:szCs w:val="20"/>
                <w:color w:val="auto"/>
              </w:rPr>
            </w:pPr>
            <w:r>
              <w:rPr>
                <w:rFonts w:ascii="Arial" w:cs="Arial" w:eastAsia="Arial" w:hAnsi="Arial"/>
                <w:sz w:val="18"/>
                <w:szCs w:val="18"/>
                <w:color w:val="231F20"/>
              </w:rPr>
              <w:t>150%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231F20"/>
              </w:rPr>
              <w:t>1,500,000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1,875,000</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20" w:type="dxa"/>
            <w:vAlign w:val="bottom"/>
          </w:tcPr>
          <w:p>
            <w:pPr>
              <w:jc w:val="right"/>
              <w:spacing w:after="0"/>
              <w:rPr>
                <w:sz w:val="20"/>
                <w:szCs w:val="20"/>
                <w:color w:val="auto"/>
              </w:rPr>
            </w:pPr>
            <w:r>
              <w:rPr>
                <w:rFonts w:ascii="Arial" w:cs="Arial" w:eastAsia="Arial" w:hAnsi="Arial"/>
                <w:sz w:val="18"/>
                <w:szCs w:val="18"/>
                <w:color w:val="231F20"/>
              </w:rPr>
              <w:t>468,750</w:t>
            </w:r>
          </w:p>
        </w:tc>
        <w:tc>
          <w:tcPr>
            <w:tcW w:w="320" w:type="dxa"/>
            <w:vAlign w:val="bottom"/>
          </w:tcPr>
          <w:p>
            <w:pPr>
              <w:ind w:left="22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231F20"/>
              </w:rPr>
              <w:t>1,406,250</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1,875,000</w:t>
            </w:r>
          </w:p>
        </w:tc>
        <w:tc>
          <w:tcPr>
            <w:tcW w:w="0" w:type="dxa"/>
            <w:vAlign w:val="bottom"/>
          </w:tcPr>
          <w:p>
            <w:pPr>
              <w:spacing w:after="0"/>
              <w:rPr>
                <w:sz w:val="1"/>
                <w:szCs w:val="1"/>
                <w:color w:val="auto"/>
              </w:rPr>
            </w:pPr>
          </w:p>
        </w:tc>
      </w:tr>
      <w:tr>
        <w:trPr>
          <w:trHeight w:val="220"/>
        </w:trPr>
        <w:tc>
          <w:tcPr>
            <w:tcW w:w="2220" w:type="dxa"/>
            <w:vAlign w:val="bottom"/>
            <w:gridSpan w:val="2"/>
          </w:tcPr>
          <w:p>
            <w:pPr>
              <w:ind w:left="60"/>
              <w:spacing w:after="0"/>
              <w:rPr>
                <w:sz w:val="20"/>
                <w:szCs w:val="20"/>
                <w:color w:val="auto"/>
              </w:rPr>
            </w:pPr>
            <w:r>
              <w:rPr>
                <w:rFonts w:ascii="Arial" w:cs="Arial" w:eastAsia="Arial" w:hAnsi="Arial"/>
                <w:sz w:val="18"/>
                <w:szCs w:val="18"/>
                <w:color w:val="231F20"/>
              </w:rPr>
              <w:t>Mr. Berkes</w:t>
            </w:r>
          </w:p>
        </w:tc>
        <w:tc>
          <w:tcPr>
            <w:tcW w:w="1280" w:type="dxa"/>
            <w:vAlign w:val="bottom"/>
          </w:tcPr>
          <w:p>
            <w:pPr>
              <w:jc w:val="right"/>
              <w:ind w:right="230"/>
              <w:spacing w:after="0"/>
              <w:rPr>
                <w:sz w:val="20"/>
                <w:szCs w:val="20"/>
                <w:color w:val="auto"/>
              </w:rPr>
            </w:pPr>
            <w:r>
              <w:rPr>
                <w:rFonts w:ascii="Arial" w:cs="Arial" w:eastAsia="Arial" w:hAnsi="Arial"/>
                <w:sz w:val="18"/>
                <w:szCs w:val="18"/>
                <w:color w:val="231F20"/>
              </w:rPr>
              <w:t>125%</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231F20"/>
              </w:rPr>
              <w:t>812,500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1,015,625</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20" w:type="dxa"/>
            <w:vAlign w:val="bottom"/>
          </w:tcPr>
          <w:p>
            <w:pPr>
              <w:jc w:val="right"/>
              <w:spacing w:after="0"/>
              <w:rPr>
                <w:sz w:val="20"/>
                <w:szCs w:val="20"/>
                <w:color w:val="auto"/>
              </w:rPr>
            </w:pPr>
            <w:r>
              <w:rPr>
                <w:rFonts w:ascii="Arial" w:cs="Arial" w:eastAsia="Arial" w:hAnsi="Arial"/>
                <w:sz w:val="18"/>
                <w:szCs w:val="18"/>
                <w:color w:val="231F20"/>
              </w:rPr>
              <w:t>253,906</w:t>
            </w:r>
          </w:p>
        </w:tc>
        <w:tc>
          <w:tcPr>
            <w:tcW w:w="320" w:type="dxa"/>
            <w:vAlign w:val="bottom"/>
          </w:tcPr>
          <w:p>
            <w:pPr>
              <w:ind w:left="22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231F20"/>
              </w:rPr>
              <w:t>761,719</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1,015,625</w:t>
            </w:r>
          </w:p>
        </w:tc>
        <w:tc>
          <w:tcPr>
            <w:tcW w:w="0" w:type="dxa"/>
            <w:vAlign w:val="bottom"/>
          </w:tcPr>
          <w:p>
            <w:pPr>
              <w:spacing w:after="0"/>
              <w:rPr>
                <w:sz w:val="1"/>
                <w:szCs w:val="1"/>
                <w:color w:val="auto"/>
              </w:rPr>
            </w:pPr>
          </w:p>
        </w:tc>
      </w:tr>
      <w:tr>
        <w:trPr>
          <w:trHeight w:val="220"/>
        </w:trPr>
        <w:tc>
          <w:tcPr>
            <w:tcW w:w="2220" w:type="dxa"/>
            <w:vAlign w:val="bottom"/>
            <w:gridSpan w:val="2"/>
          </w:tcPr>
          <w:p>
            <w:pPr>
              <w:ind w:left="60"/>
              <w:spacing w:after="0"/>
              <w:rPr>
                <w:sz w:val="20"/>
                <w:szCs w:val="20"/>
                <w:color w:val="auto"/>
              </w:rPr>
            </w:pPr>
            <w:r>
              <w:rPr>
                <w:rFonts w:ascii="Arial" w:cs="Arial" w:eastAsia="Arial" w:hAnsi="Arial"/>
                <w:sz w:val="18"/>
                <w:szCs w:val="18"/>
                <w:color w:val="231F20"/>
              </w:rPr>
              <w:t>Mr. Guglielmone</w:t>
            </w:r>
          </w:p>
        </w:tc>
        <w:tc>
          <w:tcPr>
            <w:tcW w:w="1280" w:type="dxa"/>
            <w:vAlign w:val="bottom"/>
          </w:tcPr>
          <w:p>
            <w:pPr>
              <w:jc w:val="right"/>
              <w:ind w:right="230"/>
              <w:spacing w:after="0"/>
              <w:rPr>
                <w:sz w:val="20"/>
                <w:szCs w:val="20"/>
                <w:color w:val="auto"/>
              </w:rPr>
            </w:pPr>
            <w:r>
              <w:rPr>
                <w:rFonts w:ascii="Arial" w:cs="Arial" w:eastAsia="Arial" w:hAnsi="Arial"/>
                <w:sz w:val="18"/>
                <w:szCs w:val="18"/>
                <w:color w:val="231F20"/>
              </w:rPr>
              <w:t>100%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231F20"/>
              </w:rPr>
              <w:t>575,000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718,750</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20" w:type="dxa"/>
            <w:vAlign w:val="bottom"/>
          </w:tcPr>
          <w:p>
            <w:pPr>
              <w:jc w:val="right"/>
              <w:spacing w:after="0"/>
              <w:rPr>
                <w:sz w:val="20"/>
                <w:szCs w:val="20"/>
                <w:color w:val="auto"/>
              </w:rPr>
            </w:pPr>
            <w:r>
              <w:rPr>
                <w:rFonts w:ascii="Arial" w:cs="Arial" w:eastAsia="Arial" w:hAnsi="Arial"/>
                <w:sz w:val="18"/>
                <w:szCs w:val="18"/>
                <w:color w:val="231F20"/>
              </w:rPr>
              <w:t>179,688</w:t>
            </w:r>
          </w:p>
        </w:tc>
        <w:tc>
          <w:tcPr>
            <w:tcW w:w="320" w:type="dxa"/>
            <w:vAlign w:val="bottom"/>
          </w:tcPr>
          <w:p>
            <w:pPr>
              <w:ind w:left="22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231F20"/>
              </w:rPr>
              <w:t>539,063</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718,750</w:t>
            </w:r>
          </w:p>
        </w:tc>
        <w:tc>
          <w:tcPr>
            <w:tcW w:w="0" w:type="dxa"/>
            <w:vAlign w:val="bottom"/>
          </w:tcPr>
          <w:p>
            <w:pPr>
              <w:spacing w:after="0"/>
              <w:rPr>
                <w:sz w:val="1"/>
                <w:szCs w:val="1"/>
                <w:color w:val="auto"/>
              </w:rPr>
            </w:pPr>
          </w:p>
        </w:tc>
      </w:tr>
      <w:tr>
        <w:trPr>
          <w:trHeight w:val="220"/>
        </w:trPr>
        <w:tc>
          <w:tcPr>
            <w:tcW w:w="2220" w:type="dxa"/>
            <w:vAlign w:val="bottom"/>
            <w:gridSpan w:val="2"/>
          </w:tcPr>
          <w:p>
            <w:pPr>
              <w:ind w:left="60"/>
              <w:spacing w:after="0"/>
              <w:rPr>
                <w:sz w:val="20"/>
                <w:szCs w:val="20"/>
                <w:color w:val="auto"/>
              </w:rPr>
            </w:pPr>
            <w:r>
              <w:rPr>
                <w:rFonts w:ascii="Arial" w:cs="Arial" w:eastAsia="Arial" w:hAnsi="Arial"/>
                <w:sz w:val="18"/>
                <w:szCs w:val="18"/>
                <w:color w:val="231F20"/>
              </w:rPr>
              <w:t>Ms. Becker</w:t>
            </w:r>
          </w:p>
        </w:tc>
        <w:tc>
          <w:tcPr>
            <w:tcW w:w="1280" w:type="dxa"/>
            <w:vAlign w:val="bottom"/>
          </w:tcPr>
          <w:p>
            <w:pPr>
              <w:jc w:val="right"/>
              <w:ind w:right="230"/>
              <w:spacing w:after="0"/>
              <w:rPr>
                <w:sz w:val="20"/>
                <w:szCs w:val="20"/>
                <w:color w:val="auto"/>
              </w:rPr>
            </w:pPr>
            <w:r>
              <w:rPr>
                <w:rFonts w:ascii="Arial" w:cs="Arial" w:eastAsia="Arial" w:hAnsi="Arial"/>
                <w:sz w:val="18"/>
                <w:szCs w:val="18"/>
                <w:color w:val="231F20"/>
              </w:rPr>
              <w:t>100%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231F20"/>
              </w:rPr>
              <w:t>575,000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718,750</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20" w:type="dxa"/>
            <w:vAlign w:val="bottom"/>
          </w:tcPr>
          <w:p>
            <w:pPr>
              <w:jc w:val="right"/>
              <w:spacing w:after="0"/>
              <w:rPr>
                <w:sz w:val="20"/>
                <w:szCs w:val="20"/>
                <w:color w:val="auto"/>
              </w:rPr>
            </w:pPr>
            <w:r>
              <w:rPr>
                <w:rFonts w:ascii="Arial" w:cs="Arial" w:eastAsia="Arial" w:hAnsi="Arial"/>
                <w:sz w:val="18"/>
                <w:szCs w:val="18"/>
                <w:color w:val="231F20"/>
              </w:rPr>
              <w:t>179,688</w:t>
            </w:r>
          </w:p>
        </w:tc>
        <w:tc>
          <w:tcPr>
            <w:tcW w:w="320" w:type="dxa"/>
            <w:vAlign w:val="bottom"/>
          </w:tcPr>
          <w:p>
            <w:pPr>
              <w:ind w:left="22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231F20"/>
              </w:rPr>
              <w:t>539,063</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718,750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3810000</wp:posOffset>
                </wp:positionH>
                <wp:positionV relativeFrom="paragraph">
                  <wp:posOffset>-917575</wp:posOffset>
                </wp:positionV>
                <wp:extent cx="233680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68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pt,-72.2499pt" to="484pt,-72.2499pt" o:allowincell="f" strokecolor="#FFFFFF" strokeweight="1pt"/>
            </w:pict>
          </mc:Fallback>
        </mc:AlternateConten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2023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In addition to the annual bonus, the Committee awarded a one-time, cash bonus of $150,000 to Mr. Guglielmone in recognition of his tremendous efforts to raise capital in a difficult market in order to refinance maturing debt in creative, cost effective ways that position the company for growth over the next several years.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Long-Term Incentive Program</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91440</wp:posOffset>
                </wp:positionV>
                <wp:extent cx="2286000" cy="20320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203200"/>
                        </a:xfrm>
                        <a:prstGeom prst="rect">
                          <a:avLst/>
                        </a:prstGeom>
                        <a:solidFill>
                          <a:srgbClr val="EF3E2A"/>
                        </a:solidFill>
                      </wps:spPr>
                      <wps:bodyPr/>
                    </wps:wsp>
                  </a:graphicData>
                </a:graphic>
              </wp:anchor>
            </w:drawing>
          </mc:Choice>
          <mc:Fallback>
            <w:pict>
              <v:rect id="Shape 364" o:spid="_x0000_s1389" style="position:absolute;margin-left:0pt;margin-top:7.2pt;width:180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mc:AlternateContent>
          <mc:Choice Requires="wps">
            <w:drawing>
              <wp:anchor simplePos="0" relativeHeight="251657728" behindDoc="1" locked="0" layoutInCell="0" allowOverlap="1">
                <wp:simplePos x="0" y="0"/>
                <wp:positionH relativeFrom="column">
                  <wp:posOffset>2413000</wp:posOffset>
                </wp:positionH>
                <wp:positionV relativeFrom="paragraph">
                  <wp:posOffset>91440</wp:posOffset>
                </wp:positionV>
                <wp:extent cx="3987800" cy="20320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7800" cy="203200"/>
                        </a:xfrm>
                        <a:prstGeom prst="rect">
                          <a:avLst/>
                        </a:prstGeom>
                        <a:solidFill>
                          <a:srgbClr val="EF3E2A"/>
                        </a:solidFill>
                      </wps:spPr>
                      <wps:bodyPr/>
                    </wps:wsp>
                  </a:graphicData>
                </a:graphic>
              </wp:anchor>
            </w:drawing>
          </mc:Choice>
          <mc:Fallback>
            <w:pict>
              <v:rect id="Shape 365" o:spid="_x0000_s1390" style="position:absolute;margin-left:190pt;margin-top:7.2pt;width:314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20"/>
                <w:szCs w:val="20"/>
                <w:b w:val="1"/>
                <w:bCs w:val="1"/>
                <w:color w:val="FFFFFF"/>
              </w:rPr>
              <w:t>Plan Metric</w:t>
            </w:r>
          </w:p>
        </w:tc>
        <w:tc>
          <w:tcPr>
            <w:tcW w:w="6480" w:type="dxa"/>
            <w:vAlign w:val="bottom"/>
            <w:gridSpan w:val="2"/>
          </w:tcPr>
          <w:p>
            <w:pPr>
              <w:ind w:left="200"/>
              <w:spacing w:after="0"/>
              <w:rPr>
                <w:sz w:val="20"/>
                <w:szCs w:val="20"/>
                <w:color w:val="auto"/>
              </w:rPr>
            </w:pPr>
            <w:r>
              <w:rPr>
                <w:rFonts w:ascii="Arial" w:cs="Arial" w:eastAsia="Arial" w:hAnsi="Arial"/>
                <w:sz w:val="20"/>
                <w:szCs w:val="20"/>
                <w:b w:val="1"/>
                <w:bCs w:val="1"/>
                <w:color w:val="FFFFFF"/>
              </w:rPr>
              <w:t>Description</w:t>
            </w:r>
          </w:p>
        </w:tc>
      </w:tr>
      <w:tr>
        <w:trPr>
          <w:trHeight w:val="287"/>
        </w:trPr>
        <w:tc>
          <w:tcPr>
            <w:tcW w:w="3600" w:type="dxa"/>
            <w:vAlign w:val="bottom"/>
          </w:tcPr>
          <w:p>
            <w:pPr>
              <w:ind w:left="100"/>
              <w:spacing w:after="0"/>
              <w:rPr>
                <w:sz w:val="20"/>
                <w:szCs w:val="20"/>
                <w:color w:val="auto"/>
              </w:rPr>
            </w:pPr>
            <w:r>
              <w:rPr>
                <w:rFonts w:ascii="Arial" w:cs="Arial" w:eastAsia="Arial" w:hAnsi="Arial"/>
                <w:sz w:val="20"/>
                <w:szCs w:val="20"/>
                <w:color w:val="231F20"/>
              </w:rPr>
              <w:t>Relative Total Shareholder Return</w:t>
            </w:r>
          </w:p>
        </w:tc>
        <w:tc>
          <w:tcPr>
            <w:tcW w:w="6480" w:type="dxa"/>
            <w:vAlign w:val="bottom"/>
            <w:gridSpan w:val="2"/>
          </w:tcPr>
          <w:p>
            <w:pPr>
              <w:ind w:left="200"/>
              <w:spacing w:after="0"/>
              <w:rPr>
                <w:sz w:val="20"/>
                <w:szCs w:val="20"/>
                <w:color w:val="auto"/>
              </w:rPr>
            </w:pPr>
            <w:r>
              <w:rPr>
                <w:rFonts w:ascii="Arial" w:cs="Arial" w:eastAsia="Arial" w:hAnsi="Arial"/>
                <w:sz w:val="20"/>
                <w:szCs w:val="20"/>
                <w:color w:val="231F20"/>
              </w:rPr>
              <w:t>Compares our total shareholder return, taking into account share price</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231F20"/>
              </w:rPr>
              <w:t>(34%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appreciation and assuming reinvestment of dividends, against the total</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return  achieved  by  the  Bloomberg  REIT  Shopping  Center  Index</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(“BBRESHOP”) which is comprised of publicly traded companies that</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own  and  operate  open  air  shopping  centers.  The  Compensation</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Committee  believes  that  the  BBRESHOP  provides  an  appropriate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basis   to   compare   our   performance   against   similarly   situated</w:t>
            </w:r>
          </w:p>
        </w:tc>
      </w:tr>
      <w:tr>
        <w:trPr>
          <w:trHeight w:val="232"/>
        </w:trPr>
        <w:tc>
          <w:tcPr>
            <w:tcW w:w="3600" w:type="dxa"/>
            <w:vAlign w:val="bottom"/>
            <w:tcBorders>
              <w:bottom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6280" w:type="dxa"/>
            <w:vAlign w:val="bottom"/>
            <w:tcBorders>
              <w:bottom w:val="single" w:sz="8" w:color="231F20"/>
            </w:tcBorders>
          </w:tcPr>
          <w:p>
            <w:pPr>
              <w:spacing w:after="0" w:line="226" w:lineRule="exact"/>
              <w:rPr>
                <w:sz w:val="20"/>
                <w:szCs w:val="20"/>
                <w:color w:val="auto"/>
              </w:rPr>
            </w:pPr>
            <w:r>
              <w:rPr>
                <w:rFonts w:ascii="Arial" w:cs="Arial" w:eastAsia="Arial" w:hAnsi="Arial"/>
                <w:sz w:val="20"/>
                <w:szCs w:val="20"/>
                <w:color w:val="231F20"/>
              </w:rPr>
              <w:t>companies.</w:t>
            </w:r>
          </w:p>
        </w:tc>
      </w:tr>
      <w:tr>
        <w:trPr>
          <w:trHeight w:val="240"/>
        </w:trPr>
        <w:tc>
          <w:tcPr>
            <w:tcW w:w="3600" w:type="dxa"/>
            <w:vAlign w:val="bottom"/>
          </w:tcPr>
          <w:p>
            <w:pPr>
              <w:ind w:left="100"/>
              <w:spacing w:after="0"/>
              <w:rPr>
                <w:sz w:val="20"/>
                <w:szCs w:val="20"/>
                <w:color w:val="auto"/>
              </w:rPr>
            </w:pPr>
            <w:r>
              <w:rPr>
                <w:rFonts w:ascii="Arial" w:cs="Arial" w:eastAsia="Arial" w:hAnsi="Arial"/>
                <w:sz w:val="20"/>
                <w:szCs w:val="20"/>
                <w:color w:val="231F20"/>
              </w:rPr>
              <w:t>FFO Multiple Premium</w:t>
            </w:r>
          </w:p>
        </w:tc>
        <w:tc>
          <w:tcPr>
            <w:tcW w:w="6480" w:type="dxa"/>
            <w:vAlign w:val="bottom"/>
            <w:gridSpan w:val="2"/>
          </w:tcPr>
          <w:p>
            <w:pPr>
              <w:ind w:left="200"/>
              <w:spacing w:after="0"/>
              <w:rPr>
                <w:sz w:val="20"/>
                <w:szCs w:val="20"/>
                <w:color w:val="auto"/>
              </w:rPr>
            </w:pPr>
            <w:r>
              <w:rPr>
                <w:rFonts w:ascii="Arial" w:cs="Arial" w:eastAsia="Arial" w:hAnsi="Arial"/>
                <w:sz w:val="20"/>
                <w:szCs w:val="20"/>
                <w:color w:val="231F20"/>
              </w:rPr>
              <w:t>Compares the FFO multiple at which the Company is trading at the</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231F20"/>
              </w:rPr>
              <w:t>(33%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end of the performance period against the average FFO multiple at</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which  all  other  public  shopping  center  companies  (other  than  the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Company) are trading at that time. The FFO multiples are provided by</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a third party investment bank and serves as a measure of investor</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expectations of our long-term growth potential and confidence in our</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management  team  versus  other  publicly  traded  open  air  shopping</w:t>
            </w:r>
          </w:p>
        </w:tc>
      </w:tr>
      <w:tr>
        <w:trPr>
          <w:trHeight w:val="231"/>
        </w:trPr>
        <w:tc>
          <w:tcPr>
            <w:tcW w:w="3600" w:type="dxa"/>
            <w:vAlign w:val="bottom"/>
            <w:tcBorders>
              <w:bottom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6280" w:type="dxa"/>
            <w:vAlign w:val="bottom"/>
            <w:tcBorders>
              <w:bottom w:val="single" w:sz="8" w:color="231F20"/>
            </w:tcBorders>
          </w:tcPr>
          <w:p>
            <w:pPr>
              <w:spacing w:after="0" w:line="223" w:lineRule="exact"/>
              <w:rPr>
                <w:sz w:val="20"/>
                <w:szCs w:val="20"/>
                <w:color w:val="auto"/>
              </w:rPr>
            </w:pPr>
            <w:r>
              <w:rPr>
                <w:rFonts w:ascii="Arial" w:cs="Arial" w:eastAsia="Arial" w:hAnsi="Arial"/>
                <w:sz w:val="20"/>
                <w:szCs w:val="20"/>
                <w:color w:val="231F20"/>
              </w:rPr>
              <w:t>center companies.</w:t>
            </w:r>
          </w:p>
        </w:tc>
      </w:tr>
      <w:tr>
        <w:trPr>
          <w:trHeight w:val="241"/>
        </w:trPr>
        <w:tc>
          <w:tcPr>
            <w:tcW w:w="3600" w:type="dxa"/>
            <w:vAlign w:val="bottom"/>
          </w:tcPr>
          <w:p>
            <w:pPr>
              <w:ind w:left="100"/>
              <w:spacing w:after="0"/>
              <w:rPr>
                <w:sz w:val="20"/>
                <w:szCs w:val="20"/>
                <w:color w:val="auto"/>
              </w:rPr>
            </w:pPr>
            <w:r>
              <w:rPr>
                <w:rFonts w:ascii="Arial" w:cs="Arial" w:eastAsia="Arial" w:hAnsi="Arial"/>
                <w:sz w:val="20"/>
                <w:szCs w:val="20"/>
                <w:color w:val="231F20"/>
              </w:rPr>
              <w:t>Return on Invested Capital</w:t>
            </w:r>
          </w:p>
        </w:tc>
        <w:tc>
          <w:tcPr>
            <w:tcW w:w="6480" w:type="dxa"/>
            <w:vAlign w:val="bottom"/>
            <w:gridSpan w:val="2"/>
          </w:tcPr>
          <w:p>
            <w:pPr>
              <w:ind w:left="200"/>
              <w:spacing w:after="0"/>
              <w:rPr>
                <w:sz w:val="20"/>
                <w:szCs w:val="20"/>
                <w:color w:val="auto"/>
              </w:rPr>
            </w:pPr>
            <w:r>
              <w:rPr>
                <w:rFonts w:ascii="Arial" w:cs="Arial" w:eastAsia="Arial" w:hAnsi="Arial"/>
                <w:sz w:val="20"/>
                <w:szCs w:val="20"/>
                <w:color w:val="231F20"/>
              </w:rPr>
              <w:t>Reflects how effectively we have allocated our shareholders’ capital</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231F20"/>
              </w:rPr>
              <w:t>(33%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during the 3-year performance period and incentivizes sound, long-</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term  investment  decisions  focused  on  generating  strong  future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shareholder returns. The metric encompasses all aspects of capital</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allocation decisions. Required performance levels are established to</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reflect changing market expectations as we acquire, sell and develop</w:t>
            </w:r>
          </w:p>
        </w:tc>
      </w:tr>
      <w:tr>
        <w:trPr>
          <w:trHeight w:val="223"/>
        </w:trPr>
        <w:tc>
          <w:tcPr>
            <w:tcW w:w="3600" w:type="dxa"/>
            <w:vAlign w:val="bottom"/>
          </w:tcPr>
          <w:p>
            <w:pPr>
              <w:spacing w:after="0"/>
              <w:rPr>
                <w:sz w:val="19"/>
                <w:szCs w:val="19"/>
                <w:color w:val="auto"/>
              </w:rPr>
            </w:pPr>
          </w:p>
        </w:tc>
        <w:tc>
          <w:tcPr>
            <w:tcW w:w="6480" w:type="dxa"/>
            <w:vAlign w:val="bottom"/>
            <w:gridSpan w:val="2"/>
          </w:tcPr>
          <w:p>
            <w:pPr>
              <w:ind w:left="200"/>
              <w:spacing w:after="0" w:line="223" w:lineRule="exact"/>
              <w:rPr>
                <w:sz w:val="20"/>
                <w:szCs w:val="20"/>
                <w:color w:val="auto"/>
              </w:rPr>
            </w:pPr>
            <w:r>
              <w:rPr>
                <w:rFonts w:ascii="Arial" w:cs="Arial" w:eastAsia="Arial" w:hAnsi="Arial"/>
                <w:sz w:val="20"/>
                <w:szCs w:val="20"/>
                <w:color w:val="231F20"/>
              </w:rPr>
              <w:t>assets.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-3255645</wp:posOffset>
                </wp:positionV>
                <wp:extent cx="2286000" cy="3268345"/>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3268345"/>
                        </a:xfrm>
                        <a:prstGeom prst="rect">
                          <a:avLst/>
                        </a:prstGeom>
                        <a:solidFill>
                          <a:srgbClr val="E6E7E8"/>
                        </a:solidFill>
                      </wps:spPr>
                      <wps:bodyPr/>
                    </wps:wsp>
                  </a:graphicData>
                </a:graphic>
              </wp:anchor>
            </w:drawing>
          </mc:Choice>
          <mc:Fallback>
            <w:pict>
              <v:rect id="Shape 366" o:spid="_x0000_s1391" style="position:absolute;margin-left:0pt;margin-top:-256.3499pt;width:180pt;height:25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166370</wp:posOffset>
                </wp:positionV>
                <wp:extent cx="6400800" cy="17780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67" o:spid="_x0000_s1392" style="position:absolute;margin-left:0pt;margin-top:13.1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165735</wp:posOffset>
                </wp:positionV>
                <wp:extent cx="0" cy="178435"/>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435"/>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05pt" to="0.5pt,27.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172085</wp:posOffset>
                </wp:positionV>
                <wp:extent cx="640080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5pt" to="504pt,13.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165735</wp:posOffset>
                </wp:positionV>
                <wp:extent cx="0" cy="178435"/>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8435"/>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05pt" to="503.5pt,27.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337820</wp:posOffset>
                </wp:positionV>
                <wp:extent cx="640080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6pt" to="504pt,26.6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310"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24</w:t>
      </w:r>
    </w:p>
    <w:p>
      <w:pPr>
        <w:sectPr>
          <w:pgSz w:w="12240" w:h="15840" w:orient="portrait"/>
          <w:cols w:equalWidth="0" w:num="1">
            <w:col w:w="10080"/>
          </w:cols>
          <w:pgMar w:left="1080" w:top="1440" w:right="1080" w:bottom="944" w:gutter="0" w:footer="0" w:header="0"/>
          <w:type w:val="continuous"/>
        </w:sectPr>
      </w:pPr>
    </w:p>
    <w:bookmarkStart w:id="144" w:name="page145"/>
    <w:bookmarkEnd w:id="144"/>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The required performance levels for each of these metrics and the actual performance achieved for the 3-year performance period from 2021 through 2023 is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shd w:val="clear" w:color="auto" w:fill="EF3E2A"/>
          </w:tcPr>
          <w:p>
            <w:pPr>
              <w:spacing w:after="0"/>
              <w:rPr>
                <w:sz w:val="19"/>
                <w:szCs w:val="19"/>
                <w:color w:val="auto"/>
              </w:rPr>
            </w:pPr>
          </w:p>
        </w:tc>
        <w:tc>
          <w:tcPr>
            <w:tcW w:w="1300" w:type="dxa"/>
            <w:vAlign w:val="bottom"/>
            <w:shd w:val="clear" w:color="auto" w:fill="EF3E2A"/>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gridSpan w:val="3"/>
            <w:shd w:val="clear" w:color="auto" w:fill="EF3E2A"/>
          </w:tcPr>
          <w:p>
            <w:pPr>
              <w:ind w:left="880"/>
              <w:spacing w:after="0"/>
              <w:rPr>
                <w:sz w:val="20"/>
                <w:szCs w:val="20"/>
                <w:color w:val="auto"/>
              </w:rPr>
            </w:pPr>
            <w:r>
              <w:rPr>
                <w:rFonts w:ascii="Arial" w:cs="Arial" w:eastAsia="Arial" w:hAnsi="Arial"/>
                <w:sz w:val="18"/>
                <w:szCs w:val="18"/>
                <w:b w:val="1"/>
                <w:bCs w:val="1"/>
                <w:color w:val="FFFFFF"/>
              </w:rPr>
              <w:t>Performance Targets</w:t>
            </w:r>
          </w:p>
        </w:tc>
        <w:tc>
          <w:tcPr>
            <w:tcW w:w="120" w:type="dxa"/>
            <w:vAlign w:val="bottom"/>
            <w:tcBorders>
              <w:right w:val="single" w:sz="8" w:color="EF3E2A"/>
            </w:tcBorders>
          </w:tcPr>
          <w:p>
            <w:pPr>
              <w:spacing w:after="0"/>
              <w:rPr>
                <w:sz w:val="19"/>
                <w:szCs w:val="19"/>
                <w:color w:val="auto"/>
              </w:rPr>
            </w:pPr>
          </w:p>
        </w:tc>
        <w:tc>
          <w:tcPr>
            <w:tcW w:w="2120" w:type="dxa"/>
            <w:vAlign w:val="bottom"/>
            <w:tcBorders>
              <w:right w:val="single" w:sz="8" w:color="EF3E2A"/>
            </w:tcBorders>
            <w:gridSpan w:val="3"/>
            <w:shd w:val="clear" w:color="auto" w:fill="EF3E2A"/>
          </w:tcPr>
          <w:p>
            <w:pPr>
              <w:ind w:left="420"/>
              <w:spacing w:after="0"/>
              <w:rPr>
                <w:sz w:val="20"/>
                <w:szCs w:val="20"/>
                <w:color w:val="auto"/>
              </w:rPr>
            </w:pPr>
            <w:r>
              <w:rPr>
                <w:rFonts w:ascii="Arial" w:cs="Arial" w:eastAsia="Arial" w:hAnsi="Arial"/>
                <w:sz w:val="18"/>
                <w:szCs w:val="18"/>
                <w:b w:val="1"/>
                <w:bCs w:val="1"/>
                <w:color w:val="FFFFFF"/>
              </w:rPr>
              <w:t>Payout Factor</w:t>
            </w:r>
          </w:p>
        </w:tc>
      </w:tr>
      <w:tr>
        <w:trPr>
          <w:trHeight w:val="257"/>
        </w:trPr>
        <w:tc>
          <w:tcPr>
            <w:tcW w:w="2880" w:type="dxa"/>
            <w:vAlign w:val="bottom"/>
            <w:tcBorders>
              <w:bottom w:val="single" w:sz="8" w:color="EF3E2A"/>
            </w:tcBorders>
            <w:shd w:val="clear" w:color="auto" w:fill="EF3E2A"/>
          </w:tcPr>
          <w:p>
            <w:pPr>
              <w:spacing w:after="0"/>
              <w:rPr>
                <w:sz w:val="20"/>
                <w:szCs w:val="20"/>
                <w:color w:val="auto"/>
              </w:rPr>
            </w:pPr>
            <w:r>
              <w:rPr>
                <w:rFonts w:ascii="Arial" w:cs="Arial" w:eastAsia="Arial" w:hAnsi="Arial"/>
                <w:sz w:val="18"/>
                <w:szCs w:val="18"/>
                <w:b w:val="1"/>
                <w:bCs w:val="1"/>
                <w:color w:val="FFFFFF"/>
              </w:rPr>
              <w:t>Performance Goal</w:t>
            </w:r>
          </w:p>
        </w:tc>
        <w:tc>
          <w:tcPr>
            <w:tcW w:w="1300" w:type="dxa"/>
            <w:vAlign w:val="bottom"/>
            <w:tcBorders>
              <w:bottom w:val="single" w:sz="8" w:color="EF3E2A"/>
            </w:tcBorders>
            <w:shd w:val="clear" w:color="auto" w:fill="EF3E2A"/>
          </w:tcPr>
          <w:p>
            <w:pPr>
              <w:jc w:val="right"/>
              <w:ind w:right="10"/>
              <w:spacing w:after="0"/>
              <w:rPr>
                <w:sz w:val="20"/>
                <w:szCs w:val="20"/>
                <w:color w:val="auto"/>
              </w:rPr>
            </w:pPr>
            <w:r>
              <w:rPr>
                <w:rFonts w:ascii="Arial" w:cs="Arial" w:eastAsia="Arial" w:hAnsi="Arial"/>
                <w:sz w:val="18"/>
                <w:szCs w:val="18"/>
                <w:b w:val="1"/>
                <w:bCs w:val="1"/>
                <w:color w:val="FFFFFF"/>
              </w:rPr>
              <w:t>Weighting</w:t>
            </w:r>
          </w:p>
        </w:tc>
        <w:tc>
          <w:tcPr>
            <w:tcW w:w="100" w:type="dxa"/>
            <w:vAlign w:val="bottom"/>
          </w:tcPr>
          <w:p>
            <w:pPr>
              <w:spacing w:after="0"/>
              <w:rPr>
                <w:sz w:val="22"/>
                <w:szCs w:val="22"/>
                <w:color w:val="auto"/>
              </w:rPr>
            </w:pPr>
          </w:p>
        </w:tc>
        <w:tc>
          <w:tcPr>
            <w:tcW w:w="1020" w:type="dxa"/>
            <w:vAlign w:val="bottom"/>
            <w:tcBorders>
              <w:bottom w:val="single" w:sz="8" w:color="EF3E2A"/>
            </w:tcBorders>
            <w:shd w:val="clear" w:color="auto" w:fill="EF3E2A"/>
          </w:tcPr>
          <w:p>
            <w:pPr>
              <w:ind w:left="80"/>
              <w:spacing w:after="0"/>
              <w:rPr>
                <w:sz w:val="20"/>
                <w:szCs w:val="20"/>
                <w:color w:val="auto"/>
              </w:rPr>
            </w:pPr>
            <w:r>
              <w:rPr>
                <w:rFonts w:ascii="Arial" w:cs="Arial" w:eastAsia="Arial" w:hAnsi="Arial"/>
                <w:sz w:val="18"/>
                <w:szCs w:val="18"/>
                <w:b w:val="1"/>
                <w:bCs w:val="1"/>
                <w:color w:val="FFFFFF"/>
                <w:shd w:val="clear" w:color="auto" w:fill="EF3E2A"/>
              </w:rPr>
              <w:t>Threshold</w:t>
            </w:r>
          </w:p>
        </w:tc>
        <w:tc>
          <w:tcPr>
            <w:tcW w:w="1340" w:type="dxa"/>
            <w:vAlign w:val="bottom"/>
            <w:tcBorders>
              <w:bottom w:val="single" w:sz="8" w:color="EF3E2A"/>
            </w:tcBorders>
            <w:shd w:val="clear" w:color="auto" w:fill="EF3E2A"/>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220" w:type="dxa"/>
            <w:vAlign w:val="bottom"/>
            <w:tcBorders>
              <w:bottom w:val="single" w:sz="8" w:color="EF3E2A"/>
            </w:tcBorders>
            <w:shd w:val="clear" w:color="auto" w:fill="EF3E2A"/>
          </w:tcPr>
          <w:p>
            <w:pPr>
              <w:jc w:val="center"/>
              <w:spacing w:after="0"/>
              <w:rPr>
                <w:sz w:val="20"/>
                <w:szCs w:val="20"/>
                <w:color w:val="auto"/>
              </w:rPr>
            </w:pPr>
            <w:r>
              <w:rPr>
                <w:rFonts w:ascii="Arial" w:cs="Arial" w:eastAsia="Arial" w:hAnsi="Arial"/>
                <w:sz w:val="18"/>
                <w:szCs w:val="18"/>
                <w:b w:val="1"/>
                <w:bCs w:val="1"/>
                <w:color w:val="FFFFFF"/>
                <w:w w:val="99"/>
              </w:rPr>
              <w:t>Stretch</w:t>
            </w:r>
          </w:p>
        </w:tc>
        <w:tc>
          <w:tcPr>
            <w:tcW w:w="120" w:type="dxa"/>
            <w:vAlign w:val="bottom"/>
            <w:tcBorders>
              <w:right w:val="single" w:sz="8" w:color="EF3E2A"/>
            </w:tcBorders>
          </w:tcPr>
          <w:p>
            <w:pPr>
              <w:spacing w:after="0"/>
              <w:rPr>
                <w:sz w:val="22"/>
                <w:szCs w:val="22"/>
                <w:color w:val="auto"/>
              </w:rPr>
            </w:pPr>
          </w:p>
        </w:tc>
        <w:tc>
          <w:tcPr>
            <w:tcW w:w="1080" w:type="dxa"/>
            <w:vAlign w:val="bottom"/>
            <w:tcBorders>
              <w:bottom w:val="single" w:sz="8" w:color="EF3E2A"/>
            </w:tcBorders>
            <w:shd w:val="clear" w:color="auto" w:fill="EF3E2A"/>
          </w:tcPr>
          <w:p>
            <w:pPr>
              <w:ind w:left="40"/>
              <w:spacing w:after="0"/>
              <w:rPr>
                <w:sz w:val="20"/>
                <w:szCs w:val="20"/>
                <w:color w:val="auto"/>
              </w:rPr>
            </w:pPr>
            <w:r>
              <w:rPr>
                <w:rFonts w:ascii="Arial" w:cs="Arial" w:eastAsia="Arial" w:hAnsi="Arial"/>
                <w:sz w:val="18"/>
                <w:szCs w:val="18"/>
                <w:b w:val="1"/>
                <w:bCs w:val="1"/>
                <w:color w:val="FFFFFF"/>
                <w:w w:val="99"/>
                <w:shd w:val="clear" w:color="auto" w:fill="EF3E2A"/>
              </w:rPr>
              <w:t>Unweighted</w:t>
            </w:r>
          </w:p>
        </w:tc>
        <w:tc>
          <w:tcPr>
            <w:tcW w:w="20" w:type="dxa"/>
            <w:vAlign w:val="bottom"/>
            <w:tcBorders>
              <w:bottom w:val="single" w:sz="8" w:color="EF3E2A"/>
            </w:tcBorders>
            <w:shd w:val="clear" w:color="auto" w:fill="EF3E2A"/>
          </w:tcPr>
          <w:p>
            <w:pPr>
              <w:spacing w:after="0"/>
              <w:rPr>
                <w:sz w:val="22"/>
                <w:szCs w:val="22"/>
                <w:color w:val="auto"/>
              </w:rPr>
            </w:pPr>
          </w:p>
        </w:tc>
        <w:tc>
          <w:tcPr>
            <w:tcW w:w="1020" w:type="dxa"/>
            <w:vAlign w:val="bottom"/>
            <w:tcBorders>
              <w:bottom w:val="single" w:sz="8" w:color="EF3E2A"/>
              <w:right w:val="single" w:sz="8" w:color="EF3E2A"/>
            </w:tcBorders>
            <w:shd w:val="clear" w:color="auto" w:fill="EF3E2A"/>
          </w:tcPr>
          <w:p>
            <w:pPr>
              <w:ind w:left="100"/>
              <w:spacing w:after="0"/>
              <w:rPr>
                <w:sz w:val="20"/>
                <w:szCs w:val="20"/>
                <w:color w:val="auto"/>
              </w:rPr>
            </w:pPr>
            <w:r>
              <w:rPr>
                <w:rFonts w:ascii="Arial" w:cs="Arial" w:eastAsia="Arial" w:hAnsi="Arial"/>
                <w:sz w:val="18"/>
                <w:szCs w:val="18"/>
                <w:b w:val="1"/>
                <w:bCs w:val="1"/>
                <w:color w:val="FFFFFF"/>
              </w:rPr>
              <w:t>Weighted</w:t>
            </w:r>
          </w:p>
        </w:tc>
      </w:tr>
      <w:tr>
        <w:trPr>
          <w:trHeight w:val="260"/>
        </w:trPr>
        <w:tc>
          <w:tcPr>
            <w:tcW w:w="28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8"/>
                <w:szCs w:val="18"/>
                <w:i w:val="1"/>
                <w:iCs w:val="1"/>
                <w:color w:val="231F20"/>
              </w:rPr>
              <w:t>Payout as Percentage of Target</w:t>
            </w:r>
          </w:p>
        </w:tc>
        <w:tc>
          <w:tcPr>
            <w:tcW w:w="1300" w:type="dxa"/>
            <w:vAlign w:val="bottom"/>
            <w:tcBorders>
              <w:bottom w:val="single" w:sz="8" w:color="E6E7E8"/>
            </w:tcBorders>
            <w:shd w:val="clear" w:color="auto" w:fill="E6E7E8"/>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E6E7E8"/>
            </w:tcBorders>
            <w:shd w:val="clear" w:color="auto" w:fill="E6E7E8"/>
          </w:tcPr>
          <w:p>
            <w:pPr>
              <w:jc w:val="right"/>
              <w:ind w:right="250"/>
              <w:spacing w:after="0"/>
              <w:rPr>
                <w:sz w:val="20"/>
                <w:szCs w:val="20"/>
                <w:color w:val="auto"/>
              </w:rPr>
            </w:pPr>
            <w:r>
              <w:rPr>
                <w:rFonts w:ascii="Arial" w:cs="Arial" w:eastAsia="Arial" w:hAnsi="Arial"/>
                <w:sz w:val="18"/>
                <w:szCs w:val="18"/>
                <w:i w:val="1"/>
                <w:iCs w:val="1"/>
                <w:color w:val="231F20"/>
              </w:rPr>
              <w:t>50%</w:t>
            </w:r>
          </w:p>
        </w:tc>
        <w:tc>
          <w:tcPr>
            <w:tcW w:w="1340" w:type="dxa"/>
            <w:vAlign w:val="bottom"/>
            <w:tcBorders>
              <w:bottom w:val="single" w:sz="8" w:color="E6E7E8"/>
            </w:tcBorders>
            <w:shd w:val="clear" w:color="auto" w:fill="E6E7E8"/>
          </w:tcPr>
          <w:p>
            <w:pPr>
              <w:jc w:val="right"/>
              <w:ind w:right="350"/>
              <w:spacing w:after="0"/>
              <w:rPr>
                <w:sz w:val="20"/>
                <w:szCs w:val="20"/>
                <w:color w:val="auto"/>
              </w:rPr>
            </w:pPr>
            <w:r>
              <w:rPr>
                <w:rFonts w:ascii="Arial" w:cs="Arial" w:eastAsia="Arial" w:hAnsi="Arial"/>
                <w:sz w:val="18"/>
                <w:szCs w:val="18"/>
                <w:i w:val="1"/>
                <w:iCs w:val="1"/>
                <w:color w:val="231F20"/>
              </w:rPr>
              <w:t>100%</w:t>
            </w:r>
          </w:p>
        </w:tc>
        <w:tc>
          <w:tcPr>
            <w:tcW w:w="1220" w:type="dxa"/>
            <w:vAlign w:val="bottom"/>
            <w:tcBorders>
              <w:bottom w:val="single" w:sz="8" w:color="E6E7E8"/>
            </w:tcBorders>
            <w:shd w:val="clear" w:color="auto" w:fill="E6E7E8"/>
          </w:tcPr>
          <w:p>
            <w:pPr>
              <w:jc w:val="right"/>
              <w:ind w:right="250"/>
              <w:spacing w:after="0"/>
              <w:rPr>
                <w:sz w:val="20"/>
                <w:szCs w:val="20"/>
                <w:color w:val="auto"/>
              </w:rPr>
            </w:pPr>
            <w:r>
              <w:rPr>
                <w:rFonts w:ascii="Arial" w:cs="Arial" w:eastAsia="Arial" w:hAnsi="Arial"/>
                <w:sz w:val="18"/>
                <w:szCs w:val="18"/>
                <w:i w:val="1"/>
                <w:iCs w:val="1"/>
                <w:color w:val="231F20"/>
              </w:rPr>
              <w:t>150%</w:t>
            </w:r>
          </w:p>
        </w:tc>
        <w:tc>
          <w:tcPr>
            <w:tcW w:w="120" w:type="dxa"/>
            <w:vAlign w:val="bottom"/>
            <w:tcBorders>
              <w:right w:val="single" w:sz="8" w:color="E6E7E8"/>
            </w:tcBorders>
          </w:tcPr>
          <w:p>
            <w:pPr>
              <w:spacing w:after="0"/>
              <w:rPr>
                <w:sz w:val="22"/>
                <w:szCs w:val="22"/>
                <w:color w:val="auto"/>
              </w:rPr>
            </w:pPr>
          </w:p>
        </w:tc>
        <w:tc>
          <w:tcPr>
            <w:tcW w:w="108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1020" w:type="dxa"/>
            <w:vAlign w:val="bottom"/>
            <w:tcBorders>
              <w:bottom w:val="single" w:sz="8" w:color="E6E7E8"/>
              <w:right w:val="single" w:sz="8" w:color="E6E7E8"/>
            </w:tcBorders>
            <w:shd w:val="clear" w:color="auto" w:fill="E6E7E8"/>
          </w:tcPr>
          <w:p>
            <w:pPr>
              <w:spacing w:after="0"/>
              <w:rPr>
                <w:sz w:val="22"/>
                <w:szCs w:val="22"/>
                <w:color w:val="auto"/>
              </w:rPr>
            </w:pPr>
          </w:p>
        </w:tc>
      </w:tr>
      <w:tr>
        <w:trPr>
          <w:trHeight w:val="256"/>
        </w:trPr>
        <w:tc>
          <w:tcPr>
            <w:tcW w:w="2880" w:type="dxa"/>
            <w:vAlign w:val="bottom"/>
          </w:tcPr>
          <w:p>
            <w:pPr>
              <w:spacing w:after="0"/>
              <w:rPr>
                <w:sz w:val="20"/>
                <w:szCs w:val="20"/>
                <w:color w:val="auto"/>
              </w:rPr>
            </w:pPr>
            <w:r>
              <w:rPr>
                <w:rFonts w:ascii="Arial" w:cs="Arial" w:eastAsia="Arial" w:hAnsi="Arial"/>
                <w:sz w:val="18"/>
                <w:szCs w:val="18"/>
                <w:color w:val="231F20"/>
              </w:rPr>
              <w:t>Relative Total TSR</w:t>
            </w:r>
          </w:p>
        </w:tc>
        <w:tc>
          <w:tcPr>
            <w:tcW w:w="1300" w:type="dxa"/>
            <w:vAlign w:val="bottom"/>
          </w:tcPr>
          <w:p>
            <w:pPr>
              <w:jc w:val="right"/>
              <w:ind w:right="210"/>
              <w:spacing w:after="0"/>
              <w:rPr>
                <w:sz w:val="20"/>
                <w:szCs w:val="20"/>
                <w:color w:val="auto"/>
              </w:rPr>
            </w:pPr>
            <w:r>
              <w:rPr>
                <w:rFonts w:ascii="Arial" w:cs="Arial" w:eastAsia="Arial" w:hAnsi="Arial"/>
                <w:sz w:val="18"/>
                <w:szCs w:val="18"/>
                <w:color w:val="231F20"/>
              </w:rPr>
              <w:t>34%</w:t>
            </w:r>
          </w:p>
        </w:tc>
        <w:tc>
          <w:tcPr>
            <w:tcW w:w="10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231F20"/>
              </w:rPr>
              <w:t>5% &lt; Index</w:t>
            </w:r>
          </w:p>
        </w:tc>
        <w:tc>
          <w:tcPr>
            <w:tcW w:w="1340" w:type="dxa"/>
            <w:vAlign w:val="bottom"/>
          </w:tcPr>
          <w:p>
            <w:pPr>
              <w:jc w:val="center"/>
              <w:spacing w:after="0"/>
              <w:rPr>
                <w:sz w:val="20"/>
                <w:szCs w:val="20"/>
                <w:color w:val="auto"/>
              </w:rPr>
            </w:pPr>
            <w:r>
              <w:rPr>
                <w:rFonts w:ascii="Arial" w:cs="Arial" w:eastAsia="Arial" w:hAnsi="Arial"/>
                <w:sz w:val="18"/>
                <w:szCs w:val="18"/>
                <w:color w:val="231F20"/>
                <w:w w:val="99"/>
              </w:rPr>
              <w:t>Index</w:t>
            </w:r>
          </w:p>
        </w:tc>
        <w:tc>
          <w:tcPr>
            <w:tcW w:w="1220" w:type="dxa"/>
            <w:vAlign w:val="bottom"/>
          </w:tcPr>
          <w:p>
            <w:pPr>
              <w:jc w:val="center"/>
              <w:spacing w:after="0"/>
              <w:rPr>
                <w:sz w:val="20"/>
                <w:szCs w:val="20"/>
                <w:color w:val="auto"/>
              </w:rPr>
            </w:pPr>
            <w:r>
              <w:rPr>
                <w:rFonts w:ascii="Arial" w:cs="Arial" w:eastAsia="Arial" w:hAnsi="Arial"/>
                <w:sz w:val="18"/>
                <w:szCs w:val="18"/>
                <w:color w:val="231F20"/>
                <w:w w:val="99"/>
              </w:rPr>
              <w:t>5% &gt; Index</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231F20"/>
                <w:w w:val="99"/>
              </w:rPr>
              <w:t>53%</w:t>
            </w:r>
          </w:p>
        </w:tc>
        <w:tc>
          <w:tcPr>
            <w:tcW w:w="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31F20"/>
              </w:rPr>
              <w:t>18.0%</w:t>
            </w:r>
          </w:p>
        </w:tc>
      </w:tr>
      <w:tr>
        <w:trPr>
          <w:trHeight w:val="280"/>
        </w:trPr>
        <w:tc>
          <w:tcPr>
            <w:tcW w:w="2880" w:type="dxa"/>
            <w:vAlign w:val="bottom"/>
          </w:tcPr>
          <w:p>
            <w:pPr>
              <w:spacing w:after="0"/>
              <w:rPr>
                <w:sz w:val="20"/>
                <w:szCs w:val="20"/>
                <w:color w:val="auto"/>
              </w:rPr>
            </w:pPr>
            <w:r>
              <w:rPr>
                <w:rFonts w:ascii="Arial" w:cs="Arial" w:eastAsia="Arial" w:hAnsi="Arial"/>
                <w:sz w:val="18"/>
                <w:szCs w:val="18"/>
                <w:color w:val="231F20"/>
              </w:rPr>
              <w:t>FFO Multiple Premium</w:t>
            </w:r>
          </w:p>
        </w:tc>
        <w:tc>
          <w:tcPr>
            <w:tcW w:w="1300" w:type="dxa"/>
            <w:vAlign w:val="bottom"/>
          </w:tcPr>
          <w:p>
            <w:pPr>
              <w:jc w:val="right"/>
              <w:ind w:right="210"/>
              <w:spacing w:after="0"/>
              <w:rPr>
                <w:sz w:val="20"/>
                <w:szCs w:val="20"/>
                <w:color w:val="auto"/>
              </w:rPr>
            </w:pPr>
            <w:r>
              <w:rPr>
                <w:rFonts w:ascii="Arial" w:cs="Arial" w:eastAsia="Arial" w:hAnsi="Arial"/>
                <w:sz w:val="18"/>
                <w:szCs w:val="18"/>
                <w:color w:val="231F20"/>
              </w:rPr>
              <w:t>33%</w:t>
            </w:r>
          </w:p>
        </w:tc>
        <w:tc>
          <w:tcPr>
            <w:tcW w:w="10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231F20"/>
              </w:rPr>
              <w:t>5% Premium  15% Premium</w:t>
            </w:r>
          </w:p>
        </w:tc>
        <w:tc>
          <w:tcPr>
            <w:tcW w:w="1220" w:type="dxa"/>
            <w:vAlign w:val="bottom"/>
          </w:tcPr>
          <w:p>
            <w:pPr>
              <w:jc w:val="center"/>
              <w:ind w:left="10"/>
              <w:spacing w:after="0"/>
              <w:rPr>
                <w:sz w:val="20"/>
                <w:szCs w:val="20"/>
                <w:color w:val="auto"/>
              </w:rPr>
            </w:pPr>
            <w:r>
              <w:rPr>
                <w:rFonts w:ascii="Arial" w:cs="Arial" w:eastAsia="Arial" w:hAnsi="Arial"/>
                <w:sz w:val="18"/>
                <w:szCs w:val="18"/>
                <w:color w:val="231F20"/>
                <w:w w:val="99"/>
              </w:rPr>
              <w:t>20% Premium</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231F20"/>
                <w:w w:val="99"/>
              </w:rPr>
              <w:t>118%</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31F20"/>
              </w:rPr>
              <w:t>38.9%</w:t>
            </w:r>
          </w:p>
        </w:tc>
      </w:tr>
      <w:tr>
        <w:trPr>
          <w:trHeight w:val="289"/>
        </w:trPr>
        <w:tc>
          <w:tcPr>
            <w:tcW w:w="2880" w:type="dxa"/>
            <w:vAlign w:val="bottom"/>
          </w:tcPr>
          <w:p>
            <w:pPr>
              <w:spacing w:after="0"/>
              <w:rPr>
                <w:sz w:val="20"/>
                <w:szCs w:val="20"/>
                <w:color w:val="auto"/>
              </w:rPr>
            </w:pPr>
            <w:r>
              <w:rPr>
                <w:rFonts w:ascii="Arial" w:cs="Arial" w:eastAsia="Arial" w:hAnsi="Arial"/>
                <w:sz w:val="18"/>
                <w:szCs w:val="18"/>
                <w:color w:val="231F20"/>
              </w:rPr>
              <w:t>Return on Invested Capital</w:t>
            </w:r>
          </w:p>
        </w:tc>
        <w:tc>
          <w:tcPr>
            <w:tcW w:w="1300" w:type="dxa"/>
            <w:vAlign w:val="bottom"/>
          </w:tcPr>
          <w:p>
            <w:pPr>
              <w:jc w:val="right"/>
              <w:ind w:right="210"/>
              <w:spacing w:after="0"/>
              <w:rPr>
                <w:sz w:val="20"/>
                <w:szCs w:val="20"/>
                <w:color w:val="auto"/>
              </w:rPr>
            </w:pPr>
            <w:r>
              <w:rPr>
                <w:rFonts w:ascii="Arial" w:cs="Arial" w:eastAsia="Arial" w:hAnsi="Arial"/>
                <w:sz w:val="18"/>
                <w:szCs w:val="18"/>
                <w:color w:val="231F20"/>
              </w:rPr>
              <w:t>33%</w:t>
            </w:r>
          </w:p>
        </w:tc>
        <w:tc>
          <w:tcPr>
            <w:tcW w:w="1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231F20"/>
              </w:rPr>
              <w:t>6.00%</w:t>
            </w:r>
          </w:p>
        </w:tc>
        <w:tc>
          <w:tcPr>
            <w:tcW w:w="1340" w:type="dxa"/>
            <w:vAlign w:val="bottom"/>
          </w:tcPr>
          <w:p>
            <w:pPr>
              <w:jc w:val="right"/>
              <w:ind w:right="330"/>
              <w:spacing w:after="0"/>
              <w:rPr>
                <w:sz w:val="20"/>
                <w:szCs w:val="20"/>
                <w:color w:val="auto"/>
              </w:rPr>
            </w:pPr>
            <w:r>
              <w:rPr>
                <w:rFonts w:ascii="Arial" w:cs="Arial" w:eastAsia="Arial" w:hAnsi="Arial"/>
                <w:sz w:val="18"/>
                <w:szCs w:val="18"/>
                <w:color w:val="231F20"/>
              </w:rPr>
              <w:t>6.25%</w:t>
            </w:r>
          </w:p>
        </w:tc>
        <w:tc>
          <w:tcPr>
            <w:tcW w:w="1220" w:type="dxa"/>
            <w:vAlign w:val="bottom"/>
          </w:tcPr>
          <w:p>
            <w:pPr>
              <w:jc w:val="right"/>
              <w:ind w:right="210"/>
              <w:spacing w:after="0"/>
              <w:rPr>
                <w:sz w:val="20"/>
                <w:szCs w:val="20"/>
                <w:color w:val="auto"/>
              </w:rPr>
            </w:pPr>
            <w:r>
              <w:rPr>
                <w:rFonts w:ascii="Arial" w:cs="Arial" w:eastAsia="Arial" w:hAnsi="Arial"/>
                <w:sz w:val="18"/>
                <w:szCs w:val="18"/>
                <w:color w:val="231F20"/>
              </w:rPr>
              <w:t>6.50%</w:t>
            </w:r>
          </w:p>
        </w:tc>
        <w:tc>
          <w:tcPr>
            <w:tcW w:w="120" w:type="dxa"/>
            <w:vAlign w:val="bottom"/>
          </w:tcPr>
          <w:p>
            <w:pPr>
              <w:spacing w:after="0"/>
              <w:rPr>
                <w:sz w:val="24"/>
                <w:szCs w:val="24"/>
                <w:color w:val="auto"/>
              </w:rPr>
            </w:pP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8"/>
                <w:szCs w:val="18"/>
                <w:color w:val="231F20"/>
                <w:w w:val="99"/>
              </w:rPr>
              <w:t>150%</w:t>
            </w:r>
          </w:p>
        </w:tc>
        <w:tc>
          <w:tcPr>
            <w:tcW w:w="20" w:type="dxa"/>
            <w:vAlign w:val="bottom"/>
          </w:tcPr>
          <w:p>
            <w:pPr>
              <w:spacing w:after="0"/>
              <w:rPr>
                <w:sz w:val="24"/>
                <w:szCs w:val="24"/>
                <w:color w:val="auto"/>
              </w:rPr>
            </w:pPr>
          </w:p>
        </w:tc>
        <w:tc>
          <w:tcPr>
            <w:tcW w:w="1020" w:type="dxa"/>
            <w:vAlign w:val="bottom"/>
            <w:tcBorders>
              <w:bottom w:val="single" w:sz="8" w:color="231F20"/>
            </w:tcBorders>
          </w:tcPr>
          <w:p>
            <w:pPr>
              <w:jc w:val="center"/>
              <w:spacing w:after="0"/>
              <w:rPr>
                <w:sz w:val="20"/>
                <w:szCs w:val="20"/>
                <w:color w:val="auto"/>
              </w:rPr>
            </w:pPr>
            <w:r>
              <w:rPr>
                <w:rFonts w:ascii="Arial" w:cs="Arial" w:eastAsia="Arial" w:hAnsi="Arial"/>
                <w:sz w:val="18"/>
                <w:szCs w:val="18"/>
                <w:color w:val="231F20"/>
              </w:rPr>
              <w:t>49.5%</w:t>
            </w:r>
          </w:p>
        </w:tc>
      </w:tr>
      <w:tr>
        <w:trPr>
          <w:trHeight w:val="260"/>
        </w:trPr>
        <w:tc>
          <w:tcPr>
            <w:tcW w:w="2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Borders>
              <w:right w:val="single" w:sz="8" w:color="231F20"/>
            </w:tcBorders>
          </w:tcPr>
          <w:p>
            <w:pPr>
              <w:spacing w:after="0"/>
              <w:rPr>
                <w:sz w:val="22"/>
                <w:szCs w:val="22"/>
                <w:color w:val="auto"/>
              </w:rPr>
            </w:pPr>
          </w:p>
        </w:tc>
        <w:tc>
          <w:tcPr>
            <w:tcW w:w="1100" w:type="dxa"/>
            <w:vAlign w:val="bottom"/>
            <w:tcBorders>
              <w:bottom w:val="single" w:sz="8" w:color="231F20"/>
            </w:tcBorders>
            <w:gridSpan w:val="2"/>
          </w:tcPr>
          <w:p>
            <w:pPr>
              <w:ind w:left="20"/>
              <w:spacing w:after="0"/>
              <w:rPr>
                <w:sz w:val="20"/>
                <w:szCs w:val="20"/>
                <w:color w:val="auto"/>
              </w:rPr>
            </w:pPr>
            <w:r>
              <w:rPr>
                <w:rFonts w:ascii="Arial" w:cs="Arial" w:eastAsia="Arial" w:hAnsi="Arial"/>
                <w:sz w:val="18"/>
                <w:szCs w:val="18"/>
                <w:b w:val="1"/>
                <w:bCs w:val="1"/>
                <w:color w:val="231F20"/>
                <w:w w:val="98"/>
              </w:rPr>
              <w:t>Final Payout</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8"/>
              </w:rPr>
              <w:t>106.4%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2711450</wp:posOffset>
                </wp:positionH>
                <wp:positionV relativeFrom="paragraph">
                  <wp:posOffset>-1050925</wp:posOffset>
                </wp:positionV>
                <wp:extent cx="227965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965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82.7499pt" to="393pt,-82.7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5080000</wp:posOffset>
                </wp:positionH>
                <wp:positionV relativeFrom="paragraph">
                  <wp:posOffset>-1050925</wp:posOffset>
                </wp:positionV>
                <wp:extent cx="125730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73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pt,-82.7499pt" to="499pt,-82.7499pt" o:allowincell="f" strokecolor="#FFFFFF" strokeweight="1pt"/>
            </w:pict>
          </mc:Fallback>
        </mc:AlternateContent>
      </w:r>
    </w:p>
    <w:p>
      <w:pPr>
        <w:spacing w:after="0" w:line="27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Compensation Committee has the right to increase or decrease each NEO’s award under our long-term incentive program by up to 20% to reflect individual performance and chose not to exercise that discretion for any of our NEOs. See the discussions on pages 26-27 for the factors considered by the Compensation Committee in determining the final long-term incentive awards payable to our NEOs for the 2021 through 2023 performance period.</w:t>
      </w:r>
    </w:p>
    <w:p>
      <w:pPr>
        <w:spacing w:after="0" w:line="25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120650</wp:posOffset>
                </wp:positionV>
                <wp:extent cx="6400800" cy="20320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03200"/>
                        </a:xfrm>
                        <a:prstGeom prst="rect">
                          <a:avLst/>
                        </a:prstGeom>
                        <a:solidFill>
                          <a:srgbClr val="EF3E2A"/>
                        </a:solidFill>
                      </wps:spPr>
                      <wps:bodyPr/>
                    </wps:wsp>
                  </a:graphicData>
                </a:graphic>
              </wp:anchor>
            </w:drawing>
          </mc:Choice>
          <mc:Fallback>
            <w:pict>
              <v:rect id="Shape 374" o:spid="_x0000_s1399" style="position:absolute;margin-left:0pt;margin-top:9.5pt;width:504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222" w:lineRule="exact"/>
        <w:rPr>
          <w:sz w:val="20"/>
          <w:szCs w:val="20"/>
          <w:color w:val="auto"/>
        </w:rPr>
      </w:pPr>
    </w:p>
    <w:p>
      <w:pPr>
        <w:ind w:left="1160"/>
        <w:spacing w:after="0"/>
        <w:tabs>
          <w:tab w:leader="none" w:pos="4340" w:val="left"/>
          <w:tab w:leader="none" w:pos="7380" w:val="left"/>
        </w:tabs>
        <w:rPr>
          <w:sz w:val="20"/>
          <w:szCs w:val="20"/>
          <w:color w:val="auto"/>
        </w:rPr>
      </w:pPr>
      <w:r>
        <w:rPr>
          <w:rFonts w:ascii="Arial" w:cs="Arial" w:eastAsia="Arial" w:hAnsi="Arial"/>
          <w:sz w:val="20"/>
          <w:szCs w:val="20"/>
          <w:b w:val="1"/>
          <w:bCs w:val="1"/>
          <w:color w:val="FFFFFF"/>
        </w:rPr>
        <w:t>Performance Period</w:t>
      </w:r>
      <w:r>
        <w:rPr>
          <w:sz w:val="20"/>
          <w:szCs w:val="20"/>
          <w:color w:val="auto"/>
        </w:rPr>
        <w:tab/>
      </w:r>
      <w:r>
        <w:rPr>
          <w:rFonts w:ascii="Arial" w:cs="Arial" w:eastAsia="Arial" w:hAnsi="Arial"/>
          <w:sz w:val="20"/>
          <w:szCs w:val="20"/>
          <w:b w:val="1"/>
          <w:bCs w:val="1"/>
          <w:color w:val="FFFFFF"/>
        </w:rPr>
        <w:t>Award Earned</w:t>
      </w:r>
      <w:r>
        <w:rPr>
          <w:sz w:val="20"/>
          <w:szCs w:val="20"/>
          <w:color w:val="auto"/>
        </w:rPr>
        <w:tab/>
      </w:r>
      <w:r>
        <w:rPr>
          <w:rFonts w:ascii="Arial" w:cs="Arial" w:eastAsia="Arial" w:hAnsi="Arial"/>
          <w:sz w:val="20"/>
          <w:szCs w:val="20"/>
          <w:b w:val="1"/>
          <w:bCs w:val="1"/>
          <w:color w:val="FFFFFF"/>
        </w:rPr>
        <w:t>Shares Vest</w:t>
      </w:r>
    </w:p>
    <w:p>
      <w:pPr>
        <w:spacing w:after="0" w:line="243" w:lineRule="exact"/>
        <w:rPr>
          <w:sz w:val="20"/>
          <w:szCs w:val="20"/>
          <w:color w:val="auto"/>
        </w:rPr>
      </w:pPr>
    </w:p>
    <w:p>
      <w:pPr>
        <w:ind w:left="400"/>
        <w:spacing w:after="0"/>
        <w:tabs>
          <w:tab w:leader="none" w:pos="1720" w:val="left"/>
          <w:tab w:leader="none" w:pos="3060" w:val="left"/>
          <w:tab w:leader="none" w:pos="6080" w:val="left"/>
          <w:tab w:leader="none" w:pos="7380" w:val="left"/>
          <w:tab w:leader="none" w:pos="8720" w:val="left"/>
        </w:tabs>
        <w:rPr>
          <w:sz w:val="20"/>
          <w:szCs w:val="20"/>
          <w:color w:val="auto"/>
        </w:rPr>
      </w:pPr>
      <w:r>
        <w:rPr>
          <w:rFonts w:ascii="Arial" w:cs="Arial" w:eastAsia="Arial" w:hAnsi="Arial"/>
          <w:sz w:val="19"/>
          <w:szCs w:val="19"/>
          <w:color w:val="231F20"/>
        </w:rPr>
        <w:t>Year 1</w:t>
      </w:r>
      <w:r>
        <w:rPr>
          <w:sz w:val="20"/>
          <w:szCs w:val="20"/>
          <w:color w:val="auto"/>
        </w:rPr>
        <w:tab/>
      </w:r>
      <w:r>
        <w:rPr>
          <w:rFonts w:ascii="Arial" w:cs="Arial" w:eastAsia="Arial" w:hAnsi="Arial"/>
          <w:sz w:val="19"/>
          <w:szCs w:val="19"/>
          <w:color w:val="231F20"/>
        </w:rPr>
        <w:t>Year 2</w:t>
      </w:r>
      <w:r>
        <w:rPr>
          <w:sz w:val="20"/>
          <w:szCs w:val="20"/>
          <w:color w:val="auto"/>
        </w:rPr>
        <w:tab/>
      </w:r>
      <w:r>
        <w:rPr>
          <w:rFonts w:ascii="Arial" w:cs="Arial" w:eastAsia="Arial" w:hAnsi="Arial"/>
          <w:sz w:val="19"/>
          <w:szCs w:val="19"/>
          <w:color w:val="231F20"/>
        </w:rPr>
        <w:t>Year 3</w:t>
      </w:r>
      <w:r>
        <w:rPr>
          <w:sz w:val="20"/>
          <w:szCs w:val="20"/>
          <w:color w:val="auto"/>
        </w:rPr>
        <w:tab/>
      </w:r>
      <w:r>
        <w:rPr>
          <w:rFonts w:ascii="Arial" w:cs="Arial" w:eastAsia="Arial" w:hAnsi="Arial"/>
          <w:sz w:val="19"/>
          <w:szCs w:val="19"/>
          <w:color w:val="231F20"/>
        </w:rPr>
        <w:t>Year 4</w:t>
      </w:r>
      <w:r>
        <w:rPr>
          <w:sz w:val="20"/>
          <w:szCs w:val="20"/>
          <w:color w:val="auto"/>
        </w:rPr>
        <w:tab/>
      </w:r>
      <w:r>
        <w:rPr>
          <w:rFonts w:ascii="Arial" w:cs="Arial" w:eastAsia="Arial" w:hAnsi="Arial"/>
          <w:sz w:val="19"/>
          <w:szCs w:val="19"/>
          <w:color w:val="231F20"/>
        </w:rPr>
        <w:t>Year 5</w:t>
      </w:r>
      <w:r>
        <w:rPr>
          <w:sz w:val="20"/>
          <w:szCs w:val="20"/>
          <w:color w:val="auto"/>
        </w:rPr>
        <w:tab/>
      </w:r>
      <w:r>
        <w:rPr>
          <w:rFonts w:ascii="Arial" w:cs="Arial" w:eastAsia="Arial" w:hAnsi="Arial"/>
          <w:sz w:val="18"/>
          <w:szCs w:val="18"/>
          <w:color w:val="231F20"/>
        </w:rPr>
        <w:t>Year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6985</wp:posOffset>
            </wp:positionV>
            <wp:extent cx="5781675" cy="269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97">
                      <a:extLst>
                        <a:ext uri="{28A0092B-C50C-407E-A947-70E740481C1C}"/>
                      </a:extLst>
                    </a:blip>
                    <a:srcRect/>
                    <a:stretch>
                      <a:fillRect/>
                    </a:stretch>
                  </pic:blipFill>
                  <pic:spPr bwMode="auto">
                    <a:xfrm>
                      <a:off x="0" y="0"/>
                      <a:ext cx="5781675" cy="269875"/>
                    </a:xfrm>
                    <a:prstGeom prst="rect">
                      <a:avLst/>
                    </a:prstGeom>
                    <a:noFill/>
                  </pic:spPr>
                </pic:pic>
              </a:graphicData>
            </a:graphic>
          </wp:anchor>
        </w:drawing>
      </w:r>
    </w:p>
    <w:p>
      <w:pPr>
        <w:spacing w:after="0" w:line="83"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231F20"/>
        </w:rPr>
        <w:t>Shares issued</w:t>
      </w:r>
    </w:p>
    <w:p>
      <w:pPr>
        <w:spacing w:after="0" w:line="37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The actual number of shares awarded to each of our NEOs is determined by dividing the amount of the award by the closing price of our shares on the NYSE on the date the awards are made.</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There is no amount included in the Summary Compensation Table or Grants of Plan-Based Awards Table in this proxy statement for long-term incentive awards earned for the 2021-2023 performance period. Those amounts will be included in next year’s proxy statement. The long-term incentive awards included in the Summary Compensation Table and the Grants of Plan-Based Awards Table for our NEOs in this proxy statement relate to awards made in February 2023 for the 3-year performance period ending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2266950</wp:posOffset>
                </wp:positionV>
                <wp:extent cx="6400800" cy="17780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76" o:spid="_x0000_s1401" style="position:absolute;margin-left:0pt;margin-top:17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2266950</wp:posOffset>
                </wp:positionV>
                <wp:extent cx="0" cy="17780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78.5pt" to="0.5pt,19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2273300</wp:posOffset>
                </wp:positionV>
                <wp:extent cx="640080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9pt" to="504pt,17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2266950</wp:posOffset>
                </wp:positionV>
                <wp:extent cx="0" cy="17780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78.5pt" to="503.5pt,19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2438400</wp:posOffset>
                </wp:positionV>
                <wp:extent cx="6400800"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2pt" to="504pt,192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25</w:t>
      </w:r>
    </w:p>
    <w:p>
      <w:pPr>
        <w:sectPr>
          <w:pgSz w:w="12240" w:h="15840" w:orient="portrait"/>
          <w:cols w:equalWidth="0" w:num="1">
            <w:col w:w="10080"/>
          </w:cols>
          <w:pgMar w:left="1080" w:top="1440" w:right="1080" w:bottom="944" w:gutter="0" w:footer="0" w:header="0"/>
          <w:type w:val="continuous"/>
        </w:sectPr>
      </w:pPr>
    </w:p>
    <w:bookmarkStart w:id="145" w:name="page146"/>
    <w:bookmarkEnd w:id="145"/>
    <w:p>
      <w:pPr>
        <w:spacing w:after="0" w:line="66"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942975</wp:posOffset>
                </wp:positionV>
                <wp:extent cx="6400800"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4.25pt" to="558pt,74.25pt" o:allowincell="f" strokecolor="#231F20" strokeweight="0.5pt">
                <w10:wrap anchorx="page" anchory="page"/>
              </v:line>
            </w:pict>
          </mc:Fallback>
        </mc:AlternateContent>
      </w:r>
    </w:p>
    <w:p>
      <w:pPr>
        <w:ind w:left="140"/>
        <w:spacing w:after="0"/>
        <w:rPr>
          <w:sz w:val="20"/>
          <w:szCs w:val="20"/>
          <w:color w:val="auto"/>
        </w:rPr>
      </w:pPr>
      <w:r>
        <w:rPr>
          <w:rFonts w:ascii="Arial" w:cs="Arial" w:eastAsia="Arial" w:hAnsi="Arial"/>
          <w:sz w:val="28"/>
          <w:szCs w:val="28"/>
          <w:b w:val="1"/>
          <w:bCs w:val="1"/>
          <w:color w:val="EF3E2A"/>
        </w:rPr>
        <w:t>2023 N</w:t>
      </w:r>
      <w:r>
        <w:rPr>
          <w:rFonts w:ascii="Arial" w:cs="Arial" w:eastAsia="Arial" w:hAnsi="Arial"/>
          <w:sz w:val="21"/>
          <w:szCs w:val="21"/>
          <w:b w:val="1"/>
          <w:bCs w:val="1"/>
          <w:color w:val="EF3E2A"/>
        </w:rPr>
        <w:t>EO</w:t>
      </w:r>
      <w:r>
        <w:rPr>
          <w:rFonts w:ascii="Arial" w:cs="Arial" w:eastAsia="Arial" w:hAnsi="Arial"/>
          <w:sz w:val="28"/>
          <w:szCs w:val="28"/>
          <w:b w:val="1"/>
          <w:bCs w:val="1"/>
          <w:color w:val="EF3E2A"/>
        </w:rPr>
        <w:t xml:space="preserve"> P</w:t>
      </w:r>
      <w:r>
        <w:rPr>
          <w:rFonts w:ascii="Arial" w:cs="Arial" w:eastAsia="Arial" w:hAnsi="Arial"/>
          <w:sz w:val="21"/>
          <w:szCs w:val="21"/>
          <w:b w:val="1"/>
          <w:bCs w:val="1"/>
          <w:color w:val="EF3E2A"/>
        </w:rPr>
        <w:t>ERFORMANCE</w:t>
      </w:r>
      <w:r>
        <w:rPr>
          <w:rFonts w:ascii="Arial" w:cs="Arial" w:eastAsia="Arial" w:hAnsi="Arial"/>
          <w:sz w:val="28"/>
          <w:szCs w:val="28"/>
          <w:b w:val="1"/>
          <w:bCs w:val="1"/>
          <w:color w:val="EF3E2A"/>
        </w:rPr>
        <w:t xml:space="preserve"> S</w:t>
      </w:r>
      <w:r>
        <w:rPr>
          <w:rFonts w:ascii="Arial" w:cs="Arial" w:eastAsia="Arial" w:hAnsi="Arial"/>
          <w:sz w:val="21"/>
          <w:szCs w:val="21"/>
          <w:b w:val="1"/>
          <w:bCs w:val="1"/>
          <w:color w:val="EF3E2A"/>
        </w:rPr>
        <w:t>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400800"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499pt" to="504pt,-0.1499pt" o:allowincell="f" strokecolor="#231F20" strokeweight="0.5pt"/>
            </w:pict>
          </mc:Fallback>
        </mc:AlternateContent>
      </w:r>
    </w:p>
    <w:p>
      <w:pPr>
        <w:spacing w:after="0" w:line="2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Listed below are the individual performance achievements for each of our NEOs that the Compensation Committee considered to be instrumental in its determination to award each of our NEO’s the full amount of compensation he or she was eligible to receive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6400800" cy="1805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98">
                      <a:extLst>
                        <a:ext uri="{28A0092B-C50C-407E-A947-70E740481C1C}"/>
                      </a:extLst>
                    </a:blip>
                    <a:srcRect/>
                    <a:stretch>
                      <a:fillRect/>
                    </a:stretch>
                  </pic:blipFill>
                  <pic:spPr bwMode="auto">
                    <a:xfrm>
                      <a:off x="0" y="0"/>
                      <a:ext cx="6400800" cy="1805940"/>
                    </a:xfrm>
                    <a:prstGeom prst="rect">
                      <a:avLst/>
                    </a:prstGeom>
                    <a:noFill/>
                  </pic:spPr>
                </pic:pic>
              </a:graphicData>
            </a:graphic>
          </wp:anchor>
        </w:drawing>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EF3E2A"/>
        </w:rPr>
        <w:t>Donald C. Wood</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color w:val="EF3E2A"/>
        </w:rPr>
        <w:t>2023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Base Pay</w:t>
            </w:r>
          </w:p>
        </w:tc>
        <w:tc>
          <w:tcPr>
            <w:tcW w:w="480" w:type="dxa"/>
            <w:vAlign w:val="bottom"/>
            <w:shd w:val="clear" w:color="auto" w:fill="E6E7E8"/>
          </w:tcPr>
          <w:p>
            <w:pPr>
              <w:spacing w:after="0"/>
              <w:rPr>
                <w:sz w:val="20"/>
                <w:szCs w:val="20"/>
                <w:color w:val="auto"/>
              </w:rPr>
            </w:pPr>
            <w:r>
              <w:rPr>
                <w:rFonts w:ascii="Arial" w:cs="Arial" w:eastAsia="Arial" w:hAnsi="Arial"/>
                <w:sz w:val="16"/>
                <w:szCs w:val="16"/>
                <w:color w:val="231F20"/>
                <w:w w:val="93"/>
                <w:shd w:val="clear" w:color="auto" w:fill="E6E7E8"/>
              </w:rPr>
              <w:t>$1,000</w:t>
            </w:r>
          </w:p>
        </w:tc>
        <w:tc>
          <w:tcPr>
            <w:tcW w:w="200" w:type="dxa"/>
            <w:vAlign w:val="bottom"/>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Annual Bonus</w:t>
            </w:r>
          </w:p>
        </w:tc>
        <w:tc>
          <w:tcPr>
            <w:tcW w:w="680" w:type="dxa"/>
            <w:vAlign w:val="bottom"/>
            <w:gridSpan w:val="2"/>
            <w:shd w:val="clear" w:color="auto" w:fill="E6E7E8"/>
          </w:tcPr>
          <w:p>
            <w:pPr>
              <w:spacing w:after="0"/>
              <w:rPr>
                <w:sz w:val="20"/>
                <w:szCs w:val="20"/>
                <w:color w:val="auto"/>
              </w:rPr>
            </w:pPr>
            <w:r>
              <w:rPr>
                <w:rFonts w:ascii="Arial" w:cs="Arial" w:eastAsia="Arial" w:hAnsi="Arial"/>
                <w:sz w:val="16"/>
                <w:szCs w:val="16"/>
                <w:color w:val="231F20"/>
              </w:rPr>
              <w:t>$1,875</w:t>
            </w:r>
          </w:p>
        </w:tc>
      </w:tr>
      <w:tr>
        <w:trPr>
          <w:trHeight w:val="288"/>
        </w:trPr>
        <w:tc>
          <w:tcPr>
            <w:tcW w:w="234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Long-Term Equity</w:t>
            </w:r>
          </w:p>
        </w:tc>
        <w:tc>
          <w:tcPr>
            <w:tcW w:w="4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6"/>
                <w:szCs w:val="16"/>
                <w:color w:val="231F20"/>
                <w:w w:val="93"/>
                <w:shd w:val="clear" w:color="auto" w:fill="E6E7E8"/>
              </w:rPr>
              <w:t>$6,384</w:t>
            </w:r>
          </w:p>
        </w:tc>
        <w:tc>
          <w:tcPr>
            <w:tcW w:w="200" w:type="dxa"/>
            <w:vAlign w:val="bottom"/>
            <w:tcBorders>
              <w:bottom w:val="single" w:sz="8" w:color="E6E7E8"/>
            </w:tcBorders>
            <w:shd w:val="clear" w:color="auto" w:fill="E6E7E8"/>
          </w:tcPr>
          <w:p>
            <w:pPr>
              <w:spacing w:after="0"/>
              <w:rPr>
                <w:sz w:val="24"/>
                <w:szCs w:val="24"/>
                <w:color w:val="auto"/>
              </w:rPr>
            </w:pPr>
          </w:p>
        </w:tc>
      </w:tr>
      <w:tr>
        <w:trPr>
          <w:trHeight w:val="217"/>
        </w:trPr>
        <w:tc>
          <w:tcPr>
            <w:tcW w:w="2340" w:type="dxa"/>
            <w:vAlign w:val="bottom"/>
            <w:tcBorders>
              <w:top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Total</w:t>
            </w:r>
          </w:p>
        </w:tc>
        <w:tc>
          <w:tcPr>
            <w:tcW w:w="480" w:type="dxa"/>
            <w:vAlign w:val="bottom"/>
            <w:tcBorders>
              <w:top w:val="single" w:sz="8" w:color="231F20"/>
            </w:tcBorders>
            <w:shd w:val="clear" w:color="auto" w:fill="E6E7E8"/>
          </w:tcPr>
          <w:p>
            <w:pPr>
              <w:spacing w:after="0"/>
              <w:rPr>
                <w:sz w:val="20"/>
                <w:szCs w:val="20"/>
                <w:color w:val="auto"/>
              </w:rPr>
            </w:pPr>
            <w:r>
              <w:rPr>
                <w:rFonts w:ascii="Arial" w:cs="Arial" w:eastAsia="Arial" w:hAnsi="Arial"/>
                <w:sz w:val="16"/>
                <w:szCs w:val="16"/>
                <w:color w:val="231F20"/>
                <w:w w:val="93"/>
                <w:shd w:val="clear" w:color="auto" w:fill="E6E7E8"/>
              </w:rPr>
              <w:t>$9,259</w:t>
            </w:r>
          </w:p>
        </w:tc>
        <w:tc>
          <w:tcPr>
            <w:tcW w:w="200" w:type="dxa"/>
            <w:vAlign w:val="bottom"/>
            <w:tcBorders>
              <w:top w:val="single" w:sz="8" w:color="E6E7E8"/>
            </w:tcBorders>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Total as % of Target</w:t>
            </w:r>
          </w:p>
        </w:tc>
        <w:tc>
          <w:tcPr>
            <w:tcW w:w="680" w:type="dxa"/>
            <w:vAlign w:val="bottom"/>
            <w:gridSpan w:val="2"/>
            <w:shd w:val="clear" w:color="auto" w:fill="E6E7E8"/>
          </w:tcPr>
          <w:p>
            <w:pPr>
              <w:ind w:left="80"/>
              <w:spacing w:after="0"/>
              <w:rPr>
                <w:sz w:val="20"/>
                <w:szCs w:val="20"/>
                <w:color w:val="auto"/>
              </w:rPr>
            </w:pPr>
            <w:r>
              <w:rPr>
                <w:rFonts w:ascii="Arial" w:cs="Arial" w:eastAsia="Arial" w:hAnsi="Arial"/>
                <w:sz w:val="16"/>
                <w:szCs w:val="16"/>
                <w:color w:val="231F20"/>
              </w:rPr>
              <w:t>109%</w:t>
            </w:r>
          </w:p>
        </w:tc>
      </w:tr>
      <w:tr>
        <w:trPr>
          <w:trHeight w:val="1208"/>
        </w:trPr>
        <w:tc>
          <w:tcPr>
            <w:tcW w:w="2340" w:type="dxa"/>
            <w:vAlign w:val="bottom"/>
            <w:shd w:val="clear" w:color="auto" w:fill="E6E7E8"/>
          </w:tcPr>
          <w:p>
            <w:pPr>
              <w:spacing w:after="0"/>
              <w:rPr>
                <w:sz w:val="24"/>
                <w:szCs w:val="24"/>
                <w:color w:val="auto"/>
              </w:rPr>
            </w:pPr>
          </w:p>
        </w:tc>
        <w:tc>
          <w:tcPr>
            <w:tcW w:w="48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1923415" cy="21107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99">
                      <a:extLst>
                        <a:ext uri="{28A0092B-C50C-407E-A947-70E740481C1C}"/>
                      </a:extLst>
                    </a:blip>
                    <a:srcRect/>
                    <a:stretch>
                      <a:fillRect/>
                    </a:stretch>
                  </pic:blipFill>
                  <pic:spPr bwMode="auto">
                    <a:xfrm>
                      <a:off x="0" y="0"/>
                      <a:ext cx="1923415" cy="2110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Responsibilities</w:t>
      </w:r>
    </w:p>
    <w:p>
      <w:pPr>
        <w:spacing w:after="0" w:line="13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231F20"/>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22860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7E8"/>
                        </a:solidFill>
                      </wps:spPr>
                      <wps:bodyPr/>
                    </wps:wsp>
                  </a:graphicData>
                </a:graphic>
              </wp:anchor>
            </w:drawing>
          </mc:Choice>
          <mc:Fallback>
            <w:pict>
              <v:rect id="Shape 385" o:spid="_x0000_s1410" style="position:absolute;margin-left:-4.4999pt;margin-top:9.65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2023 Achievements</w:t>
      </w:r>
    </w:p>
    <w:p>
      <w:pPr>
        <w:spacing w:after="0" w:line="137" w:lineRule="exact"/>
        <w:rPr>
          <w:sz w:val="20"/>
          <w:szCs w:val="20"/>
          <w:color w:val="auto"/>
        </w:rPr>
      </w:pPr>
    </w:p>
    <w:p>
      <w:pPr>
        <w:ind w:left="400" w:right="50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efforts to review and execute on our long-term strategy and objectives and business plan review</w:t>
      </w:r>
    </w:p>
    <w:p>
      <w:pPr>
        <w:spacing w:after="0" w:line="239"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our overall efforts that drove record level top line revenue</w:t>
      </w:r>
    </w:p>
    <w:p>
      <w:pPr>
        <w:spacing w:after="0" w:line="15" w:lineRule="exact"/>
        <w:rPr>
          <w:sz w:val="20"/>
          <w:szCs w:val="20"/>
          <w:color w:val="auto"/>
        </w:rPr>
      </w:pPr>
    </w:p>
    <w:p>
      <w:pPr>
        <w:ind w:left="400" w:right="60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continued advancement of overall strategy and objectives on environmental, social and governance initiatives</w:t>
      </w:r>
    </w:p>
    <w:p>
      <w:pPr>
        <w:spacing w:after="0" w:line="15" w:lineRule="exact"/>
        <w:rPr>
          <w:sz w:val="20"/>
          <w:szCs w:val="20"/>
          <w:color w:val="auto"/>
        </w:rPr>
      </w:pPr>
    </w:p>
    <w:p>
      <w:pPr>
        <w:ind w:left="400" w:right="28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decisions on capital investments creating significant future value for our shareholders</w:t>
      </w:r>
    </w:p>
    <w:p>
      <w:pPr>
        <w:spacing w:after="0" w:line="15" w:lineRule="exact"/>
        <w:rPr>
          <w:sz w:val="20"/>
          <w:szCs w:val="20"/>
          <w:color w:val="auto"/>
        </w:rPr>
      </w:pPr>
    </w:p>
    <w:p>
      <w:pPr>
        <w:ind w:left="400" w:right="2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focus on sustainability initiatives as high level corporate priorities to support our overall business objectives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760730</wp:posOffset>
                </wp:positionV>
                <wp:extent cx="4349750" cy="22860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7E8"/>
                        </a:solidFill>
                      </wps:spPr>
                      <wps:bodyPr/>
                    </wps:wsp>
                  </a:graphicData>
                </a:graphic>
              </wp:anchor>
            </w:drawing>
          </mc:Choice>
          <mc:Fallback>
            <w:pict>
              <v:rect id="Shape 386" o:spid="_x0000_s1411" style="position:absolute;margin-left:-4.4999pt;margin-top:59.9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918" w:lineRule="exact"/>
        <w:rPr>
          <w:sz w:val="20"/>
          <w:szCs w:val="20"/>
          <w:color w:val="auto"/>
        </w:rPr>
      </w:pPr>
    </w:p>
    <w:p>
      <w:pPr>
        <w:sectPr>
          <w:pgSz w:w="12240" w:h="15840" w:orient="portrait"/>
          <w:cols w:equalWidth="0" w:num="2">
            <w:col w:w="3020" w:space="300"/>
            <w:col w:w="6760"/>
          </w:cols>
          <w:pgMar w:left="1080" w:top="1440" w:right="1080" w:bottom="9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EF3E2A"/>
        </w:rPr>
        <w:t>Jeffrey S. Berkes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President and Chief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color w:val="EF3E2A"/>
        </w:rPr>
        <w:t>2023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Base Pay</w:t>
            </w:r>
          </w:p>
        </w:tc>
        <w:tc>
          <w:tcPr>
            <w:tcW w:w="480" w:type="dxa"/>
            <w:vAlign w:val="bottom"/>
            <w:shd w:val="clear" w:color="auto" w:fill="E6E7E8"/>
          </w:tcPr>
          <w:p>
            <w:pPr>
              <w:spacing w:after="0"/>
              <w:rPr>
                <w:sz w:val="20"/>
                <w:szCs w:val="20"/>
                <w:color w:val="auto"/>
              </w:rPr>
            </w:pPr>
            <w:r>
              <w:rPr>
                <w:rFonts w:ascii="Arial" w:cs="Arial" w:eastAsia="Arial" w:hAnsi="Arial"/>
                <w:sz w:val="16"/>
                <w:szCs w:val="16"/>
                <w:color w:val="231F20"/>
                <w:shd w:val="clear" w:color="auto" w:fill="E6E7E8"/>
              </w:rPr>
              <w:t>$  650</w:t>
            </w:r>
          </w:p>
        </w:tc>
        <w:tc>
          <w:tcPr>
            <w:tcW w:w="200" w:type="dxa"/>
            <w:vAlign w:val="bottom"/>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Annual Bonus</w:t>
            </w:r>
          </w:p>
        </w:tc>
        <w:tc>
          <w:tcPr>
            <w:tcW w:w="680" w:type="dxa"/>
            <w:vAlign w:val="bottom"/>
            <w:gridSpan w:val="2"/>
            <w:shd w:val="clear" w:color="auto" w:fill="E6E7E8"/>
          </w:tcPr>
          <w:p>
            <w:pPr>
              <w:spacing w:after="0"/>
              <w:rPr>
                <w:sz w:val="20"/>
                <w:szCs w:val="20"/>
                <w:color w:val="auto"/>
              </w:rPr>
            </w:pPr>
            <w:r>
              <w:rPr>
                <w:rFonts w:ascii="Arial" w:cs="Arial" w:eastAsia="Arial" w:hAnsi="Arial"/>
                <w:sz w:val="16"/>
                <w:szCs w:val="16"/>
                <w:color w:val="231F20"/>
              </w:rPr>
              <w:t>$1,016</w:t>
            </w:r>
          </w:p>
        </w:tc>
      </w:tr>
      <w:tr>
        <w:trPr>
          <w:trHeight w:val="288"/>
        </w:trPr>
        <w:tc>
          <w:tcPr>
            <w:tcW w:w="234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Long-Term Equity</w:t>
            </w:r>
          </w:p>
        </w:tc>
        <w:tc>
          <w:tcPr>
            <w:tcW w:w="4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6"/>
                <w:szCs w:val="16"/>
                <w:color w:val="231F20"/>
                <w:w w:val="93"/>
                <w:shd w:val="clear" w:color="auto" w:fill="E6E7E8"/>
              </w:rPr>
              <w:t>$1,064</w:t>
            </w:r>
          </w:p>
        </w:tc>
        <w:tc>
          <w:tcPr>
            <w:tcW w:w="200" w:type="dxa"/>
            <w:vAlign w:val="bottom"/>
            <w:tcBorders>
              <w:bottom w:val="single" w:sz="8" w:color="E6E7E8"/>
            </w:tcBorders>
            <w:shd w:val="clear" w:color="auto" w:fill="E6E7E8"/>
          </w:tcPr>
          <w:p>
            <w:pPr>
              <w:spacing w:after="0"/>
              <w:rPr>
                <w:sz w:val="24"/>
                <w:szCs w:val="24"/>
                <w:color w:val="auto"/>
              </w:rPr>
            </w:pPr>
          </w:p>
        </w:tc>
      </w:tr>
      <w:tr>
        <w:trPr>
          <w:trHeight w:val="217"/>
        </w:trPr>
        <w:tc>
          <w:tcPr>
            <w:tcW w:w="2340" w:type="dxa"/>
            <w:vAlign w:val="bottom"/>
            <w:tcBorders>
              <w:top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Total</w:t>
            </w:r>
          </w:p>
        </w:tc>
        <w:tc>
          <w:tcPr>
            <w:tcW w:w="480" w:type="dxa"/>
            <w:vAlign w:val="bottom"/>
            <w:tcBorders>
              <w:top w:val="single" w:sz="8" w:color="231F20"/>
            </w:tcBorders>
            <w:shd w:val="clear" w:color="auto" w:fill="E6E7E8"/>
          </w:tcPr>
          <w:p>
            <w:pPr>
              <w:spacing w:after="0"/>
              <w:rPr>
                <w:sz w:val="20"/>
                <w:szCs w:val="20"/>
                <w:color w:val="auto"/>
              </w:rPr>
            </w:pPr>
            <w:r>
              <w:rPr>
                <w:rFonts w:ascii="Arial" w:cs="Arial" w:eastAsia="Arial" w:hAnsi="Arial"/>
                <w:sz w:val="16"/>
                <w:szCs w:val="16"/>
                <w:color w:val="231F20"/>
                <w:w w:val="93"/>
                <w:shd w:val="clear" w:color="auto" w:fill="E6E7E8"/>
              </w:rPr>
              <w:t>$2,730</w:t>
            </w:r>
          </w:p>
        </w:tc>
        <w:tc>
          <w:tcPr>
            <w:tcW w:w="200" w:type="dxa"/>
            <w:vAlign w:val="bottom"/>
            <w:tcBorders>
              <w:top w:val="single" w:sz="8" w:color="E6E7E8"/>
            </w:tcBorders>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Total as % of Target</w:t>
            </w:r>
          </w:p>
        </w:tc>
        <w:tc>
          <w:tcPr>
            <w:tcW w:w="680" w:type="dxa"/>
            <w:vAlign w:val="bottom"/>
            <w:gridSpan w:val="2"/>
            <w:shd w:val="clear" w:color="auto" w:fill="E6E7E8"/>
          </w:tcPr>
          <w:p>
            <w:pPr>
              <w:ind w:left="80"/>
              <w:spacing w:after="0"/>
              <w:rPr>
                <w:sz w:val="20"/>
                <w:szCs w:val="20"/>
                <w:color w:val="auto"/>
              </w:rPr>
            </w:pPr>
            <w:r>
              <w:rPr>
                <w:rFonts w:ascii="Arial" w:cs="Arial" w:eastAsia="Arial" w:hAnsi="Arial"/>
                <w:sz w:val="16"/>
                <w:szCs w:val="16"/>
                <w:color w:val="231F20"/>
              </w:rPr>
              <w:t>111%</w:t>
            </w:r>
          </w:p>
        </w:tc>
      </w:tr>
      <w:tr>
        <w:trPr>
          <w:trHeight w:val="728"/>
        </w:trPr>
        <w:tc>
          <w:tcPr>
            <w:tcW w:w="2340" w:type="dxa"/>
            <w:vAlign w:val="bottom"/>
            <w:shd w:val="clear" w:color="auto" w:fill="E6E7E8"/>
          </w:tcPr>
          <w:p>
            <w:pPr>
              <w:spacing w:after="0"/>
              <w:rPr>
                <w:sz w:val="24"/>
                <w:szCs w:val="24"/>
                <w:color w:val="auto"/>
              </w:rPr>
            </w:pPr>
          </w:p>
        </w:tc>
        <w:tc>
          <w:tcPr>
            <w:tcW w:w="48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171450</wp:posOffset>
                </wp:positionV>
                <wp:extent cx="6400800" cy="17780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87" o:spid="_x0000_s1412" style="position:absolute;margin-left:0pt;margin-top:13.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171450</wp:posOffset>
                </wp:positionV>
                <wp:extent cx="0" cy="17780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5pt" to="0.5pt,2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342900</wp:posOffset>
                </wp:positionV>
                <wp:extent cx="640080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pt" to="504pt,2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640080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504pt,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171450</wp:posOffset>
                </wp:positionV>
                <wp:extent cx="0" cy="17780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5pt" to="503.5pt,27.5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Responsibilities</w:t>
      </w:r>
    </w:p>
    <w:p>
      <w:pPr>
        <w:spacing w:after="0" w:line="135"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231F20"/>
        </w:rPr>
        <w:t>Mr. Berkes has overall responsibility for the performance of the Company’s operating assets, development and redevelopment projects as well as overall responsibility for property acquisitions and dispositions.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22860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7E8"/>
                        </a:solidFill>
                      </wps:spPr>
                      <wps:bodyPr/>
                    </wps:wsp>
                  </a:graphicData>
                </a:graphic>
              </wp:anchor>
            </w:drawing>
          </mc:Choice>
          <mc:Fallback>
            <w:pict>
              <v:rect id="Shape 392" o:spid="_x0000_s1417" style="position:absolute;margin-left:-4.4999pt;margin-top:9.65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2023 Achievements</w:t>
      </w:r>
    </w:p>
    <w:p>
      <w:pPr>
        <w:spacing w:after="0" w:line="135" w:lineRule="exact"/>
        <w:rPr>
          <w:sz w:val="20"/>
          <w:szCs w:val="20"/>
          <w:color w:val="auto"/>
        </w:rPr>
      </w:pPr>
    </w:p>
    <w:p>
      <w:pPr>
        <w:ind w:left="400" w:right="2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Oversaw Company-wide efforts that led to delivery of record level of top line revenue</w:t>
      </w:r>
    </w:p>
    <w:p>
      <w:pPr>
        <w:spacing w:after="0" w:line="15" w:lineRule="exact"/>
        <w:rPr>
          <w:sz w:val="20"/>
          <w:szCs w:val="20"/>
          <w:color w:val="auto"/>
        </w:rPr>
      </w:pPr>
    </w:p>
    <w:p>
      <w:pPr>
        <w:ind w:left="400" w:right="400" w:hanging="400"/>
        <w:spacing w:after="0" w:line="23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capital investment efforts with productive investments in existing assets contributing to FFO per diluted share growth in 2023 and expected significant future contributions</w:t>
      </w:r>
    </w:p>
    <w:p>
      <w:pPr>
        <w:spacing w:after="0" w:line="16" w:lineRule="exact"/>
        <w:rPr>
          <w:sz w:val="20"/>
          <w:szCs w:val="20"/>
          <w:color w:val="auto"/>
        </w:rPr>
      </w:pPr>
    </w:p>
    <w:p>
      <w:pPr>
        <w:ind w:left="400" w:right="280" w:hanging="400"/>
        <w:spacing w:after="0" w:line="23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Oversaw historically strong year of comparable space lease signings that produced </w:t>
      </w:r>
      <w:r>
        <w:rPr>
          <w:rFonts w:ascii="Symbol" w:cs="Symbol" w:eastAsia="Symbol" w:hAnsi="Symbol"/>
          <w:sz w:val="20"/>
          <w:szCs w:val="20"/>
          <w:color w:val="231F20"/>
        </w:rPr>
        <w:t>≈</w:t>
      </w:r>
      <w:r>
        <w:rPr>
          <w:rFonts w:ascii="Arial" w:cs="Arial" w:eastAsia="Arial" w:hAnsi="Arial"/>
          <w:sz w:val="20"/>
          <w:szCs w:val="20"/>
          <w:color w:val="231F20"/>
        </w:rPr>
        <w:t xml:space="preserve"> 10% rental growth over prior tenants and will deliver $74.5 million of new revenue in the first year of the lease terms</w:t>
      </w:r>
    </w:p>
    <w:p>
      <w:pPr>
        <w:spacing w:after="0" w:line="17" w:lineRule="exact"/>
        <w:rPr>
          <w:sz w:val="20"/>
          <w:szCs w:val="20"/>
          <w:color w:val="auto"/>
        </w:rPr>
      </w:pPr>
    </w:p>
    <w:p>
      <w:pPr>
        <w:ind w:left="400" w:right="54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efforts to grow pipeline of future projects that will add value to existing assets</w:t>
      </w:r>
    </w:p>
    <w:p>
      <w:pPr>
        <w:spacing w:after="0" w:line="1118" w:lineRule="exact"/>
        <w:rPr>
          <w:sz w:val="20"/>
          <w:szCs w:val="20"/>
          <w:color w:val="auto"/>
        </w:rPr>
      </w:pPr>
    </w:p>
    <w:p>
      <w:pPr>
        <w:sectPr>
          <w:pgSz w:w="12240" w:h="15840" w:orient="portrait"/>
          <w:cols w:equalWidth="0" w:num="2">
            <w:col w:w="3020" w:space="300"/>
            <w:col w:w="6760"/>
          </w:cols>
          <w:pgMar w:left="1080" w:top="1440" w:right="1080" w:bottom="944" w:gutter="0" w:footer="0" w:header="0"/>
          <w:type w:val="continuous"/>
        </w:sectPr>
      </w:pPr>
    </w:p>
    <w:p>
      <w:pPr>
        <w:spacing w:after="0" w:line="11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26</w:t>
      </w:r>
    </w:p>
    <w:p>
      <w:pPr>
        <w:sectPr>
          <w:pgSz w:w="12240" w:h="15840" w:orient="portrait"/>
          <w:cols w:equalWidth="0" w:num="1">
            <w:col w:w="10080"/>
          </w:cols>
          <w:pgMar w:left="1080" w:top="1440" w:right="1080" w:bottom="944"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914400</wp:posOffset>
            </wp:positionV>
            <wp:extent cx="1923415" cy="20980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00">
                      <a:extLst>
                        <a:ext uri="{28A0092B-C50C-407E-A947-70E740481C1C}"/>
                      </a:extLst>
                    </a:blip>
                    <a:srcRect/>
                    <a:stretch>
                      <a:fillRect/>
                    </a:stretch>
                  </pic:blipFill>
                  <pic:spPr bwMode="auto">
                    <a:xfrm>
                      <a:off x="0" y="0"/>
                      <a:ext cx="1923415" cy="209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EF3E2A"/>
        </w:rPr>
        <w:t>Daniel Guglielmone</w:t>
      </w:r>
    </w:p>
    <w:p>
      <w:pPr>
        <w:spacing w:after="0" w:line="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231F20"/>
        </w:rPr>
        <w:t>Executive Vice President</w:t>
      </w:r>
    </w:p>
    <w:p>
      <w:pPr>
        <w:spacing w:after="0" w:line="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231F20"/>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color w:val="EF3E2A"/>
        </w:rPr>
        <w:t>2023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Base Pay</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shd w:val="clear" w:color="auto" w:fill="E6E7E8"/>
          </w:tcPr>
          <w:p>
            <w:pPr>
              <w:jc w:val="right"/>
              <w:spacing w:after="0"/>
              <w:rPr>
                <w:sz w:val="20"/>
                <w:szCs w:val="20"/>
                <w:color w:val="auto"/>
              </w:rPr>
            </w:pPr>
            <w:r>
              <w:rPr>
                <w:rFonts w:ascii="Arial" w:cs="Arial" w:eastAsia="Arial" w:hAnsi="Arial"/>
                <w:sz w:val="16"/>
                <w:szCs w:val="16"/>
                <w:color w:val="231F20"/>
                <w:shd w:val="clear" w:color="auto" w:fill="E6E7E8"/>
              </w:rPr>
              <w:t>575</w:t>
            </w:r>
          </w:p>
        </w:tc>
        <w:tc>
          <w:tcPr>
            <w:tcW w:w="200" w:type="dxa"/>
            <w:vAlign w:val="bottom"/>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Annual Bonus</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600" w:type="dxa"/>
            <w:vAlign w:val="bottom"/>
            <w:gridSpan w:val="2"/>
            <w:shd w:val="clear" w:color="auto" w:fill="E6E7E8"/>
          </w:tcPr>
          <w:p>
            <w:pPr>
              <w:jc w:val="right"/>
              <w:ind w:right="200"/>
              <w:spacing w:after="0"/>
              <w:rPr>
                <w:sz w:val="20"/>
                <w:szCs w:val="20"/>
                <w:color w:val="auto"/>
              </w:rPr>
            </w:pPr>
            <w:r>
              <w:rPr>
                <w:rFonts w:ascii="Arial" w:cs="Arial" w:eastAsia="Arial" w:hAnsi="Arial"/>
                <w:sz w:val="16"/>
                <w:szCs w:val="16"/>
                <w:color w:val="231F20"/>
              </w:rPr>
              <w:t>719</w:t>
            </w: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Supp. Bonus</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600" w:type="dxa"/>
            <w:vAlign w:val="bottom"/>
            <w:gridSpan w:val="2"/>
            <w:shd w:val="clear" w:color="auto" w:fill="E6E7E8"/>
          </w:tcPr>
          <w:p>
            <w:pPr>
              <w:jc w:val="right"/>
              <w:ind w:right="200"/>
              <w:spacing w:after="0"/>
              <w:rPr>
                <w:sz w:val="20"/>
                <w:szCs w:val="20"/>
                <w:color w:val="auto"/>
              </w:rPr>
            </w:pPr>
            <w:r>
              <w:rPr>
                <w:rFonts w:ascii="Arial" w:cs="Arial" w:eastAsia="Arial" w:hAnsi="Arial"/>
                <w:sz w:val="16"/>
                <w:szCs w:val="16"/>
                <w:color w:val="231F20"/>
              </w:rPr>
              <w:t>150</w:t>
            </w:r>
          </w:p>
        </w:tc>
      </w:tr>
      <w:tr>
        <w:trPr>
          <w:trHeight w:val="288"/>
        </w:trPr>
        <w:tc>
          <w:tcPr>
            <w:tcW w:w="234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Long-Term Equity</w:t>
            </w:r>
          </w:p>
        </w:tc>
        <w:tc>
          <w:tcPr>
            <w:tcW w:w="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231F20"/>
                <w:w w:val="94"/>
                <w:shd w:val="clear" w:color="auto" w:fill="E6E7E8"/>
              </w:rPr>
              <w:t>1,064</w:t>
            </w:r>
          </w:p>
        </w:tc>
        <w:tc>
          <w:tcPr>
            <w:tcW w:w="200" w:type="dxa"/>
            <w:vAlign w:val="bottom"/>
            <w:tcBorders>
              <w:bottom w:val="single" w:sz="8" w:color="E6E7E8"/>
            </w:tcBorders>
            <w:shd w:val="clear" w:color="auto" w:fill="E6E7E8"/>
          </w:tcPr>
          <w:p>
            <w:pPr>
              <w:spacing w:after="0"/>
              <w:rPr>
                <w:sz w:val="24"/>
                <w:szCs w:val="24"/>
                <w:color w:val="auto"/>
              </w:rPr>
            </w:pPr>
          </w:p>
        </w:tc>
      </w:tr>
      <w:tr>
        <w:trPr>
          <w:trHeight w:val="217"/>
        </w:trPr>
        <w:tc>
          <w:tcPr>
            <w:tcW w:w="2340" w:type="dxa"/>
            <w:vAlign w:val="bottom"/>
            <w:tcBorders>
              <w:top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Total</w:t>
            </w:r>
          </w:p>
        </w:tc>
        <w:tc>
          <w:tcPr>
            <w:tcW w:w="8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6"/>
                <w:szCs w:val="16"/>
                <w:color w:val="231F20"/>
                <w:w w:val="94"/>
                <w:shd w:val="clear" w:color="auto" w:fill="E6E7E8"/>
              </w:rPr>
              <w:t>2,508</w:t>
            </w:r>
          </w:p>
        </w:tc>
        <w:tc>
          <w:tcPr>
            <w:tcW w:w="200" w:type="dxa"/>
            <w:vAlign w:val="bottom"/>
            <w:tcBorders>
              <w:top w:val="single" w:sz="8" w:color="E6E7E8"/>
            </w:tcBorders>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Total as % of Target</w:t>
            </w:r>
          </w:p>
        </w:tc>
        <w:tc>
          <w:tcPr>
            <w:tcW w:w="680" w:type="dxa"/>
            <w:vAlign w:val="bottom"/>
            <w:gridSpan w:val="3"/>
            <w:shd w:val="clear" w:color="auto" w:fill="E6E7E8"/>
          </w:tcPr>
          <w:p>
            <w:pPr>
              <w:jc w:val="right"/>
              <w:ind w:right="200"/>
              <w:spacing w:after="0"/>
              <w:rPr>
                <w:sz w:val="20"/>
                <w:szCs w:val="20"/>
                <w:color w:val="auto"/>
              </w:rPr>
            </w:pPr>
            <w:r>
              <w:rPr>
                <w:rFonts w:ascii="Arial" w:cs="Arial" w:eastAsia="Arial" w:hAnsi="Arial"/>
                <w:sz w:val="16"/>
                <w:szCs w:val="16"/>
                <w:color w:val="231F20"/>
              </w:rPr>
              <w:t>117%</w:t>
            </w:r>
          </w:p>
        </w:tc>
      </w:tr>
      <w:tr>
        <w:trPr>
          <w:trHeight w:val="968"/>
        </w:trPr>
        <w:tc>
          <w:tcPr>
            <w:tcW w:w="234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1923415" cy="21107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01">
                      <a:extLst>
                        <a:ext uri="{28A0092B-C50C-407E-A947-70E740481C1C}"/>
                      </a:extLst>
                    </a:blip>
                    <a:srcRect/>
                    <a:stretch>
                      <a:fillRect/>
                    </a:stretch>
                  </pic:blipFill>
                  <pic:spPr bwMode="auto">
                    <a:xfrm>
                      <a:off x="0" y="0"/>
                      <a:ext cx="1923415" cy="211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EF3E2A"/>
        </w:rPr>
        <w:t>Dawn M. Becker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Executive Vice President</w:t>
      </w:r>
    </w:p>
    <w:p>
      <w:pPr>
        <w:spacing w:after="0" w:line="10"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231F20"/>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EF3E2A"/>
        </w:rPr>
        <w:t>2023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Base Pay</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shd w:val="clear" w:color="auto" w:fill="E6E7E8"/>
          </w:tcPr>
          <w:p>
            <w:pPr>
              <w:jc w:val="right"/>
              <w:spacing w:after="0"/>
              <w:rPr>
                <w:sz w:val="20"/>
                <w:szCs w:val="20"/>
                <w:color w:val="auto"/>
              </w:rPr>
            </w:pPr>
            <w:r>
              <w:rPr>
                <w:rFonts w:ascii="Arial" w:cs="Arial" w:eastAsia="Arial" w:hAnsi="Arial"/>
                <w:sz w:val="16"/>
                <w:szCs w:val="16"/>
                <w:color w:val="231F20"/>
                <w:shd w:val="clear" w:color="auto" w:fill="E6E7E8"/>
              </w:rPr>
              <w:t>575</w:t>
            </w:r>
          </w:p>
        </w:tc>
        <w:tc>
          <w:tcPr>
            <w:tcW w:w="200" w:type="dxa"/>
            <w:vAlign w:val="bottom"/>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Annual Bonus</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600" w:type="dxa"/>
            <w:vAlign w:val="bottom"/>
            <w:gridSpan w:val="2"/>
            <w:shd w:val="clear" w:color="auto" w:fill="E6E7E8"/>
          </w:tcPr>
          <w:p>
            <w:pPr>
              <w:jc w:val="right"/>
              <w:ind w:right="200"/>
              <w:spacing w:after="0"/>
              <w:rPr>
                <w:sz w:val="20"/>
                <w:szCs w:val="20"/>
                <w:color w:val="auto"/>
              </w:rPr>
            </w:pPr>
            <w:r>
              <w:rPr>
                <w:rFonts w:ascii="Arial" w:cs="Arial" w:eastAsia="Arial" w:hAnsi="Arial"/>
                <w:sz w:val="16"/>
                <w:szCs w:val="16"/>
                <w:color w:val="231F20"/>
              </w:rPr>
              <w:t>719</w:t>
            </w:r>
          </w:p>
        </w:tc>
      </w:tr>
      <w:tr>
        <w:trPr>
          <w:trHeight w:val="288"/>
        </w:trPr>
        <w:tc>
          <w:tcPr>
            <w:tcW w:w="234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Long-Term Equity</w:t>
            </w:r>
          </w:p>
        </w:tc>
        <w:tc>
          <w:tcPr>
            <w:tcW w:w="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231F20"/>
                <w:w w:val="94"/>
                <w:shd w:val="clear" w:color="auto" w:fill="E6E7E8"/>
              </w:rPr>
              <w:t>1,064</w:t>
            </w:r>
          </w:p>
        </w:tc>
        <w:tc>
          <w:tcPr>
            <w:tcW w:w="200" w:type="dxa"/>
            <w:vAlign w:val="bottom"/>
            <w:tcBorders>
              <w:bottom w:val="single" w:sz="8" w:color="E6E7E8"/>
            </w:tcBorders>
            <w:shd w:val="clear" w:color="auto" w:fill="E6E7E8"/>
          </w:tcPr>
          <w:p>
            <w:pPr>
              <w:spacing w:after="0"/>
              <w:rPr>
                <w:sz w:val="24"/>
                <w:szCs w:val="24"/>
                <w:color w:val="auto"/>
              </w:rPr>
            </w:pPr>
          </w:p>
        </w:tc>
      </w:tr>
      <w:tr>
        <w:trPr>
          <w:trHeight w:val="217"/>
        </w:trPr>
        <w:tc>
          <w:tcPr>
            <w:tcW w:w="2340" w:type="dxa"/>
            <w:vAlign w:val="bottom"/>
            <w:tcBorders>
              <w:top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Total</w:t>
            </w:r>
          </w:p>
        </w:tc>
        <w:tc>
          <w:tcPr>
            <w:tcW w:w="8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6"/>
                <w:szCs w:val="16"/>
                <w:color w:val="231F20"/>
                <w:w w:val="94"/>
                <w:shd w:val="clear" w:color="auto" w:fill="E6E7E8"/>
              </w:rPr>
              <w:t>2,358</w:t>
            </w:r>
          </w:p>
        </w:tc>
        <w:tc>
          <w:tcPr>
            <w:tcW w:w="200" w:type="dxa"/>
            <w:vAlign w:val="bottom"/>
            <w:tcBorders>
              <w:top w:val="single" w:sz="8" w:color="E6E7E8"/>
            </w:tcBorders>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Total as % of Target</w:t>
            </w:r>
          </w:p>
        </w:tc>
        <w:tc>
          <w:tcPr>
            <w:tcW w:w="680" w:type="dxa"/>
            <w:vAlign w:val="bottom"/>
            <w:gridSpan w:val="3"/>
            <w:shd w:val="clear" w:color="auto" w:fill="E6E7E8"/>
          </w:tcPr>
          <w:p>
            <w:pPr>
              <w:jc w:val="right"/>
              <w:ind w:right="200"/>
              <w:spacing w:after="0"/>
              <w:rPr>
                <w:sz w:val="20"/>
                <w:szCs w:val="20"/>
                <w:color w:val="auto"/>
              </w:rPr>
            </w:pPr>
            <w:r>
              <w:rPr>
                <w:rFonts w:ascii="Arial" w:cs="Arial" w:eastAsia="Arial" w:hAnsi="Arial"/>
                <w:sz w:val="16"/>
                <w:szCs w:val="16"/>
                <w:color w:val="231F20"/>
              </w:rPr>
              <w:t>110%</w:t>
            </w:r>
          </w:p>
        </w:tc>
      </w:tr>
      <w:tr>
        <w:trPr>
          <w:trHeight w:val="1448"/>
        </w:trPr>
        <w:tc>
          <w:tcPr>
            <w:tcW w:w="234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431800</wp:posOffset>
                </wp:positionV>
                <wp:extent cx="6400800" cy="17780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395" o:spid="_x0000_s1420" style="position:absolute;margin-left:0pt;margin-top:3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431800</wp:posOffset>
                </wp:positionV>
                <wp:extent cx="0" cy="17780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4pt" to="0.5pt,4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603250</wp:posOffset>
                </wp:positionV>
                <wp:extent cx="640080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5pt" to="504pt,4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438150</wp:posOffset>
                </wp:positionV>
                <wp:extent cx="640080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5pt" to="504pt,3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431800</wp:posOffset>
                </wp:positionV>
                <wp:extent cx="0" cy="17780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4pt" to="503.5pt,48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Responsibilities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-177165</wp:posOffset>
                </wp:positionV>
                <wp:extent cx="4349750" cy="227965"/>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7965"/>
                        </a:xfrm>
                        <a:prstGeom prst="rect">
                          <a:avLst/>
                        </a:prstGeom>
                        <a:solidFill>
                          <a:srgbClr val="E6E7E8"/>
                        </a:solidFill>
                      </wps:spPr>
                      <wps:bodyPr/>
                    </wps:wsp>
                  </a:graphicData>
                </a:graphic>
              </wp:anchor>
            </w:drawing>
          </mc:Choice>
          <mc:Fallback>
            <w:pict>
              <v:rect id="Shape 400" o:spid="_x0000_s1425" style="position:absolute;margin-left:-4.4999pt;margin-top:-13.9499pt;width:342.5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117"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231F20"/>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19050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190500"/>
                        </a:xfrm>
                        <a:prstGeom prst="rect">
                          <a:avLst/>
                        </a:prstGeom>
                        <a:solidFill>
                          <a:srgbClr val="E6E7E8"/>
                        </a:solidFill>
                      </wps:spPr>
                      <wps:bodyPr/>
                    </wps:wsp>
                  </a:graphicData>
                </a:graphic>
              </wp:anchor>
            </w:drawing>
          </mc:Choice>
          <mc:Fallback>
            <w:pict>
              <v:rect id="Shape 401" o:spid="_x0000_s1426" style="position:absolute;margin-left:-4.4999pt;margin-top:9.65pt;width:34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2023 Achievements</w:t>
      </w:r>
    </w:p>
    <w:p>
      <w:pPr>
        <w:spacing w:after="0" w:line="77" w:lineRule="exact"/>
        <w:rPr>
          <w:sz w:val="20"/>
          <w:szCs w:val="20"/>
          <w:color w:val="auto"/>
        </w:rPr>
      </w:pPr>
    </w:p>
    <w:p>
      <w:pPr>
        <w:ind w:left="400" w:right="380" w:hanging="400"/>
        <w:spacing w:after="0" w:line="234"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Co-led the Company’s capital investment efforts with productive investments in existing assets contributing to FFO per diluted share growth in 2023 and expected significant future contributions</w:t>
      </w:r>
    </w:p>
    <w:p>
      <w:pPr>
        <w:spacing w:after="0" w:line="19" w:lineRule="exact"/>
        <w:rPr>
          <w:sz w:val="20"/>
          <w:szCs w:val="20"/>
          <w:color w:val="auto"/>
        </w:rPr>
      </w:pPr>
    </w:p>
    <w:p>
      <w:pPr>
        <w:ind w:left="400" w:right="180" w:hanging="400"/>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Smartly managed the Company’s debt obligations through a period of significant inflation</w:t>
      </w:r>
    </w:p>
    <w:p>
      <w:pPr>
        <w:spacing w:after="0" w:line="17" w:lineRule="exact"/>
        <w:rPr>
          <w:sz w:val="20"/>
          <w:szCs w:val="20"/>
          <w:color w:val="auto"/>
        </w:rPr>
      </w:pPr>
    </w:p>
    <w:p>
      <w:pPr>
        <w:ind w:left="400" w:right="40" w:hanging="400"/>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Strong balance sheet management that resulted in improvement of key credit metrics</w:t>
      </w:r>
    </w:p>
    <w:p>
      <w:pPr>
        <w:spacing w:after="0" w:line="17" w:lineRule="exact"/>
        <w:rPr>
          <w:sz w:val="20"/>
          <w:szCs w:val="20"/>
          <w:color w:val="auto"/>
        </w:rPr>
      </w:pPr>
    </w:p>
    <w:p>
      <w:pPr>
        <w:ind w:left="400" w:right="360" w:hanging="400"/>
        <w:spacing w:after="0" w:line="269" w:lineRule="exact"/>
        <w:rPr>
          <w:sz w:val="20"/>
          <w:szCs w:val="20"/>
          <w:color w:val="auto"/>
        </w:rPr>
      </w:pPr>
      <w:r>
        <w:rPr>
          <w:rFonts w:ascii="Arial Unicode MS" w:cs="Arial Unicode MS" w:eastAsia="Arial Unicode MS" w:hAnsi="Arial Unicode MS"/>
          <w:sz w:val="19"/>
          <w:szCs w:val="19"/>
          <w:color w:val="231F20"/>
        </w:rPr>
        <w:t>✓</w:t>
      </w:r>
      <w:r>
        <w:rPr>
          <w:rFonts w:ascii="Arial" w:cs="Arial" w:eastAsia="Arial" w:hAnsi="Arial"/>
          <w:sz w:val="19"/>
          <w:szCs w:val="19"/>
          <w:color w:val="231F20"/>
        </w:rPr>
        <w:t xml:space="preserve"> Led financial efforts enabling the Company to increase our annual dividend rate to common shareholders for the 56</w:t>
      </w:r>
      <w:r>
        <w:rPr>
          <w:rFonts w:ascii="Arial" w:cs="Arial" w:eastAsia="Arial" w:hAnsi="Arial"/>
          <w:sz w:val="25"/>
          <w:szCs w:val="25"/>
          <w:color w:val="231F20"/>
          <w:vertAlign w:val="superscript"/>
        </w:rPr>
        <w:t>th</w:t>
      </w:r>
      <w:r>
        <w:rPr>
          <w:rFonts w:ascii="Arial" w:cs="Arial" w:eastAsia="Arial" w:hAnsi="Arial"/>
          <w:sz w:val="19"/>
          <w:szCs w:val="19"/>
          <w:color w:val="231F20"/>
        </w:rPr>
        <w:t xml:space="preserve"> consecutive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1172210</wp:posOffset>
                </wp:positionV>
                <wp:extent cx="4349750" cy="22860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28600"/>
                        </a:xfrm>
                        <a:prstGeom prst="rect">
                          <a:avLst/>
                        </a:prstGeom>
                        <a:solidFill>
                          <a:srgbClr val="E6E7E8"/>
                        </a:solidFill>
                      </wps:spPr>
                      <wps:bodyPr/>
                    </wps:wsp>
                  </a:graphicData>
                </a:graphic>
              </wp:anchor>
            </w:drawing>
          </mc:Choice>
          <mc:Fallback>
            <w:pict>
              <v:rect id="Shape 402" o:spid="_x0000_s1427" style="position:absolute;margin-left:-4.4999pt;margin-top:92.3pt;width:34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Responsibilities</w:t>
      </w:r>
    </w:p>
    <w:p>
      <w:pPr>
        <w:spacing w:after="0" w:line="13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231F20"/>
        </w:rPr>
        <w:t>Ms. Becker has overall responsibility for all legal functions within the Company and heads all of our sustainability efforts in addition to overseeing our Human Resources, Information Technology and other administrative functions.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20320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203200"/>
                        </a:xfrm>
                        <a:prstGeom prst="rect">
                          <a:avLst/>
                        </a:prstGeom>
                        <a:solidFill>
                          <a:srgbClr val="E6E7E8"/>
                        </a:solidFill>
                      </wps:spPr>
                      <wps:bodyPr/>
                    </wps:wsp>
                  </a:graphicData>
                </a:graphic>
              </wp:anchor>
            </w:drawing>
          </mc:Choice>
          <mc:Fallback>
            <w:pict>
              <v:rect id="Shape 403" o:spid="_x0000_s1428" style="position:absolute;margin-left:-4.4999pt;margin-top:9.65pt;width:342.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2023 Achievements</w:t>
      </w:r>
    </w:p>
    <w:p>
      <w:pPr>
        <w:spacing w:after="0" w:line="5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sustainability efforts</w:t>
      </w:r>
    </w:p>
    <w:p>
      <w:pPr>
        <w:spacing w:after="0" w:line="14" w:lineRule="exact"/>
        <w:rPr>
          <w:sz w:val="20"/>
          <w:szCs w:val="20"/>
          <w:color w:val="auto"/>
        </w:rPr>
      </w:pPr>
    </w:p>
    <w:p>
      <w:pPr>
        <w:ind w:left="400" w:right="60" w:hanging="400"/>
        <w:spacing w:after="0" w:line="23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progress to date on reducing Scope 1 and 2 GHG emissions, on pace to achieve our established science-based emission reduction target</w:t>
      </w:r>
    </w:p>
    <w:p>
      <w:pPr>
        <w:spacing w:after="0" w:line="16" w:lineRule="exact"/>
        <w:rPr>
          <w:sz w:val="20"/>
          <w:szCs w:val="20"/>
          <w:color w:val="auto"/>
        </w:rPr>
      </w:pPr>
    </w:p>
    <w:p>
      <w:pPr>
        <w:ind w:left="400" w:right="300" w:hanging="400"/>
        <w:spacing w:after="0" w:line="23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corporate sustainability reporting in line with the Global Reporting Initiative, Task Force on Climate-Related Financial Disclosures and Sustainability Accounting Standards Board</w:t>
      </w:r>
    </w:p>
    <w:p>
      <w:pPr>
        <w:spacing w:after="0" w:line="16" w:lineRule="exact"/>
        <w:rPr>
          <w:sz w:val="20"/>
          <w:szCs w:val="20"/>
          <w:color w:val="auto"/>
        </w:rPr>
      </w:pPr>
    </w:p>
    <w:p>
      <w:pPr>
        <w:ind w:left="40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Oversaw efforts that resulted in continued strong employee engagement results and improved succession planning in the Company</w:t>
      </w:r>
    </w:p>
    <w:p>
      <w:pPr>
        <w:spacing w:after="0" w:line="239"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continued technology system improvements and reporting to drive</w:t>
      </w:r>
    </w:p>
    <w:p>
      <w:pPr>
        <w:spacing w:after="0" w:line="15" w:lineRule="exact"/>
        <w:rPr>
          <w:sz w:val="20"/>
          <w:szCs w:val="20"/>
          <w:color w:val="auto"/>
        </w:rPr>
      </w:pPr>
    </w:p>
    <w:p>
      <w:pPr>
        <w:ind w:left="400" w:right="480"/>
        <w:spacing w:after="0" w:line="245" w:lineRule="auto"/>
        <w:rPr>
          <w:sz w:val="20"/>
          <w:szCs w:val="20"/>
          <w:color w:val="auto"/>
        </w:rPr>
      </w:pPr>
      <w:r>
        <w:rPr>
          <w:rFonts w:ascii="Arial" w:cs="Arial" w:eastAsia="Arial" w:hAnsi="Arial"/>
          <w:sz w:val="20"/>
          <w:szCs w:val="20"/>
          <w:color w:val="231F20"/>
        </w:rPr>
        <w:t>Company-wide efficiency and data availability and improved cyber security readiness</w:t>
      </w:r>
    </w:p>
    <w:p>
      <w:pPr>
        <w:spacing w:after="0" w:line="1153" w:lineRule="exact"/>
        <w:rPr>
          <w:sz w:val="20"/>
          <w:szCs w:val="20"/>
          <w:color w:val="auto"/>
        </w:rPr>
      </w:pPr>
    </w:p>
    <w:p>
      <w:pPr>
        <w:sectPr>
          <w:pgSz w:w="12240" w:h="15840" w:orient="portrait"/>
          <w:cols w:equalWidth="0" w:num="2">
            <w:col w:w="3020" w:space="300"/>
            <w:col w:w="6740"/>
          </w:cols>
          <w:pgMar w:left="1080" w:top="1440" w:right="1100" w:bottom="944" w:gutter="0" w:footer="0" w:header="0"/>
        </w:sectPr>
      </w:pPr>
    </w:p>
    <w:p>
      <w:pPr>
        <w:spacing w:after="0" w:line="200" w:lineRule="exact"/>
        <w:rPr>
          <w:sz w:val="20"/>
          <w:szCs w:val="20"/>
          <w:color w:val="auto"/>
        </w:rPr>
      </w:pPr>
    </w:p>
    <w:p>
      <w:pPr>
        <w:spacing w:after="0" w:line="32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27</w:t>
      </w:r>
    </w:p>
    <w:p>
      <w:pPr>
        <w:sectPr>
          <w:pgSz w:w="12240" w:h="15840" w:orient="portrait"/>
          <w:cols w:equalWidth="0" w:num="1">
            <w:col w:w="10060"/>
          </w:cols>
          <w:pgMar w:left="1080" w:top="1440" w:right="1100" w:bottom="944" w:gutter="0" w:footer="0" w:header="0"/>
          <w:type w:val="continuous"/>
        </w:sectPr>
      </w:pPr>
    </w:p>
    <w:bookmarkStart w:id="147" w:name="page148"/>
    <w:bookmarkEnd w:id="147"/>
    <w:p>
      <w:pPr>
        <w:spacing w:after="0" w:line="10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917575</wp:posOffset>
                </wp:positionV>
                <wp:extent cx="640080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2.25pt" to="558pt,72.25pt" o:allowincell="f" strokecolor="#231F20" strokeweight="0.5pt">
                <w10:wrap anchorx="page" anchory="page"/>
              </v:line>
            </w:pict>
          </mc:Fallback>
        </mc:AlternateContent>
      </w:r>
    </w:p>
    <w:p>
      <w:pPr>
        <w:ind w:left="120"/>
        <w:spacing w:after="0"/>
        <w:rPr>
          <w:sz w:val="20"/>
          <w:szCs w:val="20"/>
          <w:color w:val="auto"/>
        </w:rPr>
      </w:pPr>
      <w:r>
        <w:rPr>
          <w:rFonts w:ascii="Arial" w:cs="Arial" w:eastAsia="Arial" w:hAnsi="Arial"/>
          <w:sz w:val="24"/>
          <w:szCs w:val="24"/>
          <w:b w:val="1"/>
          <w:bCs w:val="1"/>
          <w:color w:val="EF3E2A"/>
        </w:rPr>
        <w:t>O</w:t>
      </w:r>
      <w:r>
        <w:rPr>
          <w:rFonts w:ascii="Arial" w:cs="Arial" w:eastAsia="Arial" w:hAnsi="Arial"/>
          <w:sz w:val="18"/>
          <w:szCs w:val="18"/>
          <w:b w:val="1"/>
          <w:bCs w:val="1"/>
          <w:color w:val="EF3E2A"/>
        </w:rPr>
        <w:t>THER</w:t>
      </w:r>
      <w:r>
        <w:rPr>
          <w:rFonts w:ascii="Arial" w:cs="Arial" w:eastAsia="Arial" w:hAnsi="Arial"/>
          <w:sz w:val="24"/>
          <w:szCs w:val="24"/>
          <w:b w:val="1"/>
          <w:bCs w:val="1"/>
          <w:color w:val="EF3E2A"/>
        </w:rPr>
        <w:t xml:space="preserve"> 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P</w:t>
      </w:r>
      <w:r>
        <w:rPr>
          <w:rFonts w:ascii="Arial" w:cs="Arial" w:eastAsia="Arial" w:hAnsi="Arial"/>
          <w:sz w:val="18"/>
          <w:szCs w:val="18"/>
          <w:b w:val="1"/>
          <w:bCs w:val="1"/>
          <w:color w:val="EF3E2A"/>
        </w:rPr>
        <w:t>RACTICES AND</w:t>
      </w:r>
      <w:r>
        <w:rPr>
          <w:rFonts w:ascii="Arial" w:cs="Arial" w:eastAsia="Arial" w:hAnsi="Arial"/>
          <w:sz w:val="24"/>
          <w:szCs w:val="24"/>
          <w:b w:val="1"/>
          <w:bCs w:val="1"/>
          <w:color w:val="EF3E2A"/>
        </w:rPr>
        <w:t xml:space="preserve"> P</w:t>
      </w:r>
      <w:r>
        <w:rPr>
          <w:rFonts w:ascii="Arial" w:cs="Arial" w:eastAsia="Arial" w:hAnsi="Arial"/>
          <w:sz w:val="18"/>
          <w:szCs w:val="18"/>
          <w:b w:val="1"/>
          <w:bCs w:val="1"/>
          <w:color w:val="EF3E2A"/>
        </w:rPr>
        <w:t>OLICIES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640080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504pt,1.75pt" o:allowincell="f" strokecolor="#231F20" strokeweight="0.5pt"/>
            </w:pict>
          </mc:Fallback>
        </mc:AlternateContent>
      </w:r>
    </w:p>
    <w:p>
      <w:pPr>
        <w:spacing w:after="0" w:line="29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CONSIDERATION OF SAY ON PAY VOTE</w:t>
      </w:r>
    </w:p>
    <w:p>
      <w:pPr>
        <w:spacing w:after="0" w:line="27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Company conducts an annual “say on pay” vote to approve executive compensation. At the 2023 annual meeting of shareholders, more than 94% of the shares voted were in support of the compensation paid to our NEOs. Although the vote is advisory and non-binding on the Board, the Compensation Committee regularly considers the results of this vote in evaluating the Company’s compensation programs, including for 2023 compensation. In light of the feedback from our shareholders and the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2024.</w:t>
      </w:r>
    </w:p>
    <w:p>
      <w:pPr>
        <w:spacing w:after="0" w:line="22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NO HEDGING OR PLEDGING OF OUR SHARES</w:t>
      </w:r>
    </w:p>
    <w:p>
      <w:pPr>
        <w:spacing w:after="0" w:line="2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22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SEVERANCE AND CHANGE-IN-CONTROL ARRANGEMENTS</w:t>
      </w:r>
    </w:p>
    <w:p>
      <w:pPr>
        <w:spacing w:after="0" w:line="27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 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31"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CLAWBACK POLICY</w:t>
      </w:r>
    </w:p>
    <w:p>
      <w:pPr>
        <w:spacing w:after="0" w:line="27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We have a clawback policy that provides for the return from an NEO of performance based compensation if we issue a restatement of financial results to correct material non-compliance with reporting requirements and the performance compensation paid to that NEO is more than it would have been based on the restated financial results. This clawback policy complies with the most current NYSE requirements.</w:t>
      </w:r>
    </w:p>
    <w:p>
      <w:pPr>
        <w:spacing w:after="0" w:line="22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SHARE OWNERSHIP GUIDELINES</w:t>
      </w:r>
    </w:p>
    <w:p>
      <w:pPr>
        <w:spacing w:after="0" w:line="27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maintain guidelines requiring each of our NEOs as well as other executive vice presidents to maintain a specific level of ownership of our shares as shown below. These guidelines are intended to link the interests of our NEOs and other executive vice presidents with the interests of our shareholders. Each individual subject to these guidelines has five years to achieve the required level of ownership after becoming subject to the guidelines.</w:t>
      </w: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Compliance with our ownership guidelines gets measured and reviewed by the Board at the end of each fiscal year and the ownership level of each of our NEOs as of December 31, 2023 is shown below based on the closing price of our shares on December 29,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400800" cy="17780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06" o:spid="_x0000_s1431" style="position:absolute;margin-left:0pt;margin-top:10.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130175</wp:posOffset>
                </wp:positionV>
                <wp:extent cx="0" cy="17780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25pt" to="0.5pt,24.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130175</wp:posOffset>
                </wp:positionV>
                <wp:extent cx="0" cy="17780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25pt" to="503.5pt,24.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301625</wp:posOffset>
                </wp:positionV>
                <wp:extent cx="6400800"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75pt" to="504pt,23.7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53"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28</w:t>
      </w:r>
    </w:p>
    <w:p>
      <w:pPr>
        <w:sectPr>
          <w:pgSz w:w="12240" w:h="15840" w:orient="portrait"/>
          <w:cols w:equalWidth="0" w:num="1">
            <w:col w:w="10080"/>
          </w:cols>
          <w:pgMar w:left="1080" w:top="1440" w:right="1080" w:bottom="944" w:gutter="0" w:footer="0" w:header="0"/>
          <w:type w:val="continuous"/>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1058545</wp:posOffset>
            </wp:positionV>
            <wp:extent cx="6400800" cy="4159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102">
                      <a:extLst>
                        <a:ext uri="{28A0092B-C50C-407E-A947-70E740481C1C}"/>
                      </a:extLst>
                    </a:blip>
                    <a:srcRect/>
                    <a:stretch>
                      <a:fillRect/>
                    </a:stretch>
                  </pic:blipFill>
                  <pic:spPr bwMode="auto">
                    <a:xfrm>
                      <a:off x="0" y="0"/>
                      <a:ext cx="6400800" cy="415925"/>
                    </a:xfrm>
                    <a:prstGeom prst="rect">
                      <a:avLst/>
                    </a:prstGeom>
                    <a:noFill/>
                  </pic:spPr>
                </pic:pic>
              </a:graphicData>
            </a:graphic>
          </wp:anchor>
        </w:drawing>
      </w:r>
    </w:p>
    <w:p>
      <w:pPr>
        <w:spacing w:after="0" w:line="25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FFFFFF"/>
        </w:rPr>
        <w:t>Our NEOs were in compliance with our equity ownership requirements as of December 31, 2023.</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right w:val="single" w:sz="8" w:color="231F20"/>
            </w:tcBorders>
          </w:tcPr>
          <w:p>
            <w:pPr>
              <w:spacing w:after="0"/>
              <w:rPr>
                <w:sz w:val="22"/>
                <w:szCs w:val="22"/>
                <w:color w:val="auto"/>
              </w:rPr>
            </w:pPr>
          </w:p>
        </w:tc>
        <w:tc>
          <w:tcPr>
            <w:tcW w:w="20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r>
              <w:rPr>
                <w:rFonts w:ascii="Arial" w:cs="Arial" w:eastAsia="Arial" w:hAnsi="Arial"/>
                <w:sz w:val="17"/>
                <w:szCs w:val="17"/>
                <w:b w:val="1"/>
                <w:bCs w:val="1"/>
                <w:color w:val="231F20"/>
              </w:rPr>
              <w:t>Wood</w:t>
            </w:r>
          </w:p>
        </w:tc>
        <w:tc>
          <w:tcPr>
            <w:tcW w:w="1120" w:type="dxa"/>
            <w:vAlign w:val="bottom"/>
            <w:tcBorders>
              <w:right w:val="single" w:sz="8" w:color="B2B4B6"/>
            </w:tcBorders>
            <w:shd w:val="clear" w:color="auto" w:fill="B2B4B6"/>
          </w:tcPr>
          <w:p>
            <w:pPr>
              <w:spacing w:after="0"/>
              <w:rPr>
                <w:sz w:val="20"/>
                <w:szCs w:val="20"/>
                <w:color w:val="auto"/>
              </w:rPr>
            </w:pPr>
          </w:p>
        </w:tc>
        <w:tc>
          <w:tcPr>
            <w:tcW w:w="1280" w:type="dxa"/>
            <w:vAlign w:val="bottom"/>
            <w:shd w:val="clear" w:color="auto" w:fill="B2B4B6"/>
          </w:tcPr>
          <w:p>
            <w:pPr>
              <w:spacing w:after="0"/>
              <w:rPr>
                <w:sz w:val="20"/>
                <w:szCs w:val="20"/>
                <w:color w:val="auto"/>
              </w:rPr>
            </w:pPr>
          </w:p>
        </w:tc>
        <w:tc>
          <w:tcPr>
            <w:tcW w:w="240" w:type="dxa"/>
            <w:vAlign w:val="bottom"/>
            <w:shd w:val="clear" w:color="auto" w:fill="B2B4B6"/>
          </w:tcPr>
          <w:p>
            <w:pPr>
              <w:spacing w:after="0"/>
              <w:rPr>
                <w:sz w:val="20"/>
                <w:szCs w:val="20"/>
                <w:color w:val="auto"/>
              </w:rPr>
            </w:pPr>
          </w:p>
        </w:tc>
        <w:tc>
          <w:tcPr>
            <w:tcW w:w="420" w:type="dxa"/>
            <w:vAlign w:val="bottom"/>
            <w:tcBorders>
              <w:right w:val="single" w:sz="8" w:color="231F20"/>
            </w:tcBorders>
            <w:shd w:val="clear" w:color="auto" w:fill="B2B4B6"/>
          </w:tcPr>
          <w:p>
            <w:pPr>
              <w:spacing w:after="0"/>
              <w:rPr>
                <w:sz w:val="20"/>
                <w:szCs w:val="20"/>
                <w:color w:val="auto"/>
              </w:rPr>
            </w:pPr>
          </w:p>
        </w:tc>
        <w:tc>
          <w:tcPr>
            <w:tcW w:w="2080" w:type="dxa"/>
            <w:vAlign w:val="bottom"/>
            <w:shd w:val="clear" w:color="auto" w:fill="EF3E29"/>
          </w:tcPr>
          <w:p>
            <w:pPr>
              <w:spacing w:after="0"/>
              <w:rPr>
                <w:sz w:val="20"/>
                <w:szCs w:val="20"/>
                <w:color w:val="auto"/>
              </w:rPr>
            </w:pPr>
          </w:p>
        </w:tc>
        <w:tc>
          <w:tcPr>
            <w:tcW w:w="2720" w:type="dxa"/>
            <w:vAlign w:val="bottom"/>
            <w:shd w:val="clear" w:color="auto" w:fill="EF3E29"/>
          </w:tcPr>
          <w:p>
            <w:pPr>
              <w:ind w:left="1540"/>
              <w:spacing w:after="0"/>
              <w:rPr>
                <w:sz w:val="20"/>
                <w:szCs w:val="20"/>
                <w:color w:val="auto"/>
              </w:rPr>
            </w:pPr>
            <w:r>
              <w:rPr>
                <w:rFonts w:ascii="Arial" w:cs="Arial" w:eastAsia="Arial" w:hAnsi="Arial"/>
                <w:sz w:val="17"/>
                <w:szCs w:val="17"/>
                <w:b w:val="1"/>
                <w:bCs w:val="1"/>
                <w:color w:val="FFFFFF"/>
              </w:rPr>
              <w:t>31.0x</w:t>
            </w: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Borders>
              <w:right w:val="single" w:sz="8" w:color="231F20"/>
            </w:tcBorders>
            <w:gridSpan w:val="3"/>
          </w:tcPr>
          <w:p>
            <w:pPr>
              <w:jc w:val="right"/>
              <w:ind w:right="60"/>
              <w:spacing w:after="0"/>
              <w:rPr>
                <w:sz w:val="20"/>
                <w:szCs w:val="20"/>
                <w:color w:val="auto"/>
              </w:rPr>
            </w:pPr>
            <w:r>
              <w:rPr>
                <w:rFonts w:ascii="Arial" w:cs="Arial" w:eastAsia="Arial" w:hAnsi="Arial"/>
                <w:sz w:val="14"/>
                <w:szCs w:val="14"/>
                <w:color w:val="231F20"/>
              </w:rPr>
              <w:t>Ownership Target:</w:t>
            </w:r>
          </w:p>
        </w:tc>
        <w:tc>
          <w:tcPr>
            <w:tcW w:w="4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Borders>
              <w:right w:val="single" w:sz="8" w:color="231F20"/>
            </w:tcBorders>
            <w:gridSpan w:val="3"/>
          </w:tcPr>
          <w:p>
            <w:pPr>
              <w:jc w:val="right"/>
              <w:ind w:right="60"/>
              <w:spacing w:after="0"/>
              <w:rPr>
                <w:sz w:val="20"/>
                <w:szCs w:val="20"/>
                <w:color w:val="auto"/>
              </w:rPr>
            </w:pPr>
            <w:r>
              <w:rPr>
                <w:rFonts w:ascii="Arial" w:cs="Arial" w:eastAsia="Arial" w:hAnsi="Arial"/>
                <w:sz w:val="14"/>
                <w:szCs w:val="14"/>
                <w:color w:val="ED2024"/>
              </w:rPr>
              <w:t>7x Base Pay</w:t>
            </w:r>
          </w:p>
        </w:tc>
        <w:tc>
          <w:tcPr>
            <w:tcW w:w="48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231F20"/>
              </w:rPr>
              <w:t>Berkes</w:t>
            </w:r>
          </w:p>
        </w:tc>
        <w:tc>
          <w:tcPr>
            <w:tcW w:w="1120" w:type="dxa"/>
            <w:vAlign w:val="bottom"/>
            <w:tcBorders>
              <w:right w:val="single" w:sz="8" w:color="231F20"/>
            </w:tcBorders>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vMerge w:val="restart"/>
          </w:tcPr>
          <w:p>
            <w:pPr>
              <w:spacing w:after="0"/>
              <w:rPr>
                <w:sz w:val="17"/>
                <w:szCs w:val="17"/>
                <w:color w:val="auto"/>
              </w:rPr>
            </w:pPr>
          </w:p>
        </w:tc>
        <w:tc>
          <w:tcPr>
            <w:tcW w:w="2080" w:type="dxa"/>
            <w:vAlign w:val="bottom"/>
            <w:vMerge w:val="restart"/>
          </w:tcPr>
          <w:p>
            <w:pPr>
              <w:spacing w:after="0"/>
              <w:rPr>
                <w:sz w:val="17"/>
                <w:szCs w:val="17"/>
                <w:color w:val="auto"/>
              </w:rPr>
            </w:pPr>
          </w:p>
        </w:tc>
        <w:tc>
          <w:tcPr>
            <w:tcW w:w="27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1120" w:type="dxa"/>
            <w:vAlign w:val="bottom"/>
            <w:tcBorders>
              <w:right w:val="single" w:sz="8" w:color="231F20"/>
            </w:tcBorders>
            <w:shd w:val="clear" w:color="auto" w:fill="B2B4B6"/>
          </w:tcPr>
          <w:p>
            <w:pPr>
              <w:spacing w:after="0"/>
              <w:rPr>
                <w:sz w:val="20"/>
                <w:szCs w:val="20"/>
                <w:color w:val="auto"/>
              </w:rPr>
            </w:pPr>
          </w:p>
        </w:tc>
        <w:tc>
          <w:tcPr>
            <w:tcW w:w="1520" w:type="dxa"/>
            <w:vAlign w:val="bottom"/>
            <w:gridSpan w:val="2"/>
            <w:shd w:val="clear" w:color="auto" w:fill="EF3E29"/>
          </w:tcPr>
          <w:p>
            <w:pPr>
              <w:ind w:left="1120"/>
              <w:spacing w:after="0"/>
              <w:rPr>
                <w:sz w:val="20"/>
                <w:szCs w:val="20"/>
                <w:color w:val="auto"/>
              </w:rPr>
            </w:pPr>
            <w:r>
              <w:rPr>
                <w:rFonts w:ascii="Arial" w:cs="Arial" w:eastAsia="Arial" w:hAnsi="Arial"/>
                <w:sz w:val="17"/>
                <w:szCs w:val="17"/>
                <w:b w:val="1"/>
                <w:bCs w:val="1"/>
                <w:color w:val="FFFFFF"/>
              </w:rPr>
              <w:t>4.1x</w:t>
            </w:r>
          </w:p>
        </w:tc>
        <w:tc>
          <w:tcPr>
            <w:tcW w:w="4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2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231F20"/>
              </w:rPr>
              <w:t>Guglielmone</w:t>
            </w:r>
          </w:p>
        </w:tc>
        <w:tc>
          <w:tcPr>
            <w:tcW w:w="1120" w:type="dxa"/>
            <w:vAlign w:val="bottom"/>
            <w:tcBorders>
              <w:right w:val="single" w:sz="8" w:color="231F20"/>
            </w:tcBorders>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gridSpan w:val="2"/>
            <w:vMerge w:val="restart"/>
          </w:tcPr>
          <w:p>
            <w:pPr>
              <w:spacing w:after="0"/>
              <w:rPr>
                <w:sz w:val="4"/>
                <w:szCs w:val="4"/>
                <w:color w:val="auto"/>
              </w:rPr>
            </w:pPr>
          </w:p>
        </w:tc>
        <w:tc>
          <w:tcPr>
            <w:tcW w:w="2080" w:type="dxa"/>
            <w:vAlign w:val="bottom"/>
            <w:vMerge w:val="restart"/>
          </w:tcPr>
          <w:p>
            <w:pPr>
              <w:spacing w:after="0"/>
              <w:rPr>
                <w:sz w:val="4"/>
                <w:szCs w:val="4"/>
                <w:color w:val="auto"/>
              </w:rPr>
            </w:pPr>
          </w:p>
        </w:tc>
        <w:tc>
          <w:tcPr>
            <w:tcW w:w="27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1120" w:type="dxa"/>
            <w:vAlign w:val="bottom"/>
            <w:tcBorders>
              <w:right w:val="single" w:sz="8" w:color="231F20"/>
            </w:tcBorders>
            <w:shd w:val="clear" w:color="auto" w:fill="B2B4B6"/>
          </w:tcPr>
          <w:p>
            <w:pPr>
              <w:spacing w:after="0"/>
              <w:rPr>
                <w:sz w:val="20"/>
                <w:szCs w:val="20"/>
                <w:color w:val="auto"/>
              </w:rPr>
            </w:pPr>
          </w:p>
        </w:tc>
        <w:tc>
          <w:tcPr>
            <w:tcW w:w="1280" w:type="dxa"/>
            <w:vAlign w:val="bottom"/>
            <w:shd w:val="clear" w:color="auto" w:fill="EF3E29"/>
          </w:tcPr>
          <w:p>
            <w:pPr>
              <w:ind w:left="860"/>
              <w:spacing w:after="0"/>
              <w:rPr>
                <w:sz w:val="20"/>
                <w:szCs w:val="20"/>
                <w:color w:val="auto"/>
              </w:rPr>
            </w:pPr>
            <w:r>
              <w:rPr>
                <w:rFonts w:ascii="Arial" w:cs="Arial" w:eastAsia="Arial" w:hAnsi="Arial"/>
                <w:sz w:val="17"/>
                <w:szCs w:val="17"/>
                <w:b w:val="1"/>
                <w:bCs w:val="1"/>
                <w:color w:val="FFFFFF"/>
              </w:rPr>
              <w:t>3.9x</w:t>
            </w:r>
          </w:p>
        </w:tc>
        <w:tc>
          <w:tcPr>
            <w:tcW w:w="660" w:type="dxa"/>
            <w:vAlign w:val="bottom"/>
            <w:gridSpan w:val="2"/>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2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231F20"/>
              </w:rPr>
              <w:t>Becker</w:t>
            </w:r>
          </w:p>
        </w:tc>
        <w:tc>
          <w:tcPr>
            <w:tcW w:w="1120" w:type="dxa"/>
            <w:vAlign w:val="bottom"/>
            <w:tcBorders>
              <w:right w:val="single" w:sz="8" w:color="231F20"/>
            </w:tcBorders>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1120" w:type="dxa"/>
            <w:vAlign w:val="bottom"/>
            <w:tcBorders>
              <w:right w:val="single" w:sz="8" w:color="231F20"/>
            </w:tcBorders>
            <w:shd w:val="clear" w:color="auto" w:fill="B2B4B6"/>
          </w:tcPr>
          <w:p>
            <w:pPr>
              <w:spacing w:after="0"/>
              <w:rPr>
                <w:sz w:val="20"/>
                <w:szCs w:val="20"/>
                <w:color w:val="auto"/>
              </w:rPr>
            </w:pPr>
          </w:p>
        </w:tc>
        <w:tc>
          <w:tcPr>
            <w:tcW w:w="1280" w:type="dxa"/>
            <w:vAlign w:val="bottom"/>
            <w:shd w:val="clear" w:color="auto" w:fill="EF3E29"/>
          </w:tcPr>
          <w:p>
            <w:pPr>
              <w:spacing w:after="0"/>
              <w:rPr>
                <w:sz w:val="20"/>
                <w:szCs w:val="20"/>
                <w:color w:val="auto"/>
              </w:rPr>
            </w:pPr>
          </w:p>
        </w:tc>
        <w:tc>
          <w:tcPr>
            <w:tcW w:w="240" w:type="dxa"/>
            <w:vAlign w:val="bottom"/>
            <w:shd w:val="clear" w:color="auto" w:fill="EF3E29"/>
          </w:tcPr>
          <w:p>
            <w:pPr>
              <w:spacing w:after="0"/>
              <w:rPr>
                <w:sz w:val="20"/>
                <w:szCs w:val="20"/>
                <w:color w:val="auto"/>
              </w:rPr>
            </w:pPr>
          </w:p>
        </w:tc>
        <w:tc>
          <w:tcPr>
            <w:tcW w:w="420" w:type="dxa"/>
            <w:vAlign w:val="bottom"/>
            <w:tcBorders>
              <w:right w:val="single" w:sz="8" w:color="EF3E29"/>
            </w:tcBorders>
            <w:shd w:val="clear" w:color="auto" w:fill="EF3E29"/>
          </w:tcPr>
          <w:p>
            <w:pPr>
              <w:spacing w:after="0"/>
              <w:rPr>
                <w:sz w:val="20"/>
                <w:szCs w:val="20"/>
                <w:color w:val="auto"/>
              </w:rPr>
            </w:pPr>
          </w:p>
        </w:tc>
        <w:tc>
          <w:tcPr>
            <w:tcW w:w="2080" w:type="dxa"/>
            <w:vAlign w:val="bottom"/>
            <w:shd w:val="clear" w:color="auto" w:fill="EF3E29"/>
          </w:tcPr>
          <w:p>
            <w:pPr>
              <w:ind w:left="1580"/>
              <w:spacing w:after="0"/>
              <w:rPr>
                <w:sz w:val="20"/>
                <w:szCs w:val="20"/>
                <w:color w:val="auto"/>
              </w:rPr>
            </w:pPr>
            <w:r>
              <w:rPr>
                <w:rFonts w:ascii="Arial" w:cs="Arial" w:eastAsia="Arial" w:hAnsi="Arial"/>
                <w:sz w:val="17"/>
                <w:szCs w:val="17"/>
                <w:b w:val="1"/>
                <w:bCs w:val="1"/>
                <w:color w:val="FFFFFF"/>
              </w:rPr>
              <w:t>12.8x</w:t>
            </w:r>
          </w:p>
        </w:tc>
        <w:tc>
          <w:tcPr>
            <w:tcW w:w="2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Borders>
              <w:right w:val="single" w:sz="8" w:color="231F20"/>
            </w:tcBorders>
            <w:gridSpan w:val="2"/>
          </w:tcPr>
          <w:p>
            <w:pPr>
              <w:jc w:val="right"/>
              <w:ind w:right="60"/>
              <w:spacing w:after="0"/>
              <w:rPr>
                <w:sz w:val="20"/>
                <w:szCs w:val="20"/>
                <w:color w:val="auto"/>
              </w:rPr>
            </w:pPr>
            <w:r>
              <w:rPr>
                <w:rFonts w:ascii="Arial" w:cs="Arial" w:eastAsia="Arial" w:hAnsi="Arial"/>
                <w:sz w:val="14"/>
                <w:szCs w:val="14"/>
                <w:color w:val="231F20"/>
              </w:rPr>
              <w:t>Ownership Target: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40" w:type="dxa"/>
            <w:vAlign w:val="bottom"/>
            <w:tcBorders>
              <w:right w:val="single" w:sz="8" w:color="231F20"/>
            </w:tcBorders>
            <w:gridSpan w:val="2"/>
          </w:tcPr>
          <w:p>
            <w:pPr>
              <w:jc w:val="right"/>
              <w:ind w:right="60"/>
              <w:spacing w:after="0"/>
              <w:rPr>
                <w:sz w:val="20"/>
                <w:szCs w:val="20"/>
                <w:color w:val="auto"/>
              </w:rPr>
            </w:pPr>
            <w:r>
              <w:rPr>
                <w:rFonts w:ascii="Arial" w:cs="Arial" w:eastAsia="Arial" w:hAnsi="Arial"/>
                <w:sz w:val="14"/>
                <w:szCs w:val="14"/>
                <w:color w:val="ED2024"/>
              </w:rPr>
              <w:t>2½x Base Pay + Bonus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tcBorders>
              <w:right w:val="single" w:sz="8" w:color="231F20"/>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RISK ASSESSMENT OF COMPENSATION PROGRAMS</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Compensation Committee completed its last annual review of our compensation programs and policies from a risk perspective in February 2024.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have differing performance requirements. Further, we have in place policies to mitigate risk including robust share ownership requirements and vesting periods on equity awards made as part of our compensation programs.</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EQUITY GRANT PRACTICES</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do not have a practice or policy of timing our equity grants relative to the release of material non-public information. All of our options have an exercise price equal to the closing price of our shares on the date of grant and our 2020 Performance Incentive Plan (“2020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20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TAX DEDUCTIBILITY OF EXECUTIVE COMPENSATION</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1682750</wp:posOffset>
                </wp:positionV>
                <wp:extent cx="6400800" cy="17780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12" o:spid="_x0000_s1437" style="position:absolute;margin-left:0pt;margin-top:13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1682115</wp:posOffset>
                </wp:positionV>
                <wp:extent cx="0" cy="17780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2.45pt" to="0.5pt,146.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1688465</wp:posOffset>
                </wp:positionV>
                <wp:extent cx="6400800"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95pt" to="504pt,132.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1682115</wp:posOffset>
                </wp:positionV>
                <wp:extent cx="0" cy="17780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2.45pt" to="503.5pt,146.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1853565</wp:posOffset>
                </wp:positionV>
                <wp:extent cx="6400800"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95pt" to="504pt,145.9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29</w:t>
      </w:r>
    </w:p>
    <w:p>
      <w:pPr>
        <w:sectPr>
          <w:pgSz w:w="12240" w:h="15840" w:orient="portrait"/>
          <w:cols w:equalWidth="0" w:num="1">
            <w:col w:w="10080"/>
          </w:cols>
          <w:pgMar w:left="1080" w:top="1440" w:right="1080" w:bottom="944" w:gutter="0" w:footer="0" w:header="0"/>
          <w:type w:val="continuous"/>
        </w:sectPr>
      </w:pPr>
    </w:p>
    <w:bookmarkStart w:id="149" w:name="page150"/>
    <w:bookmarkEnd w:id="149"/>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HEALTH AND WELFARE BENEFITS</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128270</wp:posOffset>
                </wp:positionV>
                <wp:extent cx="640080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pt" to="504pt,10.1pt" o:allowincell="f" strokecolor="#231F20" strokeweight="0.5pt"/>
            </w:pict>
          </mc:Fallback>
        </mc:AlternateConten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EF3E2A"/>
        </w:rPr>
        <w:t>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C</w:t>
      </w:r>
      <w:r>
        <w:rPr>
          <w:rFonts w:ascii="Arial" w:cs="Arial" w:eastAsia="Arial" w:hAnsi="Arial"/>
          <w:sz w:val="18"/>
          <w:szCs w:val="18"/>
          <w:b w:val="1"/>
          <w:bCs w:val="1"/>
          <w:color w:val="EF3E2A"/>
        </w:rPr>
        <w:t>OMMITTEE</w:t>
      </w:r>
      <w:r>
        <w:rPr>
          <w:rFonts w:ascii="Arial" w:cs="Arial" w:eastAsia="Arial" w:hAnsi="Arial"/>
          <w:sz w:val="24"/>
          <w:szCs w:val="24"/>
          <w:b w:val="1"/>
          <w:bCs w:val="1"/>
          <w:color w:val="EF3E2A"/>
        </w:rPr>
        <w:t xml:space="preserve"> R</w:t>
      </w:r>
      <w:r>
        <w:rPr>
          <w:rFonts w:ascii="Arial" w:cs="Arial" w:eastAsia="Arial" w:hAnsi="Arial"/>
          <w:sz w:val="18"/>
          <w:szCs w:val="18"/>
          <w:b w:val="1"/>
          <w:bCs w:val="1"/>
          <w:color w:val="EF3E2A"/>
        </w:rPr>
        <w:t>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6400800"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504pt,1.75pt" o:allowincell="f" strokecolor="#231F20" strokeweight="0.5pt"/>
            </w:pict>
          </mc:Fallback>
        </mc:AlternateContent>
      </w:r>
    </w:p>
    <w:p>
      <w:pPr>
        <w:spacing w:after="0" w:line="31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Submitted by: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Elizabeth I. Holland, Chairperson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Nicole Y. Lamb-Hale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Thomas A. McEachin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Gail P. Steinel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4088130</wp:posOffset>
                </wp:positionV>
                <wp:extent cx="6400800" cy="17780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19" o:spid="_x0000_s1444" style="position:absolute;margin-left:0pt;margin-top:321.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4088130</wp:posOffset>
                </wp:positionV>
                <wp:extent cx="0" cy="17780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21.9pt" to="0.5pt,335.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4094480</wp:posOffset>
                </wp:positionV>
                <wp:extent cx="6400800"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2.4pt" to="504pt,322.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4088130</wp:posOffset>
                </wp:positionV>
                <wp:extent cx="0" cy="17780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21.9pt" to="503.5pt,335.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4259580</wp:posOffset>
                </wp:positionV>
                <wp:extent cx="640080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5.4pt" to="504pt,335.4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30</w:t>
      </w:r>
    </w:p>
    <w:p>
      <w:pPr>
        <w:sectPr>
          <w:pgSz w:w="12240" w:h="15840" w:orient="portrait"/>
          <w:cols w:equalWidth="0" w:num="1">
            <w:col w:w="10080"/>
          </w:cols>
          <w:pgMar w:left="1080" w:top="1440" w:right="1080" w:bottom="944" w:gutter="0" w:footer="0" w:header="0"/>
          <w:type w:val="continuous"/>
        </w:sectPr>
      </w:pPr>
    </w:p>
    <w:bookmarkStart w:id="150" w:name="page151"/>
    <w:bookmarkEnd w:id="150"/>
    <w:p>
      <w:pPr>
        <w:spacing w:after="0" w:line="8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933450</wp:posOffset>
                </wp:positionV>
                <wp:extent cx="6400800"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3.5pt" to="558pt,73.5pt" o:allowincell="f" strokecolor="#EF3E2A" strokeweight="3pt">
                <w10:wrap anchorx="page" anchory="page"/>
              </v:line>
            </w:pict>
          </mc:Fallback>
        </mc:AlternateContent>
      </w:r>
    </w:p>
    <w:p>
      <w:pPr>
        <w:ind w:left="140"/>
        <w:spacing w:after="0"/>
        <w:rPr>
          <w:sz w:val="20"/>
          <w:szCs w:val="20"/>
          <w:color w:val="auto"/>
        </w:rPr>
      </w:pPr>
      <w:r>
        <w:rPr>
          <w:rFonts w:ascii="Arial" w:cs="Arial" w:eastAsia="Arial" w:hAnsi="Arial"/>
          <w:sz w:val="36"/>
          <w:szCs w:val="36"/>
          <w:b w:val="1"/>
          <w:bCs w:val="1"/>
          <w:color w:val="231F20"/>
        </w:rPr>
        <w:t>Compensation Tables and Narratives</w:t>
      </w:r>
    </w:p>
    <w:p>
      <w:pPr>
        <w:spacing w:after="0" w:line="17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SUMMARY COMPENSATION TABLE</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table below summarizes the total compensation earned by or paid to the individuals who were NEOs for the fiscal years ended December 31, 2023, 2022 and 2021. All amounts are calculated in accordance with current SEC rules.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580" w:type="dxa"/>
            <w:vAlign w:val="bottom"/>
            <w:shd w:val="clear" w:color="auto" w:fill="EF3E2B"/>
          </w:tcPr>
          <w:p>
            <w:pPr>
              <w:spacing w:after="0"/>
              <w:rPr>
                <w:sz w:val="21"/>
                <w:szCs w:val="21"/>
                <w:color w:val="auto"/>
              </w:rPr>
            </w:pPr>
          </w:p>
        </w:tc>
        <w:tc>
          <w:tcPr>
            <w:tcW w:w="580" w:type="dxa"/>
            <w:vAlign w:val="bottom"/>
            <w:shd w:val="clear" w:color="auto" w:fill="EF3E2B"/>
          </w:tcPr>
          <w:p>
            <w:pPr>
              <w:spacing w:after="0"/>
              <w:rPr>
                <w:sz w:val="21"/>
                <w:szCs w:val="21"/>
                <w:color w:val="auto"/>
              </w:rPr>
            </w:pPr>
          </w:p>
        </w:tc>
        <w:tc>
          <w:tcPr>
            <w:tcW w:w="240" w:type="dxa"/>
            <w:vAlign w:val="bottom"/>
            <w:shd w:val="clear" w:color="auto" w:fill="EF3E2B"/>
          </w:tcPr>
          <w:p>
            <w:pPr>
              <w:spacing w:after="0"/>
              <w:rPr>
                <w:sz w:val="21"/>
                <w:szCs w:val="21"/>
                <w:color w:val="auto"/>
              </w:rPr>
            </w:pPr>
          </w:p>
        </w:tc>
        <w:tc>
          <w:tcPr>
            <w:tcW w:w="880" w:type="dxa"/>
            <w:vAlign w:val="bottom"/>
            <w:shd w:val="clear" w:color="auto" w:fill="EF3E2B"/>
          </w:tcPr>
          <w:p>
            <w:pPr>
              <w:spacing w:after="0"/>
              <w:rPr>
                <w:sz w:val="21"/>
                <w:szCs w:val="21"/>
                <w:color w:val="auto"/>
              </w:rPr>
            </w:pPr>
          </w:p>
        </w:tc>
        <w:tc>
          <w:tcPr>
            <w:tcW w:w="300" w:type="dxa"/>
            <w:vAlign w:val="bottom"/>
            <w:shd w:val="clear" w:color="auto" w:fill="EF3E2B"/>
          </w:tcPr>
          <w:p>
            <w:pPr>
              <w:spacing w:after="0"/>
              <w:rPr>
                <w:sz w:val="21"/>
                <w:szCs w:val="21"/>
                <w:color w:val="auto"/>
              </w:rPr>
            </w:pPr>
          </w:p>
        </w:tc>
        <w:tc>
          <w:tcPr>
            <w:tcW w:w="700" w:type="dxa"/>
            <w:vAlign w:val="bottom"/>
            <w:shd w:val="clear" w:color="auto" w:fill="EF3E2B"/>
          </w:tcPr>
          <w:p>
            <w:pPr>
              <w:spacing w:after="0"/>
              <w:rPr>
                <w:sz w:val="21"/>
                <w:szCs w:val="21"/>
                <w:color w:val="auto"/>
              </w:rPr>
            </w:pPr>
          </w:p>
        </w:tc>
        <w:tc>
          <w:tcPr>
            <w:tcW w:w="320" w:type="dxa"/>
            <w:vAlign w:val="bottom"/>
            <w:shd w:val="clear" w:color="auto" w:fill="EF3E2B"/>
          </w:tcPr>
          <w:p>
            <w:pPr>
              <w:spacing w:after="0"/>
              <w:rPr>
                <w:sz w:val="21"/>
                <w:szCs w:val="21"/>
                <w:color w:val="auto"/>
              </w:rPr>
            </w:pPr>
          </w:p>
        </w:tc>
        <w:tc>
          <w:tcPr>
            <w:tcW w:w="800" w:type="dxa"/>
            <w:vAlign w:val="bottom"/>
            <w:shd w:val="clear" w:color="auto" w:fill="EF3E2B"/>
          </w:tcPr>
          <w:p>
            <w:pPr>
              <w:spacing w:after="0"/>
              <w:rPr>
                <w:sz w:val="21"/>
                <w:szCs w:val="21"/>
                <w:color w:val="auto"/>
              </w:rPr>
            </w:pPr>
          </w:p>
        </w:tc>
        <w:tc>
          <w:tcPr>
            <w:tcW w:w="360" w:type="dxa"/>
            <w:vAlign w:val="bottom"/>
            <w:shd w:val="clear" w:color="auto" w:fill="EF3E2B"/>
          </w:tcPr>
          <w:p>
            <w:pPr>
              <w:spacing w:after="0"/>
              <w:rPr>
                <w:sz w:val="21"/>
                <w:szCs w:val="21"/>
                <w:color w:val="auto"/>
              </w:rPr>
            </w:pPr>
          </w:p>
        </w:tc>
        <w:tc>
          <w:tcPr>
            <w:tcW w:w="1080" w:type="dxa"/>
            <w:vAlign w:val="bottom"/>
            <w:shd w:val="clear" w:color="auto" w:fill="EF3E2B"/>
          </w:tcPr>
          <w:p>
            <w:pPr>
              <w:jc w:val="center"/>
              <w:ind w:right="290"/>
              <w:spacing w:after="0"/>
              <w:rPr>
                <w:sz w:val="20"/>
                <w:szCs w:val="20"/>
                <w:color w:val="auto"/>
              </w:rPr>
            </w:pPr>
            <w:r>
              <w:rPr>
                <w:rFonts w:ascii="Calibri" w:cs="Calibri" w:eastAsia="Calibri" w:hAnsi="Calibri"/>
                <w:sz w:val="14"/>
                <w:szCs w:val="14"/>
                <w:b w:val="1"/>
                <w:bCs w:val="1"/>
                <w:color w:val="E8E7E5"/>
                <w:w w:val="97"/>
              </w:rPr>
              <w:t>Non-Equity</w:t>
            </w:r>
          </w:p>
        </w:tc>
        <w:tc>
          <w:tcPr>
            <w:tcW w:w="380" w:type="dxa"/>
            <w:vAlign w:val="bottom"/>
            <w:shd w:val="clear" w:color="auto" w:fill="EF3E2B"/>
          </w:tcPr>
          <w:p>
            <w:pPr>
              <w:spacing w:after="0"/>
              <w:rPr>
                <w:sz w:val="21"/>
                <w:szCs w:val="21"/>
                <w:color w:val="auto"/>
              </w:rPr>
            </w:pPr>
          </w:p>
        </w:tc>
        <w:tc>
          <w:tcPr>
            <w:tcW w:w="720" w:type="dxa"/>
            <w:vAlign w:val="bottom"/>
            <w:shd w:val="clear" w:color="auto" w:fill="EF3E2B"/>
          </w:tcPr>
          <w:p>
            <w:pPr>
              <w:spacing w:after="0"/>
              <w:rPr>
                <w:sz w:val="21"/>
                <w:szCs w:val="21"/>
                <w:color w:val="auto"/>
              </w:rPr>
            </w:pPr>
          </w:p>
        </w:tc>
        <w:tc>
          <w:tcPr>
            <w:tcW w:w="280" w:type="dxa"/>
            <w:vAlign w:val="bottom"/>
            <w:shd w:val="clear" w:color="auto" w:fill="EF3E2B"/>
          </w:tcPr>
          <w:p>
            <w:pPr>
              <w:spacing w:after="0"/>
              <w:rPr>
                <w:sz w:val="21"/>
                <w:szCs w:val="21"/>
                <w:color w:val="auto"/>
              </w:rPr>
            </w:pPr>
          </w:p>
        </w:tc>
        <w:tc>
          <w:tcPr>
            <w:tcW w:w="860" w:type="dxa"/>
            <w:vAlign w:val="bottom"/>
            <w:shd w:val="clear" w:color="auto" w:fill="EF3E2B"/>
          </w:tcPr>
          <w:p>
            <w:pPr>
              <w:spacing w:after="0"/>
              <w:rPr>
                <w:sz w:val="21"/>
                <w:szCs w:val="21"/>
                <w:color w:val="auto"/>
              </w:rPr>
            </w:pPr>
          </w:p>
        </w:tc>
      </w:tr>
      <w:tr>
        <w:trPr>
          <w:trHeight w:val="180"/>
        </w:trPr>
        <w:tc>
          <w:tcPr>
            <w:tcW w:w="2580" w:type="dxa"/>
            <w:vAlign w:val="bottom"/>
            <w:shd w:val="clear" w:color="auto" w:fill="EF3E2B"/>
          </w:tcPr>
          <w:p>
            <w:pPr>
              <w:spacing w:after="0"/>
              <w:rPr>
                <w:sz w:val="15"/>
                <w:szCs w:val="15"/>
                <w:color w:val="auto"/>
              </w:rPr>
            </w:pPr>
          </w:p>
        </w:tc>
        <w:tc>
          <w:tcPr>
            <w:tcW w:w="580" w:type="dxa"/>
            <w:vAlign w:val="bottom"/>
            <w:shd w:val="clear" w:color="auto" w:fill="EF3E2B"/>
          </w:tcPr>
          <w:p>
            <w:pPr>
              <w:spacing w:after="0"/>
              <w:rPr>
                <w:sz w:val="15"/>
                <w:szCs w:val="15"/>
                <w:color w:val="auto"/>
              </w:rPr>
            </w:pPr>
          </w:p>
        </w:tc>
        <w:tc>
          <w:tcPr>
            <w:tcW w:w="240" w:type="dxa"/>
            <w:vAlign w:val="bottom"/>
            <w:shd w:val="clear" w:color="auto" w:fill="EF3E2B"/>
          </w:tcPr>
          <w:p>
            <w:pPr>
              <w:spacing w:after="0"/>
              <w:rPr>
                <w:sz w:val="15"/>
                <w:szCs w:val="15"/>
                <w:color w:val="auto"/>
              </w:rPr>
            </w:pPr>
          </w:p>
        </w:tc>
        <w:tc>
          <w:tcPr>
            <w:tcW w:w="880" w:type="dxa"/>
            <w:vAlign w:val="bottom"/>
            <w:shd w:val="clear" w:color="auto" w:fill="EF3E2B"/>
          </w:tcPr>
          <w:p>
            <w:pPr>
              <w:spacing w:after="0"/>
              <w:rPr>
                <w:sz w:val="15"/>
                <w:szCs w:val="15"/>
                <w:color w:val="auto"/>
              </w:rPr>
            </w:pPr>
          </w:p>
        </w:tc>
        <w:tc>
          <w:tcPr>
            <w:tcW w:w="300" w:type="dxa"/>
            <w:vAlign w:val="bottom"/>
            <w:shd w:val="clear" w:color="auto" w:fill="EF3E2B"/>
          </w:tcPr>
          <w:p>
            <w:pPr>
              <w:spacing w:after="0"/>
              <w:rPr>
                <w:sz w:val="15"/>
                <w:szCs w:val="15"/>
                <w:color w:val="auto"/>
              </w:rPr>
            </w:pPr>
          </w:p>
        </w:tc>
        <w:tc>
          <w:tcPr>
            <w:tcW w:w="700" w:type="dxa"/>
            <w:vAlign w:val="bottom"/>
            <w:shd w:val="clear" w:color="auto" w:fill="EF3E2B"/>
          </w:tcPr>
          <w:p>
            <w:pPr>
              <w:spacing w:after="0"/>
              <w:rPr>
                <w:sz w:val="15"/>
                <w:szCs w:val="15"/>
                <w:color w:val="auto"/>
              </w:rPr>
            </w:pPr>
          </w:p>
        </w:tc>
        <w:tc>
          <w:tcPr>
            <w:tcW w:w="320" w:type="dxa"/>
            <w:vAlign w:val="bottom"/>
            <w:shd w:val="clear" w:color="auto" w:fill="EF3E2B"/>
          </w:tcPr>
          <w:p>
            <w:pPr>
              <w:spacing w:after="0"/>
              <w:rPr>
                <w:sz w:val="15"/>
                <w:szCs w:val="15"/>
                <w:color w:val="auto"/>
              </w:rPr>
            </w:pPr>
          </w:p>
        </w:tc>
        <w:tc>
          <w:tcPr>
            <w:tcW w:w="800" w:type="dxa"/>
            <w:vAlign w:val="bottom"/>
            <w:shd w:val="clear" w:color="auto" w:fill="EF3E2B"/>
          </w:tcPr>
          <w:p>
            <w:pPr>
              <w:spacing w:after="0"/>
              <w:rPr>
                <w:sz w:val="15"/>
                <w:szCs w:val="15"/>
                <w:color w:val="auto"/>
              </w:rPr>
            </w:pPr>
          </w:p>
        </w:tc>
        <w:tc>
          <w:tcPr>
            <w:tcW w:w="360" w:type="dxa"/>
            <w:vAlign w:val="bottom"/>
            <w:shd w:val="clear" w:color="auto" w:fill="EF3E2B"/>
          </w:tcPr>
          <w:p>
            <w:pPr>
              <w:spacing w:after="0"/>
              <w:rPr>
                <w:sz w:val="15"/>
                <w:szCs w:val="15"/>
                <w:color w:val="auto"/>
              </w:rPr>
            </w:pPr>
          </w:p>
        </w:tc>
        <w:tc>
          <w:tcPr>
            <w:tcW w:w="1080" w:type="dxa"/>
            <w:vAlign w:val="bottom"/>
            <w:shd w:val="clear" w:color="auto" w:fill="EF3E2B"/>
          </w:tcPr>
          <w:p>
            <w:pPr>
              <w:jc w:val="center"/>
              <w:ind w:right="310"/>
              <w:spacing w:after="0"/>
              <w:rPr>
                <w:sz w:val="20"/>
                <w:szCs w:val="20"/>
                <w:color w:val="auto"/>
              </w:rPr>
            </w:pPr>
            <w:r>
              <w:rPr>
                <w:rFonts w:ascii="Calibri" w:cs="Calibri" w:eastAsia="Calibri" w:hAnsi="Calibri"/>
                <w:sz w:val="14"/>
                <w:szCs w:val="14"/>
                <w:b w:val="1"/>
                <w:bCs w:val="1"/>
                <w:color w:val="E8E7E5"/>
              </w:rPr>
              <w:t>Incentive</w:t>
            </w:r>
          </w:p>
        </w:tc>
        <w:tc>
          <w:tcPr>
            <w:tcW w:w="380" w:type="dxa"/>
            <w:vAlign w:val="bottom"/>
            <w:shd w:val="clear" w:color="auto" w:fill="EF3E2B"/>
          </w:tcPr>
          <w:p>
            <w:pPr>
              <w:spacing w:after="0"/>
              <w:rPr>
                <w:sz w:val="15"/>
                <w:szCs w:val="15"/>
                <w:color w:val="auto"/>
              </w:rPr>
            </w:pPr>
          </w:p>
        </w:tc>
        <w:tc>
          <w:tcPr>
            <w:tcW w:w="720" w:type="dxa"/>
            <w:vAlign w:val="bottom"/>
            <w:shd w:val="clear" w:color="auto" w:fill="EF3E2B"/>
          </w:tcPr>
          <w:p>
            <w:pPr>
              <w:jc w:val="right"/>
              <w:spacing w:after="0"/>
              <w:rPr>
                <w:sz w:val="20"/>
                <w:szCs w:val="20"/>
                <w:color w:val="auto"/>
              </w:rPr>
            </w:pPr>
            <w:r>
              <w:rPr>
                <w:rFonts w:ascii="Calibri" w:cs="Calibri" w:eastAsia="Calibri" w:hAnsi="Calibri"/>
                <w:sz w:val="14"/>
                <w:szCs w:val="14"/>
                <w:b w:val="1"/>
                <w:bCs w:val="1"/>
                <w:color w:val="E8E7E5"/>
              </w:rPr>
              <w:t>All Other</w:t>
            </w:r>
          </w:p>
        </w:tc>
        <w:tc>
          <w:tcPr>
            <w:tcW w:w="280" w:type="dxa"/>
            <w:vAlign w:val="bottom"/>
            <w:shd w:val="clear" w:color="auto" w:fill="EF3E2B"/>
          </w:tcPr>
          <w:p>
            <w:pPr>
              <w:spacing w:after="0"/>
              <w:rPr>
                <w:sz w:val="15"/>
                <w:szCs w:val="15"/>
                <w:color w:val="auto"/>
              </w:rPr>
            </w:pPr>
          </w:p>
        </w:tc>
        <w:tc>
          <w:tcPr>
            <w:tcW w:w="860" w:type="dxa"/>
            <w:vAlign w:val="bottom"/>
            <w:shd w:val="clear" w:color="auto" w:fill="EF3E2B"/>
          </w:tcPr>
          <w:p>
            <w:pPr>
              <w:spacing w:after="0"/>
              <w:rPr>
                <w:sz w:val="15"/>
                <w:szCs w:val="15"/>
                <w:color w:val="auto"/>
              </w:rPr>
            </w:pPr>
          </w:p>
        </w:tc>
      </w:tr>
      <w:tr>
        <w:trPr>
          <w:trHeight w:val="264"/>
        </w:trPr>
        <w:tc>
          <w:tcPr>
            <w:tcW w:w="2580" w:type="dxa"/>
            <w:vAlign w:val="bottom"/>
            <w:tcBorders>
              <w:bottom w:val="single" w:sz="8" w:color="231F20"/>
            </w:tcBorders>
            <w:shd w:val="clear" w:color="auto" w:fill="EF3E2B"/>
          </w:tcPr>
          <w:p>
            <w:pPr>
              <w:ind w:left="100"/>
              <w:spacing w:after="0"/>
              <w:rPr>
                <w:sz w:val="20"/>
                <w:szCs w:val="20"/>
                <w:color w:val="auto"/>
              </w:rPr>
            </w:pPr>
            <w:r>
              <w:rPr>
                <w:rFonts w:ascii="Calibri" w:cs="Calibri" w:eastAsia="Calibri" w:hAnsi="Calibri"/>
                <w:sz w:val="14"/>
                <w:szCs w:val="14"/>
                <w:b w:val="1"/>
                <w:bCs w:val="1"/>
                <w:color w:val="E8E7E5"/>
              </w:rPr>
              <w:t>Name and Principal Position</w:t>
            </w:r>
          </w:p>
        </w:tc>
        <w:tc>
          <w:tcPr>
            <w:tcW w:w="580" w:type="dxa"/>
            <w:vAlign w:val="bottom"/>
            <w:tcBorders>
              <w:bottom w:val="single" w:sz="8" w:color="231F20"/>
            </w:tcBorders>
            <w:shd w:val="clear" w:color="auto" w:fill="EF3E2B"/>
          </w:tcPr>
          <w:p>
            <w:pPr>
              <w:ind w:left="200"/>
              <w:spacing w:after="0"/>
              <w:rPr>
                <w:sz w:val="20"/>
                <w:szCs w:val="20"/>
                <w:color w:val="auto"/>
              </w:rPr>
            </w:pPr>
            <w:r>
              <w:rPr>
                <w:rFonts w:ascii="Calibri" w:cs="Calibri" w:eastAsia="Calibri" w:hAnsi="Calibri"/>
                <w:sz w:val="14"/>
                <w:szCs w:val="14"/>
                <w:b w:val="1"/>
                <w:bCs w:val="1"/>
                <w:color w:val="E8E7E5"/>
              </w:rPr>
              <w:t>Year</w:t>
            </w:r>
          </w:p>
        </w:tc>
        <w:tc>
          <w:tcPr>
            <w:tcW w:w="240" w:type="dxa"/>
            <w:vAlign w:val="bottom"/>
            <w:tcBorders>
              <w:bottom w:val="single" w:sz="8" w:color="231F20"/>
            </w:tcBorders>
            <w:shd w:val="clear" w:color="auto" w:fill="EF3E2B"/>
          </w:tcPr>
          <w:p>
            <w:pPr>
              <w:spacing w:after="0"/>
              <w:rPr>
                <w:sz w:val="22"/>
                <w:szCs w:val="22"/>
                <w:color w:val="auto"/>
              </w:rPr>
            </w:pPr>
          </w:p>
        </w:tc>
        <w:tc>
          <w:tcPr>
            <w:tcW w:w="880" w:type="dxa"/>
            <w:vAlign w:val="bottom"/>
            <w:tcBorders>
              <w:bottom w:val="single" w:sz="8" w:color="231F20"/>
            </w:tcBorders>
            <w:shd w:val="clear" w:color="auto" w:fill="EF3E2B"/>
          </w:tcPr>
          <w:p>
            <w:pPr>
              <w:jc w:val="right"/>
              <w:ind w:right="270"/>
              <w:spacing w:after="0"/>
              <w:rPr>
                <w:sz w:val="20"/>
                <w:szCs w:val="20"/>
                <w:color w:val="auto"/>
              </w:rPr>
            </w:pPr>
            <w:r>
              <w:rPr>
                <w:rFonts w:ascii="Calibri" w:cs="Calibri" w:eastAsia="Calibri" w:hAnsi="Calibri"/>
                <w:sz w:val="14"/>
                <w:szCs w:val="14"/>
                <w:b w:val="1"/>
                <w:bCs w:val="1"/>
                <w:color w:val="E8E7E5"/>
              </w:rPr>
              <w:t>Salary</w:t>
            </w:r>
            <w:r>
              <w:rPr>
                <w:rFonts w:ascii="Calibri" w:cs="Calibri" w:eastAsia="Calibri" w:hAnsi="Calibri"/>
                <w:sz w:val="18"/>
                <w:szCs w:val="18"/>
                <w:b w:val="1"/>
                <w:bCs w:val="1"/>
                <w:color w:val="E8E7E5"/>
                <w:vertAlign w:val="superscript"/>
              </w:rPr>
              <w:t>(1)</w:t>
            </w:r>
          </w:p>
        </w:tc>
        <w:tc>
          <w:tcPr>
            <w:tcW w:w="300" w:type="dxa"/>
            <w:vAlign w:val="bottom"/>
            <w:tcBorders>
              <w:bottom w:val="single" w:sz="8" w:color="231F20"/>
            </w:tcBorders>
            <w:shd w:val="clear" w:color="auto" w:fill="EF3E2B"/>
          </w:tcPr>
          <w:p>
            <w:pPr>
              <w:spacing w:after="0"/>
              <w:rPr>
                <w:sz w:val="22"/>
                <w:szCs w:val="22"/>
                <w:color w:val="auto"/>
              </w:rPr>
            </w:pPr>
          </w:p>
        </w:tc>
        <w:tc>
          <w:tcPr>
            <w:tcW w:w="700" w:type="dxa"/>
            <w:vAlign w:val="bottom"/>
            <w:tcBorders>
              <w:bottom w:val="single" w:sz="8" w:color="231F20"/>
            </w:tcBorders>
            <w:shd w:val="clear" w:color="auto" w:fill="EF3E2B"/>
          </w:tcPr>
          <w:p>
            <w:pPr>
              <w:jc w:val="right"/>
              <w:ind w:right="30"/>
              <w:spacing w:after="0"/>
              <w:rPr>
                <w:sz w:val="20"/>
                <w:szCs w:val="20"/>
                <w:color w:val="auto"/>
              </w:rPr>
            </w:pPr>
            <w:r>
              <w:rPr>
                <w:rFonts w:ascii="Calibri" w:cs="Calibri" w:eastAsia="Calibri" w:hAnsi="Calibri"/>
                <w:sz w:val="14"/>
                <w:szCs w:val="14"/>
                <w:b w:val="1"/>
                <w:bCs w:val="1"/>
                <w:color w:val="E8E7E5"/>
              </w:rPr>
              <w:t>Bonus</w:t>
            </w:r>
            <w:r>
              <w:rPr>
                <w:rFonts w:ascii="Calibri" w:cs="Calibri" w:eastAsia="Calibri" w:hAnsi="Calibri"/>
                <w:sz w:val="18"/>
                <w:szCs w:val="18"/>
                <w:b w:val="1"/>
                <w:bCs w:val="1"/>
                <w:color w:val="E8E7E5"/>
                <w:vertAlign w:val="superscript"/>
              </w:rPr>
              <w:t>(2)</w:t>
            </w:r>
          </w:p>
        </w:tc>
        <w:tc>
          <w:tcPr>
            <w:tcW w:w="1120" w:type="dxa"/>
            <w:vAlign w:val="bottom"/>
            <w:tcBorders>
              <w:bottom w:val="single" w:sz="8" w:color="231F20"/>
            </w:tcBorders>
            <w:gridSpan w:val="2"/>
            <w:shd w:val="clear" w:color="auto" w:fill="EF3E2B"/>
          </w:tcPr>
          <w:p>
            <w:pPr>
              <w:ind w:left="120"/>
              <w:spacing w:after="0"/>
              <w:rPr>
                <w:sz w:val="20"/>
                <w:szCs w:val="20"/>
                <w:color w:val="auto"/>
              </w:rPr>
            </w:pPr>
            <w:r>
              <w:rPr>
                <w:rFonts w:ascii="Calibri" w:cs="Calibri" w:eastAsia="Calibri" w:hAnsi="Calibri"/>
                <w:sz w:val="14"/>
                <w:szCs w:val="14"/>
                <w:b w:val="1"/>
                <w:bCs w:val="1"/>
                <w:color w:val="E8E7E5"/>
              </w:rPr>
              <w:t>Stock Awards</w:t>
            </w:r>
            <w:r>
              <w:rPr>
                <w:rFonts w:ascii="Calibri" w:cs="Calibri" w:eastAsia="Calibri" w:hAnsi="Calibri"/>
                <w:sz w:val="18"/>
                <w:szCs w:val="18"/>
                <w:b w:val="1"/>
                <w:bCs w:val="1"/>
                <w:color w:val="E8E7E5"/>
                <w:vertAlign w:val="superscript"/>
              </w:rPr>
              <w:t>(3)</w:t>
            </w:r>
          </w:p>
        </w:tc>
        <w:tc>
          <w:tcPr>
            <w:tcW w:w="1440" w:type="dxa"/>
            <w:vAlign w:val="bottom"/>
            <w:tcBorders>
              <w:bottom w:val="single" w:sz="8" w:color="231F20"/>
            </w:tcBorders>
            <w:gridSpan w:val="2"/>
            <w:shd w:val="clear" w:color="auto" w:fill="EF3E2B"/>
          </w:tcPr>
          <w:p>
            <w:pPr>
              <w:jc w:val="center"/>
              <w:spacing w:after="0"/>
              <w:rPr>
                <w:sz w:val="20"/>
                <w:szCs w:val="20"/>
                <w:color w:val="auto"/>
              </w:rPr>
            </w:pPr>
            <w:r>
              <w:rPr>
                <w:rFonts w:ascii="Calibri" w:cs="Calibri" w:eastAsia="Calibri" w:hAnsi="Calibri"/>
                <w:sz w:val="14"/>
                <w:szCs w:val="14"/>
                <w:b w:val="1"/>
                <w:bCs w:val="1"/>
                <w:color w:val="E8E7E5"/>
                <w:w w:val="98"/>
              </w:rPr>
              <w:t>Plan Compensation</w:t>
            </w:r>
            <w:r>
              <w:rPr>
                <w:rFonts w:ascii="Calibri" w:cs="Calibri" w:eastAsia="Calibri" w:hAnsi="Calibri"/>
                <w:sz w:val="18"/>
                <w:szCs w:val="18"/>
                <w:b w:val="1"/>
                <w:bCs w:val="1"/>
                <w:color w:val="E8E7E5"/>
                <w:w w:val="98"/>
                <w:vertAlign w:val="superscript"/>
              </w:rPr>
              <w:t>(4)</w:t>
            </w:r>
          </w:p>
        </w:tc>
        <w:tc>
          <w:tcPr>
            <w:tcW w:w="1100" w:type="dxa"/>
            <w:vAlign w:val="bottom"/>
            <w:tcBorders>
              <w:bottom w:val="single" w:sz="8" w:color="231F20"/>
            </w:tcBorders>
            <w:gridSpan w:val="2"/>
            <w:shd w:val="clear" w:color="auto" w:fill="EF3E2B"/>
          </w:tcPr>
          <w:p>
            <w:pPr>
              <w:jc w:val="right"/>
              <w:spacing w:after="0"/>
              <w:rPr>
                <w:sz w:val="20"/>
                <w:szCs w:val="20"/>
                <w:color w:val="auto"/>
              </w:rPr>
            </w:pPr>
            <w:r>
              <w:rPr>
                <w:rFonts w:ascii="Calibri" w:cs="Calibri" w:eastAsia="Calibri" w:hAnsi="Calibri"/>
                <w:sz w:val="14"/>
                <w:szCs w:val="14"/>
                <w:b w:val="1"/>
                <w:bCs w:val="1"/>
                <w:color w:val="E8E7E5"/>
              </w:rPr>
              <w:t>Compensation</w:t>
            </w:r>
            <w:r>
              <w:rPr>
                <w:rFonts w:ascii="Calibri" w:cs="Calibri" w:eastAsia="Calibri" w:hAnsi="Calibri"/>
                <w:sz w:val="18"/>
                <w:szCs w:val="18"/>
                <w:b w:val="1"/>
                <w:bCs w:val="1"/>
                <w:color w:val="E8E7E5"/>
                <w:vertAlign w:val="superscript"/>
              </w:rPr>
              <w:t>(5)</w:t>
            </w:r>
          </w:p>
        </w:tc>
        <w:tc>
          <w:tcPr>
            <w:tcW w:w="280" w:type="dxa"/>
            <w:vAlign w:val="bottom"/>
            <w:tcBorders>
              <w:bottom w:val="single" w:sz="8" w:color="231F20"/>
            </w:tcBorders>
            <w:shd w:val="clear" w:color="auto" w:fill="EF3E2B"/>
          </w:tcPr>
          <w:p>
            <w:pPr>
              <w:spacing w:after="0"/>
              <w:rPr>
                <w:sz w:val="22"/>
                <w:szCs w:val="22"/>
                <w:color w:val="auto"/>
              </w:rPr>
            </w:pPr>
          </w:p>
        </w:tc>
        <w:tc>
          <w:tcPr>
            <w:tcW w:w="860" w:type="dxa"/>
            <w:vAlign w:val="bottom"/>
            <w:tcBorders>
              <w:bottom w:val="single" w:sz="8" w:color="231F20"/>
            </w:tcBorders>
            <w:shd w:val="clear" w:color="auto" w:fill="EF3E2B"/>
          </w:tcPr>
          <w:p>
            <w:pPr>
              <w:jc w:val="right"/>
              <w:spacing w:after="0"/>
              <w:rPr>
                <w:sz w:val="20"/>
                <w:szCs w:val="20"/>
                <w:color w:val="auto"/>
              </w:rPr>
            </w:pPr>
            <w:r>
              <w:rPr>
                <w:rFonts w:ascii="Calibri" w:cs="Calibri" w:eastAsia="Calibri" w:hAnsi="Calibri"/>
                <w:sz w:val="14"/>
                <w:szCs w:val="14"/>
                <w:b w:val="1"/>
                <w:bCs w:val="1"/>
                <w:color w:val="E8E7E5"/>
              </w:rPr>
              <w:t>Total</w:t>
            </w:r>
          </w:p>
        </w:tc>
      </w:tr>
      <w:tr>
        <w:trPr>
          <w:trHeight w:val="236"/>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Donald C. Wood (PEO)</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2023</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1,000,000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6,502,565</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1,406,250</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33,005</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8,941,820</w:t>
            </w:r>
          </w:p>
        </w:tc>
      </w:tr>
      <w:tr>
        <w:trPr>
          <w:trHeight w:val="260"/>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Chief Executive Officer</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2022</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1,000,000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6,474,391</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1,406,250</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35,391</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8,916,031</w:t>
            </w:r>
          </w:p>
        </w:tc>
      </w:tr>
      <w:tr>
        <w:trPr>
          <w:trHeight w:val="262"/>
        </w:trPr>
        <w:tc>
          <w:tcPr>
            <w:tcW w:w="2580" w:type="dxa"/>
            <w:vAlign w:val="bottom"/>
            <w:tcBorders>
              <w:bottom w:val="single" w:sz="8" w:color="231F20"/>
            </w:tcBorders>
            <w:shd w:val="clear" w:color="auto" w:fill="DCDDDE"/>
          </w:tcPr>
          <w:p>
            <w:pPr>
              <w:spacing w:after="0"/>
              <w:rPr>
                <w:sz w:val="22"/>
                <w:szCs w:val="22"/>
                <w:color w:val="auto"/>
              </w:rPr>
            </w:pPr>
          </w:p>
        </w:tc>
        <w:tc>
          <w:tcPr>
            <w:tcW w:w="580" w:type="dxa"/>
            <w:vAlign w:val="bottom"/>
            <w:tcBorders>
              <w:bottom w:val="single" w:sz="8" w:color="231F20"/>
            </w:tcBorders>
          </w:tcPr>
          <w:p>
            <w:pPr>
              <w:ind w:left="200"/>
              <w:spacing w:after="0"/>
              <w:rPr>
                <w:sz w:val="20"/>
                <w:szCs w:val="20"/>
                <w:color w:val="auto"/>
              </w:rPr>
            </w:pPr>
            <w:r>
              <w:rPr>
                <w:rFonts w:ascii="Calibri" w:cs="Calibri" w:eastAsia="Calibri" w:hAnsi="Calibri"/>
                <w:sz w:val="14"/>
                <w:szCs w:val="14"/>
                <w:color w:val="231F20"/>
              </w:rPr>
              <w:t>2021</w:t>
            </w:r>
          </w:p>
        </w:tc>
        <w:tc>
          <w:tcPr>
            <w:tcW w:w="240" w:type="dxa"/>
            <w:vAlign w:val="bottom"/>
            <w:tcBorders>
              <w:bottom w:val="single" w:sz="8" w:color="231F20"/>
            </w:tcBorders>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950,000</w:t>
            </w:r>
          </w:p>
        </w:tc>
        <w:tc>
          <w:tcPr>
            <w:tcW w:w="30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Borders>
              <w:bottom w:val="single" w:sz="8" w:color="231F20"/>
            </w:tcBorders>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5,213,719</w:t>
            </w:r>
          </w:p>
        </w:tc>
        <w:tc>
          <w:tcPr>
            <w:tcW w:w="360" w:type="dxa"/>
            <w:vAlign w:val="bottom"/>
            <w:tcBorders>
              <w:bottom w:val="single" w:sz="8" w:color="231F20"/>
            </w:tcBorders>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Borders>
              <w:bottom w:val="single" w:sz="8" w:color="231F20"/>
            </w:tcBorders>
          </w:tcPr>
          <w:p>
            <w:pPr>
              <w:jc w:val="right"/>
              <w:ind w:right="190"/>
              <w:spacing w:after="0"/>
              <w:rPr>
                <w:sz w:val="20"/>
                <w:szCs w:val="20"/>
                <w:color w:val="auto"/>
              </w:rPr>
            </w:pPr>
            <w:r>
              <w:rPr>
                <w:rFonts w:ascii="Calibri" w:cs="Calibri" w:eastAsia="Calibri" w:hAnsi="Calibri"/>
                <w:sz w:val="14"/>
                <w:szCs w:val="14"/>
                <w:color w:val="231F20"/>
              </w:rPr>
              <w:t>1,335,938</w:t>
            </w:r>
          </w:p>
        </w:tc>
        <w:tc>
          <w:tcPr>
            <w:tcW w:w="380" w:type="dxa"/>
            <w:vAlign w:val="bottom"/>
            <w:tcBorders>
              <w:bottom w:val="single" w:sz="8" w:color="231F20"/>
            </w:tcBorders>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21,260</w:t>
            </w:r>
          </w:p>
        </w:tc>
        <w:tc>
          <w:tcPr>
            <w:tcW w:w="28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7,520,917</w:t>
            </w:r>
          </w:p>
        </w:tc>
      </w:tr>
      <w:tr>
        <w:trPr>
          <w:trHeight w:val="278"/>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Jeffrey S. Berkes</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2023</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650,000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1,233,773</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761,719</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18,904</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2,664,395</w:t>
            </w:r>
          </w:p>
        </w:tc>
      </w:tr>
      <w:tr>
        <w:trPr>
          <w:trHeight w:val="260"/>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President &amp; Chief Operating Officer</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2022</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650,000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1,205,703</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609,375</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15,613</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2,480,691</w:t>
            </w:r>
          </w:p>
        </w:tc>
      </w:tr>
      <w:tr>
        <w:trPr>
          <w:trHeight w:val="262"/>
        </w:trPr>
        <w:tc>
          <w:tcPr>
            <w:tcW w:w="2580" w:type="dxa"/>
            <w:vAlign w:val="bottom"/>
            <w:tcBorders>
              <w:bottom w:val="single" w:sz="8" w:color="231F20"/>
            </w:tcBorders>
            <w:shd w:val="clear" w:color="auto" w:fill="DCDDDE"/>
          </w:tcPr>
          <w:p>
            <w:pPr>
              <w:spacing w:after="0"/>
              <w:rPr>
                <w:sz w:val="22"/>
                <w:szCs w:val="22"/>
                <w:color w:val="auto"/>
              </w:rPr>
            </w:pPr>
          </w:p>
        </w:tc>
        <w:tc>
          <w:tcPr>
            <w:tcW w:w="580" w:type="dxa"/>
            <w:vAlign w:val="bottom"/>
            <w:tcBorders>
              <w:bottom w:val="single" w:sz="8" w:color="231F20"/>
            </w:tcBorders>
          </w:tcPr>
          <w:p>
            <w:pPr>
              <w:ind w:left="200"/>
              <w:spacing w:after="0"/>
              <w:rPr>
                <w:sz w:val="20"/>
                <w:szCs w:val="20"/>
                <w:color w:val="auto"/>
              </w:rPr>
            </w:pPr>
            <w:r>
              <w:rPr>
                <w:rFonts w:ascii="Calibri" w:cs="Calibri" w:eastAsia="Calibri" w:hAnsi="Calibri"/>
                <w:sz w:val="14"/>
                <w:szCs w:val="14"/>
                <w:color w:val="231F20"/>
              </w:rPr>
              <w:t>2021</w:t>
            </w:r>
          </w:p>
        </w:tc>
        <w:tc>
          <w:tcPr>
            <w:tcW w:w="240" w:type="dxa"/>
            <w:vAlign w:val="bottom"/>
            <w:tcBorders>
              <w:bottom w:val="single" w:sz="8" w:color="231F20"/>
            </w:tcBorders>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75,000</w:t>
            </w:r>
          </w:p>
        </w:tc>
        <w:tc>
          <w:tcPr>
            <w:tcW w:w="320" w:type="dxa"/>
            <w:vAlign w:val="bottom"/>
            <w:tcBorders>
              <w:bottom w:val="single" w:sz="8" w:color="231F20"/>
            </w:tcBorders>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3,131,027</w:t>
            </w:r>
          </w:p>
        </w:tc>
        <w:tc>
          <w:tcPr>
            <w:tcW w:w="360" w:type="dxa"/>
            <w:vAlign w:val="bottom"/>
            <w:tcBorders>
              <w:bottom w:val="single" w:sz="8" w:color="231F20"/>
            </w:tcBorders>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Borders>
              <w:bottom w:val="single" w:sz="8" w:color="231F20"/>
            </w:tcBorders>
          </w:tcPr>
          <w:p>
            <w:pPr>
              <w:jc w:val="right"/>
              <w:ind w:right="190"/>
              <w:spacing w:after="0"/>
              <w:rPr>
                <w:sz w:val="20"/>
                <w:szCs w:val="20"/>
                <w:color w:val="auto"/>
              </w:rPr>
            </w:pPr>
            <w:r>
              <w:rPr>
                <w:rFonts w:ascii="Calibri" w:cs="Calibri" w:eastAsia="Calibri" w:hAnsi="Calibri"/>
                <w:sz w:val="14"/>
                <w:szCs w:val="14"/>
                <w:color w:val="231F20"/>
              </w:rPr>
              <w:t>539,063</w:t>
            </w:r>
          </w:p>
        </w:tc>
        <w:tc>
          <w:tcPr>
            <w:tcW w:w="380" w:type="dxa"/>
            <w:vAlign w:val="bottom"/>
            <w:tcBorders>
              <w:bottom w:val="single" w:sz="8" w:color="231F20"/>
            </w:tcBorders>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14,486</w:t>
            </w:r>
          </w:p>
        </w:tc>
        <w:tc>
          <w:tcPr>
            <w:tcW w:w="28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4,334,576</w:t>
            </w:r>
          </w:p>
        </w:tc>
      </w:tr>
      <w:tr>
        <w:trPr>
          <w:trHeight w:val="238"/>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Daniel Guglielmone (PFO)</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2023</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150,000</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989,990</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718,750</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12,389</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2,446,128</w:t>
            </w:r>
          </w:p>
        </w:tc>
      </w:tr>
      <w:tr>
        <w:trPr>
          <w:trHeight w:val="260"/>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Executive Vice President-</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2022</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890,996</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718,750</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11,736</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2,196,482</w:t>
            </w:r>
          </w:p>
        </w:tc>
      </w:tr>
      <w:tr>
        <w:trPr>
          <w:trHeight w:val="262"/>
        </w:trPr>
        <w:tc>
          <w:tcPr>
            <w:tcW w:w="2580" w:type="dxa"/>
            <w:vAlign w:val="bottom"/>
            <w:tcBorders>
              <w:bottom w:val="single" w:sz="8" w:color="231F20"/>
            </w:tcBorders>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Chief Financial Officer &amp; Treasurer</w:t>
            </w:r>
          </w:p>
        </w:tc>
        <w:tc>
          <w:tcPr>
            <w:tcW w:w="580" w:type="dxa"/>
            <w:vAlign w:val="bottom"/>
            <w:tcBorders>
              <w:bottom w:val="single" w:sz="8" w:color="231F20"/>
            </w:tcBorders>
          </w:tcPr>
          <w:p>
            <w:pPr>
              <w:ind w:left="200"/>
              <w:spacing w:after="0"/>
              <w:rPr>
                <w:sz w:val="20"/>
                <w:szCs w:val="20"/>
                <w:color w:val="auto"/>
              </w:rPr>
            </w:pPr>
            <w:r>
              <w:rPr>
                <w:rFonts w:ascii="Calibri" w:cs="Calibri" w:eastAsia="Calibri" w:hAnsi="Calibri"/>
                <w:sz w:val="14"/>
                <w:szCs w:val="14"/>
                <w:color w:val="231F20"/>
              </w:rPr>
              <w:t>2021</w:t>
            </w:r>
          </w:p>
        </w:tc>
        <w:tc>
          <w:tcPr>
            <w:tcW w:w="240" w:type="dxa"/>
            <w:vAlign w:val="bottom"/>
            <w:tcBorders>
              <w:bottom w:val="single" w:sz="8" w:color="231F20"/>
            </w:tcBorders>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500,000</w:t>
            </w:r>
          </w:p>
        </w:tc>
        <w:tc>
          <w:tcPr>
            <w:tcW w:w="30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75,000</w:t>
            </w:r>
          </w:p>
        </w:tc>
        <w:tc>
          <w:tcPr>
            <w:tcW w:w="320" w:type="dxa"/>
            <w:vAlign w:val="bottom"/>
            <w:tcBorders>
              <w:bottom w:val="single" w:sz="8" w:color="231F20"/>
            </w:tcBorders>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1,900,046</w:t>
            </w:r>
          </w:p>
        </w:tc>
        <w:tc>
          <w:tcPr>
            <w:tcW w:w="360" w:type="dxa"/>
            <w:vAlign w:val="bottom"/>
            <w:tcBorders>
              <w:bottom w:val="single" w:sz="8" w:color="231F20"/>
            </w:tcBorders>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Borders>
              <w:bottom w:val="single" w:sz="8" w:color="231F20"/>
            </w:tcBorders>
          </w:tcPr>
          <w:p>
            <w:pPr>
              <w:jc w:val="right"/>
              <w:ind w:right="190"/>
              <w:spacing w:after="0"/>
              <w:rPr>
                <w:sz w:val="20"/>
                <w:szCs w:val="20"/>
                <w:color w:val="auto"/>
              </w:rPr>
            </w:pPr>
            <w:r>
              <w:rPr>
                <w:rFonts w:ascii="Calibri" w:cs="Calibri" w:eastAsia="Calibri" w:hAnsi="Calibri"/>
                <w:sz w:val="14"/>
                <w:szCs w:val="14"/>
                <w:color w:val="231F20"/>
              </w:rPr>
              <w:t>468,750</w:t>
            </w:r>
          </w:p>
        </w:tc>
        <w:tc>
          <w:tcPr>
            <w:tcW w:w="380" w:type="dxa"/>
            <w:vAlign w:val="bottom"/>
            <w:tcBorders>
              <w:bottom w:val="single" w:sz="8" w:color="231F20"/>
            </w:tcBorders>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11,427</w:t>
            </w:r>
          </w:p>
        </w:tc>
        <w:tc>
          <w:tcPr>
            <w:tcW w:w="28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2,955,223</w:t>
            </w:r>
          </w:p>
        </w:tc>
      </w:tr>
      <w:tr>
        <w:trPr>
          <w:trHeight w:val="238"/>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Dawn M. Becker</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2023</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1,205,597</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539,063</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17,644</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2,337,304</w:t>
            </w:r>
          </w:p>
        </w:tc>
      </w:tr>
      <w:tr>
        <w:trPr>
          <w:trHeight w:val="260"/>
        </w:trPr>
        <w:tc>
          <w:tcPr>
            <w:tcW w:w="2580" w:type="dxa"/>
            <w:vAlign w:val="bottom"/>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Executive Vice President-</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2022</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727,570</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539,063</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14,521</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1,856,154</w:t>
            </w:r>
          </w:p>
        </w:tc>
      </w:tr>
      <w:tr>
        <w:trPr>
          <w:trHeight w:val="262"/>
        </w:trPr>
        <w:tc>
          <w:tcPr>
            <w:tcW w:w="2580" w:type="dxa"/>
            <w:vAlign w:val="bottom"/>
            <w:tcBorders>
              <w:bottom w:val="single" w:sz="8" w:color="231F20"/>
            </w:tcBorders>
            <w:shd w:val="clear" w:color="auto" w:fill="DCDDDE"/>
          </w:tcPr>
          <w:p>
            <w:pPr>
              <w:ind w:left="100"/>
              <w:spacing w:after="0"/>
              <w:rPr>
                <w:sz w:val="20"/>
                <w:szCs w:val="20"/>
                <w:color w:val="auto"/>
              </w:rPr>
            </w:pPr>
            <w:r>
              <w:rPr>
                <w:rFonts w:ascii="Calibri" w:cs="Calibri" w:eastAsia="Calibri" w:hAnsi="Calibri"/>
                <w:sz w:val="14"/>
                <w:szCs w:val="14"/>
                <w:b w:val="1"/>
                <w:bCs w:val="1"/>
                <w:color w:val="231F20"/>
              </w:rPr>
              <w:t>General Counsel &amp; Secretary</w:t>
            </w:r>
          </w:p>
        </w:tc>
        <w:tc>
          <w:tcPr>
            <w:tcW w:w="580" w:type="dxa"/>
            <w:vAlign w:val="bottom"/>
            <w:tcBorders>
              <w:bottom w:val="single" w:sz="8" w:color="231F20"/>
            </w:tcBorders>
          </w:tcPr>
          <w:p>
            <w:pPr>
              <w:ind w:left="200"/>
              <w:spacing w:after="0"/>
              <w:rPr>
                <w:sz w:val="20"/>
                <w:szCs w:val="20"/>
                <w:color w:val="auto"/>
              </w:rPr>
            </w:pPr>
            <w:r>
              <w:rPr>
                <w:rFonts w:ascii="Calibri" w:cs="Calibri" w:eastAsia="Calibri" w:hAnsi="Calibri"/>
                <w:sz w:val="14"/>
                <w:szCs w:val="14"/>
                <w:color w:val="231F20"/>
              </w:rPr>
              <w:t>2021</w:t>
            </w:r>
          </w:p>
        </w:tc>
        <w:tc>
          <w:tcPr>
            <w:tcW w:w="240" w:type="dxa"/>
            <w:vAlign w:val="bottom"/>
            <w:tcBorders>
              <w:bottom w:val="single" w:sz="8" w:color="231F20"/>
            </w:tcBorders>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475,000</w:t>
            </w:r>
          </w:p>
        </w:tc>
        <w:tc>
          <w:tcPr>
            <w:tcW w:w="30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75,000</w:t>
            </w:r>
          </w:p>
        </w:tc>
        <w:tc>
          <w:tcPr>
            <w:tcW w:w="320" w:type="dxa"/>
            <w:vAlign w:val="bottom"/>
            <w:tcBorders>
              <w:bottom w:val="single" w:sz="8" w:color="231F20"/>
            </w:tcBorders>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Borders>
              <w:bottom w:val="single" w:sz="8" w:color="231F20"/>
            </w:tcBorders>
          </w:tcPr>
          <w:p>
            <w:pPr>
              <w:jc w:val="right"/>
              <w:ind w:right="30"/>
              <w:spacing w:after="0"/>
              <w:rPr>
                <w:sz w:val="20"/>
                <w:szCs w:val="20"/>
                <w:color w:val="auto"/>
              </w:rPr>
            </w:pPr>
            <w:r>
              <w:rPr>
                <w:rFonts w:ascii="Calibri" w:cs="Calibri" w:eastAsia="Calibri" w:hAnsi="Calibri"/>
                <w:sz w:val="14"/>
                <w:szCs w:val="14"/>
                <w:color w:val="231F20"/>
              </w:rPr>
              <w:t>680,159</w:t>
            </w:r>
          </w:p>
        </w:tc>
        <w:tc>
          <w:tcPr>
            <w:tcW w:w="360" w:type="dxa"/>
            <w:vAlign w:val="bottom"/>
            <w:tcBorders>
              <w:bottom w:val="single" w:sz="8" w:color="231F20"/>
            </w:tcBorders>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Borders>
              <w:bottom w:val="single" w:sz="8" w:color="231F20"/>
            </w:tcBorders>
          </w:tcPr>
          <w:p>
            <w:pPr>
              <w:jc w:val="right"/>
              <w:ind w:right="190"/>
              <w:spacing w:after="0"/>
              <w:rPr>
                <w:sz w:val="20"/>
                <w:szCs w:val="20"/>
                <w:color w:val="auto"/>
              </w:rPr>
            </w:pPr>
            <w:r>
              <w:rPr>
                <w:rFonts w:ascii="Calibri" w:cs="Calibri" w:eastAsia="Calibri" w:hAnsi="Calibri"/>
                <w:sz w:val="14"/>
                <w:szCs w:val="14"/>
                <w:color w:val="231F20"/>
              </w:rPr>
              <w:t>333,984</w:t>
            </w:r>
          </w:p>
        </w:tc>
        <w:tc>
          <w:tcPr>
            <w:tcW w:w="380" w:type="dxa"/>
            <w:vAlign w:val="bottom"/>
            <w:tcBorders>
              <w:bottom w:val="single" w:sz="8" w:color="231F20"/>
            </w:tcBorders>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13,638</w:t>
            </w:r>
          </w:p>
        </w:tc>
        <w:tc>
          <w:tcPr>
            <w:tcW w:w="280" w:type="dxa"/>
            <w:vAlign w:val="bottom"/>
            <w:tcBorders>
              <w:bottom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Borders>
              <w:bottom w:val="single" w:sz="8" w:color="231F20"/>
            </w:tcBorders>
          </w:tcPr>
          <w:p>
            <w:pPr>
              <w:jc w:val="right"/>
              <w:ind w:right="90"/>
              <w:spacing w:after="0"/>
              <w:rPr>
                <w:sz w:val="20"/>
                <w:szCs w:val="20"/>
                <w:color w:val="auto"/>
              </w:rPr>
            </w:pPr>
            <w:r>
              <w:rPr>
                <w:rFonts w:ascii="Calibri" w:cs="Calibri" w:eastAsia="Calibri" w:hAnsi="Calibri"/>
                <w:sz w:val="14"/>
                <w:szCs w:val="14"/>
                <w:color w:val="231F20"/>
              </w:rPr>
              <w:t>1,577,781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0960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48pt,7.75pt" o:allowincell="f" strokecolor="#231F20" strokeweight="0.5pt"/>
            </w:pict>
          </mc:Fallback>
        </mc:AlternateContent>
      </w:r>
    </w:p>
    <w:p>
      <w:pPr>
        <w:spacing w:after="0" w:line="195" w:lineRule="exact"/>
        <w:rPr>
          <w:sz w:val="20"/>
          <w:szCs w:val="20"/>
          <w:color w:val="auto"/>
        </w:rPr>
      </w:pPr>
    </w:p>
    <w:p>
      <w:pPr>
        <w:ind w:left="360" w:hanging="360"/>
        <w:spacing w:after="0" w:line="214" w:lineRule="auto"/>
        <w:tabs>
          <w:tab w:leader="none" w:pos="360" w:val="left"/>
        </w:tabs>
        <w:numPr>
          <w:ilvl w:val="0"/>
          <w:numId w:val="130"/>
        </w:numPr>
        <w:rPr>
          <w:rFonts w:ascii="Arial" w:cs="Arial" w:eastAsia="Arial" w:hAnsi="Arial"/>
          <w:sz w:val="23"/>
          <w:szCs w:val="23"/>
          <w:color w:val="231F20"/>
          <w:vertAlign w:val="superscript"/>
        </w:rPr>
      </w:pPr>
      <w:r>
        <w:rPr>
          <w:rFonts w:ascii="Arial" w:cs="Arial" w:eastAsia="Arial" w:hAnsi="Arial"/>
          <w:sz w:val="18"/>
          <w:szCs w:val="18"/>
          <w:color w:val="231F20"/>
        </w:rPr>
        <w:t>Amounts shown in the Salary column include all amounts deferred at the election of the NEOs into our non-qualified deferred compensation plan.</w:t>
      </w:r>
    </w:p>
    <w:p>
      <w:pPr>
        <w:ind w:left="360" w:hanging="360"/>
        <w:spacing w:after="0" w:line="199" w:lineRule="auto"/>
        <w:tabs>
          <w:tab w:leader="none" w:pos="360" w:val="left"/>
        </w:tabs>
        <w:numPr>
          <w:ilvl w:val="0"/>
          <w:numId w:val="130"/>
        </w:numPr>
        <w:rPr>
          <w:rFonts w:ascii="Arial" w:cs="Arial" w:eastAsia="Arial" w:hAnsi="Arial"/>
          <w:sz w:val="23"/>
          <w:szCs w:val="23"/>
          <w:color w:val="231F20"/>
          <w:vertAlign w:val="superscript"/>
        </w:rPr>
      </w:pPr>
      <w:r>
        <w:rPr>
          <w:rFonts w:ascii="Arial" w:cs="Arial" w:eastAsia="Arial" w:hAnsi="Arial"/>
          <w:sz w:val="18"/>
          <w:szCs w:val="18"/>
          <w:color w:val="231F20"/>
        </w:rPr>
        <w:t>Amounts represent a one-time cash bonus.</w:t>
      </w:r>
    </w:p>
    <w:p>
      <w:pPr>
        <w:spacing w:after="0" w:line="55" w:lineRule="exact"/>
        <w:rPr>
          <w:rFonts w:ascii="Arial" w:cs="Arial" w:eastAsia="Arial" w:hAnsi="Arial"/>
          <w:sz w:val="23"/>
          <w:szCs w:val="23"/>
          <w:color w:val="231F20"/>
          <w:vertAlign w:val="superscript"/>
        </w:rPr>
      </w:pPr>
    </w:p>
    <w:p>
      <w:pPr>
        <w:jc w:val="both"/>
        <w:ind w:left="360" w:hanging="360"/>
        <w:spacing w:after="0" w:line="236" w:lineRule="auto"/>
        <w:tabs>
          <w:tab w:leader="none" w:pos="360" w:val="left"/>
        </w:tabs>
        <w:numPr>
          <w:ilvl w:val="0"/>
          <w:numId w:val="130"/>
        </w:numPr>
        <w:rPr>
          <w:rFonts w:ascii="Arial" w:cs="Arial" w:eastAsia="Arial" w:hAnsi="Arial"/>
          <w:sz w:val="23"/>
          <w:szCs w:val="23"/>
          <w:color w:val="231F20"/>
          <w:vertAlign w:val="superscript"/>
        </w:rPr>
      </w:pPr>
      <w:r>
        <w:rPr>
          <w:rFonts w:ascii="Arial" w:cs="Arial" w:eastAsia="Arial" w:hAnsi="Arial"/>
          <w:sz w:val="18"/>
          <w:szCs w:val="18"/>
          <w:color w:val="231F20"/>
        </w:rPr>
        <w:t>Amounts shown in this column reflect the aggregate grant date fair value of the awards calculated in accordance with FASB ASC Topic 718 that were issued in the year shown. With the exception of the performance based restricted share units issued to Mr. Berkes in 2021, all other awards in this column were valued based on the closing price of our shares on the grant date. The performance-based restricted share units issued to Mr. Berkes in February 2021 are tied to our total shareholder return versus the total shareholder return for the BBRESHOP over the performance period. These restricted share units were valued based on our data and that of the index using a Monte Carlo simulation method. The key assumptions used in the valuation were: (a) stock price volatility of 38.0% for the Company and 38.8% for the index;</w:t>
      </w:r>
    </w:p>
    <w:p>
      <w:pPr>
        <w:spacing w:after="0" w:line="22" w:lineRule="exact"/>
        <w:rPr>
          <w:rFonts w:ascii="Arial" w:cs="Arial" w:eastAsia="Arial" w:hAnsi="Arial"/>
          <w:sz w:val="23"/>
          <w:szCs w:val="23"/>
          <w:color w:val="231F20"/>
          <w:vertAlign w:val="superscript"/>
        </w:rPr>
      </w:pPr>
    </w:p>
    <w:p>
      <w:pPr>
        <w:jc w:val="both"/>
        <w:ind w:left="360"/>
        <w:spacing w:after="0" w:line="251" w:lineRule="auto"/>
        <w:tabs>
          <w:tab w:leader="none" w:pos="633" w:val="left"/>
        </w:tabs>
        <w:numPr>
          <w:ilvl w:val="1"/>
          <w:numId w:val="130"/>
        </w:numPr>
        <w:rPr>
          <w:rFonts w:ascii="Arial" w:cs="Arial" w:eastAsia="Arial" w:hAnsi="Arial"/>
          <w:sz w:val="18"/>
          <w:szCs w:val="18"/>
          <w:color w:val="231F20"/>
        </w:rPr>
      </w:pPr>
      <w:r>
        <w:rPr>
          <w:rFonts w:ascii="Arial" w:cs="Arial" w:eastAsia="Arial" w:hAnsi="Arial"/>
          <w:sz w:val="18"/>
          <w:szCs w:val="18"/>
          <w:color w:val="231F20"/>
        </w:rPr>
        <w:t>risk-free interest rate of 0.31%; and (c) no dividend yield assumption given that the award includes dividend equivalent rights that are earned only if the underlying shares are earned. Based on the performance goals and these assumptions, the award was valued at $97.01 per share.</w:t>
      </w:r>
    </w:p>
    <w:p>
      <w:pPr>
        <w:spacing w:after="0" w:line="10" w:lineRule="exact"/>
        <w:rPr>
          <w:rFonts w:ascii="Arial" w:cs="Arial" w:eastAsia="Arial" w:hAnsi="Arial"/>
          <w:sz w:val="18"/>
          <w:szCs w:val="18"/>
          <w:color w:val="231F20"/>
        </w:rPr>
      </w:pPr>
    </w:p>
    <w:p>
      <w:pPr>
        <w:ind w:left="360" w:hanging="360"/>
        <w:spacing w:after="0" w:line="214" w:lineRule="auto"/>
        <w:tabs>
          <w:tab w:leader="none" w:pos="360" w:val="left"/>
        </w:tabs>
        <w:numPr>
          <w:ilvl w:val="0"/>
          <w:numId w:val="130"/>
        </w:numPr>
        <w:rPr>
          <w:rFonts w:ascii="Arial" w:cs="Arial" w:eastAsia="Arial" w:hAnsi="Arial"/>
          <w:sz w:val="23"/>
          <w:szCs w:val="23"/>
          <w:color w:val="231F20"/>
          <w:vertAlign w:val="superscript"/>
        </w:rPr>
      </w:pPr>
      <w:r>
        <w:rPr>
          <w:rFonts w:ascii="Arial" w:cs="Arial" w:eastAsia="Arial" w:hAnsi="Arial"/>
          <w:sz w:val="18"/>
          <w:szCs w:val="18"/>
          <w:color w:val="231F20"/>
        </w:rPr>
        <w:t>Amounts shown in this column represent the cash amount paid under our annual bonus plan and include amounts deferred by our NEOs into our non-qualified deferred compensation plan.</w:t>
      </w:r>
    </w:p>
    <w:p>
      <w:pPr>
        <w:spacing w:after="0" w:line="19" w:lineRule="exact"/>
        <w:rPr>
          <w:rFonts w:ascii="Arial" w:cs="Arial" w:eastAsia="Arial" w:hAnsi="Arial"/>
          <w:sz w:val="23"/>
          <w:szCs w:val="23"/>
          <w:color w:val="231F20"/>
          <w:vertAlign w:val="superscript"/>
        </w:rPr>
      </w:pPr>
    </w:p>
    <w:p>
      <w:pPr>
        <w:jc w:val="both"/>
        <w:ind w:left="360" w:hanging="360"/>
        <w:spacing w:after="0" w:line="226" w:lineRule="auto"/>
        <w:tabs>
          <w:tab w:leader="none" w:pos="360" w:val="left"/>
        </w:tabs>
        <w:numPr>
          <w:ilvl w:val="0"/>
          <w:numId w:val="130"/>
        </w:numPr>
        <w:rPr>
          <w:rFonts w:ascii="Arial" w:cs="Arial" w:eastAsia="Arial" w:hAnsi="Arial"/>
          <w:sz w:val="23"/>
          <w:szCs w:val="23"/>
          <w:color w:val="231F20"/>
          <w:vertAlign w:val="superscript"/>
        </w:rPr>
      </w:pPr>
      <w:r>
        <w:rPr>
          <w:rFonts w:ascii="Arial" w:cs="Arial" w:eastAsia="Arial" w:hAnsi="Arial"/>
          <w:sz w:val="18"/>
          <w:szCs w:val="18"/>
          <w:color w:val="231F20"/>
        </w:rPr>
        <w:t>The amounts shown in this column for the most recent fiscal year include: (a) contributions to our 401(k) plan of $8,125 for each of our NEOs; and (b) payments for various life, long-term disability and other medical related insurance of $24,880 for Mr. Wood, $10,779 for Mr. Berkes, $4,264 for Mr. Guglielmone and $9,519 for Ms. Becker.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1540510</wp:posOffset>
                </wp:positionV>
                <wp:extent cx="6400800" cy="17780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26" o:spid="_x0000_s1451" style="position:absolute;margin-left:0pt;margin-top:121.3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1540510</wp:posOffset>
                </wp:positionV>
                <wp:extent cx="0" cy="17780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21.3pt" to="0.5pt,135.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1546860</wp:posOffset>
                </wp:positionV>
                <wp:extent cx="640080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8pt" to="504pt,121.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1540510</wp:posOffset>
                </wp:positionV>
                <wp:extent cx="0" cy="17780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21.3pt" to="503.5pt,135.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1711960</wp:posOffset>
                </wp:positionV>
                <wp:extent cx="6400800"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4.8pt" to="504pt,134.8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31</w:t>
      </w:r>
    </w:p>
    <w:p>
      <w:pPr>
        <w:sectPr>
          <w:pgSz w:w="12240" w:h="15840" w:orient="portrait"/>
          <w:cols w:equalWidth="0" w:num="1">
            <w:col w:w="10080"/>
          </w:cols>
          <w:pgMar w:left="1080" w:top="1440" w:right="1080" w:bottom="944" w:gutter="0" w:footer="0" w:header="0"/>
          <w:type w:val="continuous"/>
        </w:sectPr>
      </w:pPr>
    </w:p>
    <w:bookmarkStart w:id="151" w:name="page152"/>
    <w:bookmarkEnd w:id="151"/>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GRANTS OF PLAN BASED AWARDS TABLE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231F20"/>
        </w:rPr>
        <w:t>The following equity awards were made in 2023 to our NEOs.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4300" w:type="dxa"/>
            <w:vAlign w:val="bottom"/>
            <w:shd w:val="clear" w:color="auto" w:fill="EF3E2A"/>
          </w:tcPr>
          <w:p>
            <w:pPr>
              <w:spacing w:after="0"/>
              <w:rPr>
                <w:sz w:val="24"/>
                <w:szCs w:val="24"/>
                <w:color w:val="auto"/>
              </w:rPr>
            </w:pPr>
          </w:p>
        </w:tc>
        <w:tc>
          <w:tcPr>
            <w:tcW w:w="1340" w:type="dxa"/>
            <w:vAlign w:val="bottom"/>
            <w:shd w:val="clear" w:color="auto" w:fill="EF3E2A"/>
          </w:tcPr>
          <w:p>
            <w:pPr>
              <w:spacing w:after="0"/>
              <w:rPr>
                <w:sz w:val="24"/>
                <w:szCs w:val="24"/>
                <w:color w:val="auto"/>
              </w:rPr>
            </w:pPr>
          </w:p>
        </w:tc>
        <w:tc>
          <w:tcPr>
            <w:tcW w:w="1800" w:type="dxa"/>
            <w:vAlign w:val="bottom"/>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All Other Stock Awards:</w:t>
            </w:r>
          </w:p>
        </w:tc>
        <w:tc>
          <w:tcPr>
            <w:tcW w:w="180" w:type="dxa"/>
            <w:vAlign w:val="bottom"/>
            <w:shd w:val="clear" w:color="auto" w:fill="EF3E2A"/>
          </w:tcPr>
          <w:p>
            <w:pPr>
              <w:spacing w:after="0"/>
              <w:rPr>
                <w:sz w:val="24"/>
                <w:szCs w:val="24"/>
                <w:color w:val="auto"/>
              </w:rPr>
            </w:pPr>
          </w:p>
        </w:tc>
        <w:tc>
          <w:tcPr>
            <w:tcW w:w="860" w:type="dxa"/>
            <w:vAlign w:val="bottom"/>
            <w:shd w:val="clear" w:color="auto" w:fill="EF3E2A"/>
          </w:tcPr>
          <w:p>
            <w:pPr>
              <w:spacing w:after="0"/>
              <w:rPr>
                <w:sz w:val="24"/>
                <w:szCs w:val="24"/>
                <w:color w:val="auto"/>
              </w:rPr>
            </w:pPr>
          </w:p>
        </w:tc>
      </w:tr>
      <w:tr>
        <w:trPr>
          <w:trHeight w:val="160"/>
        </w:trPr>
        <w:tc>
          <w:tcPr>
            <w:tcW w:w="4300" w:type="dxa"/>
            <w:vAlign w:val="bottom"/>
            <w:shd w:val="clear" w:color="auto" w:fill="EF3E2A"/>
          </w:tcPr>
          <w:p>
            <w:pPr>
              <w:spacing w:after="0"/>
              <w:rPr>
                <w:sz w:val="13"/>
                <w:szCs w:val="13"/>
                <w:color w:val="auto"/>
              </w:rPr>
            </w:pPr>
          </w:p>
        </w:tc>
        <w:tc>
          <w:tcPr>
            <w:tcW w:w="1340" w:type="dxa"/>
            <w:vAlign w:val="bottom"/>
            <w:shd w:val="clear" w:color="auto" w:fill="EF3E2A"/>
          </w:tcPr>
          <w:p>
            <w:pPr>
              <w:jc w:val="right"/>
              <w:ind w:right="320"/>
              <w:spacing w:after="0" w:line="160" w:lineRule="exact"/>
              <w:rPr>
                <w:sz w:val="20"/>
                <w:szCs w:val="20"/>
                <w:color w:val="auto"/>
              </w:rPr>
            </w:pPr>
            <w:r>
              <w:rPr>
                <w:rFonts w:ascii="Calibri" w:cs="Calibri" w:eastAsia="Calibri" w:hAnsi="Calibri"/>
                <w:sz w:val="16"/>
                <w:szCs w:val="16"/>
                <w:b w:val="1"/>
                <w:bCs w:val="1"/>
                <w:color w:val="E8E7E5"/>
              </w:rPr>
              <w:t>Grant</w:t>
            </w:r>
          </w:p>
        </w:tc>
        <w:tc>
          <w:tcPr>
            <w:tcW w:w="1800" w:type="dxa"/>
            <w:vAlign w:val="bottom"/>
            <w:shd w:val="clear" w:color="auto" w:fill="EF3E2A"/>
          </w:tcPr>
          <w:p>
            <w:pPr>
              <w:jc w:val="right"/>
              <w:spacing w:after="0" w:line="160" w:lineRule="exact"/>
              <w:rPr>
                <w:sz w:val="20"/>
                <w:szCs w:val="20"/>
                <w:color w:val="auto"/>
              </w:rPr>
            </w:pPr>
            <w:r>
              <w:rPr>
                <w:rFonts w:ascii="Calibri" w:cs="Calibri" w:eastAsia="Calibri" w:hAnsi="Calibri"/>
                <w:sz w:val="16"/>
                <w:szCs w:val="16"/>
                <w:b w:val="1"/>
                <w:bCs w:val="1"/>
                <w:color w:val="E8E7E5"/>
              </w:rPr>
              <w:t>Number of Shares of</w:t>
            </w:r>
          </w:p>
        </w:tc>
        <w:tc>
          <w:tcPr>
            <w:tcW w:w="180" w:type="dxa"/>
            <w:vAlign w:val="bottom"/>
            <w:shd w:val="clear" w:color="auto" w:fill="EF3E2A"/>
          </w:tcPr>
          <w:p>
            <w:pPr>
              <w:spacing w:after="0"/>
              <w:rPr>
                <w:sz w:val="13"/>
                <w:szCs w:val="13"/>
                <w:color w:val="auto"/>
              </w:rPr>
            </w:pPr>
          </w:p>
        </w:tc>
        <w:tc>
          <w:tcPr>
            <w:tcW w:w="860" w:type="dxa"/>
            <w:vAlign w:val="bottom"/>
            <w:shd w:val="clear" w:color="auto" w:fill="EF3E2A"/>
          </w:tcPr>
          <w:p>
            <w:pPr>
              <w:jc w:val="right"/>
              <w:spacing w:after="0" w:line="160" w:lineRule="exact"/>
              <w:rPr>
                <w:sz w:val="20"/>
                <w:szCs w:val="20"/>
                <w:color w:val="auto"/>
              </w:rPr>
            </w:pPr>
            <w:r>
              <w:rPr>
                <w:rFonts w:ascii="Calibri" w:cs="Calibri" w:eastAsia="Calibri" w:hAnsi="Calibri"/>
                <w:sz w:val="16"/>
                <w:szCs w:val="16"/>
                <w:b w:val="1"/>
                <w:bCs w:val="1"/>
                <w:color w:val="E8E7E5"/>
              </w:rPr>
              <w:t>Grant Date</w:t>
            </w:r>
          </w:p>
        </w:tc>
      </w:tr>
      <w:tr>
        <w:trPr>
          <w:trHeight w:val="205"/>
        </w:trPr>
        <w:tc>
          <w:tcPr>
            <w:tcW w:w="4300" w:type="dxa"/>
            <w:vAlign w:val="bottom"/>
            <w:tcBorders>
              <w:bottom w:val="single" w:sz="8" w:color="231F20"/>
            </w:tcBorders>
            <w:shd w:val="clear" w:color="auto" w:fill="EF3E2A"/>
          </w:tcPr>
          <w:p>
            <w:pPr>
              <w:spacing w:after="0" w:line="163" w:lineRule="exact"/>
              <w:rPr>
                <w:sz w:val="20"/>
                <w:szCs w:val="20"/>
                <w:color w:val="auto"/>
              </w:rPr>
            </w:pPr>
            <w:r>
              <w:rPr>
                <w:rFonts w:ascii="Calibri" w:cs="Calibri" w:eastAsia="Calibri" w:hAnsi="Calibri"/>
                <w:sz w:val="16"/>
                <w:szCs w:val="16"/>
                <w:b w:val="1"/>
                <w:bCs w:val="1"/>
                <w:color w:val="E8E7E5"/>
              </w:rPr>
              <w:t>Name</w:t>
            </w:r>
          </w:p>
        </w:tc>
        <w:tc>
          <w:tcPr>
            <w:tcW w:w="1340" w:type="dxa"/>
            <w:vAlign w:val="bottom"/>
            <w:tcBorders>
              <w:bottom w:val="single" w:sz="8" w:color="231F20"/>
            </w:tcBorders>
            <w:shd w:val="clear" w:color="auto" w:fill="EF3E2A"/>
          </w:tcPr>
          <w:p>
            <w:pPr>
              <w:jc w:val="right"/>
              <w:ind w:right="360"/>
              <w:spacing w:after="0" w:line="163" w:lineRule="exact"/>
              <w:rPr>
                <w:sz w:val="20"/>
                <w:szCs w:val="20"/>
                <w:color w:val="auto"/>
              </w:rPr>
            </w:pPr>
            <w:r>
              <w:rPr>
                <w:rFonts w:ascii="Calibri" w:cs="Calibri" w:eastAsia="Calibri" w:hAnsi="Calibri"/>
                <w:sz w:val="16"/>
                <w:szCs w:val="16"/>
                <w:b w:val="1"/>
                <w:bCs w:val="1"/>
                <w:color w:val="E8E7E5"/>
              </w:rPr>
              <w:t>Date</w:t>
            </w:r>
          </w:p>
        </w:tc>
        <w:tc>
          <w:tcPr>
            <w:tcW w:w="1800" w:type="dxa"/>
            <w:vAlign w:val="bottom"/>
            <w:tcBorders>
              <w:bottom w:val="single" w:sz="8" w:color="231F20"/>
            </w:tcBorders>
            <w:shd w:val="clear" w:color="auto" w:fill="EF3E2A"/>
          </w:tcPr>
          <w:p>
            <w:pPr>
              <w:jc w:val="right"/>
              <w:spacing w:after="0" w:line="205" w:lineRule="exact"/>
              <w:rPr>
                <w:sz w:val="20"/>
                <w:szCs w:val="20"/>
                <w:color w:val="auto"/>
              </w:rPr>
            </w:pPr>
            <w:r>
              <w:rPr>
                <w:rFonts w:ascii="Calibri" w:cs="Calibri" w:eastAsia="Calibri" w:hAnsi="Calibri"/>
                <w:sz w:val="16"/>
                <w:szCs w:val="16"/>
                <w:b w:val="1"/>
                <w:bCs w:val="1"/>
                <w:color w:val="E8E7E5"/>
              </w:rPr>
              <w:t>Stock or Units</w:t>
            </w:r>
            <w:r>
              <w:rPr>
                <w:rFonts w:ascii="Calibri" w:cs="Calibri" w:eastAsia="Calibri" w:hAnsi="Calibri"/>
                <w:sz w:val="20"/>
                <w:szCs w:val="20"/>
                <w:b w:val="1"/>
                <w:bCs w:val="1"/>
                <w:color w:val="E8E7E5"/>
                <w:vertAlign w:val="superscript"/>
              </w:rPr>
              <w:t>(3)</w:t>
            </w:r>
          </w:p>
        </w:tc>
        <w:tc>
          <w:tcPr>
            <w:tcW w:w="180" w:type="dxa"/>
            <w:vAlign w:val="bottom"/>
            <w:tcBorders>
              <w:bottom w:val="single" w:sz="8" w:color="231F20"/>
            </w:tcBorders>
            <w:shd w:val="clear" w:color="auto" w:fill="EF3E2A"/>
          </w:tcPr>
          <w:p>
            <w:pPr>
              <w:spacing w:after="0"/>
              <w:rPr>
                <w:sz w:val="17"/>
                <w:szCs w:val="17"/>
                <w:color w:val="auto"/>
              </w:rPr>
            </w:pPr>
          </w:p>
        </w:tc>
        <w:tc>
          <w:tcPr>
            <w:tcW w:w="860" w:type="dxa"/>
            <w:vAlign w:val="bottom"/>
            <w:tcBorders>
              <w:bottom w:val="single" w:sz="8" w:color="231F20"/>
            </w:tcBorders>
            <w:shd w:val="clear" w:color="auto" w:fill="EF3E2A"/>
          </w:tcPr>
          <w:p>
            <w:pPr>
              <w:jc w:val="right"/>
              <w:spacing w:after="0" w:line="205" w:lineRule="exact"/>
              <w:rPr>
                <w:sz w:val="20"/>
                <w:szCs w:val="20"/>
                <w:color w:val="auto"/>
              </w:rPr>
            </w:pPr>
            <w:r>
              <w:rPr>
                <w:rFonts w:ascii="Calibri" w:cs="Calibri" w:eastAsia="Calibri" w:hAnsi="Calibri"/>
                <w:sz w:val="16"/>
                <w:szCs w:val="16"/>
                <w:b w:val="1"/>
                <w:bCs w:val="1"/>
                <w:color w:val="E8E7E5"/>
                <w:w w:val="98"/>
              </w:rPr>
              <w:t>Fair Value</w:t>
            </w:r>
            <w:r>
              <w:rPr>
                <w:rFonts w:ascii="Calibri" w:cs="Calibri" w:eastAsia="Calibri" w:hAnsi="Calibri"/>
                <w:sz w:val="20"/>
                <w:szCs w:val="20"/>
                <w:b w:val="1"/>
                <w:bCs w:val="1"/>
                <w:color w:val="E8E7E5"/>
                <w:w w:val="98"/>
                <w:vertAlign w:val="superscript"/>
              </w:rPr>
              <w:t>(4)</w:t>
            </w:r>
          </w:p>
        </w:tc>
      </w:tr>
      <w:tr>
        <w:trPr>
          <w:trHeight w:val="310"/>
        </w:trPr>
        <w:tc>
          <w:tcPr>
            <w:tcW w:w="4300" w:type="dxa"/>
            <w:vAlign w:val="bottom"/>
            <w:shd w:val="clear" w:color="auto" w:fill="DCDDDE"/>
          </w:tcPr>
          <w:p>
            <w:pPr>
              <w:spacing w:after="0"/>
              <w:rPr>
                <w:sz w:val="20"/>
                <w:szCs w:val="20"/>
                <w:color w:val="auto"/>
              </w:rPr>
            </w:pPr>
            <w:r>
              <w:rPr>
                <w:rFonts w:ascii="Calibri" w:cs="Calibri" w:eastAsia="Calibri" w:hAnsi="Calibri"/>
                <w:sz w:val="16"/>
                <w:szCs w:val="16"/>
                <w:color w:val="231F20"/>
              </w:rPr>
              <w:t>Donald C. Wood</w:t>
            </w:r>
          </w:p>
        </w:tc>
        <w:tc>
          <w:tcPr>
            <w:tcW w:w="1340" w:type="dxa"/>
            <w:vAlign w:val="bottom"/>
          </w:tcPr>
          <w:p>
            <w:pPr>
              <w:jc w:val="right"/>
              <w:ind w:right="60"/>
              <w:spacing w:after="0"/>
              <w:rPr>
                <w:sz w:val="20"/>
                <w:szCs w:val="20"/>
                <w:color w:val="auto"/>
              </w:rPr>
            </w:pPr>
            <w:r>
              <w:rPr>
                <w:rFonts w:ascii="Calibri" w:cs="Calibri" w:eastAsia="Calibri" w:hAnsi="Calibri"/>
                <w:sz w:val="16"/>
                <w:szCs w:val="16"/>
                <w:color w:val="231F20"/>
              </w:rPr>
              <w:t xml:space="preserve">2/7/2023 </w:t>
            </w:r>
            <w:r>
              <w:rPr>
                <w:rFonts w:ascii="Calibri" w:cs="Calibri" w:eastAsia="Calibri" w:hAnsi="Calibri"/>
                <w:sz w:val="20"/>
                <w:szCs w:val="20"/>
                <w:color w:val="231F20"/>
                <w:vertAlign w:val="superscript"/>
              </w:rPr>
              <w:t>(1)</w:t>
            </w:r>
          </w:p>
        </w:tc>
        <w:tc>
          <w:tcPr>
            <w:tcW w:w="1800" w:type="dxa"/>
            <w:vAlign w:val="bottom"/>
          </w:tcPr>
          <w:p>
            <w:pPr>
              <w:jc w:val="right"/>
              <w:ind w:right="540"/>
              <w:spacing w:after="0"/>
              <w:rPr>
                <w:sz w:val="20"/>
                <w:szCs w:val="20"/>
                <w:color w:val="auto"/>
              </w:rPr>
            </w:pPr>
            <w:r>
              <w:rPr>
                <w:rFonts w:ascii="Calibri" w:cs="Calibri" w:eastAsia="Calibri" w:hAnsi="Calibri"/>
                <w:sz w:val="16"/>
                <w:szCs w:val="16"/>
                <w:color w:val="231F20"/>
              </w:rPr>
              <w:t>5,111</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Pr>
          <w:p>
            <w:pPr>
              <w:jc w:val="right"/>
              <w:ind w:right="80"/>
              <w:spacing w:after="0"/>
              <w:rPr>
                <w:sz w:val="20"/>
                <w:szCs w:val="20"/>
                <w:color w:val="auto"/>
              </w:rPr>
            </w:pPr>
            <w:r>
              <w:rPr>
                <w:rFonts w:ascii="Calibri" w:cs="Calibri" w:eastAsia="Calibri" w:hAnsi="Calibri"/>
                <w:sz w:val="16"/>
                <w:szCs w:val="16"/>
                <w:color w:val="231F20"/>
              </w:rPr>
              <w:t>562,517</w:t>
            </w:r>
          </w:p>
        </w:tc>
      </w:tr>
      <w:tr>
        <w:trPr>
          <w:trHeight w:val="230"/>
        </w:trPr>
        <w:tc>
          <w:tcPr>
            <w:tcW w:w="4300" w:type="dxa"/>
            <w:vAlign w:val="bottom"/>
            <w:tcBorders>
              <w:bottom w:val="single" w:sz="8" w:color="231F20"/>
            </w:tcBorders>
            <w:shd w:val="clear" w:color="auto" w:fill="DCDDDE"/>
          </w:tcPr>
          <w:p>
            <w:pPr>
              <w:spacing w:after="0"/>
              <w:rPr>
                <w:sz w:val="19"/>
                <w:szCs w:val="19"/>
                <w:color w:val="auto"/>
              </w:rPr>
            </w:pPr>
          </w:p>
        </w:tc>
        <w:tc>
          <w:tcPr>
            <w:tcW w:w="1340" w:type="dxa"/>
            <w:vAlign w:val="bottom"/>
            <w:tcBorders>
              <w:bottom w:val="single" w:sz="8" w:color="231F20"/>
            </w:tcBorders>
          </w:tcPr>
          <w:p>
            <w:pPr>
              <w:jc w:val="right"/>
              <w:ind w:right="60"/>
              <w:spacing w:after="0" w:line="229" w:lineRule="exact"/>
              <w:rPr>
                <w:sz w:val="20"/>
                <w:szCs w:val="20"/>
                <w:color w:val="auto"/>
              </w:rPr>
            </w:pPr>
            <w:r>
              <w:rPr>
                <w:rFonts w:ascii="Calibri" w:cs="Calibri" w:eastAsia="Calibri" w:hAnsi="Calibri"/>
                <w:sz w:val="16"/>
                <w:szCs w:val="16"/>
                <w:color w:val="231F20"/>
              </w:rPr>
              <w:t xml:space="preserve">2/7/2023 </w:t>
            </w:r>
            <w:r>
              <w:rPr>
                <w:rFonts w:ascii="Calibri" w:cs="Calibri" w:eastAsia="Calibri" w:hAnsi="Calibri"/>
                <w:sz w:val="20"/>
                <w:szCs w:val="20"/>
                <w:color w:val="231F20"/>
                <w:vertAlign w:val="superscript"/>
              </w:rPr>
              <w:t>(2)</w:t>
            </w:r>
          </w:p>
        </w:tc>
        <w:tc>
          <w:tcPr>
            <w:tcW w:w="1800" w:type="dxa"/>
            <w:vAlign w:val="bottom"/>
            <w:tcBorders>
              <w:bottom w:val="single" w:sz="8" w:color="231F20"/>
            </w:tcBorders>
          </w:tcPr>
          <w:p>
            <w:pPr>
              <w:jc w:val="right"/>
              <w:ind w:right="540"/>
              <w:spacing w:after="0"/>
              <w:rPr>
                <w:sz w:val="20"/>
                <w:szCs w:val="20"/>
                <w:color w:val="auto"/>
              </w:rPr>
            </w:pPr>
            <w:r>
              <w:rPr>
                <w:rFonts w:ascii="Calibri" w:cs="Calibri" w:eastAsia="Calibri" w:hAnsi="Calibri"/>
                <w:sz w:val="16"/>
                <w:szCs w:val="16"/>
                <w:color w:val="231F20"/>
              </w:rPr>
              <w:t>53,971</w:t>
            </w:r>
          </w:p>
        </w:tc>
        <w:tc>
          <w:tcPr>
            <w:tcW w:w="1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Borders>
              <w:bottom w:val="single" w:sz="8" w:color="231F20"/>
            </w:tcBorders>
          </w:tcPr>
          <w:p>
            <w:pPr>
              <w:jc w:val="right"/>
              <w:ind w:right="80"/>
              <w:spacing w:after="0"/>
              <w:rPr>
                <w:sz w:val="20"/>
                <w:szCs w:val="20"/>
                <w:color w:val="auto"/>
              </w:rPr>
            </w:pPr>
            <w:r>
              <w:rPr>
                <w:rFonts w:ascii="Calibri" w:cs="Calibri" w:eastAsia="Calibri" w:hAnsi="Calibri"/>
                <w:sz w:val="16"/>
                <w:szCs w:val="16"/>
                <w:color w:val="231F20"/>
              </w:rPr>
              <w:t>5,940,048</w:t>
            </w:r>
          </w:p>
        </w:tc>
      </w:tr>
      <w:tr>
        <w:trPr>
          <w:trHeight w:val="310"/>
        </w:trPr>
        <w:tc>
          <w:tcPr>
            <w:tcW w:w="4300" w:type="dxa"/>
            <w:vAlign w:val="bottom"/>
            <w:shd w:val="clear" w:color="auto" w:fill="DCDDDE"/>
          </w:tcPr>
          <w:p>
            <w:pPr>
              <w:spacing w:after="0"/>
              <w:rPr>
                <w:sz w:val="20"/>
                <w:szCs w:val="20"/>
                <w:color w:val="auto"/>
              </w:rPr>
            </w:pPr>
            <w:r>
              <w:rPr>
                <w:rFonts w:ascii="Calibri" w:cs="Calibri" w:eastAsia="Calibri" w:hAnsi="Calibri"/>
                <w:sz w:val="16"/>
                <w:szCs w:val="16"/>
                <w:color w:val="231F20"/>
              </w:rPr>
              <w:t>Jeffrey S. Berkes</w:t>
            </w:r>
          </w:p>
        </w:tc>
        <w:tc>
          <w:tcPr>
            <w:tcW w:w="1340" w:type="dxa"/>
            <w:vAlign w:val="bottom"/>
          </w:tcPr>
          <w:p>
            <w:pPr>
              <w:jc w:val="right"/>
              <w:ind w:right="60"/>
              <w:spacing w:after="0"/>
              <w:rPr>
                <w:sz w:val="20"/>
                <w:szCs w:val="20"/>
                <w:color w:val="auto"/>
              </w:rPr>
            </w:pPr>
            <w:r>
              <w:rPr>
                <w:rFonts w:ascii="Calibri" w:cs="Calibri" w:eastAsia="Calibri" w:hAnsi="Calibri"/>
                <w:sz w:val="16"/>
                <w:szCs w:val="16"/>
                <w:color w:val="231F20"/>
              </w:rPr>
              <w:t xml:space="preserve">2/7/2023 </w:t>
            </w:r>
            <w:r>
              <w:rPr>
                <w:rFonts w:ascii="Calibri" w:cs="Calibri" w:eastAsia="Calibri" w:hAnsi="Calibri"/>
                <w:sz w:val="20"/>
                <w:szCs w:val="20"/>
                <w:color w:val="231F20"/>
                <w:vertAlign w:val="superscript"/>
              </w:rPr>
              <w:t>(1)</w:t>
            </w:r>
          </w:p>
        </w:tc>
        <w:tc>
          <w:tcPr>
            <w:tcW w:w="1800" w:type="dxa"/>
            <w:vAlign w:val="bottom"/>
          </w:tcPr>
          <w:p>
            <w:pPr>
              <w:jc w:val="right"/>
              <w:ind w:right="540"/>
              <w:spacing w:after="0"/>
              <w:rPr>
                <w:sz w:val="20"/>
                <w:szCs w:val="20"/>
                <w:color w:val="auto"/>
              </w:rPr>
            </w:pPr>
            <w:r>
              <w:rPr>
                <w:rFonts w:ascii="Calibri" w:cs="Calibri" w:eastAsia="Calibri" w:hAnsi="Calibri"/>
                <w:sz w:val="16"/>
                <w:szCs w:val="16"/>
                <w:color w:val="231F20"/>
              </w:rPr>
              <w:t>2,215</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Pr>
          <w:p>
            <w:pPr>
              <w:jc w:val="right"/>
              <w:ind w:right="80"/>
              <w:spacing w:after="0"/>
              <w:rPr>
                <w:sz w:val="20"/>
                <w:szCs w:val="20"/>
                <w:color w:val="auto"/>
              </w:rPr>
            </w:pPr>
            <w:r>
              <w:rPr>
                <w:rFonts w:ascii="Calibri" w:cs="Calibri" w:eastAsia="Calibri" w:hAnsi="Calibri"/>
                <w:sz w:val="16"/>
                <w:szCs w:val="16"/>
                <w:color w:val="231F20"/>
              </w:rPr>
              <w:t>243,783</w:t>
            </w:r>
          </w:p>
        </w:tc>
      </w:tr>
      <w:tr>
        <w:trPr>
          <w:trHeight w:val="230"/>
        </w:trPr>
        <w:tc>
          <w:tcPr>
            <w:tcW w:w="4300" w:type="dxa"/>
            <w:vAlign w:val="bottom"/>
            <w:tcBorders>
              <w:bottom w:val="single" w:sz="8" w:color="231F20"/>
            </w:tcBorders>
            <w:shd w:val="clear" w:color="auto" w:fill="DCDDDE"/>
          </w:tcPr>
          <w:p>
            <w:pPr>
              <w:spacing w:after="0"/>
              <w:rPr>
                <w:sz w:val="19"/>
                <w:szCs w:val="19"/>
                <w:color w:val="auto"/>
              </w:rPr>
            </w:pPr>
          </w:p>
        </w:tc>
        <w:tc>
          <w:tcPr>
            <w:tcW w:w="1340" w:type="dxa"/>
            <w:vAlign w:val="bottom"/>
            <w:tcBorders>
              <w:bottom w:val="single" w:sz="8" w:color="231F20"/>
            </w:tcBorders>
          </w:tcPr>
          <w:p>
            <w:pPr>
              <w:jc w:val="right"/>
              <w:ind w:right="60"/>
              <w:spacing w:after="0" w:line="229" w:lineRule="exact"/>
              <w:rPr>
                <w:sz w:val="20"/>
                <w:szCs w:val="20"/>
                <w:color w:val="auto"/>
              </w:rPr>
            </w:pPr>
            <w:r>
              <w:rPr>
                <w:rFonts w:ascii="Calibri" w:cs="Calibri" w:eastAsia="Calibri" w:hAnsi="Calibri"/>
                <w:sz w:val="16"/>
                <w:szCs w:val="16"/>
                <w:color w:val="231F20"/>
              </w:rPr>
              <w:t xml:space="preserve">2/7/2023 </w:t>
            </w:r>
            <w:r>
              <w:rPr>
                <w:rFonts w:ascii="Calibri" w:cs="Calibri" w:eastAsia="Calibri" w:hAnsi="Calibri"/>
                <w:sz w:val="20"/>
                <w:szCs w:val="20"/>
                <w:color w:val="231F20"/>
                <w:vertAlign w:val="superscript"/>
              </w:rPr>
              <w:t>(2)</w:t>
            </w:r>
          </w:p>
        </w:tc>
        <w:tc>
          <w:tcPr>
            <w:tcW w:w="1800" w:type="dxa"/>
            <w:vAlign w:val="bottom"/>
            <w:tcBorders>
              <w:bottom w:val="single" w:sz="8" w:color="231F20"/>
            </w:tcBorders>
          </w:tcPr>
          <w:p>
            <w:pPr>
              <w:jc w:val="right"/>
              <w:ind w:right="540"/>
              <w:spacing w:after="0"/>
              <w:rPr>
                <w:sz w:val="20"/>
                <w:szCs w:val="20"/>
                <w:color w:val="auto"/>
              </w:rPr>
            </w:pPr>
            <w:r>
              <w:rPr>
                <w:rFonts w:ascii="Calibri" w:cs="Calibri" w:eastAsia="Calibri" w:hAnsi="Calibri"/>
                <w:sz w:val="16"/>
                <w:szCs w:val="16"/>
                <w:color w:val="231F20"/>
              </w:rPr>
              <w:t>8,995</w:t>
            </w:r>
          </w:p>
        </w:tc>
        <w:tc>
          <w:tcPr>
            <w:tcW w:w="1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Borders>
              <w:bottom w:val="single" w:sz="8" w:color="231F20"/>
            </w:tcBorders>
          </w:tcPr>
          <w:p>
            <w:pPr>
              <w:jc w:val="right"/>
              <w:ind w:right="80"/>
              <w:spacing w:after="0"/>
              <w:rPr>
                <w:sz w:val="20"/>
                <w:szCs w:val="20"/>
                <w:color w:val="auto"/>
              </w:rPr>
            </w:pPr>
            <w:r>
              <w:rPr>
                <w:rFonts w:ascii="Calibri" w:cs="Calibri" w:eastAsia="Calibri" w:hAnsi="Calibri"/>
                <w:sz w:val="16"/>
                <w:szCs w:val="16"/>
                <w:color w:val="231F20"/>
              </w:rPr>
              <w:t>989,990</w:t>
            </w:r>
          </w:p>
        </w:tc>
      </w:tr>
      <w:tr>
        <w:trPr>
          <w:trHeight w:val="260"/>
        </w:trPr>
        <w:tc>
          <w:tcPr>
            <w:tcW w:w="4300" w:type="dxa"/>
            <w:vAlign w:val="bottom"/>
            <w:tcBorders>
              <w:bottom w:val="single" w:sz="8" w:color="231F20"/>
            </w:tcBorders>
            <w:shd w:val="clear" w:color="auto" w:fill="DCDDDE"/>
          </w:tcPr>
          <w:p>
            <w:pPr>
              <w:spacing w:after="0"/>
              <w:rPr>
                <w:sz w:val="20"/>
                <w:szCs w:val="20"/>
                <w:color w:val="auto"/>
              </w:rPr>
            </w:pPr>
            <w:r>
              <w:rPr>
                <w:rFonts w:ascii="Calibri" w:cs="Calibri" w:eastAsia="Calibri" w:hAnsi="Calibri"/>
                <w:sz w:val="16"/>
                <w:szCs w:val="16"/>
                <w:color w:val="231F20"/>
              </w:rPr>
              <w:t>Daniel Guglielmone</w:t>
            </w:r>
          </w:p>
        </w:tc>
        <w:tc>
          <w:tcPr>
            <w:tcW w:w="1340" w:type="dxa"/>
            <w:vAlign w:val="bottom"/>
            <w:tcBorders>
              <w:bottom w:val="single" w:sz="8" w:color="231F20"/>
            </w:tcBorders>
          </w:tcPr>
          <w:p>
            <w:pPr>
              <w:jc w:val="right"/>
              <w:ind w:right="60"/>
              <w:spacing w:after="0"/>
              <w:rPr>
                <w:sz w:val="20"/>
                <w:szCs w:val="20"/>
                <w:color w:val="auto"/>
              </w:rPr>
            </w:pPr>
            <w:r>
              <w:rPr>
                <w:rFonts w:ascii="Calibri" w:cs="Calibri" w:eastAsia="Calibri" w:hAnsi="Calibri"/>
                <w:sz w:val="16"/>
                <w:szCs w:val="16"/>
                <w:color w:val="231F20"/>
              </w:rPr>
              <w:t xml:space="preserve">2/7/2023 </w:t>
            </w:r>
            <w:r>
              <w:rPr>
                <w:rFonts w:ascii="Calibri" w:cs="Calibri" w:eastAsia="Calibri" w:hAnsi="Calibri"/>
                <w:sz w:val="20"/>
                <w:szCs w:val="20"/>
                <w:color w:val="231F20"/>
                <w:vertAlign w:val="superscript"/>
              </w:rPr>
              <w:t>(2)</w:t>
            </w:r>
          </w:p>
        </w:tc>
        <w:tc>
          <w:tcPr>
            <w:tcW w:w="1800" w:type="dxa"/>
            <w:vAlign w:val="bottom"/>
            <w:tcBorders>
              <w:bottom w:val="single" w:sz="8" w:color="231F20"/>
            </w:tcBorders>
          </w:tcPr>
          <w:p>
            <w:pPr>
              <w:jc w:val="right"/>
              <w:ind w:right="540"/>
              <w:spacing w:after="0"/>
              <w:rPr>
                <w:sz w:val="20"/>
                <w:szCs w:val="20"/>
                <w:color w:val="auto"/>
              </w:rPr>
            </w:pPr>
            <w:r>
              <w:rPr>
                <w:rFonts w:ascii="Calibri" w:cs="Calibri" w:eastAsia="Calibri" w:hAnsi="Calibri"/>
                <w:sz w:val="16"/>
                <w:szCs w:val="16"/>
                <w:color w:val="231F20"/>
              </w:rPr>
              <w:t>8,995</w:t>
            </w:r>
          </w:p>
        </w:tc>
        <w:tc>
          <w:tcPr>
            <w:tcW w:w="1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Borders>
              <w:bottom w:val="single" w:sz="8" w:color="231F20"/>
            </w:tcBorders>
          </w:tcPr>
          <w:p>
            <w:pPr>
              <w:jc w:val="right"/>
              <w:ind w:right="80"/>
              <w:spacing w:after="0"/>
              <w:rPr>
                <w:sz w:val="20"/>
                <w:szCs w:val="20"/>
                <w:color w:val="auto"/>
              </w:rPr>
            </w:pPr>
            <w:r>
              <w:rPr>
                <w:rFonts w:ascii="Calibri" w:cs="Calibri" w:eastAsia="Calibri" w:hAnsi="Calibri"/>
                <w:sz w:val="16"/>
                <w:szCs w:val="16"/>
                <w:color w:val="231F20"/>
              </w:rPr>
              <w:t>989,990</w:t>
            </w:r>
          </w:p>
        </w:tc>
      </w:tr>
      <w:tr>
        <w:trPr>
          <w:trHeight w:val="310"/>
        </w:trPr>
        <w:tc>
          <w:tcPr>
            <w:tcW w:w="4300" w:type="dxa"/>
            <w:vAlign w:val="bottom"/>
            <w:shd w:val="clear" w:color="auto" w:fill="DCDDDE"/>
          </w:tcPr>
          <w:p>
            <w:pPr>
              <w:spacing w:after="0"/>
              <w:rPr>
                <w:sz w:val="20"/>
                <w:szCs w:val="20"/>
                <w:color w:val="auto"/>
              </w:rPr>
            </w:pPr>
            <w:r>
              <w:rPr>
                <w:rFonts w:ascii="Calibri" w:cs="Calibri" w:eastAsia="Calibri" w:hAnsi="Calibri"/>
                <w:sz w:val="16"/>
                <w:szCs w:val="16"/>
                <w:color w:val="231F20"/>
              </w:rPr>
              <w:t>Dawn M. Becker</w:t>
            </w:r>
          </w:p>
        </w:tc>
        <w:tc>
          <w:tcPr>
            <w:tcW w:w="1340" w:type="dxa"/>
            <w:vAlign w:val="bottom"/>
          </w:tcPr>
          <w:p>
            <w:pPr>
              <w:jc w:val="right"/>
              <w:ind w:right="60"/>
              <w:spacing w:after="0"/>
              <w:rPr>
                <w:sz w:val="20"/>
                <w:szCs w:val="20"/>
                <w:color w:val="auto"/>
              </w:rPr>
            </w:pPr>
            <w:r>
              <w:rPr>
                <w:rFonts w:ascii="Calibri" w:cs="Calibri" w:eastAsia="Calibri" w:hAnsi="Calibri"/>
                <w:sz w:val="16"/>
                <w:szCs w:val="16"/>
                <w:color w:val="231F20"/>
              </w:rPr>
              <w:t xml:space="preserve">2/7/2023 </w:t>
            </w:r>
            <w:r>
              <w:rPr>
                <w:rFonts w:ascii="Calibri" w:cs="Calibri" w:eastAsia="Calibri" w:hAnsi="Calibri"/>
                <w:sz w:val="20"/>
                <w:szCs w:val="20"/>
                <w:color w:val="231F20"/>
                <w:vertAlign w:val="superscript"/>
              </w:rPr>
              <w:t>(1)</w:t>
            </w:r>
          </w:p>
        </w:tc>
        <w:tc>
          <w:tcPr>
            <w:tcW w:w="1800" w:type="dxa"/>
            <w:vAlign w:val="bottom"/>
          </w:tcPr>
          <w:p>
            <w:pPr>
              <w:jc w:val="right"/>
              <w:ind w:right="540"/>
              <w:spacing w:after="0"/>
              <w:rPr>
                <w:sz w:val="20"/>
                <w:szCs w:val="20"/>
                <w:color w:val="auto"/>
              </w:rPr>
            </w:pPr>
            <w:r>
              <w:rPr>
                <w:rFonts w:ascii="Calibri" w:cs="Calibri" w:eastAsia="Calibri" w:hAnsi="Calibri"/>
                <w:sz w:val="16"/>
                <w:szCs w:val="16"/>
                <w:color w:val="231F20"/>
              </w:rPr>
              <w:t>1,959</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Pr>
          <w:p>
            <w:pPr>
              <w:jc w:val="right"/>
              <w:ind w:right="80"/>
              <w:spacing w:after="0"/>
              <w:rPr>
                <w:sz w:val="20"/>
                <w:szCs w:val="20"/>
                <w:color w:val="auto"/>
              </w:rPr>
            </w:pPr>
            <w:r>
              <w:rPr>
                <w:rFonts w:ascii="Calibri" w:cs="Calibri" w:eastAsia="Calibri" w:hAnsi="Calibri"/>
                <w:sz w:val="16"/>
                <w:szCs w:val="16"/>
                <w:color w:val="231F20"/>
              </w:rPr>
              <w:t>215,608</w:t>
            </w:r>
          </w:p>
        </w:tc>
      </w:tr>
      <w:tr>
        <w:trPr>
          <w:trHeight w:val="230"/>
        </w:trPr>
        <w:tc>
          <w:tcPr>
            <w:tcW w:w="4300" w:type="dxa"/>
            <w:vAlign w:val="bottom"/>
            <w:tcBorders>
              <w:bottom w:val="single" w:sz="8" w:color="231F20"/>
            </w:tcBorders>
            <w:shd w:val="clear" w:color="auto" w:fill="DCDDDE"/>
          </w:tcPr>
          <w:p>
            <w:pPr>
              <w:spacing w:after="0"/>
              <w:rPr>
                <w:sz w:val="19"/>
                <w:szCs w:val="19"/>
                <w:color w:val="auto"/>
              </w:rPr>
            </w:pPr>
          </w:p>
        </w:tc>
        <w:tc>
          <w:tcPr>
            <w:tcW w:w="1340" w:type="dxa"/>
            <w:vAlign w:val="bottom"/>
            <w:tcBorders>
              <w:bottom w:val="single" w:sz="8" w:color="231F20"/>
            </w:tcBorders>
          </w:tcPr>
          <w:p>
            <w:pPr>
              <w:jc w:val="right"/>
              <w:ind w:right="60"/>
              <w:spacing w:after="0" w:line="229" w:lineRule="exact"/>
              <w:rPr>
                <w:sz w:val="20"/>
                <w:szCs w:val="20"/>
                <w:color w:val="auto"/>
              </w:rPr>
            </w:pPr>
            <w:r>
              <w:rPr>
                <w:rFonts w:ascii="Calibri" w:cs="Calibri" w:eastAsia="Calibri" w:hAnsi="Calibri"/>
                <w:sz w:val="16"/>
                <w:szCs w:val="16"/>
                <w:color w:val="231F20"/>
              </w:rPr>
              <w:t xml:space="preserve">2/7/2023 </w:t>
            </w:r>
            <w:r>
              <w:rPr>
                <w:rFonts w:ascii="Calibri" w:cs="Calibri" w:eastAsia="Calibri" w:hAnsi="Calibri"/>
                <w:sz w:val="20"/>
                <w:szCs w:val="20"/>
                <w:color w:val="231F20"/>
                <w:vertAlign w:val="superscript"/>
              </w:rPr>
              <w:t>(2)</w:t>
            </w:r>
          </w:p>
        </w:tc>
        <w:tc>
          <w:tcPr>
            <w:tcW w:w="1800" w:type="dxa"/>
            <w:vAlign w:val="bottom"/>
            <w:tcBorders>
              <w:bottom w:val="single" w:sz="8" w:color="231F20"/>
            </w:tcBorders>
          </w:tcPr>
          <w:p>
            <w:pPr>
              <w:jc w:val="right"/>
              <w:ind w:right="540"/>
              <w:spacing w:after="0"/>
              <w:rPr>
                <w:sz w:val="20"/>
                <w:szCs w:val="20"/>
                <w:color w:val="auto"/>
              </w:rPr>
            </w:pPr>
            <w:r>
              <w:rPr>
                <w:rFonts w:ascii="Calibri" w:cs="Calibri" w:eastAsia="Calibri" w:hAnsi="Calibri"/>
                <w:sz w:val="16"/>
                <w:szCs w:val="16"/>
                <w:color w:val="231F20"/>
              </w:rPr>
              <w:t>8,995</w:t>
            </w:r>
          </w:p>
        </w:tc>
        <w:tc>
          <w:tcPr>
            <w:tcW w:w="1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Borders>
              <w:bottom w:val="single" w:sz="8" w:color="231F20"/>
            </w:tcBorders>
          </w:tcPr>
          <w:p>
            <w:pPr>
              <w:jc w:val="right"/>
              <w:ind w:right="80"/>
              <w:spacing w:after="0"/>
              <w:rPr>
                <w:sz w:val="20"/>
                <w:szCs w:val="20"/>
                <w:color w:val="auto"/>
              </w:rPr>
            </w:pPr>
            <w:r>
              <w:rPr>
                <w:rFonts w:ascii="Calibri" w:cs="Calibri" w:eastAsia="Calibri" w:hAnsi="Calibri"/>
                <w:sz w:val="16"/>
                <w:szCs w:val="16"/>
                <w:color w:val="231F20"/>
              </w:rPr>
              <w:t>989,990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0960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48pt,7.75pt" o:allowincell="f" strokecolor="#231F20" strokeweight="0.5pt"/>
            </w:pict>
          </mc:Fallback>
        </mc:AlternateContent>
      </w:r>
    </w:p>
    <w:p>
      <w:pPr>
        <w:spacing w:after="0" w:line="195" w:lineRule="exact"/>
        <w:rPr>
          <w:sz w:val="20"/>
          <w:szCs w:val="20"/>
          <w:color w:val="auto"/>
        </w:rPr>
      </w:pPr>
    </w:p>
    <w:p>
      <w:pPr>
        <w:ind w:left="360" w:hanging="360"/>
        <w:spacing w:after="0" w:line="214" w:lineRule="auto"/>
        <w:tabs>
          <w:tab w:leader="none" w:pos="360" w:val="left"/>
        </w:tabs>
        <w:numPr>
          <w:ilvl w:val="0"/>
          <w:numId w:val="132"/>
        </w:numPr>
        <w:rPr>
          <w:rFonts w:ascii="Arial" w:cs="Arial" w:eastAsia="Arial" w:hAnsi="Arial"/>
          <w:sz w:val="23"/>
          <w:szCs w:val="23"/>
          <w:color w:val="231F20"/>
          <w:vertAlign w:val="superscript"/>
        </w:rPr>
      </w:pPr>
      <w:r>
        <w:rPr>
          <w:rFonts w:ascii="Arial" w:cs="Arial" w:eastAsia="Arial" w:hAnsi="Arial"/>
          <w:sz w:val="18"/>
          <w:szCs w:val="18"/>
          <w:color w:val="231F20"/>
        </w:rPr>
        <w:t>Issued under our annual bonus plan for the 1-year performance period ending December 31, 2022. These shares vest equally over 3 years.</w:t>
      </w:r>
    </w:p>
    <w:p>
      <w:pPr>
        <w:spacing w:after="0" w:line="19" w:lineRule="exact"/>
        <w:rPr>
          <w:rFonts w:ascii="Arial" w:cs="Arial" w:eastAsia="Arial" w:hAnsi="Arial"/>
          <w:sz w:val="23"/>
          <w:szCs w:val="23"/>
          <w:color w:val="231F20"/>
          <w:vertAlign w:val="superscript"/>
        </w:rPr>
      </w:pPr>
    </w:p>
    <w:p>
      <w:pPr>
        <w:ind w:left="360" w:hanging="360"/>
        <w:spacing w:after="0" w:line="214" w:lineRule="auto"/>
        <w:tabs>
          <w:tab w:leader="none" w:pos="360" w:val="left"/>
        </w:tabs>
        <w:numPr>
          <w:ilvl w:val="0"/>
          <w:numId w:val="132"/>
        </w:numPr>
        <w:rPr>
          <w:rFonts w:ascii="Arial" w:cs="Arial" w:eastAsia="Arial" w:hAnsi="Arial"/>
          <w:sz w:val="23"/>
          <w:szCs w:val="23"/>
          <w:color w:val="231F20"/>
          <w:vertAlign w:val="superscript"/>
        </w:rPr>
      </w:pPr>
      <w:r>
        <w:rPr>
          <w:rFonts w:ascii="Arial" w:cs="Arial" w:eastAsia="Arial" w:hAnsi="Arial"/>
          <w:sz w:val="18"/>
          <w:szCs w:val="18"/>
          <w:color w:val="231F20"/>
        </w:rPr>
        <w:t>Issued under our long-term incentive program for the 3-year performance period ending December 31, 2022. These shares vest equally over 3 years.</w:t>
      </w:r>
    </w:p>
    <w:p>
      <w:pPr>
        <w:spacing w:after="0" w:line="19" w:lineRule="exact"/>
        <w:rPr>
          <w:rFonts w:ascii="Arial" w:cs="Arial" w:eastAsia="Arial" w:hAnsi="Arial"/>
          <w:sz w:val="23"/>
          <w:szCs w:val="23"/>
          <w:color w:val="231F20"/>
          <w:vertAlign w:val="superscript"/>
        </w:rPr>
      </w:pPr>
    </w:p>
    <w:p>
      <w:pPr>
        <w:ind w:left="360" w:hanging="360"/>
        <w:spacing w:after="0" w:line="214" w:lineRule="auto"/>
        <w:tabs>
          <w:tab w:leader="none" w:pos="360" w:val="left"/>
        </w:tabs>
        <w:numPr>
          <w:ilvl w:val="0"/>
          <w:numId w:val="132"/>
        </w:numPr>
        <w:rPr>
          <w:rFonts w:ascii="Arial" w:cs="Arial" w:eastAsia="Arial" w:hAnsi="Arial"/>
          <w:sz w:val="23"/>
          <w:szCs w:val="23"/>
          <w:color w:val="231F20"/>
          <w:vertAlign w:val="superscript"/>
        </w:rPr>
      </w:pPr>
      <w:r>
        <w:rPr>
          <w:rFonts w:ascii="Arial" w:cs="Arial" w:eastAsia="Arial" w:hAnsi="Arial"/>
          <w:sz w:val="18"/>
          <w:szCs w:val="18"/>
          <w:color w:val="231F20"/>
        </w:rPr>
        <w:t>Dividends are paid on these shares issued at the same rate and time as paid to all other holders of our shares as declared by our Board from time to time.</w:t>
      </w:r>
    </w:p>
    <w:p>
      <w:pPr>
        <w:ind w:left="360" w:hanging="360"/>
        <w:spacing w:after="0" w:line="199" w:lineRule="auto"/>
        <w:tabs>
          <w:tab w:leader="none" w:pos="360" w:val="left"/>
        </w:tabs>
        <w:numPr>
          <w:ilvl w:val="0"/>
          <w:numId w:val="132"/>
        </w:numPr>
        <w:rPr>
          <w:rFonts w:ascii="Arial" w:cs="Arial" w:eastAsia="Arial" w:hAnsi="Arial"/>
          <w:sz w:val="23"/>
          <w:szCs w:val="23"/>
          <w:color w:val="231F20"/>
          <w:vertAlign w:val="superscript"/>
        </w:rPr>
      </w:pPr>
      <w:r>
        <w:rPr>
          <w:rFonts w:ascii="Arial" w:cs="Arial" w:eastAsia="Arial" w:hAnsi="Arial"/>
          <w:sz w:val="18"/>
          <w:szCs w:val="18"/>
          <w:color w:val="231F20"/>
        </w:rPr>
        <w:t>Represents the grant date fair value of share awards as computed in accordance with FASB ASC Topic 718.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4651375</wp:posOffset>
                </wp:positionV>
                <wp:extent cx="6400800" cy="17780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32" o:spid="_x0000_s1457" style="position:absolute;margin-left:0pt;margin-top:366.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4650740</wp:posOffset>
                </wp:positionV>
                <wp:extent cx="0" cy="17780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66.2pt" to="0.5pt,380.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4657090</wp:posOffset>
                </wp:positionV>
                <wp:extent cx="6400800"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6.7pt" to="504pt,366.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4650740</wp:posOffset>
                </wp:positionV>
                <wp:extent cx="0" cy="17780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66.2pt" to="503.5pt,380.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4822190</wp:posOffset>
                </wp:positionV>
                <wp:extent cx="6400800"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9.7pt" to="504pt,379.7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32</w:t>
      </w:r>
    </w:p>
    <w:p>
      <w:pPr>
        <w:sectPr>
          <w:pgSz w:w="12240" w:h="15840" w:orient="portrait"/>
          <w:cols w:equalWidth="0" w:num="1">
            <w:col w:w="10080"/>
          </w:cols>
          <w:pgMar w:left="1080" w:top="1440" w:right="1080" w:bottom="944" w:gutter="0" w:footer="0" w:header="0"/>
          <w:type w:val="continuous"/>
        </w:sectPr>
      </w:pPr>
    </w:p>
    <w:bookmarkStart w:id="152" w:name="page153"/>
    <w:bookmarkEnd w:id="152"/>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OUTSTANDING EQUITY AWARDS AT FISCAL YEAR END TABLE</w:t>
      </w:r>
    </w:p>
    <w:p>
      <w:pPr>
        <w:spacing w:after="0" w:line="257"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The following table sets forth information about outstanding equity awards held by our NEOs as of December 31,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0" w:type="dxa"/>
            <w:vAlign w:val="bottom"/>
            <w:shd w:val="clear" w:color="auto" w:fill="EF3E2A"/>
          </w:tcPr>
          <w:p>
            <w:pPr>
              <w:spacing w:after="0"/>
              <w:rPr>
                <w:sz w:val="24"/>
                <w:szCs w:val="24"/>
                <w:color w:val="auto"/>
              </w:rPr>
            </w:pPr>
          </w:p>
        </w:tc>
        <w:tc>
          <w:tcPr>
            <w:tcW w:w="1940" w:type="dxa"/>
            <w:vAlign w:val="bottom"/>
            <w:shd w:val="clear" w:color="auto" w:fill="EF3E2A"/>
          </w:tcPr>
          <w:p>
            <w:pPr>
              <w:spacing w:after="0"/>
              <w:rPr>
                <w:sz w:val="24"/>
                <w:szCs w:val="24"/>
                <w:color w:val="auto"/>
              </w:rPr>
            </w:pPr>
          </w:p>
        </w:tc>
        <w:tc>
          <w:tcPr>
            <w:tcW w:w="1220" w:type="dxa"/>
            <w:vAlign w:val="bottom"/>
            <w:shd w:val="clear" w:color="auto" w:fill="EF3E2A"/>
          </w:tcPr>
          <w:p>
            <w:pPr>
              <w:spacing w:after="0"/>
              <w:rPr>
                <w:sz w:val="24"/>
                <w:szCs w:val="24"/>
                <w:color w:val="auto"/>
              </w:rPr>
            </w:pPr>
          </w:p>
        </w:tc>
        <w:tc>
          <w:tcPr>
            <w:tcW w:w="200" w:type="dxa"/>
            <w:vAlign w:val="bottom"/>
            <w:shd w:val="clear" w:color="auto" w:fill="EF3E2A"/>
          </w:tcPr>
          <w:p>
            <w:pPr>
              <w:spacing w:after="0"/>
              <w:rPr>
                <w:sz w:val="24"/>
                <w:szCs w:val="24"/>
                <w:color w:val="auto"/>
              </w:rPr>
            </w:pPr>
          </w:p>
        </w:tc>
        <w:tc>
          <w:tcPr>
            <w:tcW w:w="180" w:type="dxa"/>
            <w:vAlign w:val="bottom"/>
            <w:shd w:val="clear" w:color="auto" w:fill="EF3E2A"/>
          </w:tcPr>
          <w:p>
            <w:pPr>
              <w:spacing w:after="0"/>
              <w:rPr>
                <w:sz w:val="24"/>
                <w:szCs w:val="24"/>
                <w:color w:val="auto"/>
              </w:rPr>
            </w:pPr>
          </w:p>
        </w:tc>
        <w:tc>
          <w:tcPr>
            <w:tcW w:w="1700" w:type="dxa"/>
            <w:vAlign w:val="bottom"/>
            <w:shd w:val="clear" w:color="auto" w:fill="EF3E2A"/>
          </w:tcPr>
          <w:p>
            <w:pPr>
              <w:jc w:val="right"/>
              <w:ind w:right="680"/>
              <w:spacing w:after="0"/>
              <w:rPr>
                <w:sz w:val="20"/>
                <w:szCs w:val="20"/>
                <w:color w:val="auto"/>
              </w:rPr>
            </w:pPr>
            <w:r>
              <w:rPr>
                <w:rFonts w:ascii="Calibri" w:cs="Calibri" w:eastAsia="Calibri" w:hAnsi="Calibri"/>
                <w:sz w:val="16"/>
                <w:szCs w:val="16"/>
                <w:b w:val="1"/>
                <w:bCs w:val="1"/>
                <w:color w:val="E8E7E5"/>
              </w:rPr>
              <w:t>Stock Awards</w:t>
            </w:r>
          </w:p>
        </w:tc>
        <w:tc>
          <w:tcPr>
            <w:tcW w:w="2040" w:type="dxa"/>
            <w:vAlign w:val="bottom"/>
            <w:shd w:val="clear" w:color="auto" w:fill="EF3E2A"/>
          </w:tcPr>
          <w:p>
            <w:pPr>
              <w:spacing w:after="0"/>
              <w:rPr>
                <w:sz w:val="24"/>
                <w:szCs w:val="24"/>
                <w:color w:val="auto"/>
              </w:rPr>
            </w:pPr>
          </w:p>
        </w:tc>
        <w:tc>
          <w:tcPr>
            <w:tcW w:w="160" w:type="dxa"/>
            <w:vAlign w:val="bottom"/>
            <w:shd w:val="clear" w:color="auto" w:fill="EF3E2A"/>
          </w:tcPr>
          <w:p>
            <w:pPr>
              <w:spacing w:after="0"/>
              <w:rPr>
                <w:sz w:val="24"/>
                <w:szCs w:val="24"/>
                <w:color w:val="auto"/>
              </w:rPr>
            </w:pPr>
          </w:p>
        </w:tc>
        <w:tc>
          <w:tcPr>
            <w:tcW w:w="1680" w:type="dxa"/>
            <w:vAlign w:val="bottom"/>
            <w:shd w:val="clear" w:color="auto" w:fill="EF3E2A"/>
          </w:tcPr>
          <w:p>
            <w:pPr>
              <w:spacing w:after="0"/>
              <w:rPr>
                <w:sz w:val="24"/>
                <w:szCs w:val="24"/>
                <w:color w:val="auto"/>
              </w:rPr>
            </w:pPr>
          </w:p>
        </w:tc>
      </w:tr>
      <w:tr>
        <w:trPr>
          <w:trHeight w:val="340"/>
        </w:trPr>
        <w:tc>
          <w:tcPr>
            <w:tcW w:w="960" w:type="dxa"/>
            <w:vAlign w:val="bottom"/>
            <w:shd w:val="clear" w:color="auto" w:fill="EF3E2A"/>
          </w:tcPr>
          <w:p>
            <w:pPr>
              <w:spacing w:after="0"/>
              <w:rPr>
                <w:sz w:val="24"/>
                <w:szCs w:val="24"/>
                <w:color w:val="auto"/>
              </w:rPr>
            </w:pPr>
          </w:p>
        </w:tc>
        <w:tc>
          <w:tcPr>
            <w:tcW w:w="1940" w:type="dxa"/>
            <w:vAlign w:val="bottom"/>
            <w:shd w:val="clear" w:color="auto" w:fill="EF3E2A"/>
          </w:tcPr>
          <w:p>
            <w:pPr>
              <w:spacing w:after="0"/>
              <w:rPr>
                <w:sz w:val="24"/>
                <w:szCs w:val="24"/>
                <w:color w:val="auto"/>
              </w:rPr>
            </w:pPr>
          </w:p>
        </w:tc>
        <w:tc>
          <w:tcPr>
            <w:tcW w:w="1220" w:type="dxa"/>
            <w:vAlign w:val="bottom"/>
            <w:shd w:val="clear" w:color="auto" w:fill="EF3E2A"/>
          </w:tcPr>
          <w:p>
            <w:pPr>
              <w:spacing w:after="0"/>
              <w:rPr>
                <w:sz w:val="24"/>
                <w:szCs w:val="24"/>
                <w:color w:val="auto"/>
              </w:rPr>
            </w:pPr>
          </w:p>
        </w:tc>
        <w:tc>
          <w:tcPr>
            <w:tcW w:w="200" w:type="dxa"/>
            <w:vAlign w:val="bottom"/>
            <w:shd w:val="clear" w:color="auto" w:fill="EF3E2A"/>
          </w:tcPr>
          <w:p>
            <w:pPr>
              <w:spacing w:after="0"/>
              <w:rPr>
                <w:sz w:val="24"/>
                <w:szCs w:val="24"/>
                <w:color w:val="auto"/>
              </w:rPr>
            </w:pPr>
          </w:p>
        </w:tc>
        <w:tc>
          <w:tcPr>
            <w:tcW w:w="180" w:type="dxa"/>
            <w:vAlign w:val="bottom"/>
            <w:shd w:val="clear" w:color="auto" w:fill="EF3E2A"/>
          </w:tcPr>
          <w:p>
            <w:pPr>
              <w:spacing w:after="0"/>
              <w:rPr>
                <w:sz w:val="24"/>
                <w:szCs w:val="24"/>
                <w:color w:val="auto"/>
              </w:rPr>
            </w:pPr>
          </w:p>
        </w:tc>
        <w:tc>
          <w:tcPr>
            <w:tcW w:w="1700" w:type="dxa"/>
            <w:vAlign w:val="bottom"/>
            <w:shd w:val="clear" w:color="auto" w:fill="EF3E2A"/>
          </w:tcPr>
          <w:p>
            <w:pPr>
              <w:spacing w:after="0"/>
              <w:rPr>
                <w:sz w:val="24"/>
                <w:szCs w:val="24"/>
                <w:color w:val="auto"/>
              </w:rPr>
            </w:pPr>
          </w:p>
        </w:tc>
        <w:tc>
          <w:tcPr>
            <w:tcW w:w="2040" w:type="dxa"/>
            <w:vAlign w:val="bottom"/>
            <w:shd w:val="clear" w:color="auto" w:fill="EF3E2A"/>
          </w:tcPr>
          <w:p>
            <w:pPr>
              <w:spacing w:after="0"/>
              <w:rPr>
                <w:sz w:val="24"/>
                <w:szCs w:val="24"/>
                <w:color w:val="auto"/>
              </w:rPr>
            </w:pPr>
          </w:p>
        </w:tc>
        <w:tc>
          <w:tcPr>
            <w:tcW w:w="160" w:type="dxa"/>
            <w:vAlign w:val="bottom"/>
            <w:shd w:val="clear" w:color="auto" w:fill="EF3E2A"/>
          </w:tcPr>
          <w:p>
            <w:pPr>
              <w:spacing w:after="0"/>
              <w:rPr>
                <w:sz w:val="24"/>
                <w:szCs w:val="24"/>
                <w:color w:val="auto"/>
              </w:rPr>
            </w:pPr>
          </w:p>
        </w:tc>
        <w:tc>
          <w:tcPr>
            <w:tcW w:w="1680" w:type="dxa"/>
            <w:vAlign w:val="bottom"/>
            <w:shd w:val="clear" w:color="auto" w:fill="EF3E2A"/>
          </w:tcPr>
          <w:p>
            <w:pPr>
              <w:jc w:val="center"/>
              <w:ind w:right="120"/>
              <w:spacing w:after="0"/>
              <w:rPr>
                <w:sz w:val="20"/>
                <w:szCs w:val="20"/>
                <w:color w:val="auto"/>
              </w:rPr>
            </w:pPr>
            <w:r>
              <w:rPr>
                <w:rFonts w:ascii="Calibri" w:cs="Calibri" w:eastAsia="Calibri" w:hAnsi="Calibri"/>
                <w:sz w:val="16"/>
                <w:szCs w:val="16"/>
                <w:b w:val="1"/>
                <w:bCs w:val="1"/>
                <w:color w:val="E8E7E5"/>
              </w:rPr>
              <w:t>Equity incentive plan</w:t>
            </w:r>
          </w:p>
        </w:tc>
      </w:tr>
      <w:tr>
        <w:trPr>
          <w:trHeight w:val="200"/>
        </w:trPr>
        <w:tc>
          <w:tcPr>
            <w:tcW w:w="960" w:type="dxa"/>
            <w:vAlign w:val="bottom"/>
            <w:shd w:val="clear" w:color="auto" w:fill="EF3E2A"/>
          </w:tcPr>
          <w:p>
            <w:pPr>
              <w:spacing w:after="0"/>
              <w:rPr>
                <w:sz w:val="17"/>
                <w:szCs w:val="17"/>
                <w:color w:val="auto"/>
              </w:rPr>
            </w:pPr>
          </w:p>
        </w:tc>
        <w:tc>
          <w:tcPr>
            <w:tcW w:w="1940" w:type="dxa"/>
            <w:vAlign w:val="bottom"/>
            <w:shd w:val="clear" w:color="auto" w:fill="EF3E2A"/>
          </w:tcPr>
          <w:p>
            <w:pPr>
              <w:spacing w:after="0"/>
              <w:rPr>
                <w:sz w:val="17"/>
                <w:szCs w:val="17"/>
                <w:color w:val="auto"/>
              </w:rPr>
            </w:pPr>
          </w:p>
        </w:tc>
        <w:tc>
          <w:tcPr>
            <w:tcW w:w="1220" w:type="dxa"/>
            <w:vAlign w:val="bottom"/>
            <w:shd w:val="clear" w:color="auto" w:fill="EF3E2A"/>
          </w:tcPr>
          <w:p>
            <w:pPr>
              <w:spacing w:after="0"/>
              <w:rPr>
                <w:sz w:val="17"/>
                <w:szCs w:val="17"/>
                <w:color w:val="auto"/>
              </w:rPr>
            </w:pPr>
          </w:p>
        </w:tc>
        <w:tc>
          <w:tcPr>
            <w:tcW w:w="200" w:type="dxa"/>
            <w:vAlign w:val="bottom"/>
            <w:shd w:val="clear" w:color="auto" w:fill="EF3E2A"/>
          </w:tcPr>
          <w:p>
            <w:pPr>
              <w:spacing w:after="0"/>
              <w:rPr>
                <w:sz w:val="17"/>
                <w:szCs w:val="17"/>
                <w:color w:val="auto"/>
              </w:rPr>
            </w:pPr>
          </w:p>
        </w:tc>
        <w:tc>
          <w:tcPr>
            <w:tcW w:w="180" w:type="dxa"/>
            <w:vAlign w:val="bottom"/>
            <w:shd w:val="clear" w:color="auto" w:fill="EF3E2A"/>
          </w:tcPr>
          <w:p>
            <w:pPr>
              <w:spacing w:after="0"/>
              <w:rPr>
                <w:sz w:val="17"/>
                <w:szCs w:val="17"/>
                <w:color w:val="auto"/>
              </w:rPr>
            </w:pPr>
          </w:p>
        </w:tc>
        <w:tc>
          <w:tcPr>
            <w:tcW w:w="1700" w:type="dxa"/>
            <w:vAlign w:val="bottom"/>
            <w:shd w:val="clear" w:color="auto" w:fill="EF3E2A"/>
          </w:tcPr>
          <w:p>
            <w:pPr>
              <w:spacing w:after="0"/>
              <w:rPr>
                <w:sz w:val="17"/>
                <w:szCs w:val="17"/>
                <w:color w:val="auto"/>
              </w:rPr>
            </w:pPr>
          </w:p>
        </w:tc>
        <w:tc>
          <w:tcPr>
            <w:tcW w:w="3880" w:type="dxa"/>
            <w:vAlign w:val="bottom"/>
            <w:gridSpan w:val="3"/>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Equity incentive plan awards: awards: market or payout</w:t>
            </w:r>
          </w:p>
        </w:tc>
      </w:tr>
      <w:tr>
        <w:trPr>
          <w:trHeight w:val="200"/>
        </w:trPr>
        <w:tc>
          <w:tcPr>
            <w:tcW w:w="960" w:type="dxa"/>
            <w:vAlign w:val="bottom"/>
            <w:shd w:val="clear" w:color="auto" w:fill="EF3E2A"/>
          </w:tcPr>
          <w:p>
            <w:pPr>
              <w:spacing w:after="0"/>
              <w:rPr>
                <w:sz w:val="17"/>
                <w:szCs w:val="17"/>
                <w:color w:val="auto"/>
              </w:rPr>
            </w:pPr>
          </w:p>
        </w:tc>
        <w:tc>
          <w:tcPr>
            <w:tcW w:w="1940" w:type="dxa"/>
            <w:vAlign w:val="bottom"/>
            <w:shd w:val="clear" w:color="auto" w:fill="EF3E2A"/>
          </w:tcPr>
          <w:p>
            <w:pPr>
              <w:spacing w:after="0"/>
              <w:rPr>
                <w:sz w:val="17"/>
                <w:szCs w:val="17"/>
                <w:color w:val="auto"/>
              </w:rPr>
            </w:pPr>
          </w:p>
        </w:tc>
        <w:tc>
          <w:tcPr>
            <w:tcW w:w="1420" w:type="dxa"/>
            <w:vAlign w:val="bottom"/>
            <w:gridSpan w:val="2"/>
            <w:shd w:val="clear" w:color="auto" w:fill="EF3E2A"/>
          </w:tcPr>
          <w:p>
            <w:pPr>
              <w:jc w:val="right"/>
              <w:ind w:right="8"/>
              <w:spacing w:after="0"/>
              <w:rPr>
                <w:sz w:val="20"/>
                <w:szCs w:val="20"/>
                <w:color w:val="auto"/>
              </w:rPr>
            </w:pPr>
            <w:r>
              <w:rPr>
                <w:rFonts w:ascii="Calibri" w:cs="Calibri" w:eastAsia="Calibri" w:hAnsi="Calibri"/>
                <w:sz w:val="16"/>
                <w:szCs w:val="16"/>
                <w:b w:val="1"/>
                <w:bCs w:val="1"/>
                <w:color w:val="E8E7E5"/>
                <w:w w:val="97"/>
              </w:rPr>
              <w:t>Number of Shares or</w:t>
            </w:r>
          </w:p>
        </w:tc>
        <w:tc>
          <w:tcPr>
            <w:tcW w:w="1880" w:type="dxa"/>
            <w:vAlign w:val="bottom"/>
            <w:gridSpan w:val="2"/>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Market Value of Shares or</w:t>
            </w:r>
          </w:p>
        </w:tc>
        <w:tc>
          <w:tcPr>
            <w:tcW w:w="204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E8E7E5"/>
                <w:w w:val="99"/>
              </w:rPr>
              <w:t>number of unearned shares,</w:t>
            </w:r>
          </w:p>
        </w:tc>
        <w:tc>
          <w:tcPr>
            <w:tcW w:w="184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E8E7E5"/>
              </w:rPr>
              <w:t>value of unearned shares,</w:t>
            </w:r>
          </w:p>
        </w:tc>
      </w:tr>
      <w:tr>
        <w:trPr>
          <w:trHeight w:val="200"/>
        </w:trPr>
        <w:tc>
          <w:tcPr>
            <w:tcW w:w="960" w:type="dxa"/>
            <w:vAlign w:val="bottom"/>
            <w:shd w:val="clear" w:color="auto" w:fill="EF3E2A"/>
          </w:tcPr>
          <w:p>
            <w:pPr>
              <w:spacing w:after="0"/>
              <w:rPr>
                <w:sz w:val="17"/>
                <w:szCs w:val="17"/>
                <w:color w:val="auto"/>
              </w:rPr>
            </w:pPr>
          </w:p>
        </w:tc>
        <w:tc>
          <w:tcPr>
            <w:tcW w:w="1940" w:type="dxa"/>
            <w:vAlign w:val="bottom"/>
            <w:shd w:val="clear" w:color="auto" w:fill="EF3E2A"/>
          </w:tcPr>
          <w:p>
            <w:pPr>
              <w:spacing w:after="0"/>
              <w:rPr>
                <w:sz w:val="17"/>
                <w:szCs w:val="17"/>
                <w:color w:val="auto"/>
              </w:rPr>
            </w:pPr>
          </w:p>
        </w:tc>
        <w:tc>
          <w:tcPr>
            <w:tcW w:w="1420" w:type="dxa"/>
            <w:vAlign w:val="bottom"/>
            <w:gridSpan w:val="2"/>
            <w:shd w:val="clear" w:color="auto" w:fill="EF3E2A"/>
          </w:tcPr>
          <w:p>
            <w:pPr>
              <w:jc w:val="right"/>
              <w:ind w:right="8"/>
              <w:spacing w:after="0"/>
              <w:rPr>
                <w:sz w:val="20"/>
                <w:szCs w:val="20"/>
                <w:color w:val="auto"/>
              </w:rPr>
            </w:pPr>
            <w:r>
              <w:rPr>
                <w:rFonts w:ascii="Calibri" w:cs="Calibri" w:eastAsia="Calibri" w:hAnsi="Calibri"/>
                <w:sz w:val="16"/>
                <w:szCs w:val="16"/>
                <w:b w:val="1"/>
                <w:bCs w:val="1"/>
                <w:color w:val="E8E7E5"/>
              </w:rPr>
              <w:t>Units of Stock That</w:t>
            </w:r>
          </w:p>
        </w:tc>
        <w:tc>
          <w:tcPr>
            <w:tcW w:w="180" w:type="dxa"/>
            <w:vAlign w:val="bottom"/>
            <w:shd w:val="clear" w:color="auto" w:fill="EF3E2A"/>
          </w:tcPr>
          <w:p>
            <w:pPr>
              <w:spacing w:after="0"/>
              <w:rPr>
                <w:sz w:val="17"/>
                <w:szCs w:val="17"/>
                <w:color w:val="auto"/>
              </w:rPr>
            </w:pPr>
          </w:p>
        </w:tc>
        <w:tc>
          <w:tcPr>
            <w:tcW w:w="1700" w:type="dxa"/>
            <w:vAlign w:val="bottom"/>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Units of Stock That Have</w:t>
            </w:r>
          </w:p>
        </w:tc>
        <w:tc>
          <w:tcPr>
            <w:tcW w:w="204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E8E7E5"/>
              </w:rPr>
              <w:t>units or other rights that</w:t>
            </w:r>
          </w:p>
        </w:tc>
        <w:tc>
          <w:tcPr>
            <w:tcW w:w="184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E8E7E5"/>
              </w:rPr>
              <w:t>units or other rights that</w:t>
            </w:r>
          </w:p>
        </w:tc>
      </w:tr>
      <w:tr>
        <w:trPr>
          <w:trHeight w:val="252"/>
        </w:trPr>
        <w:tc>
          <w:tcPr>
            <w:tcW w:w="2900" w:type="dxa"/>
            <w:vAlign w:val="bottom"/>
            <w:gridSpan w:val="2"/>
            <w:shd w:val="clear" w:color="auto" w:fill="EF3E2A"/>
          </w:tcPr>
          <w:p>
            <w:pPr>
              <w:spacing w:after="0"/>
              <w:rPr>
                <w:sz w:val="20"/>
                <w:szCs w:val="20"/>
                <w:color w:val="auto"/>
              </w:rPr>
            </w:pPr>
            <w:r>
              <w:rPr>
                <w:rFonts w:ascii="Calibri" w:cs="Calibri" w:eastAsia="Calibri" w:hAnsi="Calibri"/>
                <w:sz w:val="16"/>
                <w:szCs w:val="16"/>
                <w:b w:val="1"/>
                <w:bCs w:val="1"/>
                <w:color w:val="E8E7E5"/>
              </w:rPr>
              <w:t>Name</w:t>
            </w:r>
          </w:p>
        </w:tc>
        <w:tc>
          <w:tcPr>
            <w:tcW w:w="1420" w:type="dxa"/>
            <w:vAlign w:val="bottom"/>
            <w:gridSpan w:val="2"/>
            <w:shd w:val="clear" w:color="auto" w:fill="EF3E2A"/>
          </w:tcPr>
          <w:p>
            <w:pPr>
              <w:jc w:val="right"/>
              <w:ind w:right="8"/>
              <w:spacing w:after="0"/>
              <w:rPr>
                <w:sz w:val="20"/>
                <w:szCs w:val="20"/>
                <w:color w:val="auto"/>
              </w:rPr>
            </w:pPr>
            <w:r>
              <w:rPr>
                <w:rFonts w:ascii="Calibri" w:cs="Calibri" w:eastAsia="Calibri" w:hAnsi="Calibri"/>
                <w:sz w:val="16"/>
                <w:szCs w:val="16"/>
                <w:b w:val="1"/>
                <w:bCs w:val="1"/>
                <w:color w:val="E8E7E5"/>
              </w:rPr>
              <w:t>Have Not Vested</w:t>
            </w:r>
          </w:p>
        </w:tc>
        <w:tc>
          <w:tcPr>
            <w:tcW w:w="180" w:type="dxa"/>
            <w:vAlign w:val="bottom"/>
            <w:shd w:val="clear" w:color="auto" w:fill="EF3E2A"/>
          </w:tcPr>
          <w:p>
            <w:pPr>
              <w:spacing w:after="0"/>
              <w:rPr>
                <w:sz w:val="21"/>
                <w:szCs w:val="21"/>
                <w:color w:val="auto"/>
              </w:rPr>
            </w:pPr>
          </w:p>
        </w:tc>
        <w:tc>
          <w:tcPr>
            <w:tcW w:w="1700" w:type="dxa"/>
            <w:vAlign w:val="bottom"/>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Not Vested</w:t>
            </w:r>
            <w:r>
              <w:rPr>
                <w:rFonts w:ascii="Calibri" w:cs="Calibri" w:eastAsia="Calibri" w:hAnsi="Calibri"/>
                <w:sz w:val="20"/>
                <w:szCs w:val="20"/>
                <w:b w:val="1"/>
                <w:bCs w:val="1"/>
                <w:color w:val="E8E7E5"/>
                <w:vertAlign w:val="superscript"/>
              </w:rPr>
              <w:t>(6)</w:t>
            </w:r>
          </w:p>
        </w:tc>
        <w:tc>
          <w:tcPr>
            <w:tcW w:w="204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E8E7E5"/>
                <w:w w:val="99"/>
              </w:rPr>
              <w:t>have not vested</w:t>
            </w:r>
          </w:p>
        </w:tc>
        <w:tc>
          <w:tcPr>
            <w:tcW w:w="160" w:type="dxa"/>
            <w:vAlign w:val="bottom"/>
            <w:shd w:val="clear" w:color="auto" w:fill="EF3E2A"/>
          </w:tcPr>
          <w:p>
            <w:pPr>
              <w:spacing w:after="0"/>
              <w:rPr>
                <w:sz w:val="21"/>
                <w:szCs w:val="21"/>
                <w:color w:val="auto"/>
              </w:rPr>
            </w:pPr>
          </w:p>
        </w:tc>
        <w:tc>
          <w:tcPr>
            <w:tcW w:w="1680" w:type="dxa"/>
            <w:vAlign w:val="bottom"/>
            <w:shd w:val="clear" w:color="auto" w:fill="EF3E2A"/>
          </w:tcPr>
          <w:p>
            <w:pPr>
              <w:jc w:val="center"/>
              <w:ind w:right="140"/>
              <w:spacing w:after="0"/>
              <w:rPr>
                <w:sz w:val="20"/>
                <w:szCs w:val="20"/>
                <w:color w:val="auto"/>
              </w:rPr>
            </w:pPr>
            <w:r>
              <w:rPr>
                <w:rFonts w:ascii="Calibri" w:cs="Calibri" w:eastAsia="Calibri" w:hAnsi="Calibri"/>
                <w:sz w:val="16"/>
                <w:szCs w:val="16"/>
                <w:b w:val="1"/>
                <w:bCs w:val="1"/>
                <w:color w:val="E8E7E5"/>
                <w:w w:val="97"/>
              </w:rPr>
              <w:t>have not vested</w:t>
            </w:r>
            <w:r>
              <w:rPr>
                <w:rFonts w:ascii="Calibri" w:cs="Calibri" w:eastAsia="Calibri" w:hAnsi="Calibri"/>
                <w:sz w:val="20"/>
                <w:szCs w:val="20"/>
                <w:b w:val="1"/>
                <w:bCs w:val="1"/>
                <w:color w:val="E8E7E5"/>
                <w:w w:val="97"/>
                <w:vertAlign w:val="superscript"/>
              </w:rPr>
              <w:t>(6)</w:t>
            </w:r>
          </w:p>
        </w:tc>
      </w:tr>
      <w:tr>
        <w:trPr>
          <w:trHeight w:val="305"/>
        </w:trPr>
        <w:tc>
          <w:tcPr>
            <w:tcW w:w="2900" w:type="dxa"/>
            <w:vAlign w:val="bottom"/>
            <w:gridSpan w:val="2"/>
            <w:shd w:val="clear" w:color="auto" w:fill="DCDDDE"/>
          </w:tcPr>
          <w:p>
            <w:pPr>
              <w:spacing w:after="0"/>
              <w:rPr>
                <w:sz w:val="20"/>
                <w:szCs w:val="20"/>
                <w:color w:val="auto"/>
              </w:rPr>
            </w:pPr>
            <w:r>
              <w:rPr>
                <w:rFonts w:ascii="Calibri" w:cs="Calibri" w:eastAsia="Calibri" w:hAnsi="Calibri"/>
                <w:sz w:val="16"/>
                <w:szCs w:val="16"/>
                <w:color w:val="231F20"/>
              </w:rPr>
              <w:t>Donald C. Wood</w:t>
            </w:r>
          </w:p>
        </w:tc>
        <w:tc>
          <w:tcPr>
            <w:tcW w:w="1420" w:type="dxa"/>
            <w:vAlign w:val="bottom"/>
            <w:gridSpan w:val="2"/>
          </w:tcPr>
          <w:p>
            <w:pPr>
              <w:jc w:val="right"/>
              <w:ind w:right="8"/>
              <w:spacing w:after="0"/>
              <w:rPr>
                <w:sz w:val="20"/>
                <w:szCs w:val="20"/>
                <w:color w:val="auto"/>
              </w:rPr>
            </w:pPr>
            <w:r>
              <w:rPr>
                <w:rFonts w:ascii="Calibri" w:cs="Calibri" w:eastAsia="Calibri" w:hAnsi="Calibri"/>
                <w:sz w:val="16"/>
                <w:szCs w:val="16"/>
                <w:color w:val="231F20"/>
              </w:rPr>
              <w:t xml:space="preserve">5,111 </w:t>
            </w:r>
            <w:r>
              <w:rPr>
                <w:rFonts w:ascii="Calibri" w:cs="Calibri" w:eastAsia="Calibri" w:hAnsi="Calibri"/>
                <w:sz w:val="20"/>
                <w:szCs w:val="20"/>
                <w:color w:val="231F20"/>
                <w:vertAlign w:val="superscript"/>
              </w:rPr>
              <w:t>(1)</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526,689</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5"/>
        </w:trPr>
        <w:tc>
          <w:tcPr>
            <w:tcW w:w="960" w:type="dxa"/>
            <w:vAlign w:val="bottom"/>
            <w:shd w:val="clear" w:color="auto" w:fill="DCDDDE"/>
          </w:tcPr>
          <w:p>
            <w:pPr>
              <w:spacing w:after="0"/>
              <w:rPr>
                <w:sz w:val="14"/>
                <w:szCs w:val="14"/>
                <w:color w:val="auto"/>
              </w:rPr>
            </w:pPr>
          </w:p>
        </w:tc>
        <w:tc>
          <w:tcPr>
            <w:tcW w:w="1940" w:type="dxa"/>
            <w:vAlign w:val="bottom"/>
            <w:shd w:val="clear" w:color="auto" w:fill="DCDDDE"/>
          </w:tcPr>
          <w:p>
            <w:pPr>
              <w:spacing w:after="0"/>
              <w:rPr>
                <w:sz w:val="14"/>
                <w:szCs w:val="14"/>
                <w:color w:val="auto"/>
              </w:rPr>
            </w:pPr>
          </w:p>
        </w:tc>
        <w:tc>
          <w:tcPr>
            <w:tcW w:w="1220" w:type="dxa"/>
            <w:vAlign w:val="bottom"/>
          </w:tcPr>
          <w:p>
            <w:pPr>
              <w:jc w:val="right"/>
              <w:spacing w:after="0" w:line="165" w:lineRule="exact"/>
              <w:rPr>
                <w:sz w:val="20"/>
                <w:szCs w:val="20"/>
                <w:color w:val="auto"/>
              </w:rPr>
            </w:pPr>
            <w:r>
              <w:rPr>
                <w:rFonts w:ascii="Calibri" w:cs="Calibri" w:eastAsia="Calibri" w:hAnsi="Calibri"/>
                <w:sz w:val="16"/>
                <w:szCs w:val="16"/>
                <w:color w:val="231F20"/>
              </w:rPr>
              <w:t>53,971</w:t>
            </w:r>
          </w:p>
        </w:tc>
        <w:tc>
          <w:tcPr>
            <w:tcW w:w="200" w:type="dxa"/>
            <w:vAlign w:val="bottom"/>
          </w:tcPr>
          <w:p>
            <w:pPr>
              <w:jc w:val="right"/>
              <w:ind w:right="8"/>
              <w:spacing w:after="0" w:line="113" w:lineRule="exact"/>
              <w:rPr>
                <w:sz w:val="20"/>
                <w:szCs w:val="20"/>
                <w:color w:val="auto"/>
              </w:rPr>
            </w:pPr>
            <w:r>
              <w:rPr>
                <w:rFonts w:ascii="Calibri" w:cs="Calibri" w:eastAsia="Calibri" w:hAnsi="Calibri"/>
                <w:sz w:val="10"/>
                <w:szCs w:val="10"/>
                <w:color w:val="231F20"/>
              </w:rPr>
              <w:t>(1)</w:t>
            </w:r>
          </w:p>
        </w:tc>
        <w:tc>
          <w:tcPr>
            <w:tcW w:w="180" w:type="dxa"/>
            <w:vAlign w:val="bottom"/>
          </w:tcPr>
          <w:p>
            <w:pPr>
              <w:jc w:val="right"/>
              <w:spacing w:after="0" w:line="165" w:lineRule="exact"/>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line="165" w:lineRule="exact"/>
              <w:rPr>
                <w:sz w:val="20"/>
                <w:szCs w:val="20"/>
                <w:color w:val="auto"/>
              </w:rPr>
            </w:pPr>
            <w:r>
              <w:rPr>
                <w:rFonts w:ascii="Calibri" w:cs="Calibri" w:eastAsia="Calibri" w:hAnsi="Calibri"/>
                <w:sz w:val="16"/>
                <w:szCs w:val="16"/>
                <w:color w:val="231F20"/>
              </w:rPr>
              <w:t>5,561,712</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2,817</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(2)</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290,292</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31,307</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(2)</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3,226,186</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744</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76,669</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960" w:type="dxa"/>
            <w:vAlign w:val="bottom"/>
            <w:tcBorders>
              <w:bottom w:val="single" w:sz="8" w:color="231F20"/>
            </w:tcBorders>
            <w:shd w:val="clear" w:color="auto" w:fill="DCDDDE"/>
          </w:tcPr>
          <w:p>
            <w:pPr>
              <w:spacing w:after="0"/>
              <w:rPr>
                <w:sz w:val="18"/>
                <w:szCs w:val="18"/>
                <w:color w:val="auto"/>
              </w:rPr>
            </w:pPr>
          </w:p>
        </w:tc>
        <w:tc>
          <w:tcPr>
            <w:tcW w:w="1940" w:type="dxa"/>
            <w:vAlign w:val="bottom"/>
            <w:tcBorders>
              <w:bottom w:val="single" w:sz="8" w:color="231F20"/>
            </w:tcBorders>
            <w:shd w:val="clear" w:color="auto" w:fill="DCDDDE"/>
          </w:tcPr>
          <w:p>
            <w:pPr>
              <w:spacing w:after="0"/>
              <w:rPr>
                <w:sz w:val="18"/>
                <w:szCs w:val="18"/>
                <w:color w:val="auto"/>
              </w:rPr>
            </w:pPr>
          </w:p>
        </w:tc>
        <w:tc>
          <w:tcPr>
            <w:tcW w:w="122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17,403</w:t>
            </w:r>
          </w:p>
        </w:tc>
        <w:tc>
          <w:tcPr>
            <w:tcW w:w="200" w:type="dxa"/>
            <w:vAlign w:val="bottom"/>
            <w:tcBorders>
              <w:bottom w:val="single" w:sz="8" w:color="231F20"/>
            </w:tcBorders>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1,793,379</w:t>
            </w:r>
          </w:p>
        </w:tc>
        <w:tc>
          <w:tcPr>
            <w:tcW w:w="204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680" w:type="dxa"/>
            <w:vAlign w:val="bottom"/>
            <w:tcBorders>
              <w:bottom w:val="single" w:sz="8" w:color="231F20"/>
            </w:tcBorders>
          </w:tcPr>
          <w:p>
            <w:pPr>
              <w:spacing w:after="0"/>
              <w:rPr>
                <w:sz w:val="18"/>
                <w:szCs w:val="18"/>
                <w:color w:val="auto"/>
              </w:rPr>
            </w:pPr>
          </w:p>
        </w:tc>
      </w:tr>
      <w:tr>
        <w:trPr>
          <w:trHeight w:val="270"/>
        </w:trPr>
        <w:tc>
          <w:tcPr>
            <w:tcW w:w="2900" w:type="dxa"/>
            <w:vAlign w:val="bottom"/>
            <w:gridSpan w:val="2"/>
            <w:shd w:val="clear" w:color="auto" w:fill="DCDDDE"/>
          </w:tcPr>
          <w:p>
            <w:pPr>
              <w:spacing w:after="0"/>
              <w:rPr>
                <w:sz w:val="20"/>
                <w:szCs w:val="20"/>
                <w:color w:val="auto"/>
              </w:rPr>
            </w:pPr>
            <w:r>
              <w:rPr>
                <w:rFonts w:ascii="Calibri" w:cs="Calibri" w:eastAsia="Calibri" w:hAnsi="Calibri"/>
                <w:sz w:val="16"/>
                <w:szCs w:val="16"/>
                <w:color w:val="231F20"/>
              </w:rPr>
              <w:t>Jeffrey S. Berkes</w:t>
            </w: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2,215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(1)</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228,256</w:t>
            </w:r>
          </w:p>
        </w:tc>
        <w:tc>
          <w:tcPr>
            <w:tcW w:w="2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8,995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(1)</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926,935</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1,137</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(2)</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117,168</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5,218</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(2)</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537,715</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411</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42,354</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3,481</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358,717</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3,725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383,861</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6,265</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(1)</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645,608</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0"/>
        </w:trPr>
        <w:tc>
          <w:tcPr>
            <w:tcW w:w="960" w:type="dxa"/>
            <w:vAlign w:val="bottom"/>
            <w:tcBorders>
              <w:bottom w:val="single" w:sz="8" w:color="231F20"/>
            </w:tcBorders>
            <w:shd w:val="clear" w:color="auto" w:fill="DCDDDE"/>
          </w:tcPr>
          <w:p>
            <w:pPr>
              <w:spacing w:after="0"/>
              <w:rPr>
                <w:sz w:val="19"/>
                <w:szCs w:val="19"/>
                <w:color w:val="auto"/>
              </w:rPr>
            </w:pPr>
          </w:p>
        </w:tc>
        <w:tc>
          <w:tcPr>
            <w:tcW w:w="1940" w:type="dxa"/>
            <w:vAlign w:val="bottom"/>
            <w:tcBorders>
              <w:bottom w:val="single" w:sz="8" w:color="231F20"/>
            </w:tcBorders>
            <w:shd w:val="clear" w:color="auto" w:fill="DCDDDE"/>
          </w:tcPr>
          <w:p>
            <w:pPr>
              <w:spacing w:after="0"/>
              <w:rPr>
                <w:sz w:val="19"/>
                <w:szCs w:val="19"/>
                <w:color w:val="auto"/>
              </w:rPr>
            </w:pPr>
          </w:p>
        </w:tc>
        <w:tc>
          <w:tcPr>
            <w:tcW w:w="122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700" w:type="dxa"/>
            <w:vAlign w:val="bottom"/>
            <w:tcBorders>
              <w:bottom w:val="single" w:sz="8" w:color="231F20"/>
            </w:tcBorders>
          </w:tcPr>
          <w:p>
            <w:pPr>
              <w:spacing w:after="0"/>
              <w:rPr>
                <w:sz w:val="19"/>
                <w:szCs w:val="19"/>
                <w:color w:val="auto"/>
              </w:rPr>
            </w:pPr>
          </w:p>
        </w:tc>
        <w:tc>
          <w:tcPr>
            <w:tcW w:w="2040" w:type="dxa"/>
            <w:vAlign w:val="bottom"/>
            <w:tcBorders>
              <w:bottom w:val="single" w:sz="8" w:color="231F20"/>
            </w:tcBorders>
          </w:tcPr>
          <w:p>
            <w:pPr>
              <w:jc w:val="right"/>
              <w:spacing w:after="0" w:line="220" w:lineRule="exact"/>
              <w:rPr>
                <w:sz w:val="20"/>
                <w:szCs w:val="20"/>
                <w:color w:val="auto"/>
              </w:rPr>
            </w:pPr>
            <w:r>
              <w:rPr>
                <w:rFonts w:ascii="Calibri" w:cs="Calibri" w:eastAsia="Calibri" w:hAnsi="Calibri"/>
                <w:sz w:val="16"/>
                <w:szCs w:val="16"/>
                <w:color w:val="231F20"/>
              </w:rPr>
              <w:t xml:space="preserve">5,221 </w:t>
            </w:r>
            <w:r>
              <w:rPr>
                <w:rFonts w:ascii="Calibri" w:cs="Calibri" w:eastAsia="Calibri" w:hAnsi="Calibri"/>
                <w:sz w:val="20"/>
                <w:szCs w:val="20"/>
                <w:color w:val="231F20"/>
                <w:vertAlign w:val="superscript"/>
              </w:rPr>
              <w:t>(4)</w:t>
            </w:r>
          </w:p>
        </w:tc>
        <w:tc>
          <w:tcPr>
            <w:tcW w:w="16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16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538,024</w:t>
            </w:r>
          </w:p>
        </w:tc>
      </w:tr>
      <w:tr>
        <w:trPr>
          <w:trHeight w:val="295"/>
        </w:trPr>
        <w:tc>
          <w:tcPr>
            <w:tcW w:w="2900" w:type="dxa"/>
            <w:vAlign w:val="bottom"/>
            <w:gridSpan w:val="2"/>
            <w:shd w:val="clear" w:color="auto" w:fill="DCDDDE"/>
          </w:tcPr>
          <w:p>
            <w:pPr>
              <w:spacing w:after="0"/>
              <w:rPr>
                <w:sz w:val="20"/>
                <w:szCs w:val="20"/>
                <w:color w:val="auto"/>
              </w:rPr>
            </w:pPr>
            <w:r>
              <w:rPr>
                <w:rFonts w:ascii="Calibri" w:cs="Calibri" w:eastAsia="Calibri" w:hAnsi="Calibri"/>
                <w:sz w:val="16"/>
                <w:szCs w:val="16"/>
                <w:color w:val="231F20"/>
              </w:rPr>
              <w:t>Daniel Guglielmone</w:t>
            </w:r>
          </w:p>
        </w:tc>
        <w:tc>
          <w:tcPr>
            <w:tcW w:w="1420" w:type="dxa"/>
            <w:vAlign w:val="bottom"/>
            <w:gridSpan w:val="2"/>
          </w:tcPr>
          <w:p>
            <w:pPr>
              <w:jc w:val="right"/>
              <w:ind w:right="8"/>
              <w:spacing w:after="0"/>
              <w:rPr>
                <w:sz w:val="20"/>
                <w:szCs w:val="20"/>
                <w:color w:val="auto"/>
              </w:rPr>
            </w:pPr>
            <w:r>
              <w:rPr>
                <w:rFonts w:ascii="Calibri" w:cs="Calibri" w:eastAsia="Calibri" w:hAnsi="Calibri"/>
                <w:sz w:val="16"/>
                <w:szCs w:val="16"/>
                <w:color w:val="231F20"/>
              </w:rPr>
              <w:t xml:space="preserve">8,995 </w:t>
            </w:r>
            <w:r>
              <w:rPr>
                <w:rFonts w:ascii="Calibri" w:cs="Calibri" w:eastAsia="Calibri" w:hAnsi="Calibri"/>
                <w:sz w:val="20"/>
                <w:szCs w:val="20"/>
                <w:color w:val="231F20"/>
                <w:vertAlign w:val="superscript"/>
              </w:rPr>
              <w:t>(1)</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926,935</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5"/>
        </w:trPr>
        <w:tc>
          <w:tcPr>
            <w:tcW w:w="960" w:type="dxa"/>
            <w:vAlign w:val="bottom"/>
            <w:shd w:val="clear" w:color="auto" w:fill="DCDDDE"/>
          </w:tcPr>
          <w:p>
            <w:pPr>
              <w:spacing w:after="0"/>
              <w:rPr>
                <w:sz w:val="14"/>
                <w:szCs w:val="14"/>
                <w:color w:val="auto"/>
              </w:rPr>
            </w:pPr>
          </w:p>
        </w:tc>
        <w:tc>
          <w:tcPr>
            <w:tcW w:w="1940" w:type="dxa"/>
            <w:vAlign w:val="bottom"/>
            <w:shd w:val="clear" w:color="auto" w:fill="DCDDDE"/>
          </w:tcPr>
          <w:p>
            <w:pPr>
              <w:spacing w:after="0"/>
              <w:rPr>
                <w:sz w:val="14"/>
                <w:szCs w:val="14"/>
                <w:color w:val="auto"/>
              </w:rPr>
            </w:pPr>
          </w:p>
        </w:tc>
        <w:tc>
          <w:tcPr>
            <w:tcW w:w="1220" w:type="dxa"/>
            <w:vAlign w:val="bottom"/>
          </w:tcPr>
          <w:p>
            <w:pPr>
              <w:jc w:val="right"/>
              <w:spacing w:after="0" w:line="165" w:lineRule="exact"/>
              <w:rPr>
                <w:sz w:val="20"/>
                <w:szCs w:val="20"/>
                <w:color w:val="auto"/>
              </w:rPr>
            </w:pPr>
            <w:r>
              <w:rPr>
                <w:rFonts w:ascii="Calibri" w:cs="Calibri" w:eastAsia="Calibri" w:hAnsi="Calibri"/>
                <w:sz w:val="16"/>
                <w:szCs w:val="16"/>
                <w:color w:val="231F20"/>
              </w:rPr>
              <w:t>4,696</w:t>
            </w:r>
          </w:p>
        </w:tc>
        <w:tc>
          <w:tcPr>
            <w:tcW w:w="200" w:type="dxa"/>
            <w:vAlign w:val="bottom"/>
          </w:tcPr>
          <w:p>
            <w:pPr>
              <w:jc w:val="right"/>
              <w:ind w:right="8"/>
              <w:spacing w:after="0" w:line="113" w:lineRule="exact"/>
              <w:rPr>
                <w:sz w:val="20"/>
                <w:szCs w:val="20"/>
                <w:color w:val="auto"/>
              </w:rPr>
            </w:pPr>
            <w:r>
              <w:rPr>
                <w:rFonts w:ascii="Calibri" w:cs="Calibri" w:eastAsia="Calibri" w:hAnsi="Calibri"/>
                <w:sz w:val="10"/>
                <w:szCs w:val="10"/>
                <w:color w:val="231F20"/>
              </w:rPr>
              <w:t>(2)</w:t>
            </w:r>
          </w:p>
        </w:tc>
        <w:tc>
          <w:tcPr>
            <w:tcW w:w="180" w:type="dxa"/>
            <w:vAlign w:val="bottom"/>
          </w:tcPr>
          <w:p>
            <w:pPr>
              <w:jc w:val="right"/>
              <w:spacing w:after="0" w:line="165" w:lineRule="exact"/>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line="165" w:lineRule="exact"/>
              <w:rPr>
                <w:sz w:val="20"/>
                <w:szCs w:val="20"/>
                <w:color w:val="auto"/>
              </w:rPr>
            </w:pPr>
            <w:r>
              <w:rPr>
                <w:rFonts w:ascii="Calibri" w:cs="Calibri" w:eastAsia="Calibri" w:hAnsi="Calibri"/>
                <w:sz w:val="16"/>
                <w:szCs w:val="16"/>
                <w:color w:val="231F20"/>
              </w:rPr>
              <w:t>483,923</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3,133</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322,856</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960" w:type="dxa"/>
            <w:vAlign w:val="bottom"/>
            <w:tcBorders>
              <w:bottom w:val="single" w:sz="8" w:color="231F20"/>
            </w:tcBorders>
            <w:shd w:val="clear" w:color="auto" w:fill="DCDDDE"/>
          </w:tcPr>
          <w:p>
            <w:pPr>
              <w:spacing w:after="0"/>
              <w:rPr>
                <w:sz w:val="18"/>
                <w:szCs w:val="18"/>
                <w:color w:val="auto"/>
              </w:rPr>
            </w:pPr>
          </w:p>
        </w:tc>
        <w:tc>
          <w:tcPr>
            <w:tcW w:w="1940" w:type="dxa"/>
            <w:vAlign w:val="bottom"/>
            <w:tcBorders>
              <w:bottom w:val="single" w:sz="8" w:color="231F20"/>
            </w:tcBorders>
            <w:shd w:val="clear" w:color="auto" w:fill="DCDDDE"/>
          </w:tcPr>
          <w:p>
            <w:pPr>
              <w:spacing w:after="0"/>
              <w:rPr>
                <w:sz w:val="18"/>
                <w:szCs w:val="18"/>
                <w:color w:val="auto"/>
              </w:rPr>
            </w:pPr>
          </w:p>
        </w:tc>
        <w:tc>
          <w:tcPr>
            <w:tcW w:w="122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5,141</w:t>
            </w:r>
          </w:p>
        </w:tc>
        <w:tc>
          <w:tcPr>
            <w:tcW w:w="200" w:type="dxa"/>
            <w:vAlign w:val="bottom"/>
            <w:tcBorders>
              <w:bottom w:val="single" w:sz="8" w:color="231F20"/>
            </w:tcBorders>
          </w:tcPr>
          <w:p>
            <w:pPr>
              <w:jc w:val="right"/>
              <w:ind w:right="8"/>
              <w:spacing w:after="0"/>
              <w:rPr>
                <w:sz w:val="20"/>
                <w:szCs w:val="20"/>
                <w:color w:val="auto"/>
              </w:rPr>
            </w:pPr>
            <w:r>
              <w:rPr>
                <w:rFonts w:ascii="Calibri" w:cs="Calibri" w:eastAsia="Calibri" w:hAnsi="Calibri"/>
                <w:sz w:val="10"/>
                <w:szCs w:val="10"/>
                <w:color w:val="231F20"/>
              </w:rPr>
              <w:t>(5)</w:t>
            </w:r>
          </w:p>
        </w:tc>
        <w:tc>
          <w:tcPr>
            <w:tcW w:w="1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529,780</w:t>
            </w:r>
          </w:p>
        </w:tc>
        <w:tc>
          <w:tcPr>
            <w:tcW w:w="204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680" w:type="dxa"/>
            <w:vAlign w:val="bottom"/>
            <w:tcBorders>
              <w:bottom w:val="single" w:sz="8" w:color="231F20"/>
            </w:tcBorders>
          </w:tcPr>
          <w:p>
            <w:pPr>
              <w:spacing w:after="0"/>
              <w:rPr>
                <w:sz w:val="18"/>
                <w:szCs w:val="18"/>
                <w:color w:val="auto"/>
              </w:rPr>
            </w:pPr>
          </w:p>
        </w:tc>
      </w:tr>
      <w:tr>
        <w:trPr>
          <w:trHeight w:val="305"/>
        </w:trPr>
        <w:tc>
          <w:tcPr>
            <w:tcW w:w="2900" w:type="dxa"/>
            <w:vAlign w:val="bottom"/>
            <w:gridSpan w:val="2"/>
            <w:shd w:val="clear" w:color="auto" w:fill="DCDDDE"/>
          </w:tcPr>
          <w:p>
            <w:pPr>
              <w:spacing w:after="0"/>
              <w:rPr>
                <w:sz w:val="20"/>
                <w:szCs w:val="20"/>
                <w:color w:val="auto"/>
              </w:rPr>
            </w:pPr>
            <w:r>
              <w:rPr>
                <w:rFonts w:ascii="Calibri" w:cs="Calibri" w:eastAsia="Calibri" w:hAnsi="Calibri"/>
                <w:sz w:val="16"/>
                <w:szCs w:val="16"/>
                <w:color w:val="231F20"/>
              </w:rPr>
              <w:t>Dawn M. Becker</w:t>
            </w:r>
          </w:p>
        </w:tc>
        <w:tc>
          <w:tcPr>
            <w:tcW w:w="1420" w:type="dxa"/>
            <w:vAlign w:val="bottom"/>
            <w:gridSpan w:val="2"/>
          </w:tcPr>
          <w:p>
            <w:pPr>
              <w:jc w:val="right"/>
              <w:ind w:right="8"/>
              <w:spacing w:after="0"/>
              <w:rPr>
                <w:sz w:val="20"/>
                <w:szCs w:val="20"/>
                <w:color w:val="auto"/>
              </w:rPr>
            </w:pPr>
            <w:r>
              <w:rPr>
                <w:rFonts w:ascii="Calibri" w:cs="Calibri" w:eastAsia="Calibri" w:hAnsi="Calibri"/>
                <w:sz w:val="16"/>
                <w:szCs w:val="16"/>
                <w:color w:val="231F20"/>
              </w:rPr>
              <w:t xml:space="preserve">1,959 </w:t>
            </w:r>
            <w:r>
              <w:rPr>
                <w:rFonts w:ascii="Calibri" w:cs="Calibri" w:eastAsia="Calibri" w:hAnsi="Calibri"/>
                <w:sz w:val="20"/>
                <w:szCs w:val="20"/>
                <w:color w:val="231F20"/>
                <w:vertAlign w:val="superscript"/>
              </w:rPr>
              <w:t>(1)</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201,875</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5"/>
        </w:trPr>
        <w:tc>
          <w:tcPr>
            <w:tcW w:w="960" w:type="dxa"/>
            <w:vAlign w:val="bottom"/>
            <w:shd w:val="clear" w:color="auto" w:fill="DCDDDE"/>
          </w:tcPr>
          <w:p>
            <w:pPr>
              <w:spacing w:after="0"/>
              <w:rPr>
                <w:sz w:val="14"/>
                <w:szCs w:val="14"/>
                <w:color w:val="auto"/>
              </w:rPr>
            </w:pPr>
          </w:p>
        </w:tc>
        <w:tc>
          <w:tcPr>
            <w:tcW w:w="1940" w:type="dxa"/>
            <w:vAlign w:val="bottom"/>
            <w:shd w:val="clear" w:color="auto" w:fill="DCDDDE"/>
          </w:tcPr>
          <w:p>
            <w:pPr>
              <w:spacing w:after="0"/>
              <w:rPr>
                <w:sz w:val="14"/>
                <w:szCs w:val="14"/>
                <w:color w:val="auto"/>
              </w:rPr>
            </w:pPr>
          </w:p>
        </w:tc>
        <w:tc>
          <w:tcPr>
            <w:tcW w:w="1220" w:type="dxa"/>
            <w:vAlign w:val="bottom"/>
          </w:tcPr>
          <w:p>
            <w:pPr>
              <w:jc w:val="right"/>
              <w:spacing w:after="0" w:line="165" w:lineRule="exact"/>
              <w:rPr>
                <w:sz w:val="20"/>
                <w:szCs w:val="20"/>
                <w:color w:val="auto"/>
              </w:rPr>
            </w:pPr>
            <w:r>
              <w:rPr>
                <w:rFonts w:ascii="Calibri" w:cs="Calibri" w:eastAsia="Calibri" w:hAnsi="Calibri"/>
                <w:sz w:val="16"/>
                <w:szCs w:val="16"/>
                <w:color w:val="231F20"/>
              </w:rPr>
              <w:t>8,995</w:t>
            </w:r>
          </w:p>
        </w:tc>
        <w:tc>
          <w:tcPr>
            <w:tcW w:w="200" w:type="dxa"/>
            <w:vAlign w:val="bottom"/>
          </w:tcPr>
          <w:p>
            <w:pPr>
              <w:jc w:val="right"/>
              <w:ind w:right="8"/>
              <w:spacing w:after="0" w:line="113" w:lineRule="exact"/>
              <w:rPr>
                <w:sz w:val="20"/>
                <w:szCs w:val="20"/>
                <w:color w:val="auto"/>
              </w:rPr>
            </w:pPr>
            <w:r>
              <w:rPr>
                <w:rFonts w:ascii="Calibri" w:cs="Calibri" w:eastAsia="Calibri" w:hAnsi="Calibri"/>
                <w:sz w:val="10"/>
                <w:szCs w:val="10"/>
                <w:color w:val="231F20"/>
              </w:rPr>
              <w:t>(1)</w:t>
            </w:r>
          </w:p>
        </w:tc>
        <w:tc>
          <w:tcPr>
            <w:tcW w:w="180" w:type="dxa"/>
            <w:vAlign w:val="bottom"/>
          </w:tcPr>
          <w:p>
            <w:pPr>
              <w:jc w:val="right"/>
              <w:spacing w:after="0" w:line="165" w:lineRule="exact"/>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line="165" w:lineRule="exact"/>
              <w:rPr>
                <w:sz w:val="20"/>
                <w:szCs w:val="20"/>
                <w:color w:val="auto"/>
              </w:rPr>
            </w:pPr>
            <w:r>
              <w:rPr>
                <w:rFonts w:ascii="Calibri" w:cs="Calibri" w:eastAsia="Calibri" w:hAnsi="Calibri"/>
                <w:sz w:val="16"/>
                <w:szCs w:val="16"/>
                <w:color w:val="231F20"/>
              </w:rPr>
              <w:t>926,935</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704</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(2)</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72,547</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3,131</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(2)</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322,650</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960" w:type="dxa"/>
            <w:vAlign w:val="bottom"/>
            <w:shd w:val="clear" w:color="auto" w:fill="DCDDDE"/>
          </w:tcPr>
          <w:p>
            <w:pPr>
              <w:spacing w:after="0"/>
              <w:rPr>
                <w:sz w:val="17"/>
                <w:szCs w:val="17"/>
                <w:color w:val="auto"/>
              </w:rPr>
            </w:pPr>
          </w:p>
        </w:tc>
        <w:tc>
          <w:tcPr>
            <w:tcW w:w="1940" w:type="dxa"/>
            <w:vAlign w:val="bottom"/>
            <w:shd w:val="clear" w:color="auto" w:fill="DCDDDE"/>
          </w:tcPr>
          <w:p>
            <w:pPr>
              <w:spacing w:after="0"/>
              <w:rPr>
                <w:sz w:val="17"/>
                <w:szCs w:val="17"/>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231F20"/>
              </w:rPr>
              <w:t>279</w:t>
            </w:r>
          </w:p>
        </w:tc>
        <w:tc>
          <w:tcPr>
            <w:tcW w:w="200" w:type="dxa"/>
            <w:vAlign w:val="bottom"/>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Pr>
          <w:p>
            <w:pPr>
              <w:jc w:val="right"/>
              <w:spacing w:after="0"/>
              <w:rPr>
                <w:sz w:val="20"/>
                <w:szCs w:val="20"/>
                <w:color w:val="auto"/>
              </w:rPr>
            </w:pPr>
            <w:r>
              <w:rPr>
                <w:rFonts w:ascii="Calibri" w:cs="Calibri" w:eastAsia="Calibri" w:hAnsi="Calibri"/>
                <w:sz w:val="16"/>
                <w:szCs w:val="16"/>
                <w:color w:val="231F20"/>
              </w:rPr>
              <w:t>28,751</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960" w:type="dxa"/>
            <w:vAlign w:val="bottom"/>
            <w:tcBorders>
              <w:bottom w:val="single" w:sz="8" w:color="231F20"/>
            </w:tcBorders>
            <w:shd w:val="clear" w:color="auto" w:fill="DCDDDE"/>
          </w:tcPr>
          <w:p>
            <w:pPr>
              <w:spacing w:after="0"/>
              <w:rPr>
                <w:sz w:val="18"/>
                <w:szCs w:val="18"/>
                <w:color w:val="auto"/>
              </w:rPr>
            </w:pPr>
          </w:p>
        </w:tc>
        <w:tc>
          <w:tcPr>
            <w:tcW w:w="1940" w:type="dxa"/>
            <w:vAlign w:val="bottom"/>
            <w:tcBorders>
              <w:bottom w:val="single" w:sz="8" w:color="231F20"/>
            </w:tcBorders>
            <w:shd w:val="clear" w:color="auto" w:fill="DCDDDE"/>
          </w:tcPr>
          <w:p>
            <w:pPr>
              <w:spacing w:after="0"/>
              <w:rPr>
                <w:sz w:val="18"/>
                <w:szCs w:val="18"/>
                <w:color w:val="auto"/>
              </w:rPr>
            </w:pPr>
          </w:p>
        </w:tc>
        <w:tc>
          <w:tcPr>
            <w:tcW w:w="122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2,088</w:t>
            </w:r>
          </w:p>
        </w:tc>
        <w:tc>
          <w:tcPr>
            <w:tcW w:w="200" w:type="dxa"/>
            <w:vAlign w:val="bottom"/>
            <w:tcBorders>
              <w:bottom w:val="single" w:sz="8" w:color="231F20"/>
            </w:tcBorders>
          </w:tcPr>
          <w:p>
            <w:pPr>
              <w:jc w:val="right"/>
              <w:ind w:right="8"/>
              <w:spacing w:after="0"/>
              <w:rPr>
                <w:sz w:val="20"/>
                <w:szCs w:val="20"/>
                <w:color w:val="auto"/>
              </w:rPr>
            </w:pPr>
            <w:r>
              <w:rPr>
                <w:rFonts w:ascii="Calibri" w:cs="Calibri" w:eastAsia="Calibri" w:hAnsi="Calibri"/>
                <w:sz w:val="10"/>
                <w:szCs w:val="10"/>
                <w:color w:val="231F20"/>
              </w:rPr>
              <w:t>(3)</w:t>
            </w:r>
          </w:p>
        </w:tc>
        <w:tc>
          <w:tcPr>
            <w:tcW w:w="1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170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215,168</w:t>
            </w:r>
          </w:p>
        </w:tc>
        <w:tc>
          <w:tcPr>
            <w:tcW w:w="204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680" w:type="dxa"/>
            <w:vAlign w:val="bottom"/>
            <w:tcBorders>
              <w:bottom w:val="single" w:sz="8" w:color="231F20"/>
            </w:tcBorders>
          </w:tcPr>
          <w:p>
            <w:pPr>
              <w:spacing w:after="0"/>
              <w:rPr>
                <w:sz w:val="18"/>
                <w:szCs w:val="18"/>
                <w:color w:val="auto"/>
              </w:rPr>
            </w:pPr>
          </w:p>
        </w:tc>
      </w:tr>
      <w:tr>
        <w:trPr>
          <w:trHeight w:val="150"/>
        </w:trPr>
        <w:tc>
          <w:tcPr>
            <w:tcW w:w="960" w:type="dxa"/>
            <w:vAlign w:val="bottom"/>
            <w:tcBorders>
              <w:bottom w:val="single" w:sz="8" w:color="231F20"/>
            </w:tcBorders>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r>
    </w:tbl>
    <w:p>
      <w:pPr>
        <w:spacing w:after="0" w:line="55" w:lineRule="exact"/>
        <w:rPr>
          <w:sz w:val="20"/>
          <w:szCs w:val="20"/>
          <w:color w:val="auto"/>
        </w:rPr>
      </w:pPr>
    </w:p>
    <w:p>
      <w:pPr>
        <w:ind w:left="360" w:hanging="360"/>
        <w:spacing w:after="0" w:line="214" w:lineRule="auto"/>
        <w:tabs>
          <w:tab w:leader="none" w:pos="360" w:val="left"/>
        </w:tabs>
        <w:numPr>
          <w:ilvl w:val="0"/>
          <w:numId w:val="134"/>
        </w:numPr>
        <w:rPr>
          <w:rFonts w:ascii="Arial" w:cs="Arial" w:eastAsia="Arial" w:hAnsi="Arial"/>
          <w:sz w:val="23"/>
          <w:szCs w:val="23"/>
          <w:color w:val="231F20"/>
          <w:vertAlign w:val="superscript"/>
        </w:rPr>
      </w:pPr>
      <w:r>
        <w:rPr>
          <w:rFonts w:ascii="Arial" w:cs="Arial" w:eastAsia="Arial" w:hAnsi="Arial"/>
          <w:sz w:val="18"/>
          <w:szCs w:val="18"/>
          <w:color w:val="231F20"/>
        </w:rPr>
        <w:t>One-third of these shares vested on February 12, 2024 and the remaining shares will vest equally on February 12 of each of 2025 and 2026.</w:t>
      </w:r>
    </w:p>
    <w:p>
      <w:pPr>
        <w:ind w:left="360" w:hanging="360"/>
        <w:spacing w:after="0" w:line="199" w:lineRule="auto"/>
        <w:tabs>
          <w:tab w:leader="none" w:pos="360" w:val="left"/>
        </w:tabs>
        <w:numPr>
          <w:ilvl w:val="0"/>
          <w:numId w:val="134"/>
        </w:numPr>
        <w:rPr>
          <w:rFonts w:ascii="Arial" w:cs="Arial" w:eastAsia="Arial" w:hAnsi="Arial"/>
          <w:sz w:val="23"/>
          <w:szCs w:val="23"/>
          <w:color w:val="231F20"/>
          <w:vertAlign w:val="superscript"/>
        </w:rPr>
      </w:pPr>
      <w:r>
        <w:rPr>
          <w:rFonts w:ascii="Arial" w:cs="Arial" w:eastAsia="Arial" w:hAnsi="Arial"/>
          <w:sz w:val="18"/>
          <w:szCs w:val="18"/>
          <w:color w:val="231F20"/>
        </w:rPr>
        <w:t>One-half of these shares vested on February 12, 2024 and the remaining shares will vest on February 12, 2025.</w:t>
      </w:r>
    </w:p>
    <w:p>
      <w:pPr>
        <w:spacing w:after="0" w:line="55" w:lineRule="exact"/>
        <w:rPr>
          <w:rFonts w:ascii="Arial" w:cs="Arial" w:eastAsia="Arial" w:hAnsi="Arial"/>
          <w:sz w:val="23"/>
          <w:szCs w:val="23"/>
          <w:color w:val="231F20"/>
          <w:vertAlign w:val="superscript"/>
        </w:rPr>
      </w:pPr>
    </w:p>
    <w:p>
      <w:pPr>
        <w:ind w:left="360" w:hanging="360"/>
        <w:spacing w:after="0" w:line="181" w:lineRule="auto"/>
        <w:tabs>
          <w:tab w:leader="none" w:pos="360" w:val="left"/>
        </w:tabs>
        <w:numPr>
          <w:ilvl w:val="0"/>
          <w:numId w:val="134"/>
        </w:numPr>
        <w:rPr>
          <w:rFonts w:ascii="Arial" w:cs="Arial" w:eastAsia="Arial" w:hAnsi="Arial"/>
          <w:sz w:val="19"/>
          <w:szCs w:val="19"/>
          <w:color w:val="231F20"/>
          <w:vertAlign w:val="superscript"/>
        </w:rPr>
      </w:pPr>
      <w:r>
        <w:rPr>
          <w:rFonts w:ascii="Arial" w:cs="Arial" w:eastAsia="Arial" w:hAnsi="Arial"/>
          <w:sz w:val="15"/>
          <w:szCs w:val="15"/>
          <w:color w:val="231F20"/>
        </w:rPr>
        <w:t>These shares vested on February 12, 2024.</w:t>
      </w:r>
    </w:p>
    <w:p>
      <w:pPr>
        <w:spacing w:after="0" w:line="55" w:lineRule="exact"/>
        <w:rPr>
          <w:rFonts w:ascii="Arial" w:cs="Arial" w:eastAsia="Arial" w:hAnsi="Arial"/>
          <w:sz w:val="19"/>
          <w:szCs w:val="19"/>
          <w:color w:val="231F20"/>
          <w:vertAlign w:val="superscript"/>
        </w:rPr>
      </w:pPr>
    </w:p>
    <w:p>
      <w:pPr>
        <w:ind w:left="360" w:hanging="360"/>
        <w:spacing w:after="0" w:line="195" w:lineRule="auto"/>
        <w:tabs>
          <w:tab w:leader="none" w:pos="360" w:val="left"/>
        </w:tabs>
        <w:numPr>
          <w:ilvl w:val="0"/>
          <w:numId w:val="134"/>
        </w:numPr>
        <w:rPr>
          <w:rFonts w:ascii="Arial" w:cs="Arial" w:eastAsia="Arial" w:hAnsi="Arial"/>
          <w:sz w:val="23"/>
          <w:szCs w:val="23"/>
          <w:color w:val="231F20"/>
          <w:vertAlign w:val="superscript"/>
        </w:rPr>
      </w:pPr>
      <w:r>
        <w:rPr>
          <w:rFonts w:ascii="Arial" w:cs="Arial" w:eastAsia="Arial" w:hAnsi="Arial"/>
          <w:sz w:val="18"/>
          <w:szCs w:val="18"/>
          <w:color w:val="231F20"/>
        </w:rPr>
        <w:t>The number of shares represent the threshold payout level. The final number of shares earned cannot be determined until after December 31, 2024, the end of the performance period.</w:t>
      </w:r>
    </w:p>
    <w:p>
      <w:pPr>
        <w:spacing w:after="0" w:line="1" w:lineRule="exact"/>
        <w:rPr>
          <w:rFonts w:ascii="Arial" w:cs="Arial" w:eastAsia="Arial" w:hAnsi="Arial"/>
          <w:sz w:val="23"/>
          <w:szCs w:val="23"/>
          <w:color w:val="231F20"/>
          <w:vertAlign w:val="superscript"/>
        </w:rPr>
      </w:pPr>
    </w:p>
    <w:p>
      <w:pPr>
        <w:ind w:left="360" w:hanging="360"/>
        <w:spacing w:after="0" w:line="199" w:lineRule="auto"/>
        <w:tabs>
          <w:tab w:leader="none" w:pos="360" w:val="left"/>
        </w:tabs>
        <w:numPr>
          <w:ilvl w:val="0"/>
          <w:numId w:val="134"/>
        </w:numPr>
        <w:rPr>
          <w:rFonts w:ascii="Arial" w:cs="Arial" w:eastAsia="Arial" w:hAnsi="Arial"/>
          <w:sz w:val="23"/>
          <w:szCs w:val="23"/>
          <w:color w:val="231F20"/>
          <w:vertAlign w:val="superscript"/>
        </w:rPr>
      </w:pPr>
      <w:r>
        <w:rPr>
          <w:rFonts w:ascii="Arial" w:cs="Arial" w:eastAsia="Arial" w:hAnsi="Arial"/>
          <w:sz w:val="18"/>
          <w:szCs w:val="18"/>
          <w:color w:val="231F20"/>
        </w:rPr>
        <w:t>These shares will vest equally on August 3 of each of 2024, 2025 and 2026.</w:t>
      </w:r>
    </w:p>
    <w:p>
      <w:pPr>
        <w:spacing w:after="0" w:line="55" w:lineRule="exact"/>
        <w:rPr>
          <w:rFonts w:ascii="Arial" w:cs="Arial" w:eastAsia="Arial" w:hAnsi="Arial"/>
          <w:sz w:val="23"/>
          <w:szCs w:val="23"/>
          <w:color w:val="231F20"/>
          <w:vertAlign w:val="superscript"/>
        </w:rPr>
      </w:pPr>
    </w:p>
    <w:p>
      <w:pPr>
        <w:ind w:left="360" w:hanging="360"/>
        <w:spacing w:after="0" w:line="181" w:lineRule="auto"/>
        <w:tabs>
          <w:tab w:leader="none" w:pos="360" w:val="left"/>
        </w:tabs>
        <w:numPr>
          <w:ilvl w:val="0"/>
          <w:numId w:val="134"/>
        </w:numPr>
        <w:rPr>
          <w:rFonts w:ascii="Arial" w:cs="Arial" w:eastAsia="Arial" w:hAnsi="Arial"/>
          <w:sz w:val="19"/>
          <w:szCs w:val="19"/>
          <w:color w:val="231F20"/>
          <w:vertAlign w:val="superscript"/>
        </w:rPr>
      </w:pPr>
      <w:r>
        <w:rPr>
          <w:rFonts w:ascii="Arial" w:cs="Arial" w:eastAsia="Arial" w:hAnsi="Arial"/>
          <w:sz w:val="15"/>
          <w:szCs w:val="15"/>
          <w:color w:val="231F20"/>
        </w:rPr>
        <w:t>The value of shares is calculated based on $103.05, the closing price of our shares on the NYSE on December 29,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1653540</wp:posOffset>
                </wp:positionV>
                <wp:extent cx="6400800" cy="17780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37" o:spid="_x0000_s1462" style="position:absolute;margin-left:0pt;margin-top:130.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1653540</wp:posOffset>
                </wp:positionV>
                <wp:extent cx="0" cy="17780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0.2pt" to="0.5pt,144.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1659890</wp:posOffset>
                </wp:positionV>
                <wp:extent cx="640080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7pt" to="504pt,130.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1653540</wp:posOffset>
                </wp:positionV>
                <wp:extent cx="0" cy="17780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0.2pt" to="503.5pt,144.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1824990</wp:posOffset>
                </wp:positionV>
                <wp:extent cx="6400800"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3.7pt" to="504pt,143.7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33</w:t>
      </w:r>
    </w:p>
    <w:p>
      <w:pPr>
        <w:sectPr>
          <w:pgSz w:w="12240" w:h="15840" w:orient="portrait"/>
          <w:cols w:equalWidth="0" w:num="1">
            <w:col w:w="10080"/>
          </w:cols>
          <w:pgMar w:left="1080" w:top="1440" w:right="1080" w:bottom="944" w:gutter="0" w:footer="0" w:header="0"/>
          <w:type w:val="continuous"/>
        </w:sectPr>
      </w:pPr>
    </w:p>
    <w:bookmarkStart w:id="153" w:name="page154"/>
    <w:bookmarkEnd w:id="153"/>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OPTIONS EXERCISED AND STOCK VESTED IN 2023</w:t>
      </w:r>
    </w:p>
    <w:p>
      <w:pPr>
        <w:spacing w:after="0" w:line="280"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The following table includes information with respect to shares held by our NEOs that vested in 2023. None of our NEOs holds any options or exercised any options during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0" w:type="dxa"/>
            <w:vAlign w:val="bottom"/>
            <w:shd w:val="clear" w:color="auto" w:fill="EF3E2A"/>
          </w:tcPr>
          <w:p>
            <w:pPr>
              <w:spacing w:after="0"/>
              <w:rPr>
                <w:sz w:val="24"/>
                <w:szCs w:val="24"/>
                <w:color w:val="auto"/>
              </w:rPr>
            </w:pPr>
          </w:p>
        </w:tc>
        <w:tc>
          <w:tcPr>
            <w:tcW w:w="1240" w:type="dxa"/>
            <w:vAlign w:val="bottom"/>
            <w:shd w:val="clear" w:color="auto" w:fill="EF3E2A"/>
          </w:tcPr>
          <w:p>
            <w:pPr>
              <w:spacing w:after="0"/>
              <w:rPr>
                <w:sz w:val="24"/>
                <w:szCs w:val="24"/>
                <w:color w:val="auto"/>
              </w:rPr>
            </w:pPr>
          </w:p>
        </w:tc>
        <w:tc>
          <w:tcPr>
            <w:tcW w:w="4440" w:type="dxa"/>
            <w:vAlign w:val="bottom"/>
            <w:gridSpan w:val="2"/>
            <w:shd w:val="clear" w:color="auto" w:fill="EF3E2A"/>
          </w:tcPr>
          <w:p>
            <w:pPr>
              <w:jc w:val="right"/>
              <w:ind w:right="160"/>
              <w:spacing w:after="0"/>
              <w:rPr>
                <w:sz w:val="20"/>
                <w:szCs w:val="20"/>
                <w:color w:val="auto"/>
              </w:rPr>
            </w:pPr>
            <w:r>
              <w:rPr>
                <w:rFonts w:ascii="Calibri" w:cs="Calibri" w:eastAsia="Calibri" w:hAnsi="Calibri"/>
                <w:sz w:val="16"/>
                <w:szCs w:val="16"/>
                <w:b w:val="1"/>
                <w:bCs w:val="1"/>
                <w:color w:val="E8E7E5"/>
              </w:rPr>
              <w:t>Stock Awards</w:t>
            </w:r>
          </w:p>
        </w:tc>
        <w:tc>
          <w:tcPr>
            <w:tcW w:w="760" w:type="dxa"/>
            <w:vAlign w:val="bottom"/>
            <w:shd w:val="clear" w:color="auto" w:fill="EF3E2A"/>
          </w:tcPr>
          <w:p>
            <w:pPr>
              <w:spacing w:after="0"/>
              <w:rPr>
                <w:sz w:val="24"/>
                <w:szCs w:val="24"/>
                <w:color w:val="auto"/>
              </w:rPr>
            </w:pPr>
          </w:p>
        </w:tc>
      </w:tr>
      <w:tr>
        <w:trPr>
          <w:trHeight w:val="340"/>
        </w:trPr>
        <w:tc>
          <w:tcPr>
            <w:tcW w:w="960" w:type="dxa"/>
            <w:vAlign w:val="bottom"/>
            <w:shd w:val="clear" w:color="auto" w:fill="EF3E2A"/>
          </w:tcPr>
          <w:p>
            <w:pPr>
              <w:spacing w:after="0"/>
              <w:rPr>
                <w:sz w:val="24"/>
                <w:szCs w:val="24"/>
                <w:color w:val="auto"/>
              </w:rPr>
            </w:pPr>
          </w:p>
        </w:tc>
        <w:tc>
          <w:tcPr>
            <w:tcW w:w="1240" w:type="dxa"/>
            <w:vAlign w:val="bottom"/>
            <w:shd w:val="clear" w:color="auto" w:fill="EF3E2A"/>
          </w:tcPr>
          <w:p>
            <w:pPr>
              <w:spacing w:after="0"/>
              <w:rPr>
                <w:sz w:val="24"/>
                <w:szCs w:val="24"/>
                <w:color w:val="auto"/>
              </w:rPr>
            </w:pPr>
          </w:p>
        </w:tc>
        <w:tc>
          <w:tcPr>
            <w:tcW w:w="3940" w:type="dxa"/>
            <w:vAlign w:val="bottom"/>
            <w:shd w:val="clear" w:color="auto" w:fill="EF3E2A"/>
          </w:tcPr>
          <w:p>
            <w:pPr>
              <w:jc w:val="right"/>
              <w:ind w:right="120"/>
              <w:spacing w:after="0"/>
              <w:rPr>
                <w:sz w:val="20"/>
                <w:szCs w:val="20"/>
                <w:color w:val="auto"/>
              </w:rPr>
            </w:pPr>
            <w:r>
              <w:rPr>
                <w:rFonts w:ascii="Calibri" w:cs="Calibri" w:eastAsia="Calibri" w:hAnsi="Calibri"/>
                <w:sz w:val="16"/>
                <w:szCs w:val="16"/>
                <w:b w:val="1"/>
                <w:bCs w:val="1"/>
                <w:color w:val="E8E7E5"/>
              </w:rPr>
              <w:t>Number of Shares</w:t>
            </w:r>
          </w:p>
        </w:tc>
        <w:tc>
          <w:tcPr>
            <w:tcW w:w="1260" w:type="dxa"/>
            <w:vAlign w:val="bottom"/>
            <w:gridSpan w:val="2"/>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Value Realized</w:t>
            </w:r>
          </w:p>
        </w:tc>
      </w:tr>
      <w:tr>
        <w:trPr>
          <w:trHeight w:val="232"/>
        </w:trPr>
        <w:tc>
          <w:tcPr>
            <w:tcW w:w="2200" w:type="dxa"/>
            <w:vAlign w:val="bottom"/>
            <w:gridSpan w:val="2"/>
            <w:shd w:val="clear" w:color="auto" w:fill="EF3E2A"/>
          </w:tcPr>
          <w:p>
            <w:pPr>
              <w:spacing w:after="0"/>
              <w:rPr>
                <w:sz w:val="20"/>
                <w:szCs w:val="20"/>
                <w:color w:val="auto"/>
              </w:rPr>
            </w:pPr>
            <w:r>
              <w:rPr>
                <w:rFonts w:ascii="Calibri" w:cs="Calibri" w:eastAsia="Calibri" w:hAnsi="Calibri"/>
                <w:sz w:val="16"/>
                <w:szCs w:val="16"/>
                <w:b w:val="1"/>
                <w:bCs w:val="1"/>
                <w:color w:val="E8E7E5"/>
              </w:rPr>
              <w:t>Name</w:t>
            </w:r>
          </w:p>
        </w:tc>
        <w:tc>
          <w:tcPr>
            <w:tcW w:w="3940" w:type="dxa"/>
            <w:vAlign w:val="bottom"/>
            <w:shd w:val="clear" w:color="auto" w:fill="EF3E2A"/>
          </w:tcPr>
          <w:p>
            <w:pPr>
              <w:jc w:val="right"/>
              <w:ind w:right="120"/>
              <w:spacing w:after="0"/>
              <w:rPr>
                <w:sz w:val="20"/>
                <w:szCs w:val="20"/>
                <w:color w:val="auto"/>
              </w:rPr>
            </w:pPr>
            <w:r>
              <w:rPr>
                <w:rFonts w:ascii="Calibri" w:cs="Calibri" w:eastAsia="Calibri" w:hAnsi="Calibri"/>
                <w:sz w:val="16"/>
                <w:szCs w:val="16"/>
                <w:b w:val="1"/>
                <w:bCs w:val="1"/>
                <w:color w:val="E8E7E5"/>
              </w:rPr>
              <w:t>Acquired on Vesting</w:t>
            </w:r>
          </w:p>
        </w:tc>
        <w:tc>
          <w:tcPr>
            <w:tcW w:w="1260" w:type="dxa"/>
            <w:vAlign w:val="bottom"/>
            <w:gridSpan w:val="2"/>
            <w:shd w:val="clear" w:color="auto" w:fill="EF3E2A"/>
          </w:tcPr>
          <w:p>
            <w:pPr>
              <w:jc w:val="right"/>
              <w:ind w:right="40"/>
              <w:spacing w:after="0" w:line="232" w:lineRule="exact"/>
              <w:rPr>
                <w:sz w:val="20"/>
                <w:szCs w:val="20"/>
                <w:color w:val="auto"/>
              </w:rPr>
            </w:pPr>
            <w:r>
              <w:rPr>
                <w:rFonts w:ascii="Calibri" w:cs="Calibri" w:eastAsia="Calibri" w:hAnsi="Calibri"/>
                <w:sz w:val="16"/>
                <w:szCs w:val="16"/>
                <w:b w:val="1"/>
                <w:bCs w:val="1"/>
                <w:color w:val="E8E7E5"/>
              </w:rPr>
              <w:t>on Vesting</w:t>
            </w:r>
            <w:r>
              <w:rPr>
                <w:rFonts w:ascii="Calibri" w:cs="Calibri" w:eastAsia="Calibri" w:hAnsi="Calibri"/>
                <w:sz w:val="20"/>
                <w:szCs w:val="20"/>
                <w:b w:val="1"/>
                <w:bCs w:val="1"/>
                <w:color w:val="E8E7E5"/>
                <w:vertAlign w:val="superscript"/>
              </w:rPr>
              <w:t>(1)</w:t>
            </w:r>
          </w:p>
        </w:tc>
      </w:tr>
      <w:tr>
        <w:trPr>
          <w:trHeight w:val="230"/>
        </w:trPr>
        <w:tc>
          <w:tcPr>
            <w:tcW w:w="2200" w:type="dxa"/>
            <w:vAlign w:val="bottom"/>
            <w:gridSpan w:val="2"/>
            <w:shd w:val="clear" w:color="auto" w:fill="DCDDDE"/>
          </w:tcPr>
          <w:p>
            <w:pPr>
              <w:spacing w:after="0"/>
              <w:rPr>
                <w:sz w:val="20"/>
                <w:szCs w:val="20"/>
                <w:color w:val="auto"/>
              </w:rPr>
            </w:pPr>
            <w:r>
              <w:rPr>
                <w:rFonts w:ascii="Calibri" w:cs="Calibri" w:eastAsia="Calibri" w:hAnsi="Calibri"/>
                <w:sz w:val="16"/>
                <w:szCs w:val="16"/>
                <w:color w:val="231F20"/>
              </w:rPr>
              <w:t>Donald C. Wood</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231F20"/>
              </w:rPr>
              <w:t>50,478</w:t>
            </w:r>
          </w:p>
        </w:tc>
        <w:tc>
          <w:tcPr>
            <w:tcW w:w="50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760" w:type="dxa"/>
            <w:vAlign w:val="bottom"/>
          </w:tcPr>
          <w:p>
            <w:pPr>
              <w:jc w:val="right"/>
              <w:spacing w:after="0"/>
              <w:rPr>
                <w:sz w:val="20"/>
                <w:szCs w:val="20"/>
                <w:color w:val="auto"/>
              </w:rPr>
            </w:pPr>
            <w:r>
              <w:rPr>
                <w:rFonts w:ascii="Calibri" w:cs="Calibri" w:eastAsia="Calibri" w:hAnsi="Calibri"/>
                <w:sz w:val="16"/>
                <w:szCs w:val="16"/>
                <w:color w:val="231F20"/>
              </w:rPr>
              <w:t>5,551,066</w:t>
            </w:r>
          </w:p>
        </w:tc>
      </w:tr>
      <w:tr>
        <w:trPr>
          <w:trHeight w:val="200"/>
        </w:trPr>
        <w:tc>
          <w:tcPr>
            <w:tcW w:w="2200" w:type="dxa"/>
            <w:vAlign w:val="bottom"/>
            <w:gridSpan w:val="2"/>
            <w:shd w:val="clear" w:color="auto" w:fill="DCDDDE"/>
          </w:tcPr>
          <w:p>
            <w:pPr>
              <w:spacing w:after="0"/>
              <w:rPr>
                <w:sz w:val="20"/>
                <w:szCs w:val="20"/>
                <w:color w:val="auto"/>
              </w:rPr>
            </w:pPr>
            <w:r>
              <w:rPr>
                <w:rFonts w:ascii="Calibri" w:cs="Calibri" w:eastAsia="Calibri" w:hAnsi="Calibri"/>
                <w:sz w:val="16"/>
                <w:szCs w:val="16"/>
                <w:color w:val="231F20"/>
              </w:rPr>
              <w:t>Jeffrey S. Berkes</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231F20"/>
              </w:rPr>
              <w:t>16,135</w:t>
            </w:r>
          </w:p>
        </w:tc>
        <w:tc>
          <w:tcPr>
            <w:tcW w:w="50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760" w:type="dxa"/>
            <w:vAlign w:val="bottom"/>
          </w:tcPr>
          <w:p>
            <w:pPr>
              <w:jc w:val="right"/>
              <w:spacing w:after="0"/>
              <w:rPr>
                <w:sz w:val="20"/>
                <w:szCs w:val="20"/>
                <w:color w:val="auto"/>
              </w:rPr>
            </w:pPr>
            <w:r>
              <w:rPr>
                <w:rFonts w:ascii="Calibri" w:cs="Calibri" w:eastAsia="Calibri" w:hAnsi="Calibri"/>
                <w:sz w:val="16"/>
                <w:szCs w:val="16"/>
                <w:color w:val="231F20"/>
              </w:rPr>
              <w:t>1,774,366</w:t>
            </w:r>
          </w:p>
        </w:tc>
      </w:tr>
      <w:tr>
        <w:trPr>
          <w:trHeight w:val="200"/>
        </w:trPr>
        <w:tc>
          <w:tcPr>
            <w:tcW w:w="2200" w:type="dxa"/>
            <w:vAlign w:val="bottom"/>
            <w:gridSpan w:val="2"/>
            <w:shd w:val="clear" w:color="auto" w:fill="DCDDDE"/>
          </w:tcPr>
          <w:p>
            <w:pPr>
              <w:spacing w:after="0"/>
              <w:rPr>
                <w:sz w:val="20"/>
                <w:szCs w:val="20"/>
                <w:color w:val="auto"/>
              </w:rPr>
            </w:pPr>
            <w:r>
              <w:rPr>
                <w:rFonts w:ascii="Calibri" w:cs="Calibri" w:eastAsia="Calibri" w:hAnsi="Calibri"/>
                <w:sz w:val="16"/>
                <w:szCs w:val="16"/>
                <w:color w:val="231F20"/>
              </w:rPr>
              <w:t>Daniel Guglielmone</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231F20"/>
              </w:rPr>
              <w:t>10,625</w:t>
            </w:r>
          </w:p>
        </w:tc>
        <w:tc>
          <w:tcPr>
            <w:tcW w:w="50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760" w:type="dxa"/>
            <w:vAlign w:val="bottom"/>
          </w:tcPr>
          <w:p>
            <w:pPr>
              <w:jc w:val="right"/>
              <w:spacing w:after="0"/>
              <w:rPr>
                <w:sz w:val="20"/>
                <w:szCs w:val="20"/>
                <w:color w:val="auto"/>
              </w:rPr>
            </w:pPr>
            <w:r>
              <w:rPr>
                <w:rFonts w:ascii="Calibri" w:cs="Calibri" w:eastAsia="Calibri" w:hAnsi="Calibri"/>
                <w:sz w:val="16"/>
                <w:szCs w:val="16"/>
                <w:color w:val="231F20"/>
              </w:rPr>
              <w:t>1,146,256</w:t>
            </w:r>
          </w:p>
        </w:tc>
      </w:tr>
      <w:tr>
        <w:trPr>
          <w:trHeight w:val="210"/>
        </w:trPr>
        <w:tc>
          <w:tcPr>
            <w:tcW w:w="2200" w:type="dxa"/>
            <w:vAlign w:val="bottom"/>
            <w:tcBorders>
              <w:bottom w:val="single" w:sz="8" w:color="DCDDDE"/>
            </w:tcBorders>
            <w:gridSpan w:val="2"/>
            <w:shd w:val="clear" w:color="auto" w:fill="DCDDDE"/>
          </w:tcPr>
          <w:p>
            <w:pPr>
              <w:spacing w:after="0"/>
              <w:rPr>
                <w:sz w:val="20"/>
                <w:szCs w:val="20"/>
                <w:color w:val="auto"/>
              </w:rPr>
            </w:pPr>
            <w:r>
              <w:rPr>
                <w:rFonts w:ascii="Calibri" w:cs="Calibri" w:eastAsia="Calibri" w:hAnsi="Calibri"/>
                <w:sz w:val="16"/>
                <w:szCs w:val="16"/>
                <w:color w:val="231F20"/>
              </w:rPr>
              <w:t>Dawn M. Becker</w:t>
            </w:r>
          </w:p>
        </w:tc>
        <w:tc>
          <w:tcPr>
            <w:tcW w:w="3940" w:type="dxa"/>
            <w:vAlign w:val="bottom"/>
          </w:tcPr>
          <w:p>
            <w:pPr>
              <w:jc w:val="right"/>
              <w:ind w:right="120"/>
              <w:spacing w:after="0"/>
              <w:rPr>
                <w:sz w:val="20"/>
                <w:szCs w:val="20"/>
                <w:color w:val="auto"/>
              </w:rPr>
            </w:pPr>
            <w:r>
              <w:rPr>
                <w:rFonts w:ascii="Calibri" w:cs="Calibri" w:eastAsia="Calibri" w:hAnsi="Calibri"/>
                <w:sz w:val="16"/>
                <w:szCs w:val="16"/>
                <w:color w:val="231F20"/>
              </w:rPr>
              <w:t>6,271</w:t>
            </w:r>
          </w:p>
        </w:tc>
        <w:tc>
          <w:tcPr>
            <w:tcW w:w="50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760" w:type="dxa"/>
            <w:vAlign w:val="bottom"/>
          </w:tcPr>
          <w:p>
            <w:pPr>
              <w:jc w:val="right"/>
              <w:spacing w:after="0"/>
              <w:rPr>
                <w:sz w:val="20"/>
                <w:szCs w:val="20"/>
                <w:color w:val="auto"/>
              </w:rPr>
            </w:pPr>
            <w:r>
              <w:rPr>
                <w:rFonts w:ascii="Calibri" w:cs="Calibri" w:eastAsia="Calibri" w:hAnsi="Calibri"/>
                <w:sz w:val="16"/>
                <w:szCs w:val="16"/>
                <w:color w:val="231F20"/>
              </w:rPr>
              <w:t>689,622</w:t>
            </w:r>
          </w:p>
        </w:tc>
      </w:tr>
      <w:tr>
        <w:trPr>
          <w:trHeight w:val="150"/>
        </w:trPr>
        <w:tc>
          <w:tcPr>
            <w:tcW w:w="960" w:type="dxa"/>
            <w:vAlign w:val="bottom"/>
            <w:tcBorders>
              <w:bottom w:val="single" w:sz="8" w:color="231F20"/>
            </w:tcBorders>
          </w:tcPr>
          <w:p>
            <w:pPr>
              <w:spacing w:after="0"/>
              <w:rPr>
                <w:sz w:val="13"/>
                <w:szCs w:val="13"/>
                <w:color w:val="auto"/>
              </w:rPr>
            </w:pPr>
          </w:p>
        </w:tc>
        <w:tc>
          <w:tcPr>
            <w:tcW w:w="1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ind w:left="360" w:hanging="360"/>
        <w:spacing w:after="0" w:line="232" w:lineRule="auto"/>
        <w:tabs>
          <w:tab w:leader="none" w:pos="360" w:val="left"/>
        </w:tabs>
        <w:numPr>
          <w:ilvl w:val="0"/>
          <w:numId w:val="136"/>
        </w:numPr>
        <w:rPr>
          <w:rFonts w:ascii="Arial" w:cs="Arial" w:eastAsia="Arial" w:hAnsi="Arial"/>
          <w:sz w:val="23"/>
          <w:szCs w:val="23"/>
          <w:color w:val="231F20"/>
          <w:vertAlign w:val="superscript"/>
        </w:rPr>
      </w:pPr>
      <w:r>
        <w:rPr>
          <w:rFonts w:ascii="Arial" w:cs="Arial" w:eastAsia="Arial" w:hAnsi="Arial"/>
          <w:sz w:val="18"/>
          <w:szCs w:val="18"/>
          <w:color w:val="231F20"/>
        </w:rPr>
        <w:t>The amounts in this column were calculated using the closing price of a share on the date the shares vested.</w:t>
      </w:r>
    </w:p>
    <w:p>
      <w:pPr>
        <w:spacing w:after="0" w:line="37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NON-QUALIFIED DEFERRED COMPENSATION</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We maintain a non-qualified deferred compensation plan that is open to participation by 53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All of our NEOs other than Mr. Guglielmone participate in our deferred compensation plan. 2023 activity for the participants in our plan is described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500" w:type="dxa"/>
            <w:vAlign w:val="bottom"/>
            <w:shd w:val="clear" w:color="auto" w:fill="EF3E2A"/>
          </w:tcPr>
          <w:p>
            <w:pPr>
              <w:spacing w:after="0"/>
              <w:rPr>
                <w:sz w:val="24"/>
                <w:szCs w:val="24"/>
                <w:color w:val="auto"/>
              </w:rPr>
            </w:pPr>
          </w:p>
        </w:tc>
        <w:tc>
          <w:tcPr>
            <w:tcW w:w="1100" w:type="dxa"/>
            <w:vAlign w:val="bottom"/>
            <w:shd w:val="clear" w:color="auto" w:fill="EF3E2A"/>
          </w:tcPr>
          <w:p>
            <w:pPr>
              <w:spacing w:after="0"/>
              <w:rPr>
                <w:sz w:val="24"/>
                <w:szCs w:val="24"/>
                <w:color w:val="auto"/>
              </w:rPr>
            </w:pPr>
          </w:p>
        </w:tc>
        <w:tc>
          <w:tcPr>
            <w:tcW w:w="160" w:type="dxa"/>
            <w:vAlign w:val="bottom"/>
            <w:shd w:val="clear" w:color="auto" w:fill="EF3E2A"/>
          </w:tcPr>
          <w:p>
            <w:pPr>
              <w:spacing w:after="0"/>
              <w:rPr>
                <w:sz w:val="24"/>
                <w:szCs w:val="24"/>
                <w:color w:val="auto"/>
              </w:rPr>
            </w:pPr>
          </w:p>
        </w:tc>
        <w:tc>
          <w:tcPr>
            <w:tcW w:w="138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Executive</w:t>
            </w:r>
          </w:p>
        </w:tc>
        <w:tc>
          <w:tcPr>
            <w:tcW w:w="560" w:type="dxa"/>
            <w:vAlign w:val="bottom"/>
            <w:shd w:val="clear" w:color="auto" w:fill="EF3E2A"/>
          </w:tcPr>
          <w:p>
            <w:pPr>
              <w:spacing w:after="0"/>
              <w:rPr>
                <w:sz w:val="24"/>
                <w:szCs w:val="24"/>
                <w:color w:val="auto"/>
              </w:rPr>
            </w:pPr>
          </w:p>
        </w:tc>
        <w:tc>
          <w:tcPr>
            <w:tcW w:w="130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Registrant</w:t>
            </w:r>
          </w:p>
        </w:tc>
        <w:tc>
          <w:tcPr>
            <w:tcW w:w="300" w:type="dxa"/>
            <w:vAlign w:val="bottom"/>
            <w:shd w:val="clear" w:color="auto" w:fill="EF3E2A"/>
          </w:tcPr>
          <w:p>
            <w:pPr>
              <w:spacing w:after="0"/>
              <w:rPr>
                <w:sz w:val="24"/>
                <w:szCs w:val="24"/>
                <w:color w:val="auto"/>
              </w:rPr>
            </w:pPr>
          </w:p>
        </w:tc>
        <w:tc>
          <w:tcPr>
            <w:tcW w:w="110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Aggregate</w:t>
            </w:r>
          </w:p>
        </w:tc>
        <w:tc>
          <w:tcPr>
            <w:tcW w:w="160" w:type="dxa"/>
            <w:vAlign w:val="bottom"/>
            <w:shd w:val="clear" w:color="auto" w:fill="EF3E2A"/>
          </w:tcPr>
          <w:p>
            <w:pPr>
              <w:spacing w:after="0"/>
              <w:rPr>
                <w:sz w:val="24"/>
                <w:szCs w:val="24"/>
                <w:color w:val="auto"/>
              </w:rPr>
            </w:pPr>
          </w:p>
        </w:tc>
        <w:tc>
          <w:tcPr>
            <w:tcW w:w="114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Aggregate</w:t>
            </w:r>
          </w:p>
        </w:tc>
        <w:tc>
          <w:tcPr>
            <w:tcW w:w="280" w:type="dxa"/>
            <w:vAlign w:val="bottom"/>
            <w:shd w:val="clear" w:color="auto" w:fill="EF3E2A"/>
          </w:tcPr>
          <w:p>
            <w:pPr>
              <w:spacing w:after="0"/>
              <w:rPr>
                <w:sz w:val="24"/>
                <w:szCs w:val="24"/>
                <w:color w:val="auto"/>
              </w:rPr>
            </w:pPr>
          </w:p>
        </w:tc>
        <w:tc>
          <w:tcPr>
            <w:tcW w:w="110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Aggregate</w:t>
            </w:r>
          </w:p>
        </w:tc>
      </w:tr>
      <w:tr>
        <w:trPr>
          <w:trHeight w:val="240"/>
        </w:trPr>
        <w:tc>
          <w:tcPr>
            <w:tcW w:w="1500" w:type="dxa"/>
            <w:vAlign w:val="bottom"/>
            <w:shd w:val="clear" w:color="auto" w:fill="EF3E2A"/>
          </w:tcPr>
          <w:p>
            <w:pPr>
              <w:spacing w:after="0"/>
              <w:rPr>
                <w:sz w:val="20"/>
                <w:szCs w:val="20"/>
                <w:color w:val="auto"/>
              </w:rPr>
            </w:pPr>
          </w:p>
        </w:tc>
        <w:tc>
          <w:tcPr>
            <w:tcW w:w="1100" w:type="dxa"/>
            <w:vAlign w:val="bottom"/>
            <w:shd w:val="clear" w:color="auto" w:fill="EF3E2A"/>
          </w:tcPr>
          <w:p>
            <w:pPr>
              <w:spacing w:after="0"/>
              <w:rPr>
                <w:sz w:val="20"/>
                <w:szCs w:val="20"/>
                <w:color w:val="auto"/>
              </w:rPr>
            </w:pPr>
          </w:p>
        </w:tc>
        <w:tc>
          <w:tcPr>
            <w:tcW w:w="160" w:type="dxa"/>
            <w:vAlign w:val="bottom"/>
            <w:shd w:val="clear" w:color="auto" w:fill="EF3E2A"/>
          </w:tcPr>
          <w:p>
            <w:pPr>
              <w:spacing w:after="0"/>
              <w:rPr>
                <w:sz w:val="20"/>
                <w:szCs w:val="20"/>
                <w:color w:val="auto"/>
              </w:rPr>
            </w:pPr>
          </w:p>
        </w:tc>
        <w:tc>
          <w:tcPr>
            <w:tcW w:w="1380" w:type="dxa"/>
            <w:vAlign w:val="bottom"/>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w w:val="96"/>
              </w:rPr>
              <w:t>Contributions in</w:t>
            </w:r>
          </w:p>
        </w:tc>
        <w:tc>
          <w:tcPr>
            <w:tcW w:w="186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Contributions in Last</w:t>
            </w:r>
          </w:p>
        </w:tc>
        <w:tc>
          <w:tcPr>
            <w:tcW w:w="300" w:type="dxa"/>
            <w:vAlign w:val="bottom"/>
            <w:shd w:val="clear" w:color="auto" w:fill="EF3E2A"/>
          </w:tcPr>
          <w:p>
            <w:pPr>
              <w:spacing w:after="0"/>
              <w:rPr>
                <w:sz w:val="20"/>
                <w:szCs w:val="20"/>
                <w:color w:val="auto"/>
              </w:rPr>
            </w:pPr>
          </w:p>
        </w:tc>
        <w:tc>
          <w:tcPr>
            <w:tcW w:w="1100" w:type="dxa"/>
            <w:vAlign w:val="bottom"/>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Earnings in</w:t>
            </w:r>
          </w:p>
        </w:tc>
        <w:tc>
          <w:tcPr>
            <w:tcW w:w="130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Withdrawals/</w:t>
            </w:r>
          </w:p>
        </w:tc>
        <w:tc>
          <w:tcPr>
            <w:tcW w:w="138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Balance at Last</w:t>
            </w:r>
          </w:p>
        </w:tc>
      </w:tr>
      <w:tr>
        <w:trPr>
          <w:trHeight w:val="264"/>
        </w:trPr>
        <w:tc>
          <w:tcPr>
            <w:tcW w:w="2600" w:type="dxa"/>
            <w:vAlign w:val="bottom"/>
            <w:gridSpan w:val="2"/>
            <w:shd w:val="clear" w:color="auto" w:fill="EF3E2A"/>
          </w:tcPr>
          <w:p>
            <w:pPr>
              <w:ind w:left="60"/>
              <w:spacing w:after="0" w:line="240" w:lineRule="exact"/>
              <w:rPr>
                <w:sz w:val="20"/>
                <w:szCs w:val="20"/>
                <w:color w:val="auto"/>
              </w:rPr>
            </w:pPr>
            <w:r>
              <w:rPr>
                <w:rFonts w:ascii="Calibri" w:cs="Calibri" w:eastAsia="Calibri" w:hAnsi="Calibri"/>
                <w:sz w:val="20"/>
                <w:szCs w:val="20"/>
                <w:b w:val="1"/>
                <w:bCs w:val="1"/>
                <w:color w:val="E8E7E5"/>
              </w:rPr>
              <w:t>Name</w:t>
            </w:r>
          </w:p>
        </w:tc>
        <w:tc>
          <w:tcPr>
            <w:tcW w:w="1540" w:type="dxa"/>
            <w:vAlign w:val="bottom"/>
            <w:gridSpan w:val="2"/>
            <w:shd w:val="clear" w:color="auto" w:fill="EF3E2A"/>
          </w:tcPr>
          <w:p>
            <w:pPr>
              <w:jc w:val="right"/>
              <w:spacing w:after="0" w:line="264" w:lineRule="exact"/>
              <w:rPr>
                <w:sz w:val="20"/>
                <w:szCs w:val="20"/>
                <w:color w:val="auto"/>
              </w:rPr>
            </w:pPr>
            <w:r>
              <w:rPr>
                <w:rFonts w:ascii="Calibri" w:cs="Calibri" w:eastAsia="Calibri" w:hAnsi="Calibri"/>
                <w:sz w:val="20"/>
                <w:szCs w:val="20"/>
                <w:b w:val="1"/>
                <w:bCs w:val="1"/>
                <w:color w:val="FFFFFF"/>
              </w:rPr>
              <w:t>Last Fiscal Year</w:t>
            </w:r>
            <w:r>
              <w:rPr>
                <w:rFonts w:ascii="Calibri" w:cs="Calibri" w:eastAsia="Calibri" w:hAnsi="Calibri"/>
                <w:sz w:val="25"/>
                <w:szCs w:val="25"/>
                <w:b w:val="1"/>
                <w:bCs w:val="1"/>
                <w:color w:val="FFFFFF"/>
                <w:vertAlign w:val="superscript"/>
              </w:rPr>
              <w:t>(1)</w:t>
            </w:r>
          </w:p>
        </w:tc>
        <w:tc>
          <w:tcPr>
            <w:tcW w:w="560" w:type="dxa"/>
            <w:vAlign w:val="bottom"/>
            <w:shd w:val="clear" w:color="auto" w:fill="EF3E2A"/>
          </w:tcPr>
          <w:p>
            <w:pPr>
              <w:spacing w:after="0"/>
              <w:rPr>
                <w:sz w:val="22"/>
                <w:szCs w:val="22"/>
                <w:color w:val="auto"/>
              </w:rPr>
            </w:pPr>
          </w:p>
        </w:tc>
        <w:tc>
          <w:tcPr>
            <w:tcW w:w="1300" w:type="dxa"/>
            <w:vAlign w:val="bottom"/>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Fiscal Year</w:t>
            </w:r>
          </w:p>
        </w:tc>
        <w:tc>
          <w:tcPr>
            <w:tcW w:w="140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Last Fiscal Year</w:t>
            </w:r>
          </w:p>
        </w:tc>
        <w:tc>
          <w:tcPr>
            <w:tcW w:w="160" w:type="dxa"/>
            <w:vAlign w:val="bottom"/>
            <w:shd w:val="clear" w:color="auto" w:fill="EF3E2A"/>
          </w:tcPr>
          <w:p>
            <w:pPr>
              <w:spacing w:after="0"/>
              <w:rPr>
                <w:sz w:val="22"/>
                <w:szCs w:val="22"/>
                <w:color w:val="auto"/>
              </w:rPr>
            </w:pPr>
          </w:p>
        </w:tc>
        <w:tc>
          <w:tcPr>
            <w:tcW w:w="1140" w:type="dxa"/>
            <w:vAlign w:val="bottom"/>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w w:val="98"/>
              </w:rPr>
              <w:t>Distributions</w:t>
            </w:r>
          </w:p>
        </w:tc>
        <w:tc>
          <w:tcPr>
            <w:tcW w:w="138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Fiscal Year-End</w:t>
            </w:r>
          </w:p>
        </w:tc>
      </w:tr>
      <w:tr>
        <w:trPr>
          <w:trHeight w:val="276"/>
        </w:trPr>
        <w:tc>
          <w:tcPr>
            <w:tcW w:w="260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Donald C. Wood</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380" w:type="dxa"/>
            <w:vAlign w:val="bottom"/>
          </w:tcPr>
          <w:p>
            <w:pPr>
              <w:jc w:val="right"/>
              <w:spacing w:after="0"/>
              <w:rPr>
                <w:sz w:val="20"/>
                <w:szCs w:val="20"/>
                <w:color w:val="auto"/>
              </w:rPr>
            </w:pPr>
            <w:r>
              <w:rPr>
                <w:rFonts w:ascii="Calibri" w:cs="Calibri" w:eastAsia="Calibri" w:hAnsi="Calibri"/>
                <w:sz w:val="20"/>
                <w:szCs w:val="20"/>
                <w:color w:val="231F20"/>
              </w:rPr>
              <w:t>250,000</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231F20"/>
              </w:rPr>
              <w:t>$</w:t>
            </w:r>
          </w:p>
        </w:tc>
        <w:tc>
          <w:tcPr>
            <w:tcW w:w="13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1,747,420</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80" w:type="dxa"/>
            <w:vAlign w:val="bottom"/>
          </w:tcPr>
          <w:p>
            <w:pPr>
              <w:jc w:val="right"/>
              <w:ind w:right="2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10,947,230</w:t>
            </w:r>
          </w:p>
        </w:tc>
      </w:tr>
      <w:tr>
        <w:trPr>
          <w:trHeight w:val="300"/>
        </w:trPr>
        <w:tc>
          <w:tcPr>
            <w:tcW w:w="260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Jeffrey S. Berkes</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380" w:type="dxa"/>
            <w:vAlign w:val="bottom"/>
          </w:tcPr>
          <w:p>
            <w:pPr>
              <w:jc w:val="right"/>
              <w:spacing w:after="0"/>
              <w:rPr>
                <w:sz w:val="20"/>
                <w:szCs w:val="20"/>
                <w:color w:val="auto"/>
              </w:rPr>
            </w:pPr>
            <w:r>
              <w:rPr>
                <w:rFonts w:ascii="Calibri" w:cs="Calibri" w:eastAsia="Calibri" w:hAnsi="Calibri"/>
                <w:sz w:val="20"/>
                <w:szCs w:val="20"/>
                <w:color w:val="231F20"/>
              </w:rPr>
              <w:t>152,344</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231F20"/>
              </w:rPr>
              <w:t>$</w:t>
            </w:r>
          </w:p>
        </w:tc>
        <w:tc>
          <w:tcPr>
            <w:tcW w:w="13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84,592</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80" w:type="dxa"/>
            <w:vAlign w:val="bottom"/>
          </w:tcPr>
          <w:p>
            <w:pPr>
              <w:jc w:val="right"/>
              <w:ind w:right="2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618,984</w:t>
            </w:r>
          </w:p>
        </w:tc>
      </w:tr>
      <w:tr>
        <w:trPr>
          <w:trHeight w:val="304"/>
        </w:trPr>
        <w:tc>
          <w:tcPr>
            <w:tcW w:w="2600" w:type="dxa"/>
            <w:vAlign w:val="bottom"/>
            <w:tcBorders>
              <w:bottom w:val="single" w:sz="8" w:color="DCDDDE"/>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Dawn M. Becker</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380" w:type="dxa"/>
            <w:vAlign w:val="bottom"/>
          </w:tcPr>
          <w:p>
            <w:pPr>
              <w:jc w:val="right"/>
              <w:spacing w:after="0"/>
              <w:rPr>
                <w:sz w:val="20"/>
                <w:szCs w:val="20"/>
                <w:color w:val="auto"/>
              </w:rPr>
            </w:pPr>
            <w:r>
              <w:rPr>
                <w:rFonts w:ascii="Calibri" w:cs="Calibri" w:eastAsia="Calibri" w:hAnsi="Calibri"/>
                <w:sz w:val="20"/>
                <w:szCs w:val="20"/>
                <w:color w:val="231F20"/>
              </w:rPr>
              <w:t>57,500</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231F20"/>
              </w:rPr>
              <w:t>$</w:t>
            </w:r>
          </w:p>
        </w:tc>
        <w:tc>
          <w:tcPr>
            <w:tcW w:w="13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331,445</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80" w:type="dxa"/>
            <w:vAlign w:val="bottom"/>
          </w:tcPr>
          <w:p>
            <w:pPr>
              <w:jc w:val="right"/>
              <w:ind w:right="2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2,449,756</w:t>
            </w:r>
          </w:p>
        </w:tc>
      </w:tr>
      <w:tr>
        <w:trPr>
          <w:trHeight w:val="150"/>
        </w:trPr>
        <w:tc>
          <w:tcPr>
            <w:tcW w:w="1500" w:type="dxa"/>
            <w:vAlign w:val="bottom"/>
            <w:tcBorders>
              <w:bottom w:val="single" w:sz="8" w:color="231F20"/>
            </w:tcBorders>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55" w:lineRule="exact"/>
        <w:rPr>
          <w:sz w:val="20"/>
          <w:szCs w:val="20"/>
          <w:color w:val="auto"/>
        </w:rPr>
      </w:pPr>
    </w:p>
    <w:p>
      <w:pPr>
        <w:ind w:left="480" w:hanging="360"/>
        <w:spacing w:after="0" w:line="214" w:lineRule="auto"/>
        <w:tabs>
          <w:tab w:leader="none" w:pos="480" w:val="left"/>
        </w:tabs>
        <w:numPr>
          <w:ilvl w:val="1"/>
          <w:numId w:val="138"/>
        </w:numPr>
        <w:rPr>
          <w:rFonts w:ascii="Arial" w:cs="Arial" w:eastAsia="Arial" w:hAnsi="Arial"/>
          <w:sz w:val="23"/>
          <w:szCs w:val="23"/>
          <w:color w:val="231F20"/>
          <w:vertAlign w:val="superscript"/>
        </w:rPr>
      </w:pPr>
      <w:r>
        <w:rPr>
          <w:rFonts w:ascii="Arial" w:cs="Arial" w:eastAsia="Arial" w:hAnsi="Arial"/>
          <w:sz w:val="18"/>
          <w:szCs w:val="18"/>
          <w:color w:val="231F20"/>
        </w:rPr>
        <w:t>All amounts in this column are included in either the “Salary” or “Non-Equity Incentive Plan Compensation” column of the Summary Compensation Table for 2023.</w:t>
      </w:r>
    </w:p>
    <w:p>
      <w:pPr>
        <w:spacing w:after="0" w:line="373" w:lineRule="exact"/>
        <w:rPr>
          <w:rFonts w:ascii="Arial" w:cs="Arial" w:eastAsia="Arial" w:hAnsi="Arial"/>
          <w:sz w:val="23"/>
          <w:szCs w:val="23"/>
          <w:color w:val="231F20"/>
          <w:vertAlign w:val="superscript"/>
        </w:rPr>
      </w:pPr>
    </w:p>
    <w:p>
      <w:pPr>
        <w:spacing w:after="0" w:line="268" w:lineRule="exact"/>
        <w:rPr>
          <w:rFonts w:ascii="Arial" w:cs="Arial" w:eastAsia="Arial" w:hAnsi="Arial"/>
          <w:sz w:val="23"/>
          <w:szCs w:val="23"/>
          <w:color w:val="231F20"/>
          <w:vertAlign w:val="superscript"/>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POTENTIAL PAYMENTS ON TERMINATION OF EMPLOYMENT AND CHANGE-IN-CONTROL</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have entered into severance agreements with each of our NEOs that require us to make certain payments and provide certain benefits to them in the event of a termination of employment, whether following a change in control of the Company or in connection with other circumstances.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award under the annual bonus plan or our long-term incentive plan for the year in which the termination occurs. The agreements with each of our NEOs contain provisions restricting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124460</wp:posOffset>
                </wp:positionV>
                <wp:extent cx="6400800" cy="17780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42" o:spid="_x0000_s1467" style="position:absolute;margin-left:0pt;margin-top:9.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123825</wp:posOffset>
                </wp:positionV>
                <wp:extent cx="0" cy="17780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75pt" to="0.5pt,23.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400800"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25pt" to="504pt,10.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123825</wp:posOffset>
                </wp:positionV>
                <wp:extent cx="0" cy="17780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75pt" to="503.5pt,23.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295275</wp:posOffset>
                </wp:positionV>
                <wp:extent cx="6400800"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25pt" to="504pt,23.2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4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34</w:t>
      </w:r>
    </w:p>
    <w:p>
      <w:pPr>
        <w:sectPr>
          <w:pgSz w:w="12240" w:h="15840" w:orient="portrait"/>
          <w:cols w:equalWidth="0" w:num="1">
            <w:col w:w="10080"/>
          </w:cols>
          <w:pgMar w:left="1080" w:top="1440" w:right="1080" w:bottom="944" w:gutter="0" w:footer="0" w:header="0"/>
          <w:type w:val="continuous"/>
        </w:sectPr>
      </w:pPr>
    </w:p>
    <w:bookmarkStart w:id="154" w:name="page155"/>
    <w:bookmarkEnd w:id="154"/>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executive from engaging in competing behavior and soliciting and/or hiring our employees for a period of time after termination. The payments that will be made to an NEO on termination vary depending on the reason for termination and may be conditioned on the signing of a release in favor of the Company.</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The amount of compensation payable to each of our NEOs under various termination scenarios is reflected below assuming that the separation of service was effective on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0" w:type="dxa"/>
            <w:vAlign w:val="bottom"/>
            <w:shd w:val="clear" w:color="auto" w:fill="EF3E2A"/>
          </w:tcPr>
          <w:p>
            <w:pPr>
              <w:spacing w:after="0"/>
              <w:rPr>
                <w:sz w:val="21"/>
                <w:szCs w:val="21"/>
                <w:color w:val="auto"/>
              </w:rPr>
            </w:pPr>
          </w:p>
        </w:tc>
        <w:tc>
          <w:tcPr>
            <w:tcW w:w="740" w:type="dxa"/>
            <w:vAlign w:val="bottom"/>
            <w:shd w:val="clear" w:color="auto" w:fill="EF3E2A"/>
          </w:tcPr>
          <w:p>
            <w:pPr>
              <w:spacing w:after="0"/>
              <w:rPr>
                <w:sz w:val="21"/>
                <w:szCs w:val="21"/>
                <w:color w:val="auto"/>
              </w:rPr>
            </w:pPr>
          </w:p>
        </w:tc>
        <w:tc>
          <w:tcPr>
            <w:tcW w:w="1940" w:type="dxa"/>
            <w:vAlign w:val="bottom"/>
            <w:shd w:val="clear" w:color="auto" w:fill="EF3E2A"/>
          </w:tcPr>
          <w:p>
            <w:pPr>
              <w:spacing w:after="0"/>
              <w:rPr>
                <w:sz w:val="21"/>
                <w:szCs w:val="21"/>
                <w:color w:val="auto"/>
              </w:rPr>
            </w:pPr>
          </w:p>
        </w:tc>
        <w:tc>
          <w:tcPr>
            <w:tcW w:w="280" w:type="dxa"/>
            <w:vAlign w:val="bottom"/>
            <w:shd w:val="clear" w:color="auto" w:fill="EF3E2A"/>
          </w:tcPr>
          <w:p>
            <w:pPr>
              <w:spacing w:after="0"/>
              <w:rPr>
                <w:sz w:val="21"/>
                <w:szCs w:val="21"/>
                <w:color w:val="auto"/>
              </w:rPr>
            </w:pPr>
          </w:p>
        </w:tc>
        <w:tc>
          <w:tcPr>
            <w:tcW w:w="920" w:type="dxa"/>
            <w:vAlign w:val="bottom"/>
            <w:shd w:val="clear" w:color="auto" w:fill="EF3E2A"/>
          </w:tcPr>
          <w:p>
            <w:pPr>
              <w:spacing w:after="0"/>
              <w:rPr>
                <w:sz w:val="21"/>
                <w:szCs w:val="21"/>
                <w:color w:val="auto"/>
              </w:rPr>
            </w:pPr>
          </w:p>
        </w:tc>
        <w:tc>
          <w:tcPr>
            <w:tcW w:w="300" w:type="dxa"/>
            <w:vAlign w:val="bottom"/>
            <w:shd w:val="clear" w:color="auto" w:fill="EF3E2A"/>
          </w:tcPr>
          <w:p>
            <w:pPr>
              <w:spacing w:after="0"/>
              <w:rPr>
                <w:sz w:val="21"/>
                <w:szCs w:val="21"/>
                <w:color w:val="auto"/>
              </w:rPr>
            </w:pPr>
          </w:p>
        </w:tc>
        <w:tc>
          <w:tcPr>
            <w:tcW w:w="1060" w:type="dxa"/>
            <w:vAlign w:val="bottom"/>
            <w:shd w:val="clear" w:color="auto" w:fill="EF3E2A"/>
          </w:tcPr>
          <w:p>
            <w:pPr>
              <w:spacing w:after="0"/>
              <w:rPr>
                <w:sz w:val="21"/>
                <w:szCs w:val="21"/>
                <w:color w:val="auto"/>
              </w:rPr>
            </w:pPr>
          </w:p>
        </w:tc>
        <w:tc>
          <w:tcPr>
            <w:tcW w:w="280" w:type="dxa"/>
            <w:vAlign w:val="bottom"/>
            <w:shd w:val="clear" w:color="auto" w:fill="EF3E2A"/>
          </w:tcPr>
          <w:p>
            <w:pPr>
              <w:spacing w:after="0"/>
              <w:rPr>
                <w:sz w:val="21"/>
                <w:szCs w:val="21"/>
                <w:color w:val="auto"/>
              </w:rPr>
            </w:pPr>
          </w:p>
        </w:tc>
        <w:tc>
          <w:tcPr>
            <w:tcW w:w="1060" w:type="dxa"/>
            <w:vAlign w:val="bottom"/>
            <w:shd w:val="clear" w:color="auto" w:fill="EF3E2A"/>
          </w:tcPr>
          <w:p>
            <w:pPr>
              <w:jc w:val="right"/>
              <w:ind w:right="103"/>
              <w:spacing w:after="0"/>
              <w:rPr>
                <w:sz w:val="20"/>
                <w:szCs w:val="20"/>
                <w:color w:val="auto"/>
              </w:rPr>
            </w:pPr>
            <w:r>
              <w:rPr>
                <w:rFonts w:ascii="Calibri" w:cs="Calibri" w:eastAsia="Calibri" w:hAnsi="Calibri"/>
                <w:sz w:val="20"/>
                <w:szCs w:val="20"/>
                <w:b w:val="1"/>
                <w:bCs w:val="1"/>
                <w:color w:val="FFFFFF"/>
                <w:w w:val="93"/>
              </w:rPr>
              <w:t>Change-in-</w:t>
            </w:r>
          </w:p>
        </w:tc>
        <w:tc>
          <w:tcPr>
            <w:tcW w:w="240" w:type="dxa"/>
            <w:vAlign w:val="bottom"/>
            <w:shd w:val="clear" w:color="auto" w:fill="EF3E2A"/>
          </w:tcPr>
          <w:p>
            <w:pPr>
              <w:spacing w:after="0"/>
              <w:rPr>
                <w:sz w:val="21"/>
                <w:szCs w:val="21"/>
                <w:color w:val="auto"/>
              </w:rPr>
            </w:pPr>
          </w:p>
        </w:tc>
        <w:tc>
          <w:tcPr>
            <w:tcW w:w="1040" w:type="dxa"/>
            <w:vAlign w:val="bottom"/>
            <w:shd w:val="clear" w:color="auto" w:fill="EF3E2A"/>
          </w:tcPr>
          <w:p>
            <w:pPr>
              <w:spacing w:after="0"/>
              <w:rPr>
                <w:sz w:val="21"/>
                <w:szCs w:val="21"/>
                <w:color w:val="auto"/>
              </w:rPr>
            </w:pPr>
          </w:p>
        </w:tc>
        <w:tc>
          <w:tcPr>
            <w:tcW w:w="260" w:type="dxa"/>
            <w:vAlign w:val="bottom"/>
            <w:shd w:val="clear" w:color="auto" w:fill="EF3E2A"/>
          </w:tcPr>
          <w:p>
            <w:pPr>
              <w:spacing w:after="0"/>
              <w:rPr>
                <w:sz w:val="21"/>
                <w:szCs w:val="21"/>
                <w:color w:val="auto"/>
              </w:rPr>
            </w:pPr>
          </w:p>
        </w:tc>
        <w:tc>
          <w:tcPr>
            <w:tcW w:w="1000" w:type="dxa"/>
            <w:vAlign w:val="bottom"/>
            <w:shd w:val="clear" w:color="auto" w:fill="EF3E2A"/>
          </w:tcPr>
          <w:p>
            <w:pPr>
              <w:spacing w:after="0"/>
              <w:rPr>
                <w:sz w:val="21"/>
                <w:szCs w:val="21"/>
                <w:color w:val="auto"/>
              </w:rPr>
            </w:pPr>
          </w:p>
        </w:tc>
      </w:tr>
      <w:tr>
        <w:trPr>
          <w:trHeight w:val="200"/>
        </w:trPr>
        <w:tc>
          <w:tcPr>
            <w:tcW w:w="960" w:type="dxa"/>
            <w:vAlign w:val="bottom"/>
            <w:shd w:val="clear" w:color="auto" w:fill="EF3E2A"/>
          </w:tcPr>
          <w:p>
            <w:pPr>
              <w:spacing w:after="0"/>
              <w:rPr>
                <w:sz w:val="17"/>
                <w:szCs w:val="17"/>
                <w:color w:val="auto"/>
              </w:rPr>
            </w:pPr>
          </w:p>
        </w:tc>
        <w:tc>
          <w:tcPr>
            <w:tcW w:w="740" w:type="dxa"/>
            <w:vAlign w:val="bottom"/>
            <w:shd w:val="clear" w:color="auto" w:fill="EF3E2A"/>
          </w:tcPr>
          <w:p>
            <w:pPr>
              <w:spacing w:after="0"/>
              <w:rPr>
                <w:sz w:val="17"/>
                <w:szCs w:val="17"/>
                <w:color w:val="auto"/>
              </w:rPr>
            </w:pPr>
          </w:p>
        </w:tc>
        <w:tc>
          <w:tcPr>
            <w:tcW w:w="1940" w:type="dxa"/>
            <w:vAlign w:val="bottom"/>
            <w:shd w:val="clear" w:color="auto" w:fill="EF3E2A"/>
          </w:tcPr>
          <w:p>
            <w:pPr>
              <w:spacing w:after="0"/>
              <w:rPr>
                <w:sz w:val="17"/>
                <w:szCs w:val="17"/>
                <w:color w:val="auto"/>
              </w:rPr>
            </w:pPr>
          </w:p>
        </w:tc>
        <w:tc>
          <w:tcPr>
            <w:tcW w:w="1200" w:type="dxa"/>
            <w:vAlign w:val="bottom"/>
            <w:gridSpan w:val="2"/>
            <w:shd w:val="clear" w:color="auto" w:fill="EF3E2A"/>
          </w:tcPr>
          <w:p>
            <w:pPr>
              <w:jc w:val="right"/>
              <w:ind w:right="123"/>
              <w:spacing w:after="0" w:line="200" w:lineRule="exact"/>
              <w:rPr>
                <w:sz w:val="20"/>
                <w:szCs w:val="20"/>
                <w:color w:val="auto"/>
              </w:rPr>
            </w:pPr>
            <w:r>
              <w:rPr>
                <w:rFonts w:ascii="Calibri" w:cs="Calibri" w:eastAsia="Calibri" w:hAnsi="Calibri"/>
                <w:sz w:val="20"/>
                <w:szCs w:val="20"/>
                <w:b w:val="1"/>
                <w:bCs w:val="1"/>
                <w:color w:val="FFFFFF"/>
              </w:rPr>
              <w:t>For Cause</w:t>
            </w:r>
          </w:p>
        </w:tc>
        <w:tc>
          <w:tcPr>
            <w:tcW w:w="1360" w:type="dxa"/>
            <w:vAlign w:val="bottom"/>
            <w:gridSpan w:val="2"/>
            <w:shd w:val="clear" w:color="auto" w:fill="EF3E2A"/>
          </w:tcPr>
          <w:p>
            <w:pPr>
              <w:ind w:left="200"/>
              <w:spacing w:after="0" w:line="200" w:lineRule="exact"/>
              <w:rPr>
                <w:sz w:val="20"/>
                <w:szCs w:val="20"/>
                <w:color w:val="auto"/>
              </w:rPr>
            </w:pPr>
            <w:r>
              <w:rPr>
                <w:rFonts w:ascii="Calibri" w:cs="Calibri" w:eastAsia="Calibri" w:hAnsi="Calibri"/>
                <w:sz w:val="20"/>
                <w:szCs w:val="20"/>
                <w:b w:val="1"/>
                <w:bCs w:val="1"/>
                <w:color w:val="FFFFFF"/>
              </w:rPr>
              <w:t>Termination</w:t>
            </w:r>
          </w:p>
        </w:tc>
        <w:tc>
          <w:tcPr>
            <w:tcW w:w="280" w:type="dxa"/>
            <w:vAlign w:val="bottom"/>
            <w:shd w:val="clear" w:color="auto" w:fill="EF3E2A"/>
          </w:tcPr>
          <w:p>
            <w:pPr>
              <w:spacing w:after="0"/>
              <w:rPr>
                <w:sz w:val="17"/>
                <w:szCs w:val="17"/>
                <w:color w:val="auto"/>
              </w:rPr>
            </w:pPr>
          </w:p>
        </w:tc>
        <w:tc>
          <w:tcPr>
            <w:tcW w:w="1060" w:type="dxa"/>
            <w:vAlign w:val="bottom"/>
            <w:shd w:val="clear" w:color="auto" w:fill="EF3E2A"/>
          </w:tcPr>
          <w:p>
            <w:pPr>
              <w:jc w:val="right"/>
              <w:ind w:right="263"/>
              <w:spacing w:after="0" w:line="200" w:lineRule="exact"/>
              <w:rPr>
                <w:sz w:val="20"/>
                <w:szCs w:val="20"/>
                <w:color w:val="auto"/>
              </w:rPr>
            </w:pPr>
            <w:r>
              <w:rPr>
                <w:rFonts w:ascii="Calibri" w:cs="Calibri" w:eastAsia="Calibri" w:hAnsi="Calibri"/>
                <w:sz w:val="20"/>
                <w:szCs w:val="20"/>
                <w:b w:val="1"/>
                <w:bCs w:val="1"/>
                <w:color w:val="FFFFFF"/>
              </w:rPr>
              <w:t>Control</w:t>
            </w:r>
          </w:p>
        </w:tc>
        <w:tc>
          <w:tcPr>
            <w:tcW w:w="2540" w:type="dxa"/>
            <w:vAlign w:val="bottom"/>
            <w:gridSpan w:val="4"/>
            <w:shd w:val="clear" w:color="auto" w:fill="EF3E2A"/>
          </w:tcPr>
          <w:p>
            <w:pPr>
              <w:jc w:val="right"/>
              <w:spacing w:after="0" w:line="200" w:lineRule="exact"/>
              <w:rPr>
                <w:sz w:val="20"/>
                <w:szCs w:val="20"/>
                <w:color w:val="auto"/>
              </w:rPr>
            </w:pPr>
            <w:r>
              <w:rPr>
                <w:rFonts w:ascii="Calibri" w:cs="Calibri" w:eastAsia="Calibri" w:hAnsi="Calibri"/>
                <w:sz w:val="20"/>
                <w:szCs w:val="20"/>
                <w:b w:val="1"/>
                <w:bCs w:val="1"/>
                <w:color w:val="FFFFFF"/>
                <w:w w:val="96"/>
              </w:rPr>
              <w:t>Termination on Termination on</w:t>
            </w:r>
          </w:p>
        </w:tc>
      </w:tr>
      <w:tr>
        <w:trPr>
          <w:trHeight w:val="227"/>
        </w:trPr>
        <w:tc>
          <w:tcPr>
            <w:tcW w:w="1700" w:type="dxa"/>
            <w:vAlign w:val="bottom"/>
            <w:gridSpan w:val="2"/>
            <w:shd w:val="clear" w:color="auto" w:fill="EF3E2A"/>
          </w:tcPr>
          <w:p>
            <w:pPr>
              <w:spacing w:after="0" w:line="203" w:lineRule="exact"/>
              <w:rPr>
                <w:sz w:val="20"/>
                <w:szCs w:val="20"/>
                <w:color w:val="auto"/>
              </w:rPr>
            </w:pPr>
            <w:r>
              <w:rPr>
                <w:rFonts w:ascii="Calibri" w:cs="Calibri" w:eastAsia="Calibri" w:hAnsi="Calibri"/>
                <w:sz w:val="20"/>
                <w:szCs w:val="20"/>
                <w:b w:val="1"/>
                <w:bCs w:val="1"/>
                <w:color w:val="FFFFFF"/>
              </w:rPr>
              <w:t>Name</w:t>
            </w:r>
          </w:p>
        </w:tc>
        <w:tc>
          <w:tcPr>
            <w:tcW w:w="1940" w:type="dxa"/>
            <w:vAlign w:val="bottom"/>
            <w:shd w:val="clear" w:color="auto" w:fill="EF3E2A"/>
          </w:tcPr>
          <w:p>
            <w:pPr>
              <w:ind w:left="60"/>
              <w:spacing w:after="0" w:line="203" w:lineRule="exact"/>
              <w:rPr>
                <w:sz w:val="20"/>
                <w:szCs w:val="20"/>
                <w:color w:val="auto"/>
              </w:rPr>
            </w:pPr>
            <w:r>
              <w:rPr>
                <w:rFonts w:ascii="Calibri" w:cs="Calibri" w:eastAsia="Calibri" w:hAnsi="Calibri"/>
                <w:sz w:val="20"/>
                <w:szCs w:val="20"/>
                <w:b w:val="1"/>
                <w:bCs w:val="1"/>
                <w:color w:val="FFFFFF"/>
                <w:w w:val="99"/>
              </w:rPr>
              <w:t>Type of Compensation</w:t>
            </w:r>
          </w:p>
        </w:tc>
        <w:tc>
          <w:tcPr>
            <w:tcW w:w="1200" w:type="dxa"/>
            <w:vAlign w:val="bottom"/>
            <w:gridSpan w:val="2"/>
            <w:shd w:val="clear" w:color="auto" w:fill="EF3E2A"/>
          </w:tcPr>
          <w:p>
            <w:pPr>
              <w:jc w:val="right"/>
              <w:spacing w:after="0" w:line="226" w:lineRule="exact"/>
              <w:rPr>
                <w:sz w:val="20"/>
                <w:szCs w:val="20"/>
                <w:color w:val="auto"/>
              </w:rPr>
            </w:pPr>
            <w:r>
              <w:rPr>
                <w:rFonts w:ascii="Calibri" w:cs="Calibri" w:eastAsia="Calibri" w:hAnsi="Calibri"/>
                <w:sz w:val="19"/>
                <w:szCs w:val="19"/>
                <w:b w:val="1"/>
                <w:bCs w:val="1"/>
                <w:color w:val="FFFFFF"/>
                <w:w w:val="98"/>
              </w:rPr>
              <w:t>Termination</w:t>
            </w:r>
            <w:r>
              <w:rPr>
                <w:rFonts w:ascii="Calibri" w:cs="Calibri" w:eastAsia="Calibri" w:hAnsi="Calibri"/>
                <w:sz w:val="24"/>
                <w:szCs w:val="24"/>
                <w:b w:val="1"/>
                <w:bCs w:val="1"/>
                <w:color w:val="FFFFFF"/>
                <w:w w:val="98"/>
                <w:vertAlign w:val="superscript"/>
              </w:rPr>
              <w:t>(1)</w:t>
            </w:r>
          </w:p>
        </w:tc>
        <w:tc>
          <w:tcPr>
            <w:tcW w:w="2700" w:type="dxa"/>
            <w:vAlign w:val="bottom"/>
            <w:gridSpan w:val="4"/>
            <w:shd w:val="clear" w:color="auto" w:fill="EF3E2A"/>
          </w:tcPr>
          <w:p>
            <w:pPr>
              <w:jc w:val="right"/>
              <w:spacing w:after="0" w:line="226" w:lineRule="exact"/>
              <w:rPr>
                <w:sz w:val="20"/>
                <w:szCs w:val="20"/>
                <w:color w:val="auto"/>
              </w:rPr>
            </w:pPr>
            <w:r>
              <w:rPr>
                <w:rFonts w:ascii="Calibri" w:cs="Calibri" w:eastAsia="Calibri" w:hAnsi="Calibri"/>
                <w:sz w:val="19"/>
                <w:szCs w:val="19"/>
                <w:b w:val="1"/>
                <w:bCs w:val="1"/>
                <w:color w:val="FFFFFF"/>
                <w:w w:val="96"/>
              </w:rPr>
              <w:t>Without Cause</w:t>
            </w:r>
            <w:r>
              <w:rPr>
                <w:rFonts w:ascii="Calibri" w:cs="Calibri" w:eastAsia="Calibri" w:hAnsi="Calibri"/>
                <w:sz w:val="24"/>
                <w:szCs w:val="24"/>
                <w:b w:val="1"/>
                <w:bCs w:val="1"/>
                <w:color w:val="FFFFFF"/>
                <w:w w:val="96"/>
                <w:vertAlign w:val="superscript"/>
              </w:rPr>
              <w:t>(1)</w:t>
            </w:r>
            <w:r>
              <w:rPr>
                <w:rFonts w:ascii="Calibri" w:cs="Calibri" w:eastAsia="Calibri" w:hAnsi="Calibri"/>
                <w:sz w:val="19"/>
                <w:szCs w:val="19"/>
                <w:b w:val="1"/>
                <w:bCs w:val="1"/>
                <w:color w:val="FFFFFF"/>
                <w:w w:val="96"/>
              </w:rPr>
              <w:t xml:space="preserve"> Termination</w:t>
            </w:r>
            <w:r>
              <w:rPr>
                <w:rFonts w:ascii="Calibri" w:cs="Calibri" w:eastAsia="Calibri" w:hAnsi="Calibri"/>
                <w:sz w:val="24"/>
                <w:szCs w:val="24"/>
                <w:b w:val="1"/>
                <w:bCs w:val="1"/>
                <w:color w:val="FFFFFF"/>
                <w:w w:val="96"/>
                <w:vertAlign w:val="superscript"/>
              </w:rPr>
              <w:t>(1)(5)</w:t>
            </w:r>
          </w:p>
        </w:tc>
        <w:tc>
          <w:tcPr>
            <w:tcW w:w="240" w:type="dxa"/>
            <w:vAlign w:val="bottom"/>
            <w:shd w:val="clear" w:color="auto" w:fill="EF3E2A"/>
          </w:tcPr>
          <w:p>
            <w:pPr>
              <w:spacing w:after="0"/>
              <w:rPr>
                <w:sz w:val="19"/>
                <w:szCs w:val="19"/>
                <w:color w:val="auto"/>
              </w:rPr>
            </w:pPr>
          </w:p>
        </w:tc>
        <w:tc>
          <w:tcPr>
            <w:tcW w:w="1040" w:type="dxa"/>
            <w:vAlign w:val="bottom"/>
            <w:shd w:val="clear" w:color="auto" w:fill="EF3E2A"/>
          </w:tcPr>
          <w:p>
            <w:pPr>
              <w:jc w:val="right"/>
              <w:ind w:right="243"/>
              <w:spacing w:after="0" w:line="226" w:lineRule="exact"/>
              <w:rPr>
                <w:sz w:val="20"/>
                <w:szCs w:val="20"/>
                <w:color w:val="auto"/>
              </w:rPr>
            </w:pPr>
            <w:r>
              <w:rPr>
                <w:rFonts w:ascii="Calibri" w:cs="Calibri" w:eastAsia="Calibri" w:hAnsi="Calibri"/>
                <w:sz w:val="19"/>
                <w:szCs w:val="19"/>
                <w:b w:val="1"/>
                <w:bCs w:val="1"/>
                <w:color w:val="FFFFFF"/>
              </w:rPr>
              <w:t>Death</w:t>
            </w:r>
            <w:r>
              <w:rPr>
                <w:rFonts w:ascii="Calibri" w:cs="Calibri" w:eastAsia="Calibri" w:hAnsi="Calibri"/>
                <w:sz w:val="24"/>
                <w:szCs w:val="24"/>
                <w:b w:val="1"/>
                <w:bCs w:val="1"/>
                <w:color w:val="FFFFFF"/>
                <w:vertAlign w:val="superscript"/>
              </w:rPr>
              <w:t>(1)</w:t>
            </w:r>
          </w:p>
        </w:tc>
        <w:tc>
          <w:tcPr>
            <w:tcW w:w="1260" w:type="dxa"/>
            <w:vAlign w:val="bottom"/>
            <w:gridSpan w:val="2"/>
            <w:shd w:val="clear" w:color="auto" w:fill="EF3E2A"/>
          </w:tcPr>
          <w:p>
            <w:pPr>
              <w:jc w:val="right"/>
              <w:ind w:right="83"/>
              <w:spacing w:after="0" w:line="226" w:lineRule="exact"/>
              <w:rPr>
                <w:sz w:val="20"/>
                <w:szCs w:val="20"/>
                <w:color w:val="auto"/>
              </w:rPr>
            </w:pPr>
            <w:r>
              <w:rPr>
                <w:rFonts w:ascii="Calibri" w:cs="Calibri" w:eastAsia="Calibri" w:hAnsi="Calibri"/>
                <w:sz w:val="19"/>
                <w:szCs w:val="19"/>
                <w:b w:val="1"/>
                <w:bCs w:val="1"/>
                <w:color w:val="FFFFFF"/>
              </w:rPr>
              <w:t>Disability</w:t>
            </w:r>
            <w:r>
              <w:rPr>
                <w:rFonts w:ascii="Calibri" w:cs="Calibri" w:eastAsia="Calibri" w:hAnsi="Calibri"/>
                <w:sz w:val="24"/>
                <w:szCs w:val="24"/>
                <w:b w:val="1"/>
                <w:bCs w:val="1"/>
                <w:color w:val="FFFFFF"/>
                <w:vertAlign w:val="superscript"/>
              </w:rPr>
              <w:t>(1)</w:t>
            </w:r>
          </w:p>
        </w:tc>
      </w:tr>
      <w:tr>
        <w:trPr>
          <w:trHeight w:val="275"/>
        </w:trPr>
        <w:tc>
          <w:tcPr>
            <w:tcW w:w="1700" w:type="dxa"/>
            <w:vAlign w:val="bottom"/>
            <w:gridSpan w:val="2"/>
          </w:tcPr>
          <w:p>
            <w:pPr>
              <w:spacing w:after="0"/>
              <w:rPr>
                <w:sz w:val="20"/>
                <w:szCs w:val="20"/>
                <w:color w:val="auto"/>
              </w:rPr>
            </w:pPr>
            <w:r>
              <w:rPr>
                <w:rFonts w:ascii="Calibri" w:cs="Calibri" w:eastAsia="Calibri" w:hAnsi="Calibri"/>
                <w:sz w:val="20"/>
                <w:szCs w:val="20"/>
                <w:color w:val="231F20"/>
              </w:rPr>
              <w:t>Donald C. Wood</w:t>
            </w:r>
          </w:p>
        </w:tc>
        <w:tc>
          <w:tcPr>
            <w:tcW w:w="1940" w:type="dxa"/>
            <w:vAlign w:val="bottom"/>
            <w:tcBorders>
              <w:bottom w:val="single" w:sz="8" w:color="E6E7E8"/>
            </w:tcBorders>
            <w:shd w:val="clear" w:color="auto" w:fill="E6E7E8"/>
          </w:tcPr>
          <w:p>
            <w:pPr>
              <w:spacing w:after="0"/>
              <w:rPr>
                <w:sz w:val="20"/>
                <w:szCs w:val="20"/>
                <w:color w:val="auto"/>
              </w:rPr>
            </w:pPr>
            <w:r>
              <w:rPr>
                <w:rFonts w:ascii="Calibri" w:cs="Calibri" w:eastAsia="Calibri" w:hAnsi="Calibri"/>
                <w:sz w:val="20"/>
                <w:szCs w:val="20"/>
                <w:color w:val="231F20"/>
                <w:w w:val="99"/>
              </w:rPr>
              <w:t>Cash Benefits (multiple)</w:t>
            </w:r>
          </w:p>
        </w:tc>
        <w:tc>
          <w:tcPr>
            <w:tcW w:w="280" w:type="dxa"/>
            <w:vAlign w:val="bottom"/>
            <w:tcBorders>
              <w:bottom w:val="single" w:sz="8" w:color="E6E7E8"/>
            </w:tcBorders>
            <w:shd w:val="clear" w:color="auto" w:fill="E6E7E8"/>
          </w:tcPr>
          <w:p>
            <w:pPr>
              <w:spacing w:after="0"/>
              <w:rPr>
                <w:sz w:val="23"/>
                <w:szCs w:val="23"/>
                <w:color w:val="auto"/>
              </w:rPr>
            </w:pPr>
          </w:p>
        </w:tc>
        <w:tc>
          <w:tcPr>
            <w:tcW w:w="92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w w:val="93"/>
              </w:rPr>
              <w:t>6 months</w:t>
            </w:r>
          </w:p>
        </w:tc>
        <w:tc>
          <w:tcPr>
            <w:tcW w:w="30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rPr>
              <w:t>1.5x</w:t>
            </w:r>
          </w:p>
        </w:tc>
        <w:tc>
          <w:tcPr>
            <w:tcW w:w="28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63"/>
              <w:spacing w:after="0"/>
              <w:rPr>
                <w:sz w:val="20"/>
                <w:szCs w:val="20"/>
                <w:color w:val="auto"/>
              </w:rPr>
            </w:pPr>
            <w:r>
              <w:rPr>
                <w:rFonts w:ascii="Calibri" w:cs="Calibri" w:eastAsia="Calibri" w:hAnsi="Calibri"/>
                <w:sz w:val="20"/>
                <w:szCs w:val="20"/>
                <w:color w:val="231F20"/>
              </w:rPr>
              <w:t>3.0x</w:t>
            </w:r>
          </w:p>
        </w:tc>
        <w:tc>
          <w:tcPr>
            <w:tcW w:w="240" w:type="dxa"/>
            <w:vAlign w:val="bottom"/>
            <w:tcBorders>
              <w:bottom w:val="single" w:sz="8" w:color="E6E7E8"/>
            </w:tcBorders>
            <w:shd w:val="clear" w:color="auto" w:fill="E6E7E8"/>
          </w:tcPr>
          <w:p>
            <w:pPr>
              <w:spacing w:after="0"/>
              <w:rPr>
                <w:sz w:val="23"/>
                <w:szCs w:val="23"/>
                <w:color w:val="auto"/>
              </w:rPr>
            </w:pPr>
          </w:p>
        </w:tc>
        <w:tc>
          <w:tcPr>
            <w:tcW w:w="1040" w:type="dxa"/>
            <w:vAlign w:val="bottom"/>
            <w:tcBorders>
              <w:bottom w:val="single" w:sz="8" w:color="E6E7E8"/>
            </w:tcBorders>
            <w:shd w:val="clear" w:color="auto" w:fill="E6E7E8"/>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Borders>
              <w:bottom w:val="single" w:sz="8" w:color="E6E7E8"/>
            </w:tcBorders>
            <w:shd w:val="clear" w:color="auto" w:fill="E6E7E8"/>
          </w:tcPr>
          <w:p>
            <w:pPr>
              <w:spacing w:after="0"/>
              <w:rPr>
                <w:sz w:val="23"/>
                <w:szCs w:val="23"/>
                <w:color w:val="auto"/>
              </w:rPr>
            </w:pPr>
          </w:p>
        </w:tc>
        <w:tc>
          <w:tcPr>
            <w:tcW w:w="1000" w:type="dxa"/>
            <w:vAlign w:val="bottom"/>
            <w:tcBorders>
              <w:bottom w:val="single" w:sz="8" w:color="E6E7E8"/>
            </w:tcBorders>
            <w:shd w:val="clear" w:color="auto" w:fill="E6E7E8"/>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Cash Benefits (amount)</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83"/>
              <w:spacing w:after="0"/>
              <w:rPr>
                <w:sz w:val="20"/>
                <w:szCs w:val="20"/>
                <w:color w:val="auto"/>
              </w:rPr>
            </w:pPr>
            <w:r>
              <w:rPr>
                <w:rFonts w:ascii="Calibri" w:cs="Calibri" w:eastAsia="Calibri" w:hAnsi="Calibri"/>
                <w:sz w:val="20"/>
                <w:szCs w:val="20"/>
                <w:color w:val="231F20"/>
              </w:rPr>
              <w:t>500,000</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4,312,500</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8,625,000</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1,375,745</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Medical Benefits</w:t>
            </w:r>
            <w:r>
              <w:rPr>
                <w:rFonts w:ascii="Calibri" w:cs="Calibri" w:eastAsia="Calibri" w:hAnsi="Calibri"/>
                <w:sz w:val="25"/>
                <w:szCs w:val="25"/>
                <w:color w:val="231F20"/>
                <w:vertAlign w:val="superscript"/>
              </w:rPr>
              <w:t>(2)</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18,520</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1,597,779</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1,681,117</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43"/>
              <w:spacing w:after="0"/>
              <w:rPr>
                <w:sz w:val="20"/>
                <w:szCs w:val="20"/>
                <w:color w:val="auto"/>
              </w:rPr>
            </w:pPr>
            <w:r>
              <w:rPr>
                <w:rFonts w:ascii="Calibri" w:cs="Calibri" w:eastAsia="Calibri" w:hAnsi="Calibri"/>
                <w:sz w:val="20"/>
                <w:szCs w:val="20"/>
                <w:color w:val="231F20"/>
              </w:rPr>
              <w:t>1,332,000</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1,582,039</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line="294" w:lineRule="exact"/>
              <w:rPr>
                <w:sz w:val="20"/>
                <w:szCs w:val="20"/>
                <w:color w:val="auto"/>
              </w:rPr>
            </w:pPr>
            <w:r>
              <w:rPr>
                <w:rFonts w:ascii="Calibri" w:cs="Calibri" w:eastAsia="Calibri" w:hAnsi="Calibri"/>
                <w:sz w:val="20"/>
                <w:szCs w:val="20"/>
                <w:color w:val="231F20"/>
              </w:rPr>
              <w:t>Accelerated Equity</w:t>
            </w:r>
            <w:r>
              <w:rPr>
                <w:rFonts w:ascii="Calibri" w:cs="Calibri" w:eastAsia="Calibri" w:hAnsi="Calibri"/>
                <w:sz w:val="25"/>
                <w:szCs w:val="25"/>
                <w:color w:val="231F20"/>
                <w:vertAlign w:val="superscript"/>
              </w:rPr>
              <w:t>(3)</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w w:val="94"/>
              </w:rPr>
              <w:t>11,474,927</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w w:val="96"/>
              </w:rPr>
              <w:t>11,474,927</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w w:val="96"/>
              </w:rPr>
              <w:t>11,474,927</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w w:val="94"/>
              </w:rPr>
              <w:t>11,474,927</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Other Benefits</w:t>
            </w:r>
            <w:r>
              <w:rPr>
                <w:rFonts w:ascii="Calibri" w:cs="Calibri" w:eastAsia="Calibri" w:hAnsi="Calibri"/>
                <w:sz w:val="25"/>
                <w:szCs w:val="25"/>
                <w:color w:val="231F20"/>
                <w:vertAlign w:val="superscript"/>
              </w:rPr>
              <w:t>(4)</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60,000</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166,665</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23"/>
              <w:spacing w:after="0"/>
              <w:rPr>
                <w:sz w:val="20"/>
                <w:szCs w:val="20"/>
                <w:color w:val="auto"/>
              </w:rPr>
            </w:pPr>
            <w:r>
              <w:rPr>
                <w:rFonts w:ascii="Calibri" w:cs="Calibri" w:eastAsia="Calibri" w:hAnsi="Calibri"/>
                <w:sz w:val="20"/>
                <w:szCs w:val="20"/>
                <w:color w:val="231F20"/>
              </w:rPr>
              <w:t>-</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Excise Tax Gross-Up</w:t>
            </w:r>
          </w:p>
        </w:tc>
        <w:tc>
          <w:tcPr>
            <w:tcW w:w="280" w:type="dxa"/>
            <w:vAlign w:val="bottom"/>
          </w:tcPr>
          <w:p>
            <w:pPr>
              <w:spacing w:after="0"/>
              <w:rPr>
                <w:sz w:val="23"/>
                <w:szCs w:val="23"/>
                <w:color w:val="auto"/>
              </w:rPr>
            </w:pPr>
          </w:p>
        </w:tc>
        <w:tc>
          <w:tcPr>
            <w:tcW w:w="92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300" w:type="dxa"/>
            <w:vAlign w:val="bottom"/>
          </w:tcPr>
          <w:p>
            <w:pPr>
              <w:spacing w:after="0"/>
              <w:rPr>
                <w:sz w:val="23"/>
                <w:szCs w:val="23"/>
                <w:color w:val="auto"/>
              </w:rPr>
            </w:pP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263"/>
              <w:spacing w:after="0"/>
              <w:rPr>
                <w:sz w:val="20"/>
                <w:szCs w:val="20"/>
                <w:color w:val="auto"/>
              </w:rPr>
            </w:pPr>
            <w:r>
              <w:rPr>
                <w:rFonts w:ascii="Calibri" w:cs="Calibri" w:eastAsia="Calibri" w:hAnsi="Calibri"/>
                <w:sz w:val="20"/>
                <w:szCs w:val="20"/>
                <w:color w:val="231F20"/>
              </w:rPr>
              <w:t>-</w:t>
            </w:r>
          </w:p>
        </w:tc>
        <w:tc>
          <w:tcPr>
            <w:tcW w:w="24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1700" w:type="dxa"/>
            <w:vAlign w:val="bottom"/>
            <w:tcBorders>
              <w:bottom w:val="single" w:sz="8" w:color="EF3E2B"/>
            </w:tcBorders>
            <w:gridSpan w:val="2"/>
            <w:shd w:val="clear" w:color="auto" w:fill="EF3E2B"/>
          </w:tcPr>
          <w:p>
            <w:pPr>
              <w:spacing w:after="0"/>
              <w:rPr>
                <w:sz w:val="20"/>
                <w:szCs w:val="20"/>
                <w:color w:val="auto"/>
              </w:rPr>
            </w:pPr>
            <w:r>
              <w:rPr>
                <w:rFonts w:ascii="Calibri" w:cs="Calibri" w:eastAsia="Calibri" w:hAnsi="Calibri"/>
                <w:sz w:val="20"/>
                <w:szCs w:val="20"/>
                <w:b w:val="1"/>
                <w:bCs w:val="1"/>
                <w:color w:val="FFFFFF"/>
              </w:rPr>
              <w:t>Total</w:t>
            </w:r>
          </w:p>
        </w:tc>
        <w:tc>
          <w:tcPr>
            <w:tcW w:w="1940" w:type="dxa"/>
            <w:vAlign w:val="bottom"/>
            <w:tcBorders>
              <w:bottom w:val="single" w:sz="8" w:color="EF3E2B"/>
            </w:tcBorders>
            <w:shd w:val="clear" w:color="auto" w:fill="EF3E2B"/>
          </w:tcPr>
          <w:p>
            <w:pPr>
              <w:spacing w:after="0"/>
              <w:rPr>
                <w:sz w:val="23"/>
                <w:szCs w:val="23"/>
                <w:color w:val="auto"/>
              </w:rPr>
            </w:pP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920" w:type="dxa"/>
            <w:vAlign w:val="bottom"/>
            <w:tcBorders>
              <w:bottom w:val="single" w:sz="8" w:color="EF3E2B"/>
            </w:tcBorders>
            <w:shd w:val="clear" w:color="auto" w:fill="EF3E2B"/>
          </w:tcPr>
          <w:p>
            <w:pPr>
              <w:jc w:val="right"/>
              <w:ind w:right="83"/>
              <w:spacing w:after="0"/>
              <w:rPr>
                <w:sz w:val="20"/>
                <w:szCs w:val="20"/>
                <w:color w:val="auto"/>
              </w:rPr>
            </w:pPr>
            <w:r>
              <w:rPr>
                <w:rFonts w:ascii="Calibri" w:cs="Calibri" w:eastAsia="Calibri" w:hAnsi="Calibri"/>
                <w:sz w:val="20"/>
                <w:szCs w:val="20"/>
                <w:b w:val="1"/>
                <w:bCs w:val="1"/>
                <w:color w:val="FFFFFF"/>
              </w:rPr>
              <w:t>518,520</w:t>
            </w:r>
          </w:p>
        </w:tc>
        <w:tc>
          <w:tcPr>
            <w:tcW w:w="300" w:type="dxa"/>
            <w:vAlign w:val="bottom"/>
            <w:tcBorders>
              <w:bottom w:val="single" w:sz="8" w:color="EF3E2B"/>
            </w:tcBorders>
            <w:shd w:val="clear" w:color="auto" w:fill="EF3E2B"/>
          </w:tcPr>
          <w:p>
            <w:pPr>
              <w:ind w:left="200"/>
              <w:spacing w:after="0"/>
              <w:rPr>
                <w:sz w:val="20"/>
                <w:szCs w:val="20"/>
                <w:color w:val="auto"/>
              </w:rPr>
            </w:pPr>
            <w:r>
              <w:rPr>
                <w:rFonts w:ascii="Calibri" w:cs="Calibri" w:eastAsia="Calibri" w:hAnsi="Calibri"/>
                <w:sz w:val="20"/>
                <w:szCs w:val="20"/>
                <w:b w:val="1"/>
                <w:bCs w:val="1"/>
                <w:color w:val="FFFFFF"/>
                <w:w w:val="78"/>
              </w:rPr>
              <w:t>$</w:t>
            </w:r>
          </w:p>
        </w:tc>
        <w:tc>
          <w:tcPr>
            <w:tcW w:w="1060" w:type="dxa"/>
            <w:vAlign w:val="bottom"/>
            <w:tcBorders>
              <w:bottom w:val="single" w:sz="8" w:color="EF3E2B"/>
            </w:tcBorders>
            <w:shd w:val="clear" w:color="auto" w:fill="EF3E2B"/>
          </w:tcPr>
          <w:p>
            <w:pPr>
              <w:jc w:val="right"/>
              <w:ind w:right="83"/>
              <w:spacing w:after="0"/>
              <w:rPr>
                <w:sz w:val="20"/>
                <w:szCs w:val="20"/>
                <w:color w:val="auto"/>
              </w:rPr>
            </w:pPr>
            <w:r>
              <w:rPr>
                <w:rFonts w:ascii="Calibri" w:cs="Calibri" w:eastAsia="Calibri" w:hAnsi="Calibri"/>
                <w:sz w:val="20"/>
                <w:szCs w:val="20"/>
                <w:b w:val="1"/>
                <w:bCs w:val="1"/>
                <w:color w:val="FFFFFF"/>
                <w:w w:val="93"/>
              </w:rPr>
              <w:t>17,445,206</w:t>
            </w: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EF3E2B"/>
            </w:tcBorders>
            <w:shd w:val="clear" w:color="auto" w:fill="EF3E2B"/>
          </w:tcPr>
          <w:p>
            <w:pPr>
              <w:jc w:val="right"/>
              <w:ind w:right="63"/>
              <w:spacing w:after="0"/>
              <w:rPr>
                <w:sz w:val="20"/>
                <w:szCs w:val="20"/>
                <w:color w:val="auto"/>
              </w:rPr>
            </w:pPr>
            <w:r>
              <w:rPr>
                <w:rFonts w:ascii="Calibri" w:cs="Calibri" w:eastAsia="Calibri" w:hAnsi="Calibri"/>
                <w:sz w:val="20"/>
                <w:szCs w:val="20"/>
                <w:b w:val="1"/>
                <w:bCs w:val="1"/>
                <w:color w:val="FFFFFF"/>
                <w:w w:val="96"/>
              </w:rPr>
              <w:t>21,947,709</w:t>
            </w:r>
          </w:p>
        </w:tc>
        <w:tc>
          <w:tcPr>
            <w:tcW w:w="24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40" w:type="dxa"/>
            <w:vAlign w:val="bottom"/>
            <w:tcBorders>
              <w:bottom w:val="single" w:sz="8" w:color="EF3E2B"/>
            </w:tcBorders>
            <w:shd w:val="clear" w:color="auto" w:fill="EF3E2B"/>
          </w:tcPr>
          <w:p>
            <w:pPr>
              <w:jc w:val="right"/>
              <w:ind w:right="43"/>
              <w:spacing w:after="0"/>
              <w:rPr>
                <w:sz w:val="20"/>
                <w:szCs w:val="20"/>
                <w:color w:val="auto"/>
              </w:rPr>
            </w:pPr>
            <w:r>
              <w:rPr>
                <w:rFonts w:ascii="Calibri" w:cs="Calibri" w:eastAsia="Calibri" w:hAnsi="Calibri"/>
                <w:sz w:val="20"/>
                <w:szCs w:val="20"/>
                <w:b w:val="1"/>
                <w:bCs w:val="1"/>
                <w:color w:val="FFFFFF"/>
                <w:w w:val="96"/>
              </w:rPr>
              <w:t>12,806,927</w:t>
            </w:r>
          </w:p>
        </w:tc>
        <w:tc>
          <w:tcPr>
            <w:tcW w:w="26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00" w:type="dxa"/>
            <w:vAlign w:val="bottom"/>
            <w:tcBorders>
              <w:bottom w:val="single" w:sz="8" w:color="EF3E2B"/>
            </w:tcBorders>
            <w:shd w:val="clear" w:color="auto" w:fill="EF3E2B"/>
          </w:tcPr>
          <w:p>
            <w:pPr>
              <w:jc w:val="right"/>
              <w:ind w:right="23"/>
              <w:spacing w:after="0"/>
              <w:rPr>
                <w:sz w:val="20"/>
                <w:szCs w:val="20"/>
                <w:color w:val="auto"/>
              </w:rPr>
            </w:pPr>
            <w:r>
              <w:rPr>
                <w:rFonts w:ascii="Calibri" w:cs="Calibri" w:eastAsia="Calibri" w:hAnsi="Calibri"/>
                <w:sz w:val="20"/>
                <w:szCs w:val="20"/>
                <w:b w:val="1"/>
                <w:bCs w:val="1"/>
                <w:color w:val="FFFFFF"/>
                <w:w w:val="93"/>
              </w:rPr>
              <w:t>14,432,711</w:t>
            </w:r>
          </w:p>
        </w:tc>
      </w:tr>
      <w:tr>
        <w:trPr>
          <w:trHeight w:val="275"/>
        </w:trPr>
        <w:tc>
          <w:tcPr>
            <w:tcW w:w="1700" w:type="dxa"/>
            <w:vAlign w:val="bottom"/>
            <w:gridSpan w:val="2"/>
          </w:tcPr>
          <w:p>
            <w:pPr>
              <w:spacing w:after="0"/>
              <w:rPr>
                <w:sz w:val="20"/>
                <w:szCs w:val="20"/>
                <w:color w:val="auto"/>
              </w:rPr>
            </w:pPr>
            <w:r>
              <w:rPr>
                <w:rFonts w:ascii="Calibri" w:cs="Calibri" w:eastAsia="Calibri" w:hAnsi="Calibri"/>
                <w:sz w:val="20"/>
                <w:szCs w:val="20"/>
                <w:color w:val="231F20"/>
              </w:rPr>
              <w:t>Jeffrey S. Berkes</w:t>
            </w:r>
          </w:p>
        </w:tc>
        <w:tc>
          <w:tcPr>
            <w:tcW w:w="1940" w:type="dxa"/>
            <w:vAlign w:val="bottom"/>
            <w:tcBorders>
              <w:bottom w:val="single" w:sz="8" w:color="E6E7E8"/>
            </w:tcBorders>
            <w:shd w:val="clear" w:color="auto" w:fill="E6E7E8"/>
          </w:tcPr>
          <w:p>
            <w:pPr>
              <w:spacing w:after="0"/>
              <w:rPr>
                <w:sz w:val="20"/>
                <w:szCs w:val="20"/>
                <w:color w:val="auto"/>
              </w:rPr>
            </w:pPr>
            <w:r>
              <w:rPr>
                <w:rFonts w:ascii="Calibri" w:cs="Calibri" w:eastAsia="Calibri" w:hAnsi="Calibri"/>
                <w:sz w:val="20"/>
                <w:szCs w:val="20"/>
                <w:color w:val="231F20"/>
                <w:w w:val="99"/>
              </w:rPr>
              <w:t>Cash Benefits (multiple)</w:t>
            </w:r>
          </w:p>
        </w:tc>
        <w:tc>
          <w:tcPr>
            <w:tcW w:w="280" w:type="dxa"/>
            <w:vAlign w:val="bottom"/>
            <w:tcBorders>
              <w:bottom w:val="single" w:sz="8" w:color="E6E7E8"/>
            </w:tcBorders>
            <w:shd w:val="clear" w:color="auto" w:fill="E6E7E8"/>
          </w:tcPr>
          <w:p>
            <w:pPr>
              <w:spacing w:after="0"/>
              <w:rPr>
                <w:sz w:val="23"/>
                <w:szCs w:val="23"/>
                <w:color w:val="auto"/>
              </w:rPr>
            </w:pPr>
          </w:p>
        </w:tc>
        <w:tc>
          <w:tcPr>
            <w:tcW w:w="92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rPr>
              <w:t>N/A</w:t>
            </w:r>
          </w:p>
        </w:tc>
        <w:tc>
          <w:tcPr>
            <w:tcW w:w="30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rPr>
              <w:t>1.0x</w:t>
            </w:r>
          </w:p>
        </w:tc>
        <w:tc>
          <w:tcPr>
            <w:tcW w:w="28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63"/>
              <w:spacing w:after="0"/>
              <w:rPr>
                <w:sz w:val="20"/>
                <w:szCs w:val="20"/>
                <w:color w:val="auto"/>
              </w:rPr>
            </w:pPr>
            <w:r>
              <w:rPr>
                <w:rFonts w:ascii="Calibri" w:cs="Calibri" w:eastAsia="Calibri" w:hAnsi="Calibri"/>
                <w:sz w:val="20"/>
                <w:szCs w:val="20"/>
                <w:color w:val="231F20"/>
              </w:rPr>
              <w:t>2.0x</w:t>
            </w:r>
          </w:p>
        </w:tc>
        <w:tc>
          <w:tcPr>
            <w:tcW w:w="240" w:type="dxa"/>
            <w:vAlign w:val="bottom"/>
            <w:tcBorders>
              <w:bottom w:val="single" w:sz="8" w:color="E6E7E8"/>
            </w:tcBorders>
            <w:shd w:val="clear" w:color="auto" w:fill="E6E7E8"/>
          </w:tcPr>
          <w:p>
            <w:pPr>
              <w:spacing w:after="0"/>
              <w:rPr>
                <w:sz w:val="23"/>
                <w:szCs w:val="23"/>
                <w:color w:val="auto"/>
              </w:rPr>
            </w:pPr>
          </w:p>
        </w:tc>
        <w:tc>
          <w:tcPr>
            <w:tcW w:w="1040" w:type="dxa"/>
            <w:vAlign w:val="bottom"/>
            <w:tcBorders>
              <w:bottom w:val="single" w:sz="8" w:color="E6E7E8"/>
            </w:tcBorders>
            <w:shd w:val="clear" w:color="auto" w:fill="E6E7E8"/>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Borders>
              <w:bottom w:val="single" w:sz="8" w:color="E6E7E8"/>
            </w:tcBorders>
            <w:shd w:val="clear" w:color="auto" w:fill="E6E7E8"/>
          </w:tcPr>
          <w:p>
            <w:pPr>
              <w:spacing w:after="0"/>
              <w:rPr>
                <w:sz w:val="23"/>
                <w:szCs w:val="23"/>
                <w:color w:val="auto"/>
              </w:rPr>
            </w:pPr>
          </w:p>
        </w:tc>
        <w:tc>
          <w:tcPr>
            <w:tcW w:w="1000" w:type="dxa"/>
            <w:vAlign w:val="bottom"/>
            <w:tcBorders>
              <w:bottom w:val="single" w:sz="8" w:color="E6E7E8"/>
            </w:tcBorders>
            <w:shd w:val="clear" w:color="auto" w:fill="E6E7E8"/>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Cash Benefits (amount)</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1,462,500</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2,925,000</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1,015,625</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1,015,625</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Medical Benefits</w:t>
            </w:r>
            <w:r>
              <w:rPr>
                <w:rFonts w:ascii="Calibri" w:cs="Calibri" w:eastAsia="Calibri" w:hAnsi="Calibri"/>
                <w:sz w:val="25"/>
                <w:szCs w:val="25"/>
                <w:color w:val="231F20"/>
                <w:vertAlign w:val="superscript"/>
              </w:rPr>
              <w:t>(2)</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26,432</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52,865</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26,432</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line="294" w:lineRule="exact"/>
              <w:rPr>
                <w:sz w:val="20"/>
                <w:szCs w:val="20"/>
                <w:color w:val="auto"/>
              </w:rPr>
            </w:pPr>
            <w:r>
              <w:rPr>
                <w:rFonts w:ascii="Calibri" w:cs="Calibri" w:eastAsia="Calibri" w:hAnsi="Calibri"/>
                <w:sz w:val="20"/>
                <w:szCs w:val="20"/>
                <w:color w:val="231F20"/>
              </w:rPr>
              <w:t>Accelerated Equity</w:t>
            </w:r>
            <w:r>
              <w:rPr>
                <w:rFonts w:ascii="Calibri" w:cs="Calibri" w:eastAsia="Calibri" w:hAnsi="Calibri"/>
                <w:sz w:val="25"/>
                <w:szCs w:val="25"/>
                <w:color w:val="231F20"/>
                <w:vertAlign w:val="superscript"/>
              </w:rPr>
              <w:t>(3)</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3,715,559</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3,715,559</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3,715,559</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3,715,559</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Other Benefits</w:t>
            </w:r>
            <w:r>
              <w:rPr>
                <w:rFonts w:ascii="Calibri" w:cs="Calibri" w:eastAsia="Calibri" w:hAnsi="Calibri"/>
                <w:sz w:val="25"/>
                <w:szCs w:val="25"/>
                <w:color w:val="231F20"/>
                <w:vertAlign w:val="superscript"/>
              </w:rPr>
              <w:t>(4)</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263"/>
              <w:spacing w:after="0"/>
              <w:rPr>
                <w:sz w:val="20"/>
                <w:szCs w:val="20"/>
                <w:color w:val="auto"/>
              </w:rPr>
            </w:pPr>
            <w:r>
              <w:rPr>
                <w:rFonts w:ascii="Calibri" w:cs="Calibri" w:eastAsia="Calibri" w:hAnsi="Calibri"/>
                <w:sz w:val="20"/>
                <w:szCs w:val="20"/>
                <w:color w:val="231F20"/>
              </w:rPr>
              <w:t>-</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263"/>
              <w:spacing w:after="0"/>
              <w:rPr>
                <w:sz w:val="20"/>
                <w:szCs w:val="20"/>
                <w:color w:val="auto"/>
              </w:rPr>
            </w:pPr>
            <w:r>
              <w:rPr>
                <w:rFonts w:ascii="Calibri" w:cs="Calibri" w:eastAsia="Calibri" w:hAnsi="Calibri"/>
                <w:sz w:val="20"/>
                <w:szCs w:val="20"/>
                <w:color w:val="231F20"/>
              </w:rPr>
              <w:t>-</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23"/>
              <w:spacing w:after="0"/>
              <w:rPr>
                <w:sz w:val="20"/>
                <w:szCs w:val="20"/>
                <w:color w:val="auto"/>
              </w:rPr>
            </w:pPr>
            <w:r>
              <w:rPr>
                <w:rFonts w:ascii="Calibri" w:cs="Calibri" w:eastAsia="Calibri" w:hAnsi="Calibri"/>
                <w:sz w:val="20"/>
                <w:szCs w:val="20"/>
                <w:color w:val="231F20"/>
              </w:rPr>
              <w:t>-</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Excise Tax Gross-Up</w:t>
            </w:r>
          </w:p>
        </w:tc>
        <w:tc>
          <w:tcPr>
            <w:tcW w:w="280" w:type="dxa"/>
            <w:vAlign w:val="bottom"/>
          </w:tcPr>
          <w:p>
            <w:pPr>
              <w:spacing w:after="0"/>
              <w:rPr>
                <w:sz w:val="23"/>
                <w:szCs w:val="23"/>
                <w:color w:val="auto"/>
              </w:rPr>
            </w:pPr>
          </w:p>
        </w:tc>
        <w:tc>
          <w:tcPr>
            <w:tcW w:w="92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300" w:type="dxa"/>
            <w:vAlign w:val="bottom"/>
          </w:tcPr>
          <w:p>
            <w:pPr>
              <w:spacing w:after="0"/>
              <w:rPr>
                <w:sz w:val="23"/>
                <w:szCs w:val="23"/>
                <w:color w:val="auto"/>
              </w:rPr>
            </w:pP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28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N/A</w:t>
            </w:r>
          </w:p>
        </w:tc>
        <w:tc>
          <w:tcPr>
            <w:tcW w:w="24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1700" w:type="dxa"/>
            <w:vAlign w:val="bottom"/>
            <w:tcBorders>
              <w:bottom w:val="single" w:sz="8" w:color="EF3E2B"/>
            </w:tcBorders>
            <w:gridSpan w:val="2"/>
            <w:shd w:val="clear" w:color="auto" w:fill="EF3E2B"/>
          </w:tcPr>
          <w:p>
            <w:pPr>
              <w:spacing w:after="0"/>
              <w:rPr>
                <w:sz w:val="20"/>
                <w:szCs w:val="20"/>
                <w:color w:val="auto"/>
              </w:rPr>
            </w:pPr>
            <w:r>
              <w:rPr>
                <w:rFonts w:ascii="Calibri" w:cs="Calibri" w:eastAsia="Calibri" w:hAnsi="Calibri"/>
                <w:sz w:val="20"/>
                <w:szCs w:val="20"/>
                <w:b w:val="1"/>
                <w:bCs w:val="1"/>
                <w:color w:val="FFFFFF"/>
              </w:rPr>
              <w:t>Total</w:t>
            </w:r>
          </w:p>
        </w:tc>
        <w:tc>
          <w:tcPr>
            <w:tcW w:w="1940" w:type="dxa"/>
            <w:vAlign w:val="bottom"/>
            <w:tcBorders>
              <w:bottom w:val="single" w:sz="8" w:color="EF3E2B"/>
            </w:tcBorders>
            <w:shd w:val="clear" w:color="auto" w:fill="EF3E2B"/>
          </w:tcPr>
          <w:p>
            <w:pPr>
              <w:spacing w:after="0"/>
              <w:rPr>
                <w:sz w:val="23"/>
                <w:szCs w:val="23"/>
                <w:color w:val="auto"/>
              </w:rPr>
            </w:pP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920" w:type="dxa"/>
            <w:vAlign w:val="bottom"/>
            <w:tcBorders>
              <w:bottom w:val="single" w:sz="8" w:color="EF3E2B"/>
            </w:tcBorders>
            <w:shd w:val="clear" w:color="auto" w:fill="EF3E2B"/>
          </w:tcPr>
          <w:p>
            <w:pPr>
              <w:jc w:val="center"/>
              <w:ind w:left="3"/>
              <w:spacing w:after="0"/>
              <w:rPr>
                <w:sz w:val="20"/>
                <w:szCs w:val="20"/>
                <w:color w:val="auto"/>
              </w:rPr>
            </w:pPr>
            <w:r>
              <w:rPr>
                <w:rFonts w:ascii="Calibri" w:cs="Calibri" w:eastAsia="Calibri" w:hAnsi="Calibri"/>
                <w:sz w:val="20"/>
                <w:szCs w:val="20"/>
                <w:b w:val="1"/>
                <w:bCs w:val="1"/>
                <w:color w:val="FFFFFF"/>
                <w:w w:val="97"/>
              </w:rPr>
              <w:t>-</w:t>
            </w:r>
          </w:p>
        </w:tc>
        <w:tc>
          <w:tcPr>
            <w:tcW w:w="300" w:type="dxa"/>
            <w:vAlign w:val="bottom"/>
            <w:tcBorders>
              <w:bottom w:val="single" w:sz="8" w:color="EF3E2B"/>
            </w:tcBorders>
            <w:shd w:val="clear" w:color="auto" w:fill="EF3E2B"/>
          </w:tcPr>
          <w:p>
            <w:pPr>
              <w:ind w:left="200"/>
              <w:spacing w:after="0"/>
              <w:rPr>
                <w:sz w:val="20"/>
                <w:szCs w:val="20"/>
                <w:color w:val="auto"/>
              </w:rPr>
            </w:pPr>
            <w:r>
              <w:rPr>
                <w:rFonts w:ascii="Calibri" w:cs="Calibri" w:eastAsia="Calibri" w:hAnsi="Calibri"/>
                <w:sz w:val="20"/>
                <w:szCs w:val="20"/>
                <w:b w:val="1"/>
                <w:bCs w:val="1"/>
                <w:color w:val="FFFFFF"/>
                <w:w w:val="78"/>
              </w:rPr>
              <w:t>$</w:t>
            </w:r>
          </w:p>
        </w:tc>
        <w:tc>
          <w:tcPr>
            <w:tcW w:w="1060" w:type="dxa"/>
            <w:vAlign w:val="bottom"/>
            <w:tcBorders>
              <w:bottom w:val="single" w:sz="8" w:color="EF3E2B"/>
            </w:tcBorders>
            <w:shd w:val="clear" w:color="auto" w:fill="EF3E2B"/>
          </w:tcPr>
          <w:p>
            <w:pPr>
              <w:jc w:val="right"/>
              <w:ind w:right="83"/>
              <w:spacing w:after="0"/>
              <w:rPr>
                <w:sz w:val="20"/>
                <w:szCs w:val="20"/>
                <w:color w:val="auto"/>
              </w:rPr>
            </w:pPr>
            <w:r>
              <w:rPr>
                <w:rFonts w:ascii="Calibri" w:cs="Calibri" w:eastAsia="Calibri" w:hAnsi="Calibri"/>
                <w:sz w:val="20"/>
                <w:szCs w:val="20"/>
                <w:b w:val="1"/>
                <w:bCs w:val="1"/>
                <w:color w:val="FFFFFF"/>
              </w:rPr>
              <w:t>5,204,492</w:t>
            </w: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EF3E2B"/>
            </w:tcBorders>
            <w:shd w:val="clear" w:color="auto" w:fill="EF3E2B"/>
          </w:tcPr>
          <w:p>
            <w:pPr>
              <w:jc w:val="right"/>
              <w:ind w:right="63"/>
              <w:spacing w:after="0"/>
              <w:rPr>
                <w:sz w:val="20"/>
                <w:szCs w:val="20"/>
                <w:color w:val="auto"/>
              </w:rPr>
            </w:pPr>
            <w:r>
              <w:rPr>
                <w:rFonts w:ascii="Calibri" w:cs="Calibri" w:eastAsia="Calibri" w:hAnsi="Calibri"/>
                <w:sz w:val="20"/>
                <w:szCs w:val="20"/>
                <w:b w:val="1"/>
                <w:bCs w:val="1"/>
                <w:color w:val="FFFFFF"/>
              </w:rPr>
              <w:t>6,693,424</w:t>
            </w:r>
          </w:p>
        </w:tc>
        <w:tc>
          <w:tcPr>
            <w:tcW w:w="24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40" w:type="dxa"/>
            <w:vAlign w:val="bottom"/>
            <w:tcBorders>
              <w:bottom w:val="single" w:sz="8" w:color="EF3E2B"/>
            </w:tcBorders>
            <w:shd w:val="clear" w:color="auto" w:fill="EF3E2B"/>
          </w:tcPr>
          <w:p>
            <w:pPr>
              <w:jc w:val="right"/>
              <w:ind w:right="43"/>
              <w:spacing w:after="0"/>
              <w:rPr>
                <w:sz w:val="20"/>
                <w:szCs w:val="20"/>
                <w:color w:val="auto"/>
              </w:rPr>
            </w:pPr>
            <w:r>
              <w:rPr>
                <w:rFonts w:ascii="Calibri" w:cs="Calibri" w:eastAsia="Calibri" w:hAnsi="Calibri"/>
                <w:sz w:val="20"/>
                <w:szCs w:val="20"/>
                <w:b w:val="1"/>
                <w:bCs w:val="1"/>
                <w:color w:val="FFFFFF"/>
              </w:rPr>
              <w:t>4,731,184</w:t>
            </w:r>
          </w:p>
        </w:tc>
        <w:tc>
          <w:tcPr>
            <w:tcW w:w="26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00" w:type="dxa"/>
            <w:vAlign w:val="bottom"/>
            <w:tcBorders>
              <w:bottom w:val="single" w:sz="8" w:color="EF3E2B"/>
            </w:tcBorders>
            <w:shd w:val="clear" w:color="auto" w:fill="EF3E2B"/>
          </w:tcPr>
          <w:p>
            <w:pPr>
              <w:jc w:val="right"/>
              <w:ind w:right="23"/>
              <w:spacing w:after="0"/>
              <w:rPr>
                <w:sz w:val="20"/>
                <w:szCs w:val="20"/>
                <w:color w:val="auto"/>
              </w:rPr>
            </w:pPr>
            <w:r>
              <w:rPr>
                <w:rFonts w:ascii="Calibri" w:cs="Calibri" w:eastAsia="Calibri" w:hAnsi="Calibri"/>
                <w:sz w:val="20"/>
                <w:szCs w:val="20"/>
                <w:b w:val="1"/>
                <w:bCs w:val="1"/>
                <w:color w:val="FFFFFF"/>
              </w:rPr>
              <w:t>4,757,617</w:t>
            </w:r>
          </w:p>
        </w:tc>
      </w:tr>
      <w:tr>
        <w:trPr>
          <w:trHeight w:val="275"/>
        </w:trPr>
        <w:tc>
          <w:tcPr>
            <w:tcW w:w="1700" w:type="dxa"/>
            <w:vAlign w:val="bottom"/>
            <w:gridSpan w:val="2"/>
          </w:tcPr>
          <w:p>
            <w:pPr>
              <w:spacing w:after="0"/>
              <w:rPr>
                <w:sz w:val="20"/>
                <w:szCs w:val="20"/>
                <w:color w:val="auto"/>
              </w:rPr>
            </w:pPr>
            <w:r>
              <w:rPr>
                <w:rFonts w:ascii="Calibri" w:cs="Calibri" w:eastAsia="Calibri" w:hAnsi="Calibri"/>
                <w:sz w:val="20"/>
                <w:szCs w:val="20"/>
                <w:color w:val="231F20"/>
              </w:rPr>
              <w:t>Daniel Guglielmone</w:t>
            </w:r>
          </w:p>
        </w:tc>
        <w:tc>
          <w:tcPr>
            <w:tcW w:w="1940" w:type="dxa"/>
            <w:vAlign w:val="bottom"/>
            <w:tcBorders>
              <w:bottom w:val="single" w:sz="8" w:color="E6E7E8"/>
            </w:tcBorders>
            <w:shd w:val="clear" w:color="auto" w:fill="E6E7E8"/>
          </w:tcPr>
          <w:p>
            <w:pPr>
              <w:spacing w:after="0"/>
              <w:rPr>
                <w:sz w:val="20"/>
                <w:szCs w:val="20"/>
                <w:color w:val="auto"/>
              </w:rPr>
            </w:pPr>
            <w:r>
              <w:rPr>
                <w:rFonts w:ascii="Calibri" w:cs="Calibri" w:eastAsia="Calibri" w:hAnsi="Calibri"/>
                <w:sz w:val="20"/>
                <w:szCs w:val="20"/>
                <w:color w:val="231F20"/>
                <w:w w:val="99"/>
              </w:rPr>
              <w:t>Cash Benefits (multiple)</w:t>
            </w:r>
          </w:p>
        </w:tc>
        <w:tc>
          <w:tcPr>
            <w:tcW w:w="280" w:type="dxa"/>
            <w:vAlign w:val="bottom"/>
            <w:tcBorders>
              <w:bottom w:val="single" w:sz="8" w:color="E6E7E8"/>
            </w:tcBorders>
            <w:shd w:val="clear" w:color="auto" w:fill="E6E7E8"/>
          </w:tcPr>
          <w:p>
            <w:pPr>
              <w:spacing w:after="0"/>
              <w:rPr>
                <w:sz w:val="23"/>
                <w:szCs w:val="23"/>
                <w:color w:val="auto"/>
              </w:rPr>
            </w:pPr>
          </w:p>
        </w:tc>
        <w:tc>
          <w:tcPr>
            <w:tcW w:w="92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w w:val="93"/>
              </w:rPr>
              <w:t>2 months</w:t>
            </w:r>
          </w:p>
        </w:tc>
        <w:tc>
          <w:tcPr>
            <w:tcW w:w="30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rPr>
              <w:t>N/A</w:t>
            </w:r>
          </w:p>
        </w:tc>
        <w:tc>
          <w:tcPr>
            <w:tcW w:w="28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63"/>
              <w:spacing w:after="0"/>
              <w:rPr>
                <w:sz w:val="20"/>
                <w:szCs w:val="20"/>
                <w:color w:val="auto"/>
              </w:rPr>
            </w:pPr>
            <w:r>
              <w:rPr>
                <w:rFonts w:ascii="Calibri" w:cs="Calibri" w:eastAsia="Calibri" w:hAnsi="Calibri"/>
                <w:sz w:val="20"/>
                <w:szCs w:val="20"/>
                <w:color w:val="231F20"/>
              </w:rPr>
              <w:t>2.0x</w:t>
            </w:r>
          </w:p>
        </w:tc>
        <w:tc>
          <w:tcPr>
            <w:tcW w:w="240" w:type="dxa"/>
            <w:vAlign w:val="bottom"/>
            <w:tcBorders>
              <w:bottom w:val="single" w:sz="8" w:color="E6E7E8"/>
            </w:tcBorders>
            <w:shd w:val="clear" w:color="auto" w:fill="E6E7E8"/>
          </w:tcPr>
          <w:p>
            <w:pPr>
              <w:spacing w:after="0"/>
              <w:rPr>
                <w:sz w:val="23"/>
                <w:szCs w:val="23"/>
                <w:color w:val="auto"/>
              </w:rPr>
            </w:pPr>
          </w:p>
        </w:tc>
        <w:tc>
          <w:tcPr>
            <w:tcW w:w="1040" w:type="dxa"/>
            <w:vAlign w:val="bottom"/>
            <w:tcBorders>
              <w:bottom w:val="single" w:sz="8" w:color="E6E7E8"/>
            </w:tcBorders>
            <w:shd w:val="clear" w:color="auto" w:fill="E6E7E8"/>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Borders>
              <w:bottom w:val="single" w:sz="8" w:color="E6E7E8"/>
            </w:tcBorders>
            <w:shd w:val="clear" w:color="auto" w:fill="E6E7E8"/>
          </w:tcPr>
          <w:p>
            <w:pPr>
              <w:spacing w:after="0"/>
              <w:rPr>
                <w:sz w:val="23"/>
                <w:szCs w:val="23"/>
                <w:color w:val="auto"/>
              </w:rPr>
            </w:pPr>
          </w:p>
        </w:tc>
        <w:tc>
          <w:tcPr>
            <w:tcW w:w="1000" w:type="dxa"/>
            <w:vAlign w:val="bottom"/>
            <w:tcBorders>
              <w:bottom w:val="single" w:sz="8" w:color="E6E7E8"/>
            </w:tcBorders>
            <w:shd w:val="clear" w:color="auto" w:fill="E6E7E8"/>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Cash Benefits (amount)</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83"/>
              <w:spacing w:after="0"/>
              <w:rPr>
                <w:sz w:val="20"/>
                <w:szCs w:val="20"/>
                <w:color w:val="auto"/>
              </w:rPr>
            </w:pPr>
            <w:r>
              <w:rPr>
                <w:rFonts w:ascii="Calibri" w:cs="Calibri" w:eastAsia="Calibri" w:hAnsi="Calibri"/>
                <w:sz w:val="20"/>
                <w:szCs w:val="20"/>
                <w:color w:val="231F20"/>
              </w:rPr>
              <w:t>95,833</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263"/>
              <w:spacing w:after="0"/>
              <w:rPr>
                <w:sz w:val="20"/>
                <w:szCs w:val="20"/>
                <w:color w:val="auto"/>
              </w:rPr>
            </w:pPr>
            <w:r>
              <w:rPr>
                <w:rFonts w:ascii="Calibri" w:cs="Calibri" w:eastAsia="Calibri" w:hAnsi="Calibri"/>
                <w:sz w:val="20"/>
                <w:szCs w:val="20"/>
                <w:color w:val="231F20"/>
              </w:rPr>
              <w:t>-</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2,587,500</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549,169</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Medical Benefits</w:t>
            </w:r>
            <w:r>
              <w:rPr>
                <w:rFonts w:ascii="Calibri" w:cs="Calibri" w:eastAsia="Calibri" w:hAnsi="Calibri"/>
                <w:sz w:val="25"/>
                <w:szCs w:val="25"/>
                <w:color w:val="231F20"/>
                <w:vertAlign w:val="superscript"/>
              </w:rPr>
              <w:t>(2)</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center"/>
              <w:ind w:left="23"/>
              <w:spacing w:after="0"/>
              <w:rPr>
                <w:sz w:val="20"/>
                <w:szCs w:val="20"/>
                <w:color w:val="auto"/>
              </w:rPr>
            </w:pPr>
            <w:r>
              <w:rPr>
                <w:rFonts w:ascii="Calibri" w:cs="Calibri" w:eastAsia="Calibri" w:hAnsi="Calibri"/>
                <w:sz w:val="20"/>
                <w:szCs w:val="20"/>
                <w:color w:val="231F20"/>
                <w:w w:val="96"/>
              </w:rPr>
              <w:t>6,482</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263"/>
              <w:spacing w:after="0"/>
              <w:rPr>
                <w:sz w:val="20"/>
                <w:szCs w:val="20"/>
                <w:color w:val="auto"/>
              </w:rPr>
            </w:pPr>
            <w:r>
              <w:rPr>
                <w:rFonts w:ascii="Calibri" w:cs="Calibri" w:eastAsia="Calibri" w:hAnsi="Calibri"/>
                <w:sz w:val="20"/>
                <w:szCs w:val="20"/>
                <w:color w:val="231F20"/>
              </w:rPr>
              <w:t>-</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77,779</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38,890</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line="294" w:lineRule="exact"/>
              <w:rPr>
                <w:sz w:val="20"/>
                <w:szCs w:val="20"/>
                <w:color w:val="auto"/>
              </w:rPr>
            </w:pPr>
            <w:r>
              <w:rPr>
                <w:rFonts w:ascii="Calibri" w:cs="Calibri" w:eastAsia="Calibri" w:hAnsi="Calibri"/>
                <w:sz w:val="20"/>
                <w:szCs w:val="20"/>
                <w:color w:val="231F20"/>
              </w:rPr>
              <w:t>Accelerated Equity</w:t>
            </w:r>
            <w:r>
              <w:rPr>
                <w:rFonts w:ascii="Calibri" w:cs="Calibri" w:eastAsia="Calibri" w:hAnsi="Calibri"/>
                <w:sz w:val="25"/>
                <w:szCs w:val="25"/>
                <w:color w:val="231F20"/>
                <w:vertAlign w:val="superscript"/>
              </w:rPr>
              <w:t>(3)</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2,263,493</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2,263,493</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2,263,493</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2,263,493</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Other Benefits</w:t>
            </w:r>
            <w:r>
              <w:rPr>
                <w:rFonts w:ascii="Calibri" w:cs="Calibri" w:eastAsia="Calibri" w:hAnsi="Calibri"/>
                <w:sz w:val="25"/>
                <w:szCs w:val="25"/>
                <w:color w:val="231F20"/>
                <w:vertAlign w:val="superscript"/>
              </w:rPr>
              <w:t>(4)</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263"/>
              <w:spacing w:after="0"/>
              <w:rPr>
                <w:sz w:val="20"/>
                <w:szCs w:val="20"/>
                <w:color w:val="auto"/>
              </w:rPr>
            </w:pPr>
            <w:r>
              <w:rPr>
                <w:rFonts w:ascii="Calibri" w:cs="Calibri" w:eastAsia="Calibri" w:hAnsi="Calibri"/>
                <w:sz w:val="20"/>
                <w:szCs w:val="20"/>
                <w:color w:val="231F20"/>
              </w:rPr>
              <w:t>-</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90,000</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23"/>
              <w:spacing w:after="0"/>
              <w:rPr>
                <w:sz w:val="20"/>
                <w:szCs w:val="20"/>
                <w:color w:val="auto"/>
              </w:rPr>
            </w:pPr>
            <w:r>
              <w:rPr>
                <w:rFonts w:ascii="Calibri" w:cs="Calibri" w:eastAsia="Calibri" w:hAnsi="Calibri"/>
                <w:sz w:val="20"/>
                <w:szCs w:val="20"/>
                <w:color w:val="231F20"/>
              </w:rPr>
              <w:t>-</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Excise Tax Gross-Up</w:t>
            </w:r>
          </w:p>
        </w:tc>
        <w:tc>
          <w:tcPr>
            <w:tcW w:w="280" w:type="dxa"/>
            <w:vAlign w:val="bottom"/>
          </w:tcPr>
          <w:p>
            <w:pPr>
              <w:spacing w:after="0"/>
              <w:rPr>
                <w:sz w:val="23"/>
                <w:szCs w:val="23"/>
                <w:color w:val="auto"/>
              </w:rPr>
            </w:pPr>
          </w:p>
        </w:tc>
        <w:tc>
          <w:tcPr>
            <w:tcW w:w="92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300" w:type="dxa"/>
            <w:vAlign w:val="bottom"/>
          </w:tcPr>
          <w:p>
            <w:pPr>
              <w:spacing w:after="0"/>
              <w:rPr>
                <w:sz w:val="23"/>
                <w:szCs w:val="23"/>
                <w:color w:val="auto"/>
              </w:rPr>
            </w:pP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28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N/A</w:t>
            </w:r>
          </w:p>
        </w:tc>
        <w:tc>
          <w:tcPr>
            <w:tcW w:w="24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1700" w:type="dxa"/>
            <w:vAlign w:val="bottom"/>
            <w:tcBorders>
              <w:bottom w:val="single" w:sz="8" w:color="EF3E2B"/>
            </w:tcBorders>
            <w:gridSpan w:val="2"/>
            <w:shd w:val="clear" w:color="auto" w:fill="EF3E2B"/>
          </w:tcPr>
          <w:p>
            <w:pPr>
              <w:spacing w:after="0"/>
              <w:rPr>
                <w:sz w:val="20"/>
                <w:szCs w:val="20"/>
                <w:color w:val="auto"/>
              </w:rPr>
            </w:pPr>
            <w:r>
              <w:rPr>
                <w:rFonts w:ascii="Calibri" w:cs="Calibri" w:eastAsia="Calibri" w:hAnsi="Calibri"/>
                <w:sz w:val="20"/>
                <w:szCs w:val="20"/>
                <w:b w:val="1"/>
                <w:bCs w:val="1"/>
                <w:color w:val="FFFFFF"/>
              </w:rPr>
              <w:t>Total</w:t>
            </w:r>
          </w:p>
        </w:tc>
        <w:tc>
          <w:tcPr>
            <w:tcW w:w="1940" w:type="dxa"/>
            <w:vAlign w:val="bottom"/>
            <w:tcBorders>
              <w:bottom w:val="single" w:sz="8" w:color="EF3E2B"/>
            </w:tcBorders>
            <w:shd w:val="clear" w:color="auto" w:fill="EF3E2B"/>
          </w:tcPr>
          <w:p>
            <w:pPr>
              <w:spacing w:after="0"/>
              <w:rPr>
                <w:sz w:val="23"/>
                <w:szCs w:val="23"/>
                <w:color w:val="auto"/>
              </w:rPr>
            </w:pP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920" w:type="dxa"/>
            <w:vAlign w:val="bottom"/>
            <w:tcBorders>
              <w:bottom w:val="single" w:sz="8" w:color="EF3E2B"/>
            </w:tcBorders>
            <w:shd w:val="clear" w:color="auto" w:fill="EF3E2B"/>
          </w:tcPr>
          <w:p>
            <w:pPr>
              <w:jc w:val="right"/>
              <w:ind w:right="83"/>
              <w:spacing w:after="0"/>
              <w:rPr>
                <w:sz w:val="20"/>
                <w:szCs w:val="20"/>
                <w:color w:val="auto"/>
              </w:rPr>
            </w:pPr>
            <w:r>
              <w:rPr>
                <w:rFonts w:ascii="Calibri" w:cs="Calibri" w:eastAsia="Calibri" w:hAnsi="Calibri"/>
                <w:sz w:val="20"/>
                <w:szCs w:val="20"/>
                <w:b w:val="1"/>
                <w:bCs w:val="1"/>
                <w:color w:val="FFFFFF"/>
              </w:rPr>
              <w:t>102,315</w:t>
            </w:r>
          </w:p>
        </w:tc>
        <w:tc>
          <w:tcPr>
            <w:tcW w:w="300" w:type="dxa"/>
            <w:vAlign w:val="bottom"/>
            <w:tcBorders>
              <w:bottom w:val="single" w:sz="8" w:color="EF3E2B"/>
            </w:tcBorders>
            <w:shd w:val="clear" w:color="auto" w:fill="EF3E2B"/>
          </w:tcPr>
          <w:p>
            <w:pPr>
              <w:ind w:left="200"/>
              <w:spacing w:after="0"/>
              <w:rPr>
                <w:sz w:val="20"/>
                <w:szCs w:val="20"/>
                <w:color w:val="auto"/>
              </w:rPr>
            </w:pPr>
            <w:r>
              <w:rPr>
                <w:rFonts w:ascii="Calibri" w:cs="Calibri" w:eastAsia="Calibri" w:hAnsi="Calibri"/>
                <w:sz w:val="20"/>
                <w:szCs w:val="20"/>
                <w:b w:val="1"/>
                <w:bCs w:val="1"/>
                <w:color w:val="FFFFFF"/>
                <w:w w:val="78"/>
              </w:rPr>
              <w:t>$</w:t>
            </w:r>
          </w:p>
        </w:tc>
        <w:tc>
          <w:tcPr>
            <w:tcW w:w="1060" w:type="dxa"/>
            <w:vAlign w:val="bottom"/>
            <w:tcBorders>
              <w:bottom w:val="single" w:sz="8" w:color="EF3E2B"/>
            </w:tcBorders>
            <w:shd w:val="clear" w:color="auto" w:fill="EF3E2B"/>
          </w:tcPr>
          <w:p>
            <w:pPr>
              <w:jc w:val="right"/>
              <w:ind w:right="83"/>
              <w:spacing w:after="0"/>
              <w:rPr>
                <w:sz w:val="20"/>
                <w:szCs w:val="20"/>
                <w:color w:val="auto"/>
              </w:rPr>
            </w:pPr>
            <w:r>
              <w:rPr>
                <w:rFonts w:ascii="Calibri" w:cs="Calibri" w:eastAsia="Calibri" w:hAnsi="Calibri"/>
                <w:sz w:val="20"/>
                <w:szCs w:val="20"/>
                <w:b w:val="1"/>
                <w:bCs w:val="1"/>
                <w:color w:val="FFFFFF"/>
              </w:rPr>
              <w:t>2,263,493</w:t>
            </w: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EF3E2B"/>
            </w:tcBorders>
            <w:shd w:val="clear" w:color="auto" w:fill="EF3E2B"/>
          </w:tcPr>
          <w:p>
            <w:pPr>
              <w:jc w:val="right"/>
              <w:ind w:right="63"/>
              <w:spacing w:after="0"/>
              <w:rPr>
                <w:sz w:val="20"/>
                <w:szCs w:val="20"/>
                <w:color w:val="auto"/>
              </w:rPr>
            </w:pPr>
            <w:r>
              <w:rPr>
                <w:rFonts w:ascii="Calibri" w:cs="Calibri" w:eastAsia="Calibri" w:hAnsi="Calibri"/>
                <w:sz w:val="20"/>
                <w:szCs w:val="20"/>
                <w:b w:val="1"/>
                <w:bCs w:val="1"/>
                <w:color w:val="FFFFFF"/>
              </w:rPr>
              <w:t>5,018,772</w:t>
            </w:r>
          </w:p>
        </w:tc>
        <w:tc>
          <w:tcPr>
            <w:tcW w:w="24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40" w:type="dxa"/>
            <w:vAlign w:val="bottom"/>
            <w:tcBorders>
              <w:bottom w:val="single" w:sz="8" w:color="EF3E2B"/>
            </w:tcBorders>
            <w:shd w:val="clear" w:color="auto" w:fill="EF3E2B"/>
          </w:tcPr>
          <w:p>
            <w:pPr>
              <w:jc w:val="right"/>
              <w:ind w:right="43"/>
              <w:spacing w:after="0"/>
              <w:rPr>
                <w:sz w:val="20"/>
                <w:szCs w:val="20"/>
                <w:color w:val="auto"/>
              </w:rPr>
            </w:pPr>
            <w:r>
              <w:rPr>
                <w:rFonts w:ascii="Calibri" w:cs="Calibri" w:eastAsia="Calibri" w:hAnsi="Calibri"/>
                <w:sz w:val="20"/>
                <w:szCs w:val="20"/>
                <w:b w:val="1"/>
                <w:bCs w:val="1"/>
                <w:color w:val="FFFFFF"/>
              </w:rPr>
              <w:t>2,263,493</w:t>
            </w:r>
          </w:p>
        </w:tc>
        <w:tc>
          <w:tcPr>
            <w:tcW w:w="26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00" w:type="dxa"/>
            <w:vAlign w:val="bottom"/>
            <w:tcBorders>
              <w:bottom w:val="single" w:sz="8" w:color="EF3E2B"/>
            </w:tcBorders>
            <w:shd w:val="clear" w:color="auto" w:fill="EF3E2B"/>
          </w:tcPr>
          <w:p>
            <w:pPr>
              <w:jc w:val="right"/>
              <w:ind w:right="23"/>
              <w:spacing w:after="0"/>
              <w:rPr>
                <w:sz w:val="20"/>
                <w:szCs w:val="20"/>
                <w:color w:val="auto"/>
              </w:rPr>
            </w:pPr>
            <w:r>
              <w:rPr>
                <w:rFonts w:ascii="Calibri" w:cs="Calibri" w:eastAsia="Calibri" w:hAnsi="Calibri"/>
                <w:sz w:val="20"/>
                <w:szCs w:val="20"/>
                <w:b w:val="1"/>
                <w:bCs w:val="1"/>
                <w:color w:val="FFFFFF"/>
              </w:rPr>
              <w:t>2,851,552</w:t>
            </w:r>
          </w:p>
        </w:tc>
      </w:tr>
      <w:tr>
        <w:trPr>
          <w:trHeight w:val="275"/>
        </w:trPr>
        <w:tc>
          <w:tcPr>
            <w:tcW w:w="1700" w:type="dxa"/>
            <w:vAlign w:val="bottom"/>
            <w:gridSpan w:val="2"/>
          </w:tcPr>
          <w:p>
            <w:pPr>
              <w:spacing w:after="0"/>
              <w:rPr>
                <w:sz w:val="20"/>
                <w:szCs w:val="20"/>
                <w:color w:val="auto"/>
              </w:rPr>
            </w:pPr>
            <w:r>
              <w:rPr>
                <w:rFonts w:ascii="Calibri" w:cs="Calibri" w:eastAsia="Calibri" w:hAnsi="Calibri"/>
                <w:sz w:val="20"/>
                <w:szCs w:val="20"/>
                <w:color w:val="231F20"/>
              </w:rPr>
              <w:t>Dawn M. Becker</w:t>
            </w:r>
          </w:p>
        </w:tc>
        <w:tc>
          <w:tcPr>
            <w:tcW w:w="1940" w:type="dxa"/>
            <w:vAlign w:val="bottom"/>
            <w:tcBorders>
              <w:bottom w:val="single" w:sz="8" w:color="E6E7E8"/>
            </w:tcBorders>
            <w:shd w:val="clear" w:color="auto" w:fill="E6E7E8"/>
          </w:tcPr>
          <w:p>
            <w:pPr>
              <w:spacing w:after="0"/>
              <w:rPr>
                <w:sz w:val="20"/>
                <w:szCs w:val="20"/>
                <w:color w:val="auto"/>
              </w:rPr>
            </w:pPr>
            <w:r>
              <w:rPr>
                <w:rFonts w:ascii="Calibri" w:cs="Calibri" w:eastAsia="Calibri" w:hAnsi="Calibri"/>
                <w:sz w:val="20"/>
                <w:szCs w:val="20"/>
                <w:color w:val="231F20"/>
                <w:w w:val="99"/>
              </w:rPr>
              <w:t>Cash Benefits (multiple)</w:t>
            </w:r>
          </w:p>
        </w:tc>
        <w:tc>
          <w:tcPr>
            <w:tcW w:w="280" w:type="dxa"/>
            <w:vAlign w:val="bottom"/>
            <w:tcBorders>
              <w:bottom w:val="single" w:sz="8" w:color="E6E7E8"/>
            </w:tcBorders>
            <w:shd w:val="clear" w:color="auto" w:fill="E6E7E8"/>
          </w:tcPr>
          <w:p>
            <w:pPr>
              <w:spacing w:after="0"/>
              <w:rPr>
                <w:sz w:val="23"/>
                <w:szCs w:val="23"/>
                <w:color w:val="auto"/>
              </w:rPr>
            </w:pPr>
          </w:p>
        </w:tc>
        <w:tc>
          <w:tcPr>
            <w:tcW w:w="92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w w:val="93"/>
              </w:rPr>
              <w:t>6 months</w:t>
            </w:r>
          </w:p>
        </w:tc>
        <w:tc>
          <w:tcPr>
            <w:tcW w:w="30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rPr>
              <w:t>1.0x</w:t>
            </w:r>
          </w:p>
        </w:tc>
        <w:tc>
          <w:tcPr>
            <w:tcW w:w="280" w:type="dxa"/>
            <w:vAlign w:val="bottom"/>
            <w:tcBorders>
              <w:bottom w:val="single" w:sz="8" w:color="E6E7E8"/>
            </w:tcBorders>
            <w:shd w:val="clear" w:color="auto" w:fill="E6E7E8"/>
          </w:tcPr>
          <w:p>
            <w:pPr>
              <w:spacing w:after="0"/>
              <w:rPr>
                <w:sz w:val="23"/>
                <w:szCs w:val="23"/>
                <w:color w:val="auto"/>
              </w:rPr>
            </w:pPr>
          </w:p>
        </w:tc>
        <w:tc>
          <w:tcPr>
            <w:tcW w:w="1060" w:type="dxa"/>
            <w:vAlign w:val="bottom"/>
            <w:tcBorders>
              <w:bottom w:val="single" w:sz="8" w:color="E6E7E8"/>
            </w:tcBorders>
            <w:shd w:val="clear" w:color="auto" w:fill="E6E7E8"/>
          </w:tcPr>
          <w:p>
            <w:pPr>
              <w:jc w:val="right"/>
              <w:ind w:right="63"/>
              <w:spacing w:after="0"/>
              <w:rPr>
                <w:sz w:val="20"/>
                <w:szCs w:val="20"/>
                <w:color w:val="auto"/>
              </w:rPr>
            </w:pPr>
            <w:r>
              <w:rPr>
                <w:rFonts w:ascii="Calibri" w:cs="Calibri" w:eastAsia="Calibri" w:hAnsi="Calibri"/>
                <w:sz w:val="20"/>
                <w:szCs w:val="20"/>
                <w:color w:val="231F20"/>
              </w:rPr>
              <w:t>2.0x</w:t>
            </w:r>
          </w:p>
        </w:tc>
        <w:tc>
          <w:tcPr>
            <w:tcW w:w="240" w:type="dxa"/>
            <w:vAlign w:val="bottom"/>
            <w:tcBorders>
              <w:bottom w:val="single" w:sz="8" w:color="E6E7E8"/>
            </w:tcBorders>
            <w:shd w:val="clear" w:color="auto" w:fill="E6E7E8"/>
          </w:tcPr>
          <w:p>
            <w:pPr>
              <w:spacing w:after="0"/>
              <w:rPr>
                <w:sz w:val="23"/>
                <w:szCs w:val="23"/>
                <w:color w:val="auto"/>
              </w:rPr>
            </w:pPr>
          </w:p>
        </w:tc>
        <w:tc>
          <w:tcPr>
            <w:tcW w:w="1040" w:type="dxa"/>
            <w:vAlign w:val="bottom"/>
            <w:tcBorders>
              <w:bottom w:val="single" w:sz="8" w:color="E6E7E8"/>
            </w:tcBorders>
            <w:shd w:val="clear" w:color="auto" w:fill="E6E7E8"/>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Borders>
              <w:bottom w:val="single" w:sz="8" w:color="E6E7E8"/>
            </w:tcBorders>
            <w:shd w:val="clear" w:color="auto" w:fill="E6E7E8"/>
          </w:tcPr>
          <w:p>
            <w:pPr>
              <w:spacing w:after="0"/>
              <w:rPr>
                <w:sz w:val="23"/>
                <w:szCs w:val="23"/>
                <w:color w:val="auto"/>
              </w:rPr>
            </w:pPr>
          </w:p>
        </w:tc>
        <w:tc>
          <w:tcPr>
            <w:tcW w:w="1000" w:type="dxa"/>
            <w:vAlign w:val="bottom"/>
            <w:tcBorders>
              <w:bottom w:val="single" w:sz="8" w:color="E6E7E8"/>
            </w:tcBorders>
            <w:shd w:val="clear" w:color="auto" w:fill="E6E7E8"/>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Cash Benefits (amount)</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83"/>
              <w:spacing w:after="0"/>
              <w:rPr>
                <w:sz w:val="20"/>
                <w:szCs w:val="20"/>
                <w:color w:val="auto"/>
              </w:rPr>
            </w:pPr>
            <w:r>
              <w:rPr>
                <w:rFonts w:ascii="Calibri" w:cs="Calibri" w:eastAsia="Calibri" w:hAnsi="Calibri"/>
                <w:sz w:val="20"/>
                <w:szCs w:val="20"/>
                <w:color w:val="231F20"/>
              </w:rPr>
              <w:t>287,500</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1,293,750</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2,587,500</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508,981</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Medical Benefits</w:t>
            </w:r>
            <w:r>
              <w:rPr>
                <w:rFonts w:ascii="Calibri" w:cs="Calibri" w:eastAsia="Calibri" w:hAnsi="Calibri"/>
                <w:sz w:val="25"/>
                <w:szCs w:val="25"/>
                <w:color w:val="231F20"/>
                <w:vertAlign w:val="superscript"/>
              </w:rPr>
              <w:t>(2)</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center"/>
              <w:ind w:left="23"/>
              <w:spacing w:after="0"/>
              <w:rPr>
                <w:sz w:val="20"/>
                <w:szCs w:val="20"/>
                <w:color w:val="auto"/>
              </w:rPr>
            </w:pPr>
            <w:r>
              <w:rPr>
                <w:rFonts w:ascii="Calibri" w:cs="Calibri" w:eastAsia="Calibri" w:hAnsi="Calibri"/>
                <w:sz w:val="20"/>
                <w:szCs w:val="20"/>
                <w:color w:val="231F20"/>
                <w:w w:val="96"/>
              </w:rPr>
              <w:t>9,560</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14,340</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38,240</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19,120</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line="294" w:lineRule="exact"/>
              <w:rPr>
                <w:sz w:val="20"/>
                <w:szCs w:val="20"/>
                <w:color w:val="auto"/>
              </w:rPr>
            </w:pPr>
            <w:r>
              <w:rPr>
                <w:rFonts w:ascii="Calibri" w:cs="Calibri" w:eastAsia="Calibri" w:hAnsi="Calibri"/>
                <w:sz w:val="20"/>
                <w:szCs w:val="20"/>
                <w:color w:val="231F20"/>
              </w:rPr>
              <w:t>Accelerated Equity</w:t>
            </w:r>
            <w:r>
              <w:rPr>
                <w:rFonts w:ascii="Calibri" w:cs="Calibri" w:eastAsia="Calibri" w:hAnsi="Calibri"/>
                <w:sz w:val="25"/>
                <w:szCs w:val="25"/>
                <w:color w:val="231F20"/>
                <w:vertAlign w:val="superscript"/>
              </w:rPr>
              <w:t>(3)</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1,767,926</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63"/>
              <w:spacing w:after="0"/>
              <w:rPr>
                <w:sz w:val="20"/>
                <w:szCs w:val="20"/>
                <w:color w:val="auto"/>
              </w:rPr>
            </w:pPr>
            <w:r>
              <w:rPr>
                <w:rFonts w:ascii="Calibri" w:cs="Calibri" w:eastAsia="Calibri" w:hAnsi="Calibri"/>
                <w:sz w:val="20"/>
                <w:szCs w:val="20"/>
                <w:color w:val="231F20"/>
              </w:rPr>
              <w:t>1,767,926</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1,767,926</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1,767,926</w:t>
            </w:r>
          </w:p>
        </w:tc>
      </w:tr>
      <w:tr>
        <w:trPr>
          <w:trHeight w:val="295"/>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Other Benefits</w:t>
            </w:r>
            <w:r>
              <w:rPr>
                <w:rFonts w:ascii="Calibri" w:cs="Calibri" w:eastAsia="Calibri" w:hAnsi="Calibri"/>
                <w:sz w:val="25"/>
                <w:szCs w:val="25"/>
                <w:color w:val="231F20"/>
                <w:vertAlign w:val="superscript"/>
              </w:rPr>
              <w:t>(4)</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center"/>
              <w:ind w:left="3"/>
              <w:spacing w:after="0"/>
              <w:rPr>
                <w:sz w:val="20"/>
                <w:szCs w:val="20"/>
                <w:color w:val="auto"/>
              </w:rPr>
            </w:pPr>
            <w:r>
              <w:rPr>
                <w:rFonts w:ascii="Calibri" w:cs="Calibri" w:eastAsia="Calibri" w:hAnsi="Calibri"/>
                <w:sz w:val="20"/>
                <w:szCs w:val="20"/>
                <w:color w:val="231F20"/>
                <w:w w:val="97"/>
              </w:rPr>
              <w:t>-</w:t>
            </w:r>
          </w:p>
        </w:tc>
        <w:tc>
          <w:tcPr>
            <w:tcW w:w="300" w:type="dxa"/>
            <w:vAlign w:val="bottom"/>
            <w:shd w:val="clear" w:color="auto" w:fill="E6E7E8"/>
          </w:tcPr>
          <w:p>
            <w:pPr>
              <w:ind w:left="200"/>
              <w:spacing w:after="0"/>
              <w:rPr>
                <w:sz w:val="20"/>
                <w:szCs w:val="20"/>
                <w:color w:val="auto"/>
              </w:rPr>
            </w:pPr>
            <w:r>
              <w:rPr>
                <w:rFonts w:ascii="Calibri" w:cs="Calibri" w:eastAsia="Calibri" w:hAnsi="Calibri"/>
                <w:sz w:val="20"/>
                <w:szCs w:val="20"/>
                <w:color w:val="231F20"/>
                <w:w w:val="78"/>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60,000</w:t>
            </w:r>
          </w:p>
        </w:tc>
        <w:tc>
          <w:tcPr>
            <w:tcW w:w="2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90,000</w:t>
            </w:r>
          </w:p>
        </w:tc>
        <w:tc>
          <w:tcPr>
            <w:tcW w:w="24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40" w:type="dxa"/>
            <w:vAlign w:val="bottom"/>
            <w:shd w:val="clear" w:color="auto" w:fill="E6E7E8"/>
          </w:tcPr>
          <w:p>
            <w:pPr>
              <w:jc w:val="right"/>
              <w:ind w:right="243"/>
              <w:spacing w:after="0"/>
              <w:rPr>
                <w:sz w:val="20"/>
                <w:szCs w:val="20"/>
                <w:color w:val="auto"/>
              </w:rPr>
            </w:pPr>
            <w:r>
              <w:rPr>
                <w:rFonts w:ascii="Calibri" w:cs="Calibri" w:eastAsia="Calibri" w:hAnsi="Calibri"/>
                <w:sz w:val="20"/>
                <w:szCs w:val="20"/>
                <w:color w:val="231F20"/>
              </w:rPr>
              <w:t>-</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23"/>
              <w:spacing w:after="0"/>
              <w:rPr>
                <w:sz w:val="20"/>
                <w:szCs w:val="20"/>
                <w:color w:val="auto"/>
              </w:rPr>
            </w:pPr>
            <w:r>
              <w:rPr>
                <w:rFonts w:ascii="Calibri" w:cs="Calibri" w:eastAsia="Calibri" w:hAnsi="Calibri"/>
                <w:sz w:val="20"/>
                <w:szCs w:val="20"/>
                <w:color w:val="231F20"/>
              </w:rPr>
              <w:t>-</w:t>
            </w:r>
          </w:p>
        </w:tc>
      </w:tr>
      <w:tr>
        <w:trPr>
          <w:trHeight w:val="271"/>
        </w:trPr>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tcPr>
          <w:p>
            <w:pPr>
              <w:spacing w:after="0"/>
              <w:rPr>
                <w:sz w:val="20"/>
                <w:szCs w:val="20"/>
                <w:color w:val="auto"/>
              </w:rPr>
            </w:pPr>
            <w:r>
              <w:rPr>
                <w:rFonts w:ascii="Calibri" w:cs="Calibri" w:eastAsia="Calibri" w:hAnsi="Calibri"/>
                <w:sz w:val="20"/>
                <w:szCs w:val="20"/>
                <w:color w:val="231F20"/>
              </w:rPr>
              <w:t>Excise Tax Gross-Up</w:t>
            </w:r>
          </w:p>
        </w:tc>
        <w:tc>
          <w:tcPr>
            <w:tcW w:w="280" w:type="dxa"/>
            <w:vAlign w:val="bottom"/>
          </w:tcPr>
          <w:p>
            <w:pPr>
              <w:spacing w:after="0"/>
              <w:rPr>
                <w:sz w:val="23"/>
                <w:szCs w:val="23"/>
                <w:color w:val="auto"/>
              </w:rPr>
            </w:pPr>
          </w:p>
        </w:tc>
        <w:tc>
          <w:tcPr>
            <w:tcW w:w="92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300" w:type="dxa"/>
            <w:vAlign w:val="bottom"/>
          </w:tcPr>
          <w:p>
            <w:pPr>
              <w:spacing w:after="0"/>
              <w:rPr>
                <w:sz w:val="23"/>
                <w:szCs w:val="23"/>
                <w:color w:val="auto"/>
              </w:rPr>
            </w:pP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2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263"/>
              <w:spacing w:after="0"/>
              <w:rPr>
                <w:sz w:val="20"/>
                <w:szCs w:val="20"/>
                <w:color w:val="auto"/>
              </w:rPr>
            </w:pPr>
            <w:r>
              <w:rPr>
                <w:rFonts w:ascii="Calibri" w:cs="Calibri" w:eastAsia="Calibri" w:hAnsi="Calibri"/>
                <w:sz w:val="20"/>
                <w:szCs w:val="20"/>
                <w:color w:val="231F20"/>
              </w:rPr>
              <w:t>-</w:t>
            </w:r>
          </w:p>
        </w:tc>
        <w:tc>
          <w:tcPr>
            <w:tcW w:w="24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Calibri" w:cs="Calibri" w:eastAsia="Calibri" w:hAnsi="Calibri"/>
                <w:sz w:val="20"/>
                <w:szCs w:val="20"/>
                <w:color w:val="231F20"/>
              </w:rPr>
              <w:t>N/A</w:t>
            </w:r>
          </w:p>
        </w:tc>
        <w:tc>
          <w:tcPr>
            <w:tcW w:w="26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N/A</w:t>
            </w:r>
          </w:p>
        </w:tc>
      </w:tr>
      <w:tr>
        <w:trPr>
          <w:trHeight w:val="24"/>
        </w:trPr>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1700" w:type="dxa"/>
            <w:vAlign w:val="bottom"/>
            <w:tcBorders>
              <w:bottom w:val="single" w:sz="8" w:color="EF3E2B"/>
            </w:tcBorders>
            <w:gridSpan w:val="2"/>
            <w:shd w:val="clear" w:color="auto" w:fill="EF3E2B"/>
          </w:tcPr>
          <w:p>
            <w:pPr>
              <w:spacing w:after="0"/>
              <w:rPr>
                <w:sz w:val="20"/>
                <w:szCs w:val="20"/>
                <w:color w:val="auto"/>
              </w:rPr>
            </w:pPr>
            <w:r>
              <w:rPr>
                <w:rFonts w:ascii="Calibri" w:cs="Calibri" w:eastAsia="Calibri" w:hAnsi="Calibri"/>
                <w:sz w:val="20"/>
                <w:szCs w:val="20"/>
                <w:b w:val="1"/>
                <w:bCs w:val="1"/>
                <w:color w:val="FFFFFF"/>
              </w:rPr>
              <w:t>Total</w:t>
            </w:r>
          </w:p>
        </w:tc>
        <w:tc>
          <w:tcPr>
            <w:tcW w:w="1940" w:type="dxa"/>
            <w:vAlign w:val="bottom"/>
            <w:tcBorders>
              <w:bottom w:val="single" w:sz="8" w:color="EF3E2B"/>
            </w:tcBorders>
            <w:shd w:val="clear" w:color="auto" w:fill="EF3E2B"/>
          </w:tcPr>
          <w:p>
            <w:pPr>
              <w:spacing w:after="0"/>
              <w:rPr>
                <w:sz w:val="23"/>
                <w:szCs w:val="23"/>
                <w:color w:val="auto"/>
              </w:rPr>
            </w:pP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920" w:type="dxa"/>
            <w:vAlign w:val="bottom"/>
            <w:tcBorders>
              <w:bottom w:val="single" w:sz="8" w:color="EF3E2B"/>
            </w:tcBorders>
            <w:shd w:val="clear" w:color="auto" w:fill="EF3E2B"/>
          </w:tcPr>
          <w:p>
            <w:pPr>
              <w:jc w:val="right"/>
              <w:ind w:right="83"/>
              <w:spacing w:after="0"/>
              <w:rPr>
                <w:sz w:val="20"/>
                <w:szCs w:val="20"/>
                <w:color w:val="auto"/>
              </w:rPr>
            </w:pPr>
            <w:r>
              <w:rPr>
                <w:rFonts w:ascii="Calibri" w:cs="Calibri" w:eastAsia="Calibri" w:hAnsi="Calibri"/>
                <w:sz w:val="20"/>
                <w:szCs w:val="20"/>
                <w:b w:val="1"/>
                <w:bCs w:val="1"/>
                <w:color w:val="FFFFFF"/>
              </w:rPr>
              <w:t>297,060</w:t>
            </w:r>
          </w:p>
        </w:tc>
        <w:tc>
          <w:tcPr>
            <w:tcW w:w="300" w:type="dxa"/>
            <w:vAlign w:val="bottom"/>
            <w:tcBorders>
              <w:bottom w:val="single" w:sz="8" w:color="EF3E2B"/>
            </w:tcBorders>
            <w:shd w:val="clear" w:color="auto" w:fill="EF3E2B"/>
          </w:tcPr>
          <w:p>
            <w:pPr>
              <w:ind w:left="200"/>
              <w:spacing w:after="0"/>
              <w:rPr>
                <w:sz w:val="20"/>
                <w:szCs w:val="20"/>
                <w:color w:val="auto"/>
              </w:rPr>
            </w:pPr>
            <w:r>
              <w:rPr>
                <w:rFonts w:ascii="Calibri" w:cs="Calibri" w:eastAsia="Calibri" w:hAnsi="Calibri"/>
                <w:sz w:val="20"/>
                <w:szCs w:val="20"/>
                <w:b w:val="1"/>
                <w:bCs w:val="1"/>
                <w:color w:val="FFFFFF"/>
                <w:w w:val="78"/>
              </w:rPr>
              <w:t>$</w:t>
            </w:r>
          </w:p>
        </w:tc>
        <w:tc>
          <w:tcPr>
            <w:tcW w:w="1060" w:type="dxa"/>
            <w:vAlign w:val="bottom"/>
            <w:tcBorders>
              <w:bottom w:val="single" w:sz="8" w:color="EF3E2B"/>
            </w:tcBorders>
            <w:shd w:val="clear" w:color="auto" w:fill="EF3E2B"/>
          </w:tcPr>
          <w:p>
            <w:pPr>
              <w:jc w:val="right"/>
              <w:ind w:right="83"/>
              <w:spacing w:after="0"/>
              <w:rPr>
                <w:sz w:val="20"/>
                <w:szCs w:val="20"/>
                <w:color w:val="auto"/>
              </w:rPr>
            </w:pPr>
            <w:r>
              <w:rPr>
                <w:rFonts w:ascii="Calibri" w:cs="Calibri" w:eastAsia="Calibri" w:hAnsi="Calibri"/>
                <w:sz w:val="20"/>
                <w:szCs w:val="20"/>
                <w:b w:val="1"/>
                <w:bCs w:val="1"/>
                <w:color w:val="FFFFFF"/>
              </w:rPr>
              <w:t>3,136,016</w:t>
            </w:r>
          </w:p>
        </w:tc>
        <w:tc>
          <w:tcPr>
            <w:tcW w:w="28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EF3E2B"/>
            </w:tcBorders>
            <w:shd w:val="clear" w:color="auto" w:fill="EF3E2B"/>
          </w:tcPr>
          <w:p>
            <w:pPr>
              <w:jc w:val="right"/>
              <w:ind w:right="63"/>
              <w:spacing w:after="0"/>
              <w:rPr>
                <w:sz w:val="20"/>
                <w:szCs w:val="20"/>
                <w:color w:val="auto"/>
              </w:rPr>
            </w:pPr>
            <w:r>
              <w:rPr>
                <w:rFonts w:ascii="Calibri" w:cs="Calibri" w:eastAsia="Calibri" w:hAnsi="Calibri"/>
                <w:sz w:val="20"/>
                <w:szCs w:val="20"/>
                <w:b w:val="1"/>
                <w:bCs w:val="1"/>
                <w:color w:val="FFFFFF"/>
              </w:rPr>
              <w:t>4,483,666</w:t>
            </w:r>
          </w:p>
        </w:tc>
        <w:tc>
          <w:tcPr>
            <w:tcW w:w="24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40" w:type="dxa"/>
            <w:vAlign w:val="bottom"/>
            <w:tcBorders>
              <w:bottom w:val="single" w:sz="8" w:color="EF3E2B"/>
            </w:tcBorders>
            <w:shd w:val="clear" w:color="auto" w:fill="EF3E2B"/>
          </w:tcPr>
          <w:p>
            <w:pPr>
              <w:jc w:val="right"/>
              <w:ind w:right="43"/>
              <w:spacing w:after="0"/>
              <w:rPr>
                <w:sz w:val="20"/>
                <w:szCs w:val="20"/>
                <w:color w:val="auto"/>
              </w:rPr>
            </w:pPr>
            <w:r>
              <w:rPr>
                <w:rFonts w:ascii="Calibri" w:cs="Calibri" w:eastAsia="Calibri" w:hAnsi="Calibri"/>
                <w:sz w:val="20"/>
                <w:szCs w:val="20"/>
                <w:b w:val="1"/>
                <w:bCs w:val="1"/>
                <w:color w:val="FFFFFF"/>
              </w:rPr>
              <w:t>1,767,926</w:t>
            </w:r>
          </w:p>
        </w:tc>
        <w:tc>
          <w:tcPr>
            <w:tcW w:w="260" w:type="dxa"/>
            <w:vAlign w:val="bottom"/>
            <w:tcBorders>
              <w:bottom w:val="single" w:sz="8" w:color="EF3E2B"/>
            </w:tcBorders>
            <w:shd w:val="clear" w:color="auto" w:fill="EF3E2B"/>
          </w:tcPr>
          <w:p>
            <w:pPr>
              <w:jc w:val="right"/>
              <w:spacing w:after="0"/>
              <w:rPr>
                <w:sz w:val="20"/>
                <w:szCs w:val="20"/>
                <w:color w:val="auto"/>
              </w:rPr>
            </w:pPr>
            <w:r>
              <w:rPr>
                <w:rFonts w:ascii="Calibri" w:cs="Calibri" w:eastAsia="Calibri" w:hAnsi="Calibri"/>
                <w:sz w:val="20"/>
                <w:szCs w:val="20"/>
                <w:b w:val="1"/>
                <w:bCs w:val="1"/>
                <w:color w:val="FFFFFF"/>
              </w:rPr>
              <w:t>$</w:t>
            </w:r>
          </w:p>
        </w:tc>
        <w:tc>
          <w:tcPr>
            <w:tcW w:w="1000" w:type="dxa"/>
            <w:vAlign w:val="bottom"/>
            <w:tcBorders>
              <w:bottom w:val="single" w:sz="8" w:color="EF3E2B"/>
            </w:tcBorders>
            <w:shd w:val="clear" w:color="auto" w:fill="EF3E2B"/>
          </w:tcPr>
          <w:p>
            <w:pPr>
              <w:jc w:val="right"/>
              <w:ind w:right="23"/>
              <w:spacing w:after="0"/>
              <w:rPr>
                <w:sz w:val="20"/>
                <w:szCs w:val="20"/>
                <w:color w:val="auto"/>
              </w:rPr>
            </w:pPr>
            <w:r>
              <w:rPr>
                <w:rFonts w:ascii="Calibri" w:cs="Calibri" w:eastAsia="Calibri" w:hAnsi="Calibri"/>
                <w:sz w:val="20"/>
                <w:szCs w:val="20"/>
                <w:b w:val="1"/>
                <w:bCs w:val="1"/>
                <w:color w:val="FFFFFF"/>
              </w:rPr>
              <w:t>2,296,027</w:t>
            </w:r>
          </w:p>
        </w:tc>
      </w:tr>
      <w:tr>
        <w:trPr>
          <w:trHeight w:val="150"/>
        </w:trPr>
        <w:tc>
          <w:tcPr>
            <w:tcW w:w="960" w:type="dxa"/>
            <w:vAlign w:val="bottom"/>
            <w:tcBorders>
              <w:bottom w:val="single" w:sz="8" w:color="231F20"/>
            </w:tcBorders>
          </w:tcPr>
          <w:p>
            <w:pPr>
              <w:spacing w:after="0"/>
              <w:rPr>
                <w:sz w:val="13"/>
                <w:szCs w:val="13"/>
                <w:color w:val="auto"/>
              </w:rPr>
            </w:pPr>
          </w:p>
        </w:tc>
        <w:tc>
          <w:tcPr>
            <w:tcW w:w="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55" w:lineRule="exact"/>
        <w:rPr>
          <w:sz w:val="20"/>
          <w:szCs w:val="20"/>
          <w:color w:val="auto"/>
        </w:rPr>
      </w:pPr>
    </w:p>
    <w:p>
      <w:pPr>
        <w:jc w:val="both"/>
        <w:ind w:left="360" w:hanging="360"/>
        <w:spacing w:after="0" w:line="214" w:lineRule="auto"/>
        <w:tabs>
          <w:tab w:leader="none" w:pos="360" w:val="left"/>
        </w:tabs>
        <w:numPr>
          <w:ilvl w:val="0"/>
          <w:numId w:val="139"/>
        </w:numPr>
        <w:rPr>
          <w:rFonts w:ascii="Arial" w:cs="Arial" w:eastAsia="Arial" w:hAnsi="Arial"/>
          <w:sz w:val="23"/>
          <w:szCs w:val="23"/>
          <w:color w:val="231F20"/>
          <w:vertAlign w:val="superscript"/>
        </w:rPr>
      </w:pPr>
      <w:r>
        <w:rPr>
          <w:rFonts w:ascii="Arial" w:cs="Arial" w:eastAsia="Arial" w:hAnsi="Arial"/>
          <w:sz w:val="18"/>
          <w:szCs w:val="18"/>
          <w:color w:val="231F20"/>
        </w:rPr>
        <w:t>For all NEOs, the cash payments for termination without cause and termination following a change-in-control include base salary plus the highest bonus earned during 2022, 2021 and 2020, the last three completed fiscal years. The cash</w:t>
      </w:r>
    </w:p>
    <w:p>
      <w:pPr>
        <w:spacing w:after="0" w:line="20" w:lineRule="exact"/>
        <w:rPr>
          <w:sz w:val="20"/>
          <w:szCs w:val="20"/>
          <w:color w:val="auto"/>
        </w:rPr>
      </w:pPr>
    </w:p>
    <w:p>
      <w:pPr>
        <w:jc w:val="both"/>
        <w:ind w:left="360"/>
        <w:spacing w:after="0" w:line="253" w:lineRule="auto"/>
        <w:rPr>
          <w:sz w:val="20"/>
          <w:szCs w:val="20"/>
          <w:color w:val="auto"/>
        </w:rPr>
      </w:pPr>
      <w:r>
        <w:rPr>
          <w:rFonts w:ascii="Arial" w:cs="Arial" w:eastAsia="Arial" w:hAnsi="Arial"/>
          <w:sz w:val="18"/>
          <w:szCs w:val="18"/>
          <w:color w:val="231F20"/>
        </w:rPr>
        <w:t>payments on termination with cause for Mr. Wood, Mr. Guglielmone and Ms. Becker are 1 month of base pay for every year of service above 5 years, capped at 6 months of base pay. The cash payment on death and disability for Mr. Berkes is a pro-rated bonus for the year in which the event occurs. The cash payments on disability for Mr. Wood, Mr. Guglielmone and Ms. Becker represent 1 year of base salary less amounts received from disability insurance maintained by the Company, grossed up for taxes on non-tax exempt payments.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199390</wp:posOffset>
                </wp:positionV>
                <wp:extent cx="6400800" cy="17780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47" o:spid="_x0000_s1472" style="position:absolute;margin-left:0pt;margin-top:15.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198755</wp:posOffset>
                </wp:positionV>
                <wp:extent cx="0" cy="17780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5.65pt" to="0.5pt,29.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205105</wp:posOffset>
                </wp:positionV>
                <wp:extent cx="640080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15pt" to="504pt,16.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198755</wp:posOffset>
                </wp:positionV>
                <wp:extent cx="0" cy="17780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5.65pt" to="503.5pt,29.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370205</wp:posOffset>
                </wp:positionV>
                <wp:extent cx="6400800"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15pt" to="504pt,29.1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36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35</w:t>
      </w:r>
    </w:p>
    <w:p>
      <w:pPr>
        <w:sectPr>
          <w:pgSz w:w="12240" w:h="15840" w:orient="portrait"/>
          <w:cols w:equalWidth="0" w:num="1">
            <w:col w:w="10080"/>
          </w:cols>
          <w:pgMar w:left="1080" w:top="1440" w:right="1080" w:bottom="944" w:gutter="0" w:footer="0" w:header="0"/>
          <w:type w:val="continuous"/>
        </w:sectPr>
      </w:pPr>
    </w:p>
    <w:bookmarkStart w:id="155" w:name="page156"/>
    <w:bookmarkEnd w:id="155"/>
    <w:p>
      <w:pPr>
        <w:spacing w:after="0" w:line="51" w:lineRule="exact"/>
        <w:rPr>
          <w:sz w:val="20"/>
          <w:szCs w:val="20"/>
          <w:color w:val="auto"/>
        </w:rPr>
      </w:pPr>
    </w:p>
    <w:p>
      <w:pPr>
        <w:jc w:val="both"/>
        <w:ind w:left="360" w:hanging="360"/>
        <w:spacing w:after="0" w:line="241"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Amounts in this row represent our estimate of the COBRA equivalent rates for health care benefits for all NEOs and current life and long-term disability premiums for Mr. Wood, Mr. Guglielmone and Ms. Becker. The period of time for which these benefits are provided varies as follows: (a) termination without cause – 9 months for Mr. Wood and Ms. Becker; 1 year for Mr. Berkes; (b) termination following a change-in-control – 3 years for Mr. Wood and 2 years for each other NEO; (c) termination for cause – 1 month for every year of service above 5 years, capped at 6 months for Mr. Wood, Mr. Guglielmone and Ms. Becker; and (d) disability – 1 year. The amounts paid to Mr. Berkes are reduced by the amounts he pays for these benefits at the time of the event. All amounts shown in this row for Mr. Wood also include the estimated costs (calculated in accordance with GAAP) of satisfying the obligations under his Health Continuation Coverage Agreement.</w:t>
      </w:r>
    </w:p>
    <w:p>
      <w:pPr>
        <w:spacing w:after="0" w:line="15" w:lineRule="exact"/>
        <w:rPr>
          <w:rFonts w:ascii="Arial" w:cs="Arial" w:eastAsia="Arial" w:hAnsi="Arial"/>
          <w:sz w:val="23"/>
          <w:szCs w:val="23"/>
          <w:color w:val="231F20"/>
          <w:vertAlign w:val="superscript"/>
        </w:rPr>
      </w:pPr>
    </w:p>
    <w:p>
      <w:pPr>
        <w:jc w:val="both"/>
        <w:ind w:left="360" w:hanging="360"/>
        <w:spacing w:after="0" w:line="236"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All unvested restricted shares held by our NEOs will vest in the event of termination without cause, termination following a change-in-control, death or disability. Values were calculated by multiplying the number of unvested shares that vest under each termination event using the closing price of the Company’s shares on December 29, 2023. For Mr. Berkes, the amount also includes the value of the number of performance based units that would have been earned based on performance through the date of termination, prorated for the portion of the performance period that had lapsed, plus dividend equivalent rights on those units.</w:t>
      </w:r>
    </w:p>
    <w:p>
      <w:pPr>
        <w:spacing w:after="0" w:line="18" w:lineRule="exact"/>
        <w:rPr>
          <w:rFonts w:ascii="Arial" w:cs="Arial" w:eastAsia="Arial" w:hAnsi="Arial"/>
          <w:sz w:val="23"/>
          <w:szCs w:val="23"/>
          <w:color w:val="231F20"/>
          <w:vertAlign w:val="superscript"/>
        </w:rPr>
      </w:pPr>
    </w:p>
    <w:p>
      <w:pPr>
        <w:jc w:val="both"/>
        <w:ind w:left="360" w:hanging="360"/>
        <w:spacing w:after="0" w:line="233"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Amounts in this row are estimated costs for an administrative assistant and outplacement assistance for a period of 6 months in the event of a termination without cause for Mr. Wood and Ms. Becker and for a period of 12 months for Mr. Wood and 9 months for Mr. Guglielmone and Ms. Becker in the event of a termination following a change-in-control. The amount also includes the cost of providing a company vehicle to Mr. Wood for three years in the event of a termination following a change-in-control should he choose to use that benefit.</w:t>
      </w:r>
    </w:p>
    <w:p>
      <w:pPr>
        <w:spacing w:after="0" w:line="19" w:lineRule="exact"/>
        <w:rPr>
          <w:rFonts w:ascii="Arial" w:cs="Arial" w:eastAsia="Arial" w:hAnsi="Arial"/>
          <w:sz w:val="23"/>
          <w:szCs w:val="23"/>
          <w:color w:val="231F20"/>
          <w:vertAlign w:val="superscript"/>
        </w:rPr>
      </w:pPr>
    </w:p>
    <w:p>
      <w:pPr>
        <w:jc w:val="both"/>
        <w:ind w:left="360" w:hanging="360"/>
        <w:spacing w:after="0" w:line="230"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w:t>
      </w:r>
    </w:p>
    <w:p>
      <w:pPr>
        <w:spacing w:after="0" w:line="15" w:lineRule="exact"/>
        <w:rPr>
          <w:rFonts w:ascii="Arial" w:cs="Arial" w:eastAsia="Arial" w:hAnsi="Arial"/>
          <w:sz w:val="23"/>
          <w:szCs w:val="23"/>
          <w:color w:val="231F20"/>
          <w:vertAlign w:val="superscript"/>
        </w:rPr>
      </w:pPr>
    </w:p>
    <w:p>
      <w:pPr>
        <w:jc w:val="both"/>
        <w:ind w:left="360"/>
        <w:spacing w:after="0" w:line="248" w:lineRule="auto"/>
        <w:rPr>
          <w:rFonts w:ascii="Arial" w:cs="Arial" w:eastAsia="Arial" w:hAnsi="Arial"/>
          <w:sz w:val="23"/>
          <w:szCs w:val="23"/>
          <w:color w:val="231F20"/>
          <w:vertAlign w:val="superscript"/>
        </w:rPr>
      </w:pPr>
      <w:r>
        <w:rPr>
          <w:rFonts w:ascii="Arial" w:cs="Arial" w:eastAsia="Arial" w:hAnsi="Arial"/>
          <w:sz w:val="18"/>
          <w:szCs w:val="18"/>
          <w:color w:val="231F20"/>
        </w:rPr>
        <w:t>(b) Mr. Wood or Ms. Becker voluntarily leaves employment within the 30-day window following the 1-year anniversary of the change-in-control; or (c) Mr. Berkes is terminated from employment by the Company (other than for cause) or he leaves the Company as a result of a constructive termination within the 6-month period prior to or within 2 years after the change-in-control.</w:t>
      </w:r>
    </w:p>
    <w:p>
      <w:pPr>
        <w:spacing w:after="0" w:line="20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CEO PAY RATIO</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2023, excluding our CEO, which included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64 employees who started with us in 2023. No other adjustments were made.</w:t>
      </w:r>
    </w:p>
    <w:p>
      <w:pPr>
        <w:spacing w:after="0" w:line="2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The actual total annual compensation of our Chief Executive Officer and median paid employee for 2023 was calculated in accordance with the requirements of the Summary Compensation Table included in this proxy statement. Based on this methodology, we have determined that the total annual compensation paid to our Chief Executive Officer in 2023 was $8,941,820 and the total annual compensation paid to our median paid employee in 2023 was $135,358 resulting in a ratio of 66:1.</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129540</wp:posOffset>
                </wp:positionV>
                <wp:extent cx="6400800" cy="17780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52" o:spid="_x0000_s1477" style="position:absolute;margin-left:0pt;margin-top:10.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129540</wp:posOffset>
                </wp:positionV>
                <wp:extent cx="0" cy="17780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2pt" to="0.5pt,24.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135890</wp:posOffset>
                </wp:positionV>
                <wp:extent cx="640080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pt" to="504pt,10.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129540</wp:posOffset>
                </wp:positionV>
                <wp:extent cx="0" cy="17780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2pt" to="503.5pt,24.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300990</wp:posOffset>
                </wp:positionV>
                <wp:extent cx="6400800"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7pt" to="504pt,23.7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52"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36</w:t>
      </w:r>
    </w:p>
    <w:p>
      <w:pPr>
        <w:sectPr>
          <w:pgSz w:w="12240" w:h="15840" w:orient="portrait"/>
          <w:cols w:equalWidth="0" w:num="1">
            <w:col w:w="10080"/>
          </w:cols>
          <w:pgMar w:left="1080" w:top="1440" w:right="1080" w:bottom="944" w:gutter="0" w:footer="0" w:header="0"/>
          <w:type w:val="continuous"/>
        </w:sectPr>
      </w:pPr>
    </w:p>
    <w:bookmarkStart w:id="156" w:name="page157"/>
    <w:bookmarkEnd w:id="156"/>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PAY VERSUS PERFORMANCE DISCLOSURE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shd w:val="clear" w:color="auto" w:fill="EF3E2A"/>
          </w:tcPr>
          <w:p>
            <w:pPr>
              <w:spacing w:after="0"/>
              <w:rPr>
                <w:sz w:val="19"/>
                <w:szCs w:val="19"/>
                <w:color w:val="auto"/>
              </w:rPr>
            </w:pPr>
          </w:p>
        </w:tc>
        <w:tc>
          <w:tcPr>
            <w:tcW w:w="1720" w:type="dxa"/>
            <w:vAlign w:val="bottom"/>
            <w:shd w:val="clear" w:color="auto" w:fill="EF3E2A"/>
          </w:tcPr>
          <w:p>
            <w:pPr>
              <w:spacing w:after="0"/>
              <w:rPr>
                <w:sz w:val="19"/>
                <w:szCs w:val="19"/>
                <w:color w:val="auto"/>
              </w:rPr>
            </w:pPr>
          </w:p>
        </w:tc>
        <w:tc>
          <w:tcPr>
            <w:tcW w:w="260" w:type="dxa"/>
            <w:vAlign w:val="bottom"/>
            <w:shd w:val="clear" w:color="auto" w:fill="EF3E2A"/>
          </w:tcPr>
          <w:p>
            <w:pPr>
              <w:spacing w:after="0"/>
              <w:rPr>
                <w:sz w:val="19"/>
                <w:szCs w:val="19"/>
                <w:color w:val="auto"/>
              </w:rPr>
            </w:pPr>
          </w:p>
        </w:tc>
        <w:tc>
          <w:tcPr>
            <w:tcW w:w="980" w:type="dxa"/>
            <w:vAlign w:val="bottom"/>
            <w:shd w:val="clear" w:color="auto" w:fill="EF3E2A"/>
          </w:tcPr>
          <w:p>
            <w:pPr>
              <w:spacing w:after="0"/>
              <w:rPr>
                <w:sz w:val="19"/>
                <w:szCs w:val="19"/>
                <w:color w:val="auto"/>
              </w:rPr>
            </w:pPr>
          </w:p>
        </w:tc>
        <w:tc>
          <w:tcPr>
            <w:tcW w:w="1300" w:type="dxa"/>
            <w:vAlign w:val="bottom"/>
            <w:shd w:val="clear" w:color="auto" w:fill="EF3E2A"/>
          </w:tcPr>
          <w:p>
            <w:pPr>
              <w:spacing w:after="0"/>
              <w:rPr>
                <w:sz w:val="19"/>
                <w:szCs w:val="19"/>
                <w:color w:val="auto"/>
              </w:rPr>
            </w:pPr>
          </w:p>
        </w:tc>
        <w:tc>
          <w:tcPr>
            <w:tcW w:w="320" w:type="dxa"/>
            <w:vAlign w:val="bottom"/>
            <w:shd w:val="clear" w:color="auto" w:fill="EF3E2A"/>
          </w:tcPr>
          <w:p>
            <w:pPr>
              <w:spacing w:after="0"/>
              <w:rPr>
                <w:sz w:val="19"/>
                <w:szCs w:val="19"/>
                <w:color w:val="auto"/>
              </w:rPr>
            </w:pPr>
          </w:p>
        </w:tc>
        <w:tc>
          <w:tcPr>
            <w:tcW w:w="960" w:type="dxa"/>
            <w:vAlign w:val="bottom"/>
            <w:shd w:val="clear" w:color="auto" w:fill="EF3E2A"/>
          </w:tcPr>
          <w:p>
            <w:pPr>
              <w:spacing w:after="0"/>
              <w:rPr>
                <w:sz w:val="19"/>
                <w:szCs w:val="19"/>
                <w:color w:val="auto"/>
              </w:rPr>
            </w:pPr>
          </w:p>
        </w:tc>
        <w:tc>
          <w:tcPr>
            <w:tcW w:w="202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Value of Initial Fixed $100</w:t>
            </w:r>
          </w:p>
        </w:tc>
        <w:tc>
          <w:tcPr>
            <w:tcW w:w="880" w:type="dxa"/>
            <w:vAlign w:val="bottom"/>
            <w:shd w:val="clear" w:color="auto" w:fill="EF3E2A"/>
          </w:tcPr>
          <w:p>
            <w:pPr>
              <w:spacing w:after="0"/>
              <w:rPr>
                <w:sz w:val="19"/>
                <w:szCs w:val="19"/>
                <w:color w:val="auto"/>
              </w:rPr>
            </w:pPr>
          </w:p>
        </w:tc>
        <w:tc>
          <w:tcPr>
            <w:tcW w:w="620" w:type="dxa"/>
            <w:vAlign w:val="bottom"/>
            <w:shd w:val="clear" w:color="auto" w:fill="EF3E2A"/>
          </w:tcPr>
          <w:p>
            <w:pPr>
              <w:spacing w:after="0"/>
              <w:rPr>
                <w:sz w:val="19"/>
                <w:szCs w:val="19"/>
                <w:color w:val="auto"/>
              </w:rPr>
            </w:pPr>
          </w:p>
        </w:tc>
      </w:tr>
      <w:tr>
        <w:trPr>
          <w:trHeight w:val="200"/>
        </w:trPr>
        <w:tc>
          <w:tcPr>
            <w:tcW w:w="1020" w:type="dxa"/>
            <w:vAlign w:val="bottom"/>
            <w:shd w:val="clear" w:color="auto" w:fill="EF3E2A"/>
          </w:tcPr>
          <w:p>
            <w:pPr>
              <w:spacing w:after="0"/>
              <w:rPr>
                <w:sz w:val="17"/>
                <w:szCs w:val="17"/>
                <w:color w:val="auto"/>
              </w:rPr>
            </w:pPr>
          </w:p>
        </w:tc>
        <w:tc>
          <w:tcPr>
            <w:tcW w:w="1720" w:type="dxa"/>
            <w:vAlign w:val="bottom"/>
            <w:shd w:val="clear" w:color="auto" w:fill="EF3E2A"/>
          </w:tcPr>
          <w:p>
            <w:pPr>
              <w:spacing w:after="0"/>
              <w:rPr>
                <w:sz w:val="17"/>
                <w:szCs w:val="17"/>
                <w:color w:val="auto"/>
              </w:rPr>
            </w:pPr>
          </w:p>
        </w:tc>
        <w:tc>
          <w:tcPr>
            <w:tcW w:w="260" w:type="dxa"/>
            <w:vAlign w:val="bottom"/>
            <w:shd w:val="clear" w:color="auto" w:fill="EF3E2A"/>
          </w:tcPr>
          <w:p>
            <w:pPr>
              <w:spacing w:after="0"/>
              <w:rPr>
                <w:sz w:val="17"/>
                <w:szCs w:val="17"/>
                <w:color w:val="auto"/>
              </w:rPr>
            </w:pPr>
          </w:p>
        </w:tc>
        <w:tc>
          <w:tcPr>
            <w:tcW w:w="980" w:type="dxa"/>
            <w:vAlign w:val="bottom"/>
            <w:shd w:val="clear" w:color="auto" w:fill="EF3E2A"/>
          </w:tcPr>
          <w:p>
            <w:pPr>
              <w:spacing w:after="0"/>
              <w:rPr>
                <w:sz w:val="17"/>
                <w:szCs w:val="17"/>
                <w:color w:val="auto"/>
              </w:rPr>
            </w:pPr>
          </w:p>
        </w:tc>
        <w:tc>
          <w:tcPr>
            <w:tcW w:w="1300" w:type="dxa"/>
            <w:vAlign w:val="bottom"/>
            <w:shd w:val="clear" w:color="auto" w:fill="EF3E2A"/>
          </w:tcPr>
          <w:p>
            <w:pPr>
              <w:spacing w:after="0"/>
              <w:rPr>
                <w:sz w:val="17"/>
                <w:szCs w:val="17"/>
                <w:color w:val="auto"/>
              </w:rPr>
            </w:pPr>
          </w:p>
        </w:tc>
        <w:tc>
          <w:tcPr>
            <w:tcW w:w="320" w:type="dxa"/>
            <w:vAlign w:val="bottom"/>
            <w:shd w:val="clear" w:color="auto" w:fill="EF3E2A"/>
          </w:tcPr>
          <w:p>
            <w:pPr>
              <w:spacing w:after="0"/>
              <w:rPr>
                <w:sz w:val="17"/>
                <w:szCs w:val="17"/>
                <w:color w:val="auto"/>
              </w:rPr>
            </w:pPr>
          </w:p>
        </w:tc>
        <w:tc>
          <w:tcPr>
            <w:tcW w:w="960" w:type="dxa"/>
            <w:vAlign w:val="bottom"/>
            <w:shd w:val="clear" w:color="auto" w:fill="EF3E2A"/>
          </w:tcPr>
          <w:p>
            <w:pPr>
              <w:spacing w:after="0"/>
              <w:rPr>
                <w:sz w:val="17"/>
                <w:szCs w:val="17"/>
                <w:color w:val="auto"/>
              </w:rPr>
            </w:pPr>
          </w:p>
        </w:tc>
        <w:tc>
          <w:tcPr>
            <w:tcW w:w="202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Investment Based On:</w:t>
            </w:r>
          </w:p>
        </w:tc>
        <w:tc>
          <w:tcPr>
            <w:tcW w:w="880" w:type="dxa"/>
            <w:vAlign w:val="bottom"/>
            <w:shd w:val="clear" w:color="auto" w:fill="EF3E2A"/>
          </w:tcPr>
          <w:p>
            <w:pPr>
              <w:spacing w:after="0"/>
              <w:rPr>
                <w:sz w:val="17"/>
                <w:szCs w:val="17"/>
                <w:color w:val="auto"/>
              </w:rPr>
            </w:pPr>
          </w:p>
        </w:tc>
        <w:tc>
          <w:tcPr>
            <w:tcW w:w="620" w:type="dxa"/>
            <w:vAlign w:val="bottom"/>
            <w:shd w:val="clear" w:color="auto" w:fill="EF3E2A"/>
          </w:tcPr>
          <w:p>
            <w:pPr>
              <w:spacing w:after="0"/>
              <w:rPr>
                <w:sz w:val="17"/>
                <w:szCs w:val="17"/>
                <w:color w:val="auto"/>
              </w:rPr>
            </w:pPr>
          </w:p>
        </w:tc>
      </w:tr>
      <w:tr>
        <w:trPr>
          <w:trHeight w:val="260"/>
        </w:trPr>
        <w:tc>
          <w:tcPr>
            <w:tcW w:w="1020" w:type="dxa"/>
            <w:vAlign w:val="bottom"/>
            <w:shd w:val="clear" w:color="auto" w:fill="EF3E2A"/>
          </w:tcPr>
          <w:p>
            <w:pPr>
              <w:spacing w:after="0"/>
              <w:rPr>
                <w:sz w:val="22"/>
                <w:szCs w:val="22"/>
                <w:color w:val="auto"/>
              </w:rPr>
            </w:pPr>
          </w:p>
        </w:tc>
        <w:tc>
          <w:tcPr>
            <w:tcW w:w="1720" w:type="dxa"/>
            <w:vAlign w:val="bottom"/>
            <w:shd w:val="clear" w:color="auto" w:fill="EF3E2A"/>
          </w:tcPr>
          <w:p>
            <w:pPr>
              <w:spacing w:after="0"/>
              <w:rPr>
                <w:sz w:val="22"/>
                <w:szCs w:val="22"/>
                <w:color w:val="auto"/>
              </w:rPr>
            </w:pPr>
          </w:p>
        </w:tc>
        <w:tc>
          <w:tcPr>
            <w:tcW w:w="260" w:type="dxa"/>
            <w:vAlign w:val="bottom"/>
            <w:shd w:val="clear" w:color="auto" w:fill="EF3E2A"/>
          </w:tcPr>
          <w:p>
            <w:pPr>
              <w:spacing w:after="0"/>
              <w:rPr>
                <w:sz w:val="22"/>
                <w:szCs w:val="22"/>
                <w:color w:val="auto"/>
              </w:rPr>
            </w:pPr>
          </w:p>
        </w:tc>
        <w:tc>
          <w:tcPr>
            <w:tcW w:w="980" w:type="dxa"/>
            <w:vAlign w:val="bottom"/>
            <w:shd w:val="clear" w:color="auto" w:fill="EF3E2A"/>
          </w:tcPr>
          <w:p>
            <w:pPr>
              <w:spacing w:after="0"/>
              <w:rPr>
                <w:sz w:val="22"/>
                <w:szCs w:val="22"/>
                <w:color w:val="auto"/>
              </w:rPr>
            </w:pP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8"/>
              </w:rPr>
              <w:t>Average</w:t>
            </w:r>
          </w:p>
        </w:tc>
        <w:tc>
          <w:tcPr>
            <w:tcW w:w="320" w:type="dxa"/>
            <w:vAlign w:val="bottom"/>
            <w:shd w:val="clear" w:color="auto" w:fill="EF3E2A"/>
          </w:tcPr>
          <w:p>
            <w:pPr>
              <w:spacing w:after="0"/>
              <w:rPr>
                <w:sz w:val="22"/>
                <w:szCs w:val="22"/>
                <w:color w:val="auto"/>
              </w:rPr>
            </w:pPr>
          </w:p>
        </w:tc>
        <w:tc>
          <w:tcPr>
            <w:tcW w:w="960" w:type="dxa"/>
            <w:vAlign w:val="bottom"/>
            <w:shd w:val="clear" w:color="auto" w:fill="EF3E2A"/>
          </w:tcPr>
          <w:p>
            <w:pPr>
              <w:spacing w:after="0"/>
              <w:rPr>
                <w:sz w:val="22"/>
                <w:szCs w:val="22"/>
                <w:color w:val="auto"/>
              </w:rPr>
            </w:pPr>
          </w:p>
        </w:tc>
        <w:tc>
          <w:tcPr>
            <w:tcW w:w="1020" w:type="dxa"/>
            <w:vAlign w:val="bottom"/>
            <w:shd w:val="clear" w:color="auto" w:fill="EF3E2A"/>
          </w:tcPr>
          <w:p>
            <w:pPr>
              <w:spacing w:after="0"/>
              <w:rPr>
                <w:sz w:val="22"/>
                <w:szCs w:val="22"/>
                <w:color w:val="auto"/>
              </w:rPr>
            </w:pPr>
          </w:p>
        </w:tc>
        <w:tc>
          <w:tcPr>
            <w:tcW w:w="1000" w:type="dxa"/>
            <w:vAlign w:val="bottom"/>
            <w:shd w:val="clear" w:color="auto" w:fill="EF3E2A"/>
          </w:tcPr>
          <w:p>
            <w:pPr>
              <w:spacing w:after="0"/>
              <w:rPr>
                <w:sz w:val="22"/>
                <w:szCs w:val="22"/>
                <w:color w:val="auto"/>
              </w:rPr>
            </w:pPr>
          </w:p>
        </w:tc>
        <w:tc>
          <w:tcPr>
            <w:tcW w:w="880" w:type="dxa"/>
            <w:vAlign w:val="bottom"/>
            <w:shd w:val="clear" w:color="auto" w:fill="EF3E2A"/>
          </w:tcPr>
          <w:p>
            <w:pPr>
              <w:spacing w:after="0"/>
              <w:rPr>
                <w:sz w:val="22"/>
                <w:szCs w:val="22"/>
                <w:color w:val="auto"/>
              </w:rPr>
            </w:pPr>
          </w:p>
        </w:tc>
        <w:tc>
          <w:tcPr>
            <w:tcW w:w="620" w:type="dxa"/>
            <w:vAlign w:val="bottom"/>
            <w:shd w:val="clear" w:color="auto" w:fill="EF3E2A"/>
          </w:tcPr>
          <w:p>
            <w:pPr>
              <w:spacing w:after="0"/>
              <w:rPr>
                <w:sz w:val="22"/>
                <w:szCs w:val="22"/>
                <w:color w:val="auto"/>
              </w:rPr>
            </w:pPr>
          </w:p>
        </w:tc>
      </w:tr>
      <w:tr>
        <w:trPr>
          <w:trHeight w:val="200"/>
        </w:trPr>
        <w:tc>
          <w:tcPr>
            <w:tcW w:w="1020" w:type="dxa"/>
            <w:vAlign w:val="bottom"/>
            <w:shd w:val="clear" w:color="auto" w:fill="EF3E2A"/>
          </w:tcPr>
          <w:p>
            <w:pPr>
              <w:spacing w:after="0"/>
              <w:rPr>
                <w:sz w:val="17"/>
                <w:szCs w:val="17"/>
                <w:color w:val="auto"/>
              </w:rPr>
            </w:pPr>
          </w:p>
        </w:tc>
        <w:tc>
          <w:tcPr>
            <w:tcW w:w="1720" w:type="dxa"/>
            <w:vAlign w:val="bottom"/>
            <w:shd w:val="clear" w:color="auto" w:fill="EF3E2A"/>
          </w:tcPr>
          <w:p>
            <w:pPr>
              <w:jc w:val="center"/>
              <w:ind w:left="475"/>
              <w:spacing w:after="0"/>
              <w:rPr>
                <w:sz w:val="20"/>
                <w:szCs w:val="20"/>
                <w:color w:val="auto"/>
              </w:rPr>
            </w:pPr>
            <w:r>
              <w:rPr>
                <w:rFonts w:ascii="Calibri" w:cs="Calibri" w:eastAsia="Calibri" w:hAnsi="Calibri"/>
                <w:sz w:val="16"/>
                <w:szCs w:val="16"/>
                <w:b w:val="1"/>
                <w:bCs w:val="1"/>
                <w:color w:val="FFFFFF"/>
              </w:rPr>
              <w:t>Summary</w:t>
            </w:r>
          </w:p>
        </w:tc>
        <w:tc>
          <w:tcPr>
            <w:tcW w:w="260" w:type="dxa"/>
            <w:vAlign w:val="bottom"/>
            <w:shd w:val="clear" w:color="auto" w:fill="EF3E2A"/>
          </w:tcPr>
          <w:p>
            <w:pPr>
              <w:spacing w:after="0"/>
              <w:rPr>
                <w:sz w:val="17"/>
                <w:szCs w:val="17"/>
                <w:color w:val="auto"/>
              </w:rPr>
            </w:pPr>
          </w:p>
        </w:tc>
        <w:tc>
          <w:tcPr>
            <w:tcW w:w="980" w:type="dxa"/>
            <w:vAlign w:val="bottom"/>
            <w:shd w:val="clear" w:color="auto" w:fill="EF3E2A"/>
          </w:tcPr>
          <w:p>
            <w:pPr>
              <w:spacing w:after="0"/>
              <w:rPr>
                <w:sz w:val="17"/>
                <w:szCs w:val="17"/>
                <w:color w:val="auto"/>
              </w:rPr>
            </w:pP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7"/>
              </w:rPr>
              <w:t>Summary</w:t>
            </w:r>
          </w:p>
        </w:tc>
        <w:tc>
          <w:tcPr>
            <w:tcW w:w="320" w:type="dxa"/>
            <w:vAlign w:val="bottom"/>
            <w:shd w:val="clear" w:color="auto" w:fill="EF3E2A"/>
          </w:tcPr>
          <w:p>
            <w:pPr>
              <w:spacing w:after="0"/>
              <w:rPr>
                <w:sz w:val="17"/>
                <w:szCs w:val="17"/>
                <w:color w:val="auto"/>
              </w:rPr>
            </w:pPr>
          </w:p>
        </w:tc>
        <w:tc>
          <w:tcPr>
            <w:tcW w:w="960" w:type="dxa"/>
            <w:vAlign w:val="bottom"/>
            <w:shd w:val="clear" w:color="auto" w:fill="EF3E2A"/>
          </w:tcPr>
          <w:p>
            <w:pPr>
              <w:jc w:val="center"/>
              <w:ind w:right="232"/>
              <w:spacing w:after="0"/>
              <w:rPr>
                <w:sz w:val="20"/>
                <w:szCs w:val="20"/>
                <w:color w:val="auto"/>
              </w:rPr>
            </w:pPr>
            <w:r>
              <w:rPr>
                <w:rFonts w:ascii="Calibri" w:cs="Calibri" w:eastAsia="Calibri" w:hAnsi="Calibri"/>
                <w:sz w:val="16"/>
                <w:szCs w:val="16"/>
                <w:b w:val="1"/>
                <w:bCs w:val="1"/>
                <w:color w:val="FFFFFF"/>
              </w:rPr>
              <w:t>Average</w:t>
            </w:r>
          </w:p>
        </w:tc>
        <w:tc>
          <w:tcPr>
            <w:tcW w:w="1020" w:type="dxa"/>
            <w:vAlign w:val="bottom"/>
            <w:shd w:val="clear" w:color="auto" w:fill="EF3E2A"/>
          </w:tcPr>
          <w:p>
            <w:pPr>
              <w:spacing w:after="0"/>
              <w:rPr>
                <w:sz w:val="17"/>
                <w:szCs w:val="17"/>
                <w:color w:val="auto"/>
              </w:rPr>
            </w:pPr>
          </w:p>
        </w:tc>
        <w:tc>
          <w:tcPr>
            <w:tcW w:w="10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Peer Group</w:t>
            </w:r>
          </w:p>
        </w:tc>
        <w:tc>
          <w:tcPr>
            <w:tcW w:w="880" w:type="dxa"/>
            <w:vAlign w:val="bottom"/>
            <w:shd w:val="clear" w:color="auto" w:fill="EF3E2A"/>
          </w:tcPr>
          <w:p>
            <w:pPr>
              <w:spacing w:after="0"/>
              <w:rPr>
                <w:sz w:val="17"/>
                <w:szCs w:val="17"/>
                <w:color w:val="auto"/>
              </w:rPr>
            </w:pPr>
          </w:p>
        </w:tc>
        <w:tc>
          <w:tcPr>
            <w:tcW w:w="620" w:type="dxa"/>
            <w:vAlign w:val="bottom"/>
            <w:shd w:val="clear" w:color="auto" w:fill="EF3E2A"/>
          </w:tcPr>
          <w:p>
            <w:pPr>
              <w:spacing w:after="0"/>
              <w:rPr>
                <w:sz w:val="17"/>
                <w:szCs w:val="17"/>
                <w:color w:val="auto"/>
              </w:rPr>
            </w:pPr>
          </w:p>
        </w:tc>
      </w:tr>
      <w:tr>
        <w:trPr>
          <w:trHeight w:val="200"/>
        </w:trPr>
        <w:tc>
          <w:tcPr>
            <w:tcW w:w="1020" w:type="dxa"/>
            <w:vAlign w:val="bottom"/>
            <w:shd w:val="clear" w:color="auto" w:fill="EF3E2A"/>
          </w:tcPr>
          <w:p>
            <w:pPr>
              <w:spacing w:after="0"/>
              <w:rPr>
                <w:sz w:val="17"/>
                <w:szCs w:val="17"/>
                <w:color w:val="auto"/>
              </w:rPr>
            </w:pPr>
          </w:p>
        </w:tc>
        <w:tc>
          <w:tcPr>
            <w:tcW w:w="1720" w:type="dxa"/>
            <w:vAlign w:val="bottom"/>
            <w:shd w:val="clear" w:color="auto" w:fill="EF3E2A"/>
          </w:tcPr>
          <w:p>
            <w:pPr>
              <w:jc w:val="center"/>
              <w:ind w:left="475"/>
              <w:spacing w:after="0"/>
              <w:rPr>
                <w:sz w:val="20"/>
                <w:szCs w:val="20"/>
                <w:color w:val="auto"/>
              </w:rPr>
            </w:pPr>
            <w:r>
              <w:rPr>
                <w:rFonts w:ascii="Calibri" w:cs="Calibri" w:eastAsia="Calibri" w:hAnsi="Calibri"/>
                <w:sz w:val="16"/>
                <w:szCs w:val="16"/>
                <w:b w:val="1"/>
                <w:bCs w:val="1"/>
                <w:color w:val="FFFFFF"/>
                <w:w w:val="99"/>
              </w:rPr>
              <w:t>Compenstion</w:t>
            </w:r>
          </w:p>
        </w:tc>
        <w:tc>
          <w:tcPr>
            <w:tcW w:w="124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Compensation</w:t>
            </w: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Compenstion</w:t>
            </w:r>
          </w:p>
        </w:tc>
        <w:tc>
          <w:tcPr>
            <w:tcW w:w="128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Compensation</w:t>
            </w:r>
          </w:p>
        </w:tc>
        <w:tc>
          <w:tcPr>
            <w:tcW w:w="10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Total</w:t>
            </w:r>
          </w:p>
        </w:tc>
        <w:tc>
          <w:tcPr>
            <w:tcW w:w="10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Total</w:t>
            </w:r>
          </w:p>
        </w:tc>
        <w:tc>
          <w:tcPr>
            <w:tcW w:w="8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Net</w:t>
            </w:r>
          </w:p>
        </w:tc>
        <w:tc>
          <w:tcPr>
            <w:tcW w:w="620" w:type="dxa"/>
            <w:vAlign w:val="bottom"/>
            <w:shd w:val="clear" w:color="auto" w:fill="EF3E2A"/>
          </w:tcPr>
          <w:p>
            <w:pPr>
              <w:jc w:val="center"/>
              <w:ind w:left="14"/>
              <w:spacing w:after="0"/>
              <w:rPr>
                <w:sz w:val="20"/>
                <w:szCs w:val="20"/>
                <w:color w:val="auto"/>
              </w:rPr>
            </w:pPr>
            <w:r>
              <w:rPr>
                <w:rFonts w:ascii="Calibri" w:cs="Calibri" w:eastAsia="Calibri" w:hAnsi="Calibri"/>
                <w:sz w:val="16"/>
                <w:szCs w:val="16"/>
                <w:b w:val="1"/>
                <w:bCs w:val="1"/>
                <w:color w:val="FFFFFF"/>
              </w:rPr>
              <w:t>FFO per</w:t>
            </w:r>
          </w:p>
        </w:tc>
      </w:tr>
      <w:tr>
        <w:trPr>
          <w:trHeight w:val="200"/>
        </w:trPr>
        <w:tc>
          <w:tcPr>
            <w:tcW w:w="1020" w:type="dxa"/>
            <w:vAlign w:val="bottom"/>
            <w:shd w:val="clear" w:color="auto" w:fill="EF3E2A"/>
          </w:tcPr>
          <w:p>
            <w:pPr>
              <w:spacing w:after="0"/>
              <w:rPr>
                <w:sz w:val="17"/>
                <w:szCs w:val="17"/>
                <w:color w:val="auto"/>
              </w:rPr>
            </w:pPr>
          </w:p>
        </w:tc>
        <w:tc>
          <w:tcPr>
            <w:tcW w:w="1720" w:type="dxa"/>
            <w:vAlign w:val="bottom"/>
            <w:shd w:val="clear" w:color="auto" w:fill="EF3E2A"/>
          </w:tcPr>
          <w:p>
            <w:pPr>
              <w:jc w:val="center"/>
              <w:ind w:left="475"/>
              <w:spacing w:after="0"/>
              <w:rPr>
                <w:sz w:val="20"/>
                <w:szCs w:val="20"/>
                <w:color w:val="auto"/>
              </w:rPr>
            </w:pPr>
            <w:r>
              <w:rPr>
                <w:rFonts w:ascii="Calibri" w:cs="Calibri" w:eastAsia="Calibri" w:hAnsi="Calibri"/>
                <w:sz w:val="16"/>
                <w:szCs w:val="16"/>
                <w:b w:val="1"/>
                <w:bCs w:val="1"/>
                <w:color w:val="FFFFFF"/>
                <w:w w:val="99"/>
              </w:rPr>
              <w:t>Table Total for</w:t>
            </w:r>
          </w:p>
        </w:tc>
        <w:tc>
          <w:tcPr>
            <w:tcW w:w="124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Actually Paid to</w:t>
            </w: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Table Total for</w:t>
            </w:r>
          </w:p>
        </w:tc>
        <w:tc>
          <w:tcPr>
            <w:tcW w:w="128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Actually Paid to</w:t>
            </w:r>
          </w:p>
        </w:tc>
        <w:tc>
          <w:tcPr>
            <w:tcW w:w="10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Shareholder</w:t>
            </w:r>
          </w:p>
        </w:tc>
        <w:tc>
          <w:tcPr>
            <w:tcW w:w="10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8"/>
              </w:rPr>
              <w:t>Shareholder</w:t>
            </w:r>
          </w:p>
        </w:tc>
        <w:tc>
          <w:tcPr>
            <w:tcW w:w="8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Income</w:t>
            </w:r>
          </w:p>
        </w:tc>
        <w:tc>
          <w:tcPr>
            <w:tcW w:w="620" w:type="dxa"/>
            <w:vAlign w:val="bottom"/>
            <w:shd w:val="clear" w:color="auto" w:fill="EF3E2A"/>
          </w:tcPr>
          <w:p>
            <w:pPr>
              <w:jc w:val="center"/>
              <w:ind w:left="14"/>
              <w:spacing w:after="0"/>
              <w:rPr>
                <w:sz w:val="20"/>
                <w:szCs w:val="20"/>
                <w:color w:val="auto"/>
              </w:rPr>
            </w:pPr>
            <w:r>
              <w:rPr>
                <w:rFonts w:ascii="Calibri" w:cs="Calibri" w:eastAsia="Calibri" w:hAnsi="Calibri"/>
                <w:sz w:val="16"/>
                <w:szCs w:val="16"/>
                <w:b w:val="1"/>
                <w:bCs w:val="1"/>
                <w:color w:val="FFFFFF"/>
                <w:w w:val="98"/>
              </w:rPr>
              <w:t>Diluted</w:t>
            </w:r>
          </w:p>
        </w:tc>
      </w:tr>
      <w:tr>
        <w:trPr>
          <w:trHeight w:val="232"/>
        </w:trPr>
        <w:tc>
          <w:tcPr>
            <w:tcW w:w="1020" w:type="dxa"/>
            <w:vAlign w:val="bottom"/>
            <w:shd w:val="clear" w:color="auto" w:fill="EF3E2A"/>
          </w:tcPr>
          <w:p>
            <w:pPr>
              <w:spacing w:after="0"/>
              <w:rPr>
                <w:sz w:val="20"/>
                <w:szCs w:val="20"/>
                <w:color w:val="auto"/>
              </w:rPr>
            </w:pPr>
            <w:r>
              <w:rPr>
                <w:rFonts w:ascii="Calibri" w:cs="Calibri" w:eastAsia="Calibri" w:hAnsi="Calibri"/>
                <w:sz w:val="16"/>
                <w:szCs w:val="16"/>
                <w:b w:val="1"/>
                <w:bCs w:val="1"/>
                <w:color w:val="FFFFFF"/>
              </w:rPr>
              <w:t>Year</w:t>
            </w:r>
          </w:p>
        </w:tc>
        <w:tc>
          <w:tcPr>
            <w:tcW w:w="1720" w:type="dxa"/>
            <w:vAlign w:val="bottom"/>
            <w:shd w:val="clear" w:color="auto" w:fill="EF3E2A"/>
          </w:tcPr>
          <w:p>
            <w:pPr>
              <w:jc w:val="center"/>
              <w:ind w:left="475"/>
              <w:spacing w:after="0" w:line="232" w:lineRule="exact"/>
              <w:rPr>
                <w:sz w:val="20"/>
                <w:szCs w:val="20"/>
                <w:color w:val="auto"/>
              </w:rPr>
            </w:pPr>
            <w:r>
              <w:rPr>
                <w:rFonts w:ascii="Calibri" w:cs="Calibri" w:eastAsia="Calibri" w:hAnsi="Calibri"/>
                <w:sz w:val="16"/>
                <w:szCs w:val="16"/>
                <w:b w:val="1"/>
                <w:bCs w:val="1"/>
                <w:color w:val="FFFFFF"/>
                <w:w w:val="94"/>
              </w:rPr>
              <w:t>PEO</w:t>
            </w:r>
            <w:r>
              <w:rPr>
                <w:rFonts w:ascii="Calibri" w:cs="Calibri" w:eastAsia="Calibri" w:hAnsi="Calibri"/>
                <w:sz w:val="20"/>
                <w:szCs w:val="20"/>
                <w:b w:val="1"/>
                <w:bCs w:val="1"/>
                <w:color w:val="FFFFFF"/>
                <w:w w:val="94"/>
                <w:vertAlign w:val="superscript"/>
              </w:rPr>
              <w:t>(1)</w:t>
            </w:r>
          </w:p>
        </w:tc>
        <w:tc>
          <w:tcPr>
            <w:tcW w:w="260" w:type="dxa"/>
            <w:vAlign w:val="bottom"/>
            <w:shd w:val="clear" w:color="auto" w:fill="EF3E2A"/>
          </w:tcPr>
          <w:p>
            <w:pPr>
              <w:spacing w:after="0"/>
              <w:rPr>
                <w:sz w:val="20"/>
                <w:szCs w:val="20"/>
                <w:color w:val="auto"/>
              </w:rPr>
            </w:pPr>
          </w:p>
        </w:tc>
        <w:tc>
          <w:tcPr>
            <w:tcW w:w="980" w:type="dxa"/>
            <w:vAlign w:val="bottom"/>
            <w:shd w:val="clear" w:color="auto" w:fill="EF3E2A"/>
          </w:tcPr>
          <w:p>
            <w:pPr>
              <w:jc w:val="center"/>
              <w:ind w:right="152"/>
              <w:spacing w:after="0" w:line="232" w:lineRule="exact"/>
              <w:rPr>
                <w:sz w:val="20"/>
                <w:szCs w:val="20"/>
                <w:color w:val="auto"/>
              </w:rPr>
            </w:pPr>
            <w:r>
              <w:rPr>
                <w:rFonts w:ascii="Calibri" w:cs="Calibri" w:eastAsia="Calibri" w:hAnsi="Calibri"/>
                <w:sz w:val="16"/>
                <w:szCs w:val="16"/>
                <w:b w:val="1"/>
                <w:bCs w:val="1"/>
                <w:color w:val="FFFFFF"/>
                <w:w w:val="89"/>
              </w:rPr>
              <w:t>PEO</w:t>
            </w:r>
            <w:r>
              <w:rPr>
                <w:rFonts w:ascii="Calibri" w:cs="Calibri" w:eastAsia="Calibri" w:hAnsi="Calibri"/>
                <w:sz w:val="20"/>
                <w:szCs w:val="20"/>
                <w:b w:val="1"/>
                <w:bCs w:val="1"/>
                <w:color w:val="FFFFFF"/>
                <w:w w:val="89"/>
                <w:vertAlign w:val="superscript"/>
              </w:rPr>
              <w:t>(1)</w:t>
            </w:r>
          </w:p>
        </w:tc>
        <w:tc>
          <w:tcPr>
            <w:tcW w:w="1300" w:type="dxa"/>
            <w:vAlign w:val="bottom"/>
            <w:shd w:val="clear" w:color="auto" w:fill="EF3E2A"/>
          </w:tcPr>
          <w:p>
            <w:pPr>
              <w:jc w:val="center"/>
              <w:spacing w:after="0" w:line="232" w:lineRule="exact"/>
              <w:rPr>
                <w:sz w:val="20"/>
                <w:szCs w:val="20"/>
                <w:color w:val="auto"/>
              </w:rPr>
            </w:pPr>
            <w:r>
              <w:rPr>
                <w:rFonts w:ascii="Calibri" w:cs="Calibri" w:eastAsia="Calibri" w:hAnsi="Calibri"/>
                <w:sz w:val="16"/>
                <w:szCs w:val="16"/>
                <w:b w:val="1"/>
                <w:bCs w:val="1"/>
                <w:color w:val="FFFFFF"/>
                <w:w w:val="98"/>
              </w:rPr>
              <w:t>non-PEO NEOs</w:t>
            </w:r>
            <w:r>
              <w:rPr>
                <w:rFonts w:ascii="Calibri" w:cs="Calibri" w:eastAsia="Calibri" w:hAnsi="Calibri"/>
                <w:sz w:val="20"/>
                <w:szCs w:val="20"/>
                <w:b w:val="1"/>
                <w:bCs w:val="1"/>
                <w:color w:val="FFFFFF"/>
                <w:w w:val="98"/>
                <w:vertAlign w:val="superscript"/>
              </w:rPr>
              <w:t>(2)</w:t>
            </w:r>
          </w:p>
        </w:tc>
        <w:tc>
          <w:tcPr>
            <w:tcW w:w="1280" w:type="dxa"/>
            <w:vAlign w:val="bottom"/>
            <w:gridSpan w:val="2"/>
            <w:shd w:val="clear" w:color="auto" w:fill="EF3E2A"/>
          </w:tcPr>
          <w:p>
            <w:pPr>
              <w:jc w:val="center"/>
              <w:spacing w:after="0" w:line="232" w:lineRule="exact"/>
              <w:rPr>
                <w:sz w:val="20"/>
                <w:szCs w:val="20"/>
                <w:color w:val="auto"/>
              </w:rPr>
            </w:pPr>
            <w:r>
              <w:rPr>
                <w:rFonts w:ascii="Calibri" w:cs="Calibri" w:eastAsia="Calibri" w:hAnsi="Calibri"/>
                <w:sz w:val="16"/>
                <w:szCs w:val="16"/>
                <w:b w:val="1"/>
                <w:bCs w:val="1"/>
                <w:color w:val="FFFFFF"/>
                <w:w w:val="96"/>
              </w:rPr>
              <w:t>non-PEO NEOs</w:t>
            </w:r>
            <w:r>
              <w:rPr>
                <w:rFonts w:ascii="Calibri" w:cs="Calibri" w:eastAsia="Calibri" w:hAnsi="Calibri"/>
                <w:sz w:val="20"/>
                <w:szCs w:val="20"/>
                <w:b w:val="1"/>
                <w:bCs w:val="1"/>
                <w:color w:val="FFFFFF"/>
                <w:w w:val="96"/>
                <w:vertAlign w:val="superscript"/>
              </w:rPr>
              <w:t>(2)</w:t>
            </w:r>
          </w:p>
        </w:tc>
        <w:tc>
          <w:tcPr>
            <w:tcW w:w="10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Return</w:t>
            </w:r>
          </w:p>
        </w:tc>
        <w:tc>
          <w:tcPr>
            <w:tcW w:w="1000" w:type="dxa"/>
            <w:vAlign w:val="bottom"/>
            <w:shd w:val="clear" w:color="auto" w:fill="EF3E2A"/>
          </w:tcPr>
          <w:p>
            <w:pPr>
              <w:jc w:val="center"/>
              <w:spacing w:after="0" w:line="232" w:lineRule="exact"/>
              <w:rPr>
                <w:sz w:val="20"/>
                <w:szCs w:val="20"/>
                <w:color w:val="auto"/>
              </w:rPr>
            </w:pPr>
            <w:r>
              <w:rPr>
                <w:rFonts w:ascii="Calibri" w:cs="Calibri" w:eastAsia="Calibri" w:hAnsi="Calibri"/>
                <w:sz w:val="16"/>
                <w:szCs w:val="16"/>
                <w:b w:val="1"/>
                <w:bCs w:val="1"/>
                <w:color w:val="FFFFFF"/>
                <w:w w:val="92"/>
              </w:rPr>
              <w:t>Return</w:t>
            </w:r>
            <w:r>
              <w:rPr>
                <w:rFonts w:ascii="Calibri" w:cs="Calibri" w:eastAsia="Calibri" w:hAnsi="Calibri"/>
                <w:sz w:val="20"/>
                <w:szCs w:val="20"/>
                <w:b w:val="1"/>
                <w:bCs w:val="1"/>
                <w:color w:val="FFFFFF"/>
                <w:w w:val="92"/>
                <w:vertAlign w:val="superscript"/>
              </w:rPr>
              <w:t>(3)</w:t>
            </w:r>
          </w:p>
        </w:tc>
        <w:tc>
          <w:tcPr>
            <w:tcW w:w="8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(in 000s)</w:t>
            </w:r>
          </w:p>
        </w:tc>
        <w:tc>
          <w:tcPr>
            <w:tcW w:w="620" w:type="dxa"/>
            <w:vAlign w:val="bottom"/>
            <w:shd w:val="clear" w:color="auto" w:fill="EF3E2A"/>
          </w:tcPr>
          <w:p>
            <w:pPr>
              <w:jc w:val="center"/>
              <w:ind w:left="34"/>
              <w:spacing w:after="0" w:line="232" w:lineRule="exact"/>
              <w:rPr>
                <w:sz w:val="20"/>
                <w:szCs w:val="20"/>
                <w:color w:val="auto"/>
              </w:rPr>
            </w:pPr>
            <w:r>
              <w:rPr>
                <w:rFonts w:ascii="Calibri" w:cs="Calibri" w:eastAsia="Calibri" w:hAnsi="Calibri"/>
                <w:sz w:val="16"/>
                <w:szCs w:val="16"/>
                <w:b w:val="1"/>
                <w:bCs w:val="1"/>
                <w:color w:val="FFFFFF"/>
                <w:w w:val="94"/>
              </w:rPr>
              <w:t>Share</w:t>
            </w:r>
            <w:r>
              <w:rPr>
                <w:rFonts w:ascii="Calibri" w:cs="Calibri" w:eastAsia="Calibri" w:hAnsi="Calibri"/>
                <w:sz w:val="20"/>
                <w:szCs w:val="20"/>
                <w:b w:val="1"/>
                <w:bCs w:val="1"/>
                <w:color w:val="FFFFFF"/>
                <w:w w:val="94"/>
                <w:vertAlign w:val="superscript"/>
              </w:rPr>
              <w:t>(4)</w:t>
            </w:r>
          </w:p>
        </w:tc>
      </w:tr>
      <w:tr>
        <w:trPr>
          <w:trHeight w:val="254"/>
        </w:trPr>
        <w:tc>
          <w:tcPr>
            <w:tcW w:w="1020" w:type="dxa"/>
            <w:vAlign w:val="bottom"/>
          </w:tcPr>
          <w:p>
            <w:pPr>
              <w:spacing w:after="0"/>
              <w:rPr>
                <w:sz w:val="20"/>
                <w:szCs w:val="20"/>
                <w:color w:val="auto"/>
              </w:rPr>
            </w:pPr>
            <w:r>
              <w:rPr>
                <w:rFonts w:ascii="Calibri" w:cs="Calibri" w:eastAsia="Calibri" w:hAnsi="Calibri"/>
                <w:sz w:val="18"/>
                <w:szCs w:val="18"/>
                <w:color w:val="231F20"/>
              </w:rPr>
              <w:t>2023</w:t>
            </w:r>
          </w:p>
        </w:tc>
        <w:tc>
          <w:tcPr>
            <w:tcW w:w="1720" w:type="dxa"/>
            <w:vAlign w:val="bottom"/>
          </w:tcPr>
          <w:p>
            <w:pPr>
              <w:jc w:val="center"/>
              <w:ind w:left="495"/>
              <w:spacing w:after="0"/>
              <w:rPr>
                <w:sz w:val="20"/>
                <w:szCs w:val="20"/>
                <w:color w:val="auto"/>
              </w:rPr>
            </w:pPr>
            <w:r>
              <w:rPr>
                <w:rFonts w:ascii="Calibri" w:cs="Calibri" w:eastAsia="Calibri" w:hAnsi="Calibri"/>
                <w:sz w:val="18"/>
                <w:szCs w:val="18"/>
                <w:color w:val="231F20"/>
                <w:w w:val="99"/>
              </w:rPr>
              <w:t>$8,941,820</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rPr>
              <w:t>9,972,582</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$2,499,276</w:t>
            </w:r>
          </w:p>
        </w:tc>
        <w:tc>
          <w:tcPr>
            <w:tcW w:w="32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ind w:right="152"/>
              <w:spacing w:after="0"/>
              <w:rPr>
                <w:sz w:val="20"/>
                <w:szCs w:val="20"/>
                <w:color w:val="auto"/>
              </w:rPr>
            </w:pPr>
            <w:r>
              <w:rPr>
                <w:rFonts w:ascii="Calibri" w:cs="Calibri" w:eastAsia="Calibri" w:hAnsi="Calibri"/>
                <w:sz w:val="18"/>
                <w:szCs w:val="18"/>
                <w:color w:val="231F20"/>
                <w:w w:val="95"/>
              </w:rPr>
              <w:t>2,742,212</w:t>
            </w:r>
          </w:p>
        </w:tc>
        <w:tc>
          <w:tcPr>
            <w:tcW w:w="1020" w:type="dxa"/>
            <w:vAlign w:val="bottom"/>
          </w:tcPr>
          <w:p>
            <w:pPr>
              <w:jc w:val="center"/>
              <w:spacing w:after="0"/>
              <w:rPr>
                <w:sz w:val="20"/>
                <w:szCs w:val="20"/>
                <w:color w:val="auto"/>
              </w:rPr>
            </w:pPr>
            <w:r>
              <w:rPr>
                <w:rFonts w:ascii="Calibri" w:cs="Calibri" w:eastAsia="Calibri" w:hAnsi="Calibri"/>
                <w:sz w:val="18"/>
                <w:szCs w:val="18"/>
                <w:color w:val="231F20"/>
              </w:rPr>
              <w:t>$ 95.04</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$113.74</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$247,217</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$6.55</w:t>
            </w:r>
          </w:p>
        </w:tc>
      </w:tr>
      <w:tr>
        <w:trPr>
          <w:trHeight w:val="280"/>
        </w:trPr>
        <w:tc>
          <w:tcPr>
            <w:tcW w:w="1020" w:type="dxa"/>
            <w:vAlign w:val="bottom"/>
          </w:tcPr>
          <w:p>
            <w:pPr>
              <w:spacing w:after="0"/>
              <w:rPr>
                <w:sz w:val="20"/>
                <w:szCs w:val="20"/>
                <w:color w:val="auto"/>
              </w:rPr>
            </w:pPr>
            <w:r>
              <w:rPr>
                <w:rFonts w:ascii="Calibri" w:cs="Calibri" w:eastAsia="Calibri" w:hAnsi="Calibri"/>
                <w:sz w:val="18"/>
                <w:szCs w:val="18"/>
                <w:color w:val="231F20"/>
              </w:rPr>
              <w:t>2022</w:t>
            </w:r>
          </w:p>
        </w:tc>
        <w:tc>
          <w:tcPr>
            <w:tcW w:w="1720" w:type="dxa"/>
            <w:vAlign w:val="bottom"/>
          </w:tcPr>
          <w:p>
            <w:pPr>
              <w:jc w:val="center"/>
              <w:ind w:left="495"/>
              <w:spacing w:after="0"/>
              <w:rPr>
                <w:sz w:val="20"/>
                <w:szCs w:val="20"/>
                <w:color w:val="auto"/>
              </w:rPr>
            </w:pPr>
            <w:r>
              <w:rPr>
                <w:rFonts w:ascii="Calibri" w:cs="Calibri" w:eastAsia="Calibri" w:hAnsi="Calibri"/>
                <w:sz w:val="18"/>
                <w:szCs w:val="18"/>
                <w:color w:val="231F20"/>
                <w:w w:val="99"/>
              </w:rPr>
              <w:t>$8,916,031</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rPr>
              <w:t>6,570,796</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$2,177,775</w:t>
            </w:r>
          </w:p>
        </w:tc>
        <w:tc>
          <w:tcPr>
            <w:tcW w:w="32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ind w:right="152"/>
              <w:spacing w:after="0"/>
              <w:rPr>
                <w:sz w:val="20"/>
                <w:szCs w:val="20"/>
                <w:color w:val="auto"/>
              </w:rPr>
            </w:pPr>
            <w:r>
              <w:rPr>
                <w:rFonts w:ascii="Calibri" w:cs="Calibri" w:eastAsia="Calibri" w:hAnsi="Calibri"/>
                <w:sz w:val="18"/>
                <w:szCs w:val="18"/>
                <w:color w:val="231F20"/>
                <w:w w:val="95"/>
              </w:rPr>
              <w:t>1,669,484</w:t>
            </w:r>
          </w:p>
        </w:tc>
        <w:tc>
          <w:tcPr>
            <w:tcW w:w="1020" w:type="dxa"/>
            <w:vAlign w:val="bottom"/>
          </w:tcPr>
          <w:p>
            <w:pPr>
              <w:jc w:val="center"/>
              <w:spacing w:after="0"/>
              <w:rPr>
                <w:sz w:val="20"/>
                <w:szCs w:val="20"/>
                <w:color w:val="auto"/>
              </w:rPr>
            </w:pPr>
            <w:r>
              <w:rPr>
                <w:rFonts w:ascii="Calibri" w:cs="Calibri" w:eastAsia="Calibri" w:hAnsi="Calibri"/>
                <w:sz w:val="18"/>
                <w:szCs w:val="18"/>
                <w:color w:val="231F20"/>
              </w:rPr>
              <w:t>$ 89.10</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$104.09</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$395,661</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$6.32</w:t>
            </w:r>
          </w:p>
        </w:tc>
      </w:tr>
      <w:tr>
        <w:trPr>
          <w:trHeight w:val="280"/>
        </w:trPr>
        <w:tc>
          <w:tcPr>
            <w:tcW w:w="1020" w:type="dxa"/>
            <w:vAlign w:val="bottom"/>
          </w:tcPr>
          <w:p>
            <w:pPr>
              <w:spacing w:after="0"/>
              <w:rPr>
                <w:sz w:val="20"/>
                <w:szCs w:val="20"/>
                <w:color w:val="auto"/>
              </w:rPr>
            </w:pPr>
            <w:r>
              <w:rPr>
                <w:rFonts w:ascii="Calibri" w:cs="Calibri" w:eastAsia="Calibri" w:hAnsi="Calibri"/>
                <w:sz w:val="18"/>
                <w:szCs w:val="18"/>
                <w:color w:val="231F20"/>
              </w:rPr>
              <w:t>2021</w:t>
            </w:r>
          </w:p>
        </w:tc>
        <w:tc>
          <w:tcPr>
            <w:tcW w:w="1720" w:type="dxa"/>
            <w:vAlign w:val="bottom"/>
          </w:tcPr>
          <w:p>
            <w:pPr>
              <w:jc w:val="center"/>
              <w:ind w:left="495"/>
              <w:spacing w:after="0"/>
              <w:rPr>
                <w:sz w:val="20"/>
                <w:szCs w:val="20"/>
                <w:color w:val="auto"/>
              </w:rPr>
            </w:pPr>
            <w:r>
              <w:rPr>
                <w:rFonts w:ascii="Calibri" w:cs="Calibri" w:eastAsia="Calibri" w:hAnsi="Calibri"/>
                <w:sz w:val="18"/>
                <w:szCs w:val="18"/>
                <w:color w:val="231F20"/>
                <w:w w:val="99"/>
              </w:rPr>
              <w:t>$7,520,917</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w w:val="97"/>
              </w:rPr>
              <w:t>15,446,709</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$2,955,860</w:t>
            </w:r>
          </w:p>
        </w:tc>
        <w:tc>
          <w:tcPr>
            <w:tcW w:w="32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ind w:right="152"/>
              <w:spacing w:after="0"/>
              <w:rPr>
                <w:sz w:val="20"/>
                <w:szCs w:val="20"/>
                <w:color w:val="auto"/>
              </w:rPr>
            </w:pPr>
            <w:r>
              <w:rPr>
                <w:rFonts w:ascii="Calibri" w:cs="Calibri" w:eastAsia="Calibri" w:hAnsi="Calibri"/>
                <w:sz w:val="18"/>
                <w:szCs w:val="18"/>
                <w:color w:val="231F20"/>
                <w:w w:val="95"/>
              </w:rPr>
              <w:t>3,999,185</w:t>
            </w:r>
          </w:p>
        </w:tc>
        <w:tc>
          <w:tcPr>
            <w:tcW w:w="1020" w:type="dxa"/>
            <w:vAlign w:val="bottom"/>
          </w:tcPr>
          <w:p>
            <w:pPr>
              <w:jc w:val="center"/>
              <w:spacing w:after="0"/>
              <w:rPr>
                <w:sz w:val="20"/>
                <w:szCs w:val="20"/>
                <w:color w:val="auto"/>
              </w:rPr>
            </w:pPr>
            <w:r>
              <w:rPr>
                <w:rFonts w:ascii="Calibri" w:cs="Calibri" w:eastAsia="Calibri" w:hAnsi="Calibri"/>
                <w:sz w:val="18"/>
                <w:szCs w:val="18"/>
                <w:color w:val="231F20"/>
                <w:w w:val="97"/>
              </w:rPr>
              <w:t>$115.21</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$119.96</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$269,081</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$5.57</w:t>
            </w:r>
          </w:p>
        </w:tc>
      </w:tr>
      <w:tr>
        <w:trPr>
          <w:trHeight w:val="280"/>
        </w:trPr>
        <w:tc>
          <w:tcPr>
            <w:tcW w:w="1020" w:type="dxa"/>
            <w:vAlign w:val="bottom"/>
          </w:tcPr>
          <w:p>
            <w:pPr>
              <w:spacing w:after="0"/>
              <w:rPr>
                <w:sz w:val="20"/>
                <w:szCs w:val="20"/>
                <w:color w:val="auto"/>
              </w:rPr>
            </w:pPr>
            <w:r>
              <w:rPr>
                <w:rFonts w:ascii="Calibri" w:cs="Calibri" w:eastAsia="Calibri" w:hAnsi="Calibri"/>
                <w:sz w:val="18"/>
                <w:szCs w:val="18"/>
                <w:color w:val="231F20"/>
              </w:rPr>
              <w:t>2020</w:t>
            </w:r>
          </w:p>
        </w:tc>
        <w:tc>
          <w:tcPr>
            <w:tcW w:w="1720" w:type="dxa"/>
            <w:vAlign w:val="bottom"/>
          </w:tcPr>
          <w:p>
            <w:pPr>
              <w:jc w:val="center"/>
              <w:ind w:left="495"/>
              <w:spacing w:after="0"/>
              <w:rPr>
                <w:sz w:val="20"/>
                <w:szCs w:val="20"/>
                <w:color w:val="auto"/>
              </w:rPr>
            </w:pPr>
            <w:r>
              <w:rPr>
                <w:rFonts w:ascii="Calibri" w:cs="Calibri" w:eastAsia="Calibri" w:hAnsi="Calibri"/>
                <w:sz w:val="18"/>
                <w:szCs w:val="18"/>
                <w:color w:val="231F20"/>
                <w:w w:val="99"/>
              </w:rPr>
              <w:t>$7,481,796</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rPr>
              <w:t>1,832,214</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$1,753,182</w:t>
            </w:r>
          </w:p>
        </w:tc>
        <w:tc>
          <w:tcPr>
            <w:tcW w:w="32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ind w:right="152"/>
              <w:spacing w:after="0"/>
              <w:rPr>
                <w:sz w:val="20"/>
                <w:szCs w:val="20"/>
                <w:color w:val="auto"/>
              </w:rPr>
            </w:pPr>
            <w:r>
              <w:rPr>
                <w:rFonts w:ascii="Calibri" w:cs="Calibri" w:eastAsia="Calibri" w:hAnsi="Calibri"/>
                <w:sz w:val="18"/>
                <w:szCs w:val="18"/>
                <w:color w:val="231F20"/>
              </w:rPr>
              <w:t>859,320</w:t>
            </w:r>
          </w:p>
        </w:tc>
        <w:tc>
          <w:tcPr>
            <w:tcW w:w="1020" w:type="dxa"/>
            <w:vAlign w:val="bottom"/>
          </w:tcPr>
          <w:p>
            <w:pPr>
              <w:jc w:val="center"/>
              <w:spacing w:after="0"/>
              <w:rPr>
                <w:sz w:val="20"/>
                <w:szCs w:val="20"/>
                <w:color w:val="auto"/>
              </w:rPr>
            </w:pPr>
            <w:r>
              <w:rPr>
                <w:rFonts w:ascii="Calibri" w:cs="Calibri" w:eastAsia="Calibri" w:hAnsi="Calibri"/>
                <w:sz w:val="18"/>
                <w:szCs w:val="18"/>
                <w:color w:val="231F20"/>
              </w:rPr>
              <w:t>$ 69.44</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$ 73.36</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$135,888</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$4.38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4109085</wp:posOffset>
                </wp:positionH>
                <wp:positionV relativeFrom="paragraph">
                  <wp:posOffset>-1367790</wp:posOffset>
                </wp:positionV>
                <wp:extent cx="1272540"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254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55pt,-107.6999pt" to="423.75pt,-107.69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114300</wp:posOffset>
                </wp:positionV>
                <wp:extent cx="60960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pt" to="48pt,9pt" o:allowincell="f" strokecolor="#231F20" strokeweight="0.5pt"/>
            </w:pict>
          </mc:Fallback>
        </mc:AlternateContent>
      </w:r>
    </w:p>
    <w:p>
      <w:pPr>
        <w:spacing w:after="0" w:line="221" w:lineRule="exact"/>
        <w:rPr>
          <w:sz w:val="20"/>
          <w:szCs w:val="20"/>
          <w:color w:val="auto"/>
        </w:rPr>
      </w:pPr>
    </w:p>
    <w:p>
      <w:pPr>
        <w:ind w:left="360" w:right="60" w:hanging="360"/>
        <w:spacing w:after="0" w:line="214" w:lineRule="auto"/>
        <w:tabs>
          <w:tab w:leader="none" w:pos="360" w:val="left"/>
        </w:tabs>
        <w:numPr>
          <w:ilvl w:val="0"/>
          <w:numId w:val="143"/>
        </w:numPr>
        <w:rPr>
          <w:rFonts w:ascii="Arial" w:cs="Arial" w:eastAsia="Arial" w:hAnsi="Arial"/>
          <w:sz w:val="23"/>
          <w:szCs w:val="23"/>
          <w:color w:val="231F20"/>
          <w:vertAlign w:val="superscript"/>
        </w:rPr>
      </w:pPr>
      <w:r>
        <w:rPr>
          <w:rFonts w:ascii="Arial" w:cs="Arial" w:eastAsia="Arial" w:hAnsi="Arial"/>
          <w:sz w:val="18"/>
          <w:szCs w:val="18"/>
          <w:color w:val="231F20"/>
        </w:rPr>
        <w:t>Mr. Wood was our principal executive officer for all years shown. Following are the adjustments made during each year shown to arrive at compensation actually paid to our principal executive officer during each year.</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shd w:val="clear" w:color="auto" w:fill="EF3E2A"/>
          </w:tcPr>
          <w:p>
            <w:pPr>
              <w:spacing w:after="0"/>
              <w:rPr>
                <w:sz w:val="19"/>
                <w:szCs w:val="19"/>
                <w:color w:val="auto"/>
              </w:rPr>
            </w:pPr>
          </w:p>
        </w:tc>
        <w:tc>
          <w:tcPr>
            <w:tcW w:w="4120" w:type="dxa"/>
            <w:vAlign w:val="bottom"/>
            <w:shd w:val="clear" w:color="auto" w:fill="EF3E2A"/>
          </w:tcPr>
          <w:p>
            <w:pPr>
              <w:spacing w:after="0"/>
              <w:rPr>
                <w:sz w:val="19"/>
                <w:szCs w:val="19"/>
                <w:color w:val="auto"/>
              </w:rPr>
            </w:pPr>
          </w:p>
        </w:tc>
        <w:tc>
          <w:tcPr>
            <w:tcW w:w="280" w:type="dxa"/>
            <w:vAlign w:val="bottom"/>
            <w:shd w:val="clear" w:color="auto" w:fill="EF3E2A"/>
          </w:tcPr>
          <w:p>
            <w:pPr>
              <w:spacing w:after="0"/>
              <w:rPr>
                <w:sz w:val="19"/>
                <w:szCs w:val="19"/>
                <w:color w:val="auto"/>
              </w:rPr>
            </w:pPr>
          </w:p>
        </w:tc>
        <w:tc>
          <w:tcPr>
            <w:tcW w:w="980" w:type="dxa"/>
            <w:vAlign w:val="bottom"/>
            <w:shd w:val="clear" w:color="auto" w:fill="EF3E2A"/>
          </w:tcPr>
          <w:p>
            <w:pPr>
              <w:spacing w:after="0"/>
              <w:rPr>
                <w:sz w:val="19"/>
                <w:szCs w:val="19"/>
                <w:color w:val="auto"/>
              </w:rPr>
            </w:pPr>
          </w:p>
        </w:tc>
        <w:tc>
          <w:tcPr>
            <w:tcW w:w="320" w:type="dxa"/>
            <w:vAlign w:val="bottom"/>
            <w:shd w:val="clear" w:color="auto" w:fill="EF3E2A"/>
          </w:tcPr>
          <w:p>
            <w:pPr>
              <w:spacing w:after="0"/>
              <w:rPr>
                <w:sz w:val="19"/>
                <w:szCs w:val="19"/>
                <w:color w:val="auto"/>
              </w:rPr>
            </w:pPr>
          </w:p>
        </w:tc>
        <w:tc>
          <w:tcPr>
            <w:tcW w:w="1100" w:type="dxa"/>
            <w:vAlign w:val="bottom"/>
            <w:shd w:val="clear" w:color="auto" w:fill="EF3E2A"/>
          </w:tcPr>
          <w:p>
            <w:pPr>
              <w:jc w:val="right"/>
              <w:spacing w:after="0"/>
              <w:rPr>
                <w:sz w:val="20"/>
                <w:szCs w:val="20"/>
                <w:color w:val="auto"/>
              </w:rPr>
            </w:pPr>
            <w:r>
              <w:rPr>
                <w:rFonts w:ascii="Calibri" w:cs="Calibri" w:eastAsia="Calibri" w:hAnsi="Calibri"/>
                <w:sz w:val="16"/>
                <w:szCs w:val="16"/>
                <w:b w:val="1"/>
                <w:bCs w:val="1"/>
                <w:color w:val="FFFFFF"/>
              </w:rPr>
              <w:t>PEO</w:t>
            </w:r>
          </w:p>
        </w:tc>
        <w:tc>
          <w:tcPr>
            <w:tcW w:w="220" w:type="dxa"/>
            <w:vAlign w:val="bottom"/>
            <w:shd w:val="clear" w:color="auto" w:fill="EF3E2A"/>
          </w:tcPr>
          <w:p>
            <w:pPr>
              <w:spacing w:after="0"/>
              <w:rPr>
                <w:sz w:val="19"/>
                <w:szCs w:val="19"/>
                <w:color w:val="auto"/>
              </w:rPr>
            </w:pPr>
          </w:p>
        </w:tc>
        <w:tc>
          <w:tcPr>
            <w:tcW w:w="860" w:type="dxa"/>
            <w:vAlign w:val="bottom"/>
            <w:shd w:val="clear" w:color="auto" w:fill="EF3E2A"/>
          </w:tcPr>
          <w:p>
            <w:pPr>
              <w:spacing w:after="0"/>
              <w:rPr>
                <w:sz w:val="19"/>
                <w:szCs w:val="19"/>
                <w:color w:val="auto"/>
              </w:rPr>
            </w:pPr>
          </w:p>
        </w:tc>
        <w:tc>
          <w:tcPr>
            <w:tcW w:w="200" w:type="dxa"/>
            <w:vAlign w:val="bottom"/>
            <w:shd w:val="clear" w:color="auto" w:fill="EF3E2A"/>
          </w:tcPr>
          <w:p>
            <w:pPr>
              <w:spacing w:after="0"/>
              <w:rPr>
                <w:sz w:val="19"/>
                <w:szCs w:val="19"/>
                <w:color w:val="auto"/>
              </w:rPr>
            </w:pPr>
          </w:p>
        </w:tc>
        <w:tc>
          <w:tcPr>
            <w:tcW w:w="180" w:type="dxa"/>
            <w:vAlign w:val="bottom"/>
            <w:shd w:val="clear" w:color="auto" w:fill="EF3E2A"/>
          </w:tcPr>
          <w:p>
            <w:pPr>
              <w:spacing w:after="0"/>
              <w:rPr>
                <w:sz w:val="19"/>
                <w:szCs w:val="19"/>
                <w:color w:val="auto"/>
              </w:rPr>
            </w:pPr>
          </w:p>
        </w:tc>
        <w:tc>
          <w:tcPr>
            <w:tcW w:w="860" w:type="dxa"/>
            <w:vAlign w:val="bottom"/>
            <w:shd w:val="clear" w:color="auto" w:fill="EF3E2A"/>
          </w:tcPr>
          <w:p>
            <w:pPr>
              <w:spacing w:after="0"/>
              <w:rPr>
                <w:sz w:val="19"/>
                <w:szCs w:val="19"/>
                <w:color w:val="auto"/>
              </w:rPr>
            </w:pPr>
          </w:p>
        </w:tc>
        <w:tc>
          <w:tcPr>
            <w:tcW w:w="60" w:type="dxa"/>
            <w:vAlign w:val="bottom"/>
          </w:tcPr>
          <w:p>
            <w:pPr>
              <w:spacing w:after="0"/>
              <w:rPr>
                <w:sz w:val="19"/>
                <w:szCs w:val="19"/>
                <w:color w:val="auto"/>
              </w:rPr>
            </w:pPr>
          </w:p>
        </w:tc>
      </w:tr>
      <w:tr>
        <w:trPr>
          <w:trHeight w:val="272"/>
        </w:trPr>
        <w:tc>
          <w:tcPr>
            <w:tcW w:w="5080" w:type="dxa"/>
            <w:vAlign w:val="bottom"/>
            <w:tcBorders>
              <w:bottom w:val="single" w:sz="8" w:color="EF3E2A"/>
            </w:tcBorders>
            <w:gridSpan w:val="2"/>
            <w:shd w:val="clear" w:color="auto" w:fill="EF3E2A"/>
          </w:tcPr>
          <w:p>
            <w:pPr>
              <w:spacing w:after="0"/>
              <w:rPr>
                <w:sz w:val="20"/>
                <w:szCs w:val="20"/>
                <w:color w:val="auto"/>
              </w:rPr>
            </w:pPr>
            <w:r>
              <w:rPr>
                <w:rFonts w:ascii="Calibri" w:cs="Calibri" w:eastAsia="Calibri" w:hAnsi="Calibri"/>
                <w:sz w:val="16"/>
                <w:szCs w:val="16"/>
                <w:b w:val="1"/>
                <w:bCs w:val="1"/>
                <w:color w:val="FFFFFF"/>
              </w:rPr>
              <w:t>Adjustments</w:t>
            </w:r>
          </w:p>
        </w:tc>
        <w:tc>
          <w:tcPr>
            <w:tcW w:w="280" w:type="dxa"/>
            <w:vAlign w:val="bottom"/>
            <w:tcBorders>
              <w:bottom w:val="single" w:sz="8" w:color="EF3E2A"/>
            </w:tcBorders>
            <w:shd w:val="clear" w:color="auto" w:fill="EF3E2A"/>
          </w:tcPr>
          <w:p>
            <w:pPr>
              <w:spacing w:after="0"/>
              <w:rPr>
                <w:sz w:val="23"/>
                <w:szCs w:val="23"/>
                <w:color w:val="auto"/>
              </w:rPr>
            </w:pPr>
          </w:p>
        </w:tc>
        <w:tc>
          <w:tcPr>
            <w:tcW w:w="980" w:type="dxa"/>
            <w:vAlign w:val="bottom"/>
            <w:tcBorders>
              <w:bottom w:val="single" w:sz="8" w:color="EF3E2A"/>
            </w:tcBorders>
            <w:shd w:val="clear" w:color="auto" w:fill="EF3E2A"/>
          </w:tcPr>
          <w:p>
            <w:pPr>
              <w:jc w:val="right"/>
              <w:ind w:right="431"/>
              <w:spacing w:after="0"/>
              <w:rPr>
                <w:sz w:val="20"/>
                <w:szCs w:val="20"/>
                <w:color w:val="auto"/>
              </w:rPr>
            </w:pPr>
            <w:r>
              <w:rPr>
                <w:rFonts w:ascii="Calibri" w:cs="Calibri" w:eastAsia="Calibri" w:hAnsi="Calibri"/>
                <w:sz w:val="16"/>
                <w:szCs w:val="16"/>
                <w:b w:val="1"/>
                <w:bCs w:val="1"/>
                <w:color w:val="FFFFFF"/>
              </w:rPr>
              <w:t>2023</w:t>
            </w:r>
          </w:p>
        </w:tc>
        <w:tc>
          <w:tcPr>
            <w:tcW w:w="320" w:type="dxa"/>
            <w:vAlign w:val="bottom"/>
            <w:tcBorders>
              <w:bottom w:val="single" w:sz="8" w:color="EF3E2A"/>
            </w:tcBorders>
            <w:shd w:val="clear" w:color="auto" w:fill="EF3E2A"/>
          </w:tcPr>
          <w:p>
            <w:pPr>
              <w:spacing w:after="0"/>
              <w:rPr>
                <w:sz w:val="23"/>
                <w:szCs w:val="23"/>
                <w:color w:val="auto"/>
              </w:rPr>
            </w:pPr>
          </w:p>
        </w:tc>
        <w:tc>
          <w:tcPr>
            <w:tcW w:w="1100" w:type="dxa"/>
            <w:vAlign w:val="bottom"/>
            <w:tcBorders>
              <w:bottom w:val="single" w:sz="8" w:color="EF3E2A"/>
            </w:tcBorders>
            <w:shd w:val="clear" w:color="auto" w:fill="EF3E2A"/>
          </w:tcPr>
          <w:p>
            <w:pPr>
              <w:jc w:val="right"/>
              <w:ind w:right="513"/>
              <w:spacing w:after="0"/>
              <w:rPr>
                <w:sz w:val="20"/>
                <w:szCs w:val="20"/>
                <w:color w:val="auto"/>
              </w:rPr>
            </w:pPr>
            <w:r>
              <w:rPr>
                <w:rFonts w:ascii="Calibri" w:cs="Calibri" w:eastAsia="Calibri" w:hAnsi="Calibri"/>
                <w:sz w:val="16"/>
                <w:szCs w:val="16"/>
                <w:b w:val="1"/>
                <w:bCs w:val="1"/>
                <w:color w:val="FFFFFF"/>
              </w:rPr>
              <w:t>2022</w:t>
            </w:r>
          </w:p>
        </w:tc>
        <w:tc>
          <w:tcPr>
            <w:tcW w:w="220" w:type="dxa"/>
            <w:vAlign w:val="bottom"/>
            <w:tcBorders>
              <w:bottom w:val="single" w:sz="8" w:color="EF3E2A"/>
            </w:tcBorders>
            <w:shd w:val="clear" w:color="auto" w:fill="EF3E2A"/>
          </w:tcPr>
          <w:p>
            <w:pPr>
              <w:spacing w:after="0"/>
              <w:rPr>
                <w:sz w:val="23"/>
                <w:szCs w:val="23"/>
                <w:color w:val="auto"/>
              </w:rPr>
            </w:pPr>
          </w:p>
        </w:tc>
        <w:tc>
          <w:tcPr>
            <w:tcW w:w="860" w:type="dxa"/>
            <w:vAlign w:val="bottom"/>
            <w:tcBorders>
              <w:bottom w:val="single" w:sz="8" w:color="EF3E2A"/>
            </w:tcBorders>
            <w:shd w:val="clear" w:color="auto" w:fill="EF3E2A"/>
          </w:tcPr>
          <w:p>
            <w:pPr>
              <w:jc w:val="right"/>
              <w:ind w:right="271"/>
              <w:spacing w:after="0"/>
              <w:rPr>
                <w:sz w:val="20"/>
                <w:szCs w:val="20"/>
                <w:color w:val="auto"/>
              </w:rPr>
            </w:pPr>
            <w:r>
              <w:rPr>
                <w:rFonts w:ascii="Calibri" w:cs="Calibri" w:eastAsia="Calibri" w:hAnsi="Calibri"/>
                <w:sz w:val="16"/>
                <w:szCs w:val="16"/>
                <w:b w:val="1"/>
                <w:bCs w:val="1"/>
                <w:color w:val="FFFFFF"/>
              </w:rPr>
              <w:t>2021</w:t>
            </w:r>
          </w:p>
        </w:tc>
        <w:tc>
          <w:tcPr>
            <w:tcW w:w="200" w:type="dxa"/>
            <w:vAlign w:val="bottom"/>
            <w:tcBorders>
              <w:bottom w:val="single" w:sz="8" w:color="EF3E2A"/>
            </w:tcBorders>
            <w:shd w:val="clear" w:color="auto" w:fill="EF3E2A"/>
          </w:tcPr>
          <w:p>
            <w:pPr>
              <w:spacing w:after="0"/>
              <w:rPr>
                <w:sz w:val="23"/>
                <w:szCs w:val="23"/>
                <w:color w:val="auto"/>
              </w:rPr>
            </w:pPr>
          </w:p>
        </w:tc>
        <w:tc>
          <w:tcPr>
            <w:tcW w:w="180" w:type="dxa"/>
            <w:vAlign w:val="bottom"/>
            <w:tcBorders>
              <w:bottom w:val="single" w:sz="8" w:color="EF3E2A"/>
            </w:tcBorders>
            <w:shd w:val="clear" w:color="auto" w:fill="EF3E2A"/>
          </w:tcPr>
          <w:p>
            <w:pPr>
              <w:spacing w:after="0"/>
              <w:rPr>
                <w:sz w:val="23"/>
                <w:szCs w:val="23"/>
                <w:color w:val="auto"/>
              </w:rPr>
            </w:pPr>
          </w:p>
        </w:tc>
        <w:tc>
          <w:tcPr>
            <w:tcW w:w="860" w:type="dxa"/>
            <w:vAlign w:val="bottom"/>
            <w:tcBorders>
              <w:bottom w:val="single" w:sz="8" w:color="EF3E2A"/>
            </w:tcBorders>
            <w:shd w:val="clear" w:color="auto" w:fill="EF3E2A"/>
          </w:tcPr>
          <w:p>
            <w:pPr>
              <w:jc w:val="right"/>
              <w:ind w:right="271"/>
              <w:spacing w:after="0"/>
              <w:rPr>
                <w:sz w:val="20"/>
                <w:szCs w:val="20"/>
                <w:color w:val="auto"/>
              </w:rPr>
            </w:pPr>
            <w:r>
              <w:rPr>
                <w:rFonts w:ascii="Calibri" w:cs="Calibri" w:eastAsia="Calibri" w:hAnsi="Calibri"/>
                <w:sz w:val="16"/>
                <w:szCs w:val="16"/>
                <w:b w:val="1"/>
                <w:bCs w:val="1"/>
                <w:color w:val="FFFFFF"/>
              </w:rPr>
              <w:t>2020</w:t>
            </w:r>
          </w:p>
        </w:tc>
        <w:tc>
          <w:tcPr>
            <w:tcW w:w="60" w:type="dxa"/>
            <w:vAlign w:val="bottom"/>
          </w:tcPr>
          <w:p>
            <w:pPr>
              <w:spacing w:after="0"/>
              <w:rPr>
                <w:sz w:val="23"/>
                <w:szCs w:val="23"/>
                <w:color w:val="auto"/>
              </w:rPr>
            </w:pPr>
          </w:p>
        </w:tc>
      </w:tr>
      <w:tr>
        <w:trPr>
          <w:trHeight w:val="254"/>
        </w:trPr>
        <w:tc>
          <w:tcPr>
            <w:tcW w:w="5080" w:type="dxa"/>
            <w:vAlign w:val="bottom"/>
            <w:gridSpan w:val="2"/>
          </w:tcPr>
          <w:p>
            <w:pPr>
              <w:spacing w:after="0"/>
              <w:rPr>
                <w:sz w:val="20"/>
                <w:szCs w:val="20"/>
                <w:color w:val="auto"/>
              </w:rPr>
            </w:pPr>
            <w:r>
              <w:rPr>
                <w:rFonts w:ascii="Calibri" w:cs="Calibri" w:eastAsia="Calibri" w:hAnsi="Calibri"/>
                <w:sz w:val="18"/>
                <w:szCs w:val="18"/>
                <w:color w:val="231F20"/>
              </w:rPr>
              <w:t>Amounts reported under "Stock Awards" in SCT</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spacing w:after="0"/>
              <w:rPr>
                <w:sz w:val="20"/>
                <w:szCs w:val="20"/>
                <w:color w:val="auto"/>
              </w:rPr>
            </w:pPr>
            <w:r>
              <w:rPr>
                <w:rFonts w:ascii="Calibri" w:cs="Calibri" w:eastAsia="Calibri" w:hAnsi="Calibri"/>
                <w:sz w:val="18"/>
                <w:szCs w:val="18"/>
                <w:color w:val="231F20"/>
              </w:rPr>
              <w:t>(6,502,565)</w:t>
            </w:r>
          </w:p>
        </w:tc>
        <w:tc>
          <w:tcPr>
            <w:tcW w:w="320" w:type="dxa"/>
            <w:vAlign w:val="bottom"/>
          </w:tcPr>
          <w:p>
            <w:pPr>
              <w:jc w:val="right"/>
              <w:ind w:right="70"/>
              <w:spacing w:after="0"/>
              <w:rPr>
                <w:sz w:val="20"/>
                <w:szCs w:val="20"/>
                <w:color w:val="auto"/>
              </w:rPr>
            </w:pPr>
            <w:r>
              <w:rPr>
                <w:rFonts w:ascii="Calibri" w:cs="Calibri" w:eastAsia="Calibri" w:hAnsi="Calibri"/>
                <w:sz w:val="18"/>
                <w:szCs w:val="18"/>
                <w:color w:val="231F20"/>
              </w:rPr>
              <w:t>$</w:t>
            </w:r>
          </w:p>
        </w:tc>
        <w:tc>
          <w:tcPr>
            <w:tcW w:w="1100" w:type="dxa"/>
            <w:vAlign w:val="bottom"/>
          </w:tcPr>
          <w:p>
            <w:pPr>
              <w:jc w:val="right"/>
              <w:ind w:right="13"/>
              <w:spacing w:after="0"/>
              <w:rPr>
                <w:sz w:val="20"/>
                <w:szCs w:val="20"/>
                <w:color w:val="auto"/>
              </w:rPr>
            </w:pPr>
            <w:r>
              <w:rPr>
                <w:rFonts w:ascii="Calibri" w:cs="Calibri" w:eastAsia="Calibri" w:hAnsi="Calibri"/>
                <w:sz w:val="18"/>
                <w:szCs w:val="18"/>
                <w:color w:val="231F20"/>
              </w:rPr>
              <w:t>(6,474,391)</w:t>
            </w:r>
          </w:p>
        </w:tc>
        <w:tc>
          <w:tcPr>
            <w:tcW w:w="22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1060" w:type="dxa"/>
            <w:vAlign w:val="bottom"/>
            <w:gridSpan w:val="2"/>
          </w:tcPr>
          <w:p>
            <w:pPr>
              <w:jc w:val="right"/>
              <w:ind w:right="140"/>
              <w:spacing w:after="0"/>
              <w:rPr>
                <w:sz w:val="20"/>
                <w:szCs w:val="20"/>
                <w:color w:val="auto"/>
              </w:rPr>
            </w:pPr>
            <w:r>
              <w:rPr>
                <w:rFonts w:ascii="Calibri" w:cs="Calibri" w:eastAsia="Calibri" w:hAnsi="Calibri"/>
                <w:sz w:val="18"/>
                <w:szCs w:val="18"/>
                <w:color w:val="231F20"/>
              </w:rPr>
              <w:t>(5,213,719)</w:t>
            </w:r>
          </w:p>
        </w:tc>
        <w:tc>
          <w:tcPr>
            <w:tcW w:w="180" w:type="dxa"/>
            <w:vAlign w:val="bottom"/>
          </w:tcPr>
          <w:p>
            <w:pPr>
              <w:jc w:val="right"/>
              <w:ind w:right="20"/>
              <w:spacing w:after="0"/>
              <w:rPr>
                <w:sz w:val="20"/>
                <w:szCs w:val="20"/>
                <w:color w:val="auto"/>
              </w:rPr>
            </w:pPr>
            <w:r>
              <w:rPr>
                <w:rFonts w:ascii="Calibri" w:cs="Calibri" w:eastAsia="Calibri" w:hAnsi="Calibri"/>
                <w:sz w:val="16"/>
                <w:szCs w:val="16"/>
                <w:color w:val="231F20"/>
                <w:w w:val="73"/>
              </w:rPr>
              <w:t>$</w:t>
            </w:r>
          </w:p>
        </w:tc>
        <w:tc>
          <w:tcPr>
            <w:tcW w:w="920" w:type="dxa"/>
            <w:vAlign w:val="bottom"/>
            <w:gridSpan w:val="2"/>
          </w:tcPr>
          <w:p>
            <w:pPr>
              <w:jc w:val="right"/>
              <w:spacing w:after="0"/>
              <w:rPr>
                <w:sz w:val="20"/>
                <w:szCs w:val="20"/>
                <w:color w:val="auto"/>
              </w:rPr>
            </w:pPr>
            <w:r>
              <w:rPr>
                <w:rFonts w:ascii="Calibri" w:cs="Calibri" w:eastAsia="Calibri" w:hAnsi="Calibri"/>
                <w:sz w:val="18"/>
                <w:szCs w:val="18"/>
                <w:color w:val="231F20"/>
              </w:rPr>
              <w:t>(5,830,493)</w:t>
            </w:r>
          </w:p>
        </w:tc>
      </w:tr>
      <w:tr>
        <w:trPr>
          <w:trHeight w:val="46"/>
        </w:trPr>
        <w:tc>
          <w:tcPr>
            <w:tcW w:w="960" w:type="dxa"/>
            <w:vAlign w:val="bottom"/>
          </w:tcPr>
          <w:p>
            <w:pPr>
              <w:spacing w:after="0"/>
              <w:rPr>
                <w:sz w:val="4"/>
                <w:szCs w:val="4"/>
                <w:color w:val="auto"/>
              </w:rPr>
            </w:pPr>
          </w:p>
        </w:tc>
        <w:tc>
          <w:tcPr>
            <w:tcW w:w="4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4"/>
        </w:trPr>
        <w:tc>
          <w:tcPr>
            <w:tcW w:w="5080" w:type="dxa"/>
            <w:vAlign w:val="bottom"/>
            <w:gridSpan w:val="2"/>
            <w:shd w:val="clear" w:color="auto" w:fill="DCDDDE"/>
          </w:tcPr>
          <w:p>
            <w:pPr>
              <w:spacing w:after="0"/>
              <w:rPr>
                <w:sz w:val="20"/>
                <w:szCs w:val="20"/>
                <w:color w:val="auto"/>
              </w:rPr>
            </w:pPr>
            <w:r>
              <w:rPr>
                <w:rFonts w:ascii="Calibri" w:cs="Calibri" w:eastAsia="Calibri" w:hAnsi="Calibri"/>
                <w:sz w:val="18"/>
                <w:szCs w:val="18"/>
                <w:color w:val="231F20"/>
              </w:rPr>
              <w:t>Change Fair Value of Awards Granted in Year and Unvested as of</w:t>
            </w:r>
          </w:p>
        </w:tc>
        <w:tc>
          <w:tcPr>
            <w:tcW w:w="280" w:type="dxa"/>
            <w:vAlign w:val="bottom"/>
            <w:shd w:val="clear" w:color="auto" w:fill="DCDDDE"/>
          </w:tcPr>
          <w:p>
            <w:pPr>
              <w:spacing w:after="0"/>
              <w:rPr>
                <w:sz w:val="22"/>
                <w:szCs w:val="22"/>
                <w:color w:val="auto"/>
              </w:rPr>
            </w:pPr>
          </w:p>
        </w:tc>
        <w:tc>
          <w:tcPr>
            <w:tcW w:w="980" w:type="dxa"/>
            <w:vAlign w:val="bottom"/>
            <w:shd w:val="clear" w:color="auto" w:fill="DCDDDE"/>
          </w:tcPr>
          <w:p>
            <w:pPr>
              <w:spacing w:after="0"/>
              <w:rPr>
                <w:sz w:val="22"/>
                <w:szCs w:val="22"/>
                <w:color w:val="auto"/>
              </w:rPr>
            </w:pPr>
          </w:p>
        </w:tc>
        <w:tc>
          <w:tcPr>
            <w:tcW w:w="320" w:type="dxa"/>
            <w:vAlign w:val="bottom"/>
            <w:shd w:val="clear" w:color="auto" w:fill="DCDDDE"/>
          </w:tcPr>
          <w:p>
            <w:pPr>
              <w:spacing w:after="0"/>
              <w:rPr>
                <w:sz w:val="22"/>
                <w:szCs w:val="22"/>
                <w:color w:val="auto"/>
              </w:rPr>
            </w:pPr>
          </w:p>
        </w:tc>
        <w:tc>
          <w:tcPr>
            <w:tcW w:w="1100" w:type="dxa"/>
            <w:vAlign w:val="bottom"/>
            <w:shd w:val="clear" w:color="auto" w:fill="DCDDDE"/>
          </w:tcPr>
          <w:p>
            <w:pPr>
              <w:spacing w:after="0"/>
              <w:rPr>
                <w:sz w:val="22"/>
                <w:szCs w:val="22"/>
                <w:color w:val="auto"/>
              </w:rPr>
            </w:pPr>
          </w:p>
        </w:tc>
        <w:tc>
          <w:tcPr>
            <w:tcW w:w="220" w:type="dxa"/>
            <w:vAlign w:val="bottom"/>
            <w:shd w:val="clear" w:color="auto" w:fill="DCDDDE"/>
          </w:tcPr>
          <w:p>
            <w:pPr>
              <w:spacing w:after="0"/>
              <w:rPr>
                <w:sz w:val="22"/>
                <w:szCs w:val="22"/>
                <w:color w:val="auto"/>
              </w:rPr>
            </w:pPr>
          </w:p>
        </w:tc>
        <w:tc>
          <w:tcPr>
            <w:tcW w:w="860" w:type="dxa"/>
            <w:vAlign w:val="bottom"/>
            <w:shd w:val="clear" w:color="auto" w:fill="DCDDDE"/>
          </w:tcPr>
          <w:p>
            <w:pPr>
              <w:spacing w:after="0"/>
              <w:rPr>
                <w:sz w:val="22"/>
                <w:szCs w:val="22"/>
                <w:color w:val="auto"/>
              </w:rPr>
            </w:pPr>
          </w:p>
        </w:tc>
        <w:tc>
          <w:tcPr>
            <w:tcW w:w="200" w:type="dxa"/>
            <w:vAlign w:val="bottom"/>
            <w:shd w:val="clear" w:color="auto" w:fill="DCDDDE"/>
          </w:tcPr>
          <w:p>
            <w:pPr>
              <w:spacing w:after="0"/>
              <w:rPr>
                <w:sz w:val="22"/>
                <w:szCs w:val="22"/>
                <w:color w:val="auto"/>
              </w:rPr>
            </w:pPr>
          </w:p>
        </w:tc>
        <w:tc>
          <w:tcPr>
            <w:tcW w:w="180" w:type="dxa"/>
            <w:vAlign w:val="bottom"/>
            <w:shd w:val="clear" w:color="auto" w:fill="DCDDDE"/>
          </w:tcPr>
          <w:p>
            <w:pPr>
              <w:spacing w:after="0"/>
              <w:rPr>
                <w:sz w:val="22"/>
                <w:szCs w:val="22"/>
                <w:color w:val="auto"/>
              </w:rPr>
            </w:pPr>
          </w:p>
        </w:tc>
        <w:tc>
          <w:tcPr>
            <w:tcW w:w="860" w:type="dxa"/>
            <w:vAlign w:val="bottom"/>
            <w:shd w:val="clear" w:color="auto" w:fill="DCDDDE"/>
          </w:tcPr>
          <w:p>
            <w:pPr>
              <w:spacing w:after="0"/>
              <w:rPr>
                <w:sz w:val="22"/>
                <w:szCs w:val="22"/>
                <w:color w:val="auto"/>
              </w:rPr>
            </w:pPr>
          </w:p>
        </w:tc>
        <w:tc>
          <w:tcPr>
            <w:tcW w:w="60" w:type="dxa"/>
            <w:vAlign w:val="bottom"/>
          </w:tcPr>
          <w:p>
            <w:pPr>
              <w:spacing w:after="0"/>
              <w:rPr>
                <w:sz w:val="22"/>
                <w:szCs w:val="22"/>
                <w:color w:val="auto"/>
              </w:rPr>
            </w:pPr>
          </w:p>
        </w:tc>
      </w:tr>
      <w:tr>
        <w:trPr>
          <w:trHeight w:val="246"/>
        </w:trPr>
        <w:tc>
          <w:tcPr>
            <w:tcW w:w="5080" w:type="dxa"/>
            <w:vAlign w:val="bottom"/>
            <w:tcBorders>
              <w:bottom w:val="single" w:sz="8" w:color="DCDDDE"/>
            </w:tcBorders>
            <w:gridSpan w:val="2"/>
            <w:shd w:val="clear" w:color="auto" w:fill="DCDDDE"/>
          </w:tcPr>
          <w:p>
            <w:pPr>
              <w:ind w:left="180"/>
              <w:spacing w:after="0"/>
              <w:rPr>
                <w:sz w:val="20"/>
                <w:szCs w:val="20"/>
                <w:color w:val="auto"/>
              </w:rPr>
            </w:pPr>
            <w:r>
              <w:rPr>
                <w:rFonts w:ascii="Calibri" w:cs="Calibri" w:eastAsia="Calibri" w:hAnsi="Calibri"/>
                <w:sz w:val="18"/>
                <w:szCs w:val="18"/>
                <w:color w:val="231F20"/>
              </w:rPr>
              <w:t>Year-End</w:t>
            </w:r>
          </w:p>
        </w:tc>
        <w:tc>
          <w:tcPr>
            <w:tcW w:w="28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6,203,610</w:t>
            </w:r>
          </w:p>
        </w:tc>
        <w:tc>
          <w:tcPr>
            <w:tcW w:w="320" w:type="dxa"/>
            <w:vAlign w:val="bottom"/>
            <w:tcBorders>
              <w:bottom w:val="single" w:sz="8" w:color="DCDDDE"/>
            </w:tcBorders>
            <w:shd w:val="clear" w:color="auto" w:fill="DCDDDE"/>
          </w:tcPr>
          <w:p>
            <w:pPr>
              <w:jc w:val="right"/>
              <w:ind w:right="70"/>
              <w:spacing w:after="0"/>
              <w:rPr>
                <w:sz w:val="20"/>
                <w:szCs w:val="20"/>
                <w:color w:val="auto"/>
              </w:rPr>
            </w:pPr>
            <w:r>
              <w:rPr>
                <w:rFonts w:ascii="Calibri" w:cs="Calibri" w:eastAsia="Calibri" w:hAnsi="Calibri"/>
                <w:sz w:val="18"/>
                <w:szCs w:val="18"/>
                <w:color w:val="231F20"/>
              </w:rPr>
              <w:t>$</w:t>
            </w:r>
          </w:p>
        </w:tc>
        <w:tc>
          <w:tcPr>
            <w:tcW w:w="1100" w:type="dxa"/>
            <w:vAlign w:val="bottom"/>
            <w:tcBorders>
              <w:bottom w:val="single" w:sz="8" w:color="DCDDDE"/>
            </w:tcBorders>
            <w:shd w:val="clear" w:color="auto" w:fill="DCDDDE"/>
          </w:tcPr>
          <w:p>
            <w:pPr>
              <w:jc w:val="right"/>
              <w:ind w:right="73"/>
              <w:spacing w:after="0"/>
              <w:rPr>
                <w:sz w:val="20"/>
                <w:szCs w:val="20"/>
                <w:color w:val="auto"/>
              </w:rPr>
            </w:pPr>
            <w:r>
              <w:rPr>
                <w:rFonts w:ascii="Calibri" w:cs="Calibri" w:eastAsia="Calibri" w:hAnsi="Calibri"/>
                <w:sz w:val="18"/>
                <w:szCs w:val="18"/>
                <w:color w:val="231F20"/>
              </w:rPr>
              <w:t>5,171,732</w:t>
            </w:r>
          </w:p>
        </w:tc>
        <w:tc>
          <w:tcPr>
            <w:tcW w:w="22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1060" w:type="dxa"/>
            <w:vAlign w:val="bottom"/>
            <w:tcBorders>
              <w:bottom w:val="single" w:sz="8" w:color="DCDDDE"/>
            </w:tcBorders>
            <w:gridSpan w:val="2"/>
            <w:shd w:val="clear" w:color="auto" w:fill="DCDDDE"/>
          </w:tcPr>
          <w:p>
            <w:pPr>
              <w:jc w:val="right"/>
              <w:ind w:right="200"/>
              <w:spacing w:after="0"/>
              <w:rPr>
                <w:sz w:val="20"/>
                <w:szCs w:val="20"/>
                <w:color w:val="auto"/>
              </w:rPr>
            </w:pPr>
            <w:r>
              <w:rPr>
                <w:rFonts w:ascii="Calibri" w:cs="Calibri" w:eastAsia="Calibri" w:hAnsi="Calibri"/>
                <w:sz w:val="18"/>
                <w:szCs w:val="18"/>
                <w:color w:val="231F20"/>
              </w:rPr>
              <w:t>7,421,261</w:t>
            </w:r>
          </w:p>
        </w:tc>
        <w:tc>
          <w:tcPr>
            <w:tcW w:w="180" w:type="dxa"/>
            <w:vAlign w:val="bottom"/>
            <w:tcBorders>
              <w:bottom w:val="single" w:sz="8" w:color="DCDDDE"/>
            </w:tcBorders>
            <w:shd w:val="clear" w:color="auto" w:fill="DCDDDE"/>
          </w:tcPr>
          <w:p>
            <w:pPr>
              <w:jc w:val="right"/>
              <w:ind w:right="20"/>
              <w:spacing w:after="0"/>
              <w:rPr>
                <w:sz w:val="20"/>
                <w:szCs w:val="20"/>
                <w:color w:val="auto"/>
              </w:rPr>
            </w:pPr>
            <w:r>
              <w:rPr>
                <w:rFonts w:ascii="Calibri" w:cs="Calibri" w:eastAsia="Calibri" w:hAnsi="Calibri"/>
                <w:sz w:val="16"/>
                <w:szCs w:val="16"/>
                <w:color w:val="231F20"/>
                <w:w w:val="73"/>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3,899,517</w:t>
            </w:r>
          </w:p>
        </w:tc>
        <w:tc>
          <w:tcPr>
            <w:tcW w:w="60" w:type="dxa"/>
            <w:vAlign w:val="bottom"/>
          </w:tcPr>
          <w:p>
            <w:pPr>
              <w:spacing w:after="0"/>
              <w:rPr>
                <w:sz w:val="21"/>
                <w:szCs w:val="21"/>
                <w:color w:val="auto"/>
              </w:rPr>
            </w:pPr>
          </w:p>
        </w:tc>
      </w:tr>
      <w:tr>
        <w:trPr>
          <w:trHeight w:val="254"/>
        </w:trPr>
        <w:tc>
          <w:tcPr>
            <w:tcW w:w="5080" w:type="dxa"/>
            <w:vAlign w:val="bottom"/>
            <w:gridSpan w:val="2"/>
          </w:tcPr>
          <w:p>
            <w:pPr>
              <w:spacing w:after="0"/>
              <w:rPr>
                <w:sz w:val="20"/>
                <w:szCs w:val="20"/>
                <w:color w:val="auto"/>
              </w:rPr>
            </w:pPr>
            <w:r>
              <w:rPr>
                <w:rFonts w:ascii="Calibri" w:cs="Calibri" w:eastAsia="Calibri" w:hAnsi="Calibri"/>
                <w:sz w:val="18"/>
                <w:szCs w:val="18"/>
                <w:color w:val="231F20"/>
              </w:rPr>
              <w:t>Change in Fair Value from Prior Year-End to Current Year-End of</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5080" w:type="dxa"/>
            <w:vAlign w:val="bottom"/>
            <w:gridSpan w:val="2"/>
          </w:tcPr>
          <w:p>
            <w:pPr>
              <w:ind w:left="180"/>
              <w:spacing w:after="0"/>
              <w:rPr>
                <w:sz w:val="20"/>
                <w:szCs w:val="20"/>
                <w:color w:val="auto"/>
              </w:rPr>
            </w:pPr>
            <w:r>
              <w:rPr>
                <w:rFonts w:ascii="Calibri" w:cs="Calibri" w:eastAsia="Calibri" w:hAnsi="Calibri"/>
                <w:sz w:val="18"/>
                <w:szCs w:val="18"/>
                <w:color w:val="231F20"/>
              </w:rPr>
              <w:t>Awards Granted Prior to Year that were Outstanding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080" w:type="dxa"/>
            <w:vAlign w:val="bottom"/>
            <w:gridSpan w:val="2"/>
          </w:tcPr>
          <w:p>
            <w:pPr>
              <w:ind w:left="180"/>
              <w:spacing w:after="0"/>
              <w:rPr>
                <w:sz w:val="20"/>
                <w:szCs w:val="20"/>
                <w:color w:val="auto"/>
              </w:rPr>
            </w:pPr>
            <w:r>
              <w:rPr>
                <w:rFonts w:ascii="Calibri" w:cs="Calibri" w:eastAsia="Calibri" w:hAnsi="Calibri"/>
                <w:sz w:val="18"/>
                <w:szCs w:val="18"/>
                <w:color w:val="231F20"/>
              </w:rPr>
              <w:t>Unvested as of Year-End</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31"/>
              <w:spacing w:after="0"/>
              <w:rPr>
                <w:sz w:val="20"/>
                <w:szCs w:val="20"/>
                <w:color w:val="auto"/>
              </w:rPr>
            </w:pPr>
            <w:r>
              <w:rPr>
                <w:rFonts w:ascii="Calibri" w:cs="Calibri" w:eastAsia="Calibri" w:hAnsi="Calibri"/>
                <w:sz w:val="18"/>
                <w:szCs w:val="18"/>
                <w:color w:val="231F20"/>
              </w:rPr>
              <w:t>406,886</w:t>
            </w:r>
          </w:p>
        </w:tc>
        <w:tc>
          <w:tcPr>
            <w:tcW w:w="320" w:type="dxa"/>
            <w:vAlign w:val="bottom"/>
          </w:tcPr>
          <w:p>
            <w:pPr>
              <w:jc w:val="right"/>
              <w:ind w:right="70"/>
              <w:spacing w:after="0"/>
              <w:rPr>
                <w:sz w:val="20"/>
                <w:szCs w:val="20"/>
                <w:color w:val="auto"/>
              </w:rPr>
            </w:pPr>
            <w:r>
              <w:rPr>
                <w:rFonts w:ascii="Calibri" w:cs="Calibri" w:eastAsia="Calibri" w:hAnsi="Calibri"/>
                <w:sz w:val="18"/>
                <w:szCs w:val="18"/>
                <w:color w:val="231F20"/>
              </w:rPr>
              <w:t>$</w:t>
            </w:r>
          </w:p>
        </w:tc>
        <w:tc>
          <w:tcPr>
            <w:tcW w:w="1100" w:type="dxa"/>
            <w:vAlign w:val="bottom"/>
          </w:tcPr>
          <w:p>
            <w:pPr>
              <w:jc w:val="right"/>
              <w:ind w:right="13"/>
              <w:spacing w:after="0"/>
              <w:rPr>
                <w:sz w:val="20"/>
                <w:szCs w:val="20"/>
                <w:color w:val="auto"/>
              </w:rPr>
            </w:pPr>
            <w:r>
              <w:rPr>
                <w:rFonts w:ascii="Calibri" w:cs="Calibri" w:eastAsia="Calibri" w:hAnsi="Calibri"/>
                <w:sz w:val="18"/>
                <w:szCs w:val="18"/>
                <w:color w:val="231F20"/>
              </w:rPr>
              <w:t>(1,546,034)</w:t>
            </w:r>
          </w:p>
        </w:tc>
        <w:tc>
          <w:tcPr>
            <w:tcW w:w="22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1060" w:type="dxa"/>
            <w:vAlign w:val="bottom"/>
            <w:gridSpan w:val="2"/>
          </w:tcPr>
          <w:p>
            <w:pPr>
              <w:jc w:val="right"/>
              <w:ind w:right="200"/>
              <w:spacing w:after="0"/>
              <w:rPr>
                <w:sz w:val="20"/>
                <w:szCs w:val="20"/>
                <w:color w:val="auto"/>
              </w:rPr>
            </w:pPr>
            <w:r>
              <w:rPr>
                <w:rFonts w:ascii="Calibri" w:cs="Calibri" w:eastAsia="Calibri" w:hAnsi="Calibri"/>
                <w:sz w:val="18"/>
                <w:szCs w:val="18"/>
                <w:color w:val="231F20"/>
              </w:rPr>
              <w:t>4,544,000</w:t>
            </w:r>
          </w:p>
        </w:tc>
        <w:tc>
          <w:tcPr>
            <w:tcW w:w="180" w:type="dxa"/>
            <w:vAlign w:val="bottom"/>
          </w:tcPr>
          <w:p>
            <w:pPr>
              <w:jc w:val="right"/>
              <w:ind w:right="20"/>
              <w:spacing w:after="0"/>
              <w:rPr>
                <w:sz w:val="20"/>
                <w:szCs w:val="20"/>
                <w:color w:val="auto"/>
              </w:rPr>
            </w:pPr>
            <w:r>
              <w:rPr>
                <w:rFonts w:ascii="Calibri" w:cs="Calibri" w:eastAsia="Calibri" w:hAnsi="Calibri"/>
                <w:sz w:val="16"/>
                <w:szCs w:val="16"/>
                <w:color w:val="231F20"/>
                <w:w w:val="73"/>
              </w:rPr>
              <w:t>$</w:t>
            </w:r>
          </w:p>
        </w:tc>
        <w:tc>
          <w:tcPr>
            <w:tcW w:w="920" w:type="dxa"/>
            <w:vAlign w:val="bottom"/>
            <w:gridSpan w:val="2"/>
          </w:tcPr>
          <w:p>
            <w:pPr>
              <w:jc w:val="right"/>
              <w:spacing w:after="0"/>
              <w:rPr>
                <w:sz w:val="20"/>
                <w:szCs w:val="20"/>
                <w:color w:val="auto"/>
              </w:rPr>
            </w:pPr>
            <w:r>
              <w:rPr>
                <w:rFonts w:ascii="Calibri" w:cs="Calibri" w:eastAsia="Calibri" w:hAnsi="Calibri"/>
                <w:sz w:val="18"/>
                <w:szCs w:val="18"/>
                <w:color w:val="231F20"/>
              </w:rPr>
              <w:t>(3,866,637)</w:t>
            </w:r>
          </w:p>
        </w:tc>
      </w:tr>
      <w:tr>
        <w:trPr>
          <w:trHeight w:val="46"/>
        </w:trPr>
        <w:tc>
          <w:tcPr>
            <w:tcW w:w="960" w:type="dxa"/>
            <w:vAlign w:val="bottom"/>
          </w:tcPr>
          <w:p>
            <w:pPr>
              <w:spacing w:after="0"/>
              <w:rPr>
                <w:sz w:val="4"/>
                <w:szCs w:val="4"/>
                <w:color w:val="auto"/>
              </w:rPr>
            </w:pPr>
          </w:p>
        </w:tc>
        <w:tc>
          <w:tcPr>
            <w:tcW w:w="4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4"/>
        </w:trPr>
        <w:tc>
          <w:tcPr>
            <w:tcW w:w="5080" w:type="dxa"/>
            <w:vAlign w:val="bottom"/>
            <w:gridSpan w:val="2"/>
            <w:shd w:val="clear" w:color="auto" w:fill="DCDDDE"/>
          </w:tcPr>
          <w:p>
            <w:pPr>
              <w:spacing w:after="0"/>
              <w:rPr>
                <w:sz w:val="20"/>
                <w:szCs w:val="20"/>
                <w:color w:val="auto"/>
              </w:rPr>
            </w:pPr>
            <w:r>
              <w:rPr>
                <w:rFonts w:ascii="Calibri" w:cs="Calibri" w:eastAsia="Calibri" w:hAnsi="Calibri"/>
                <w:sz w:val="18"/>
                <w:szCs w:val="18"/>
                <w:color w:val="231F20"/>
              </w:rPr>
              <w:t>Change in Fair Value from Prior Year-End to Vesting Date of</w:t>
            </w:r>
          </w:p>
        </w:tc>
        <w:tc>
          <w:tcPr>
            <w:tcW w:w="280" w:type="dxa"/>
            <w:vAlign w:val="bottom"/>
            <w:shd w:val="clear" w:color="auto" w:fill="DCDDDE"/>
          </w:tcPr>
          <w:p>
            <w:pPr>
              <w:spacing w:after="0"/>
              <w:rPr>
                <w:sz w:val="22"/>
                <w:szCs w:val="22"/>
                <w:color w:val="auto"/>
              </w:rPr>
            </w:pPr>
          </w:p>
        </w:tc>
        <w:tc>
          <w:tcPr>
            <w:tcW w:w="980" w:type="dxa"/>
            <w:vAlign w:val="bottom"/>
            <w:shd w:val="clear" w:color="auto" w:fill="DCDDDE"/>
          </w:tcPr>
          <w:p>
            <w:pPr>
              <w:spacing w:after="0"/>
              <w:rPr>
                <w:sz w:val="22"/>
                <w:szCs w:val="22"/>
                <w:color w:val="auto"/>
              </w:rPr>
            </w:pPr>
          </w:p>
        </w:tc>
        <w:tc>
          <w:tcPr>
            <w:tcW w:w="320" w:type="dxa"/>
            <w:vAlign w:val="bottom"/>
            <w:shd w:val="clear" w:color="auto" w:fill="DCDDDE"/>
          </w:tcPr>
          <w:p>
            <w:pPr>
              <w:spacing w:after="0"/>
              <w:rPr>
                <w:sz w:val="22"/>
                <w:szCs w:val="22"/>
                <w:color w:val="auto"/>
              </w:rPr>
            </w:pPr>
          </w:p>
        </w:tc>
        <w:tc>
          <w:tcPr>
            <w:tcW w:w="1100" w:type="dxa"/>
            <w:vAlign w:val="bottom"/>
            <w:shd w:val="clear" w:color="auto" w:fill="DCDDDE"/>
          </w:tcPr>
          <w:p>
            <w:pPr>
              <w:spacing w:after="0"/>
              <w:rPr>
                <w:sz w:val="22"/>
                <w:szCs w:val="22"/>
                <w:color w:val="auto"/>
              </w:rPr>
            </w:pPr>
          </w:p>
        </w:tc>
        <w:tc>
          <w:tcPr>
            <w:tcW w:w="220" w:type="dxa"/>
            <w:vAlign w:val="bottom"/>
            <w:shd w:val="clear" w:color="auto" w:fill="DCDDDE"/>
          </w:tcPr>
          <w:p>
            <w:pPr>
              <w:spacing w:after="0"/>
              <w:rPr>
                <w:sz w:val="22"/>
                <w:szCs w:val="22"/>
                <w:color w:val="auto"/>
              </w:rPr>
            </w:pPr>
          </w:p>
        </w:tc>
        <w:tc>
          <w:tcPr>
            <w:tcW w:w="860" w:type="dxa"/>
            <w:vAlign w:val="bottom"/>
            <w:shd w:val="clear" w:color="auto" w:fill="DCDDDE"/>
          </w:tcPr>
          <w:p>
            <w:pPr>
              <w:spacing w:after="0"/>
              <w:rPr>
                <w:sz w:val="22"/>
                <w:szCs w:val="22"/>
                <w:color w:val="auto"/>
              </w:rPr>
            </w:pPr>
          </w:p>
        </w:tc>
        <w:tc>
          <w:tcPr>
            <w:tcW w:w="200" w:type="dxa"/>
            <w:vAlign w:val="bottom"/>
            <w:shd w:val="clear" w:color="auto" w:fill="DCDDDE"/>
          </w:tcPr>
          <w:p>
            <w:pPr>
              <w:spacing w:after="0"/>
              <w:rPr>
                <w:sz w:val="22"/>
                <w:szCs w:val="22"/>
                <w:color w:val="auto"/>
              </w:rPr>
            </w:pPr>
          </w:p>
        </w:tc>
        <w:tc>
          <w:tcPr>
            <w:tcW w:w="180" w:type="dxa"/>
            <w:vAlign w:val="bottom"/>
            <w:shd w:val="clear" w:color="auto" w:fill="DCDDDE"/>
          </w:tcPr>
          <w:p>
            <w:pPr>
              <w:spacing w:after="0"/>
              <w:rPr>
                <w:sz w:val="22"/>
                <w:szCs w:val="22"/>
                <w:color w:val="auto"/>
              </w:rPr>
            </w:pPr>
          </w:p>
        </w:tc>
        <w:tc>
          <w:tcPr>
            <w:tcW w:w="860" w:type="dxa"/>
            <w:vAlign w:val="bottom"/>
            <w:shd w:val="clear" w:color="auto" w:fill="DCDDDE"/>
          </w:tcPr>
          <w:p>
            <w:pPr>
              <w:spacing w:after="0"/>
              <w:rPr>
                <w:sz w:val="22"/>
                <w:szCs w:val="22"/>
                <w:color w:val="auto"/>
              </w:rPr>
            </w:pPr>
          </w:p>
        </w:tc>
        <w:tc>
          <w:tcPr>
            <w:tcW w:w="60" w:type="dxa"/>
            <w:vAlign w:val="bottom"/>
          </w:tcPr>
          <w:p>
            <w:pPr>
              <w:spacing w:after="0"/>
              <w:rPr>
                <w:sz w:val="22"/>
                <w:szCs w:val="22"/>
                <w:color w:val="auto"/>
              </w:rPr>
            </w:pPr>
          </w:p>
        </w:tc>
      </w:tr>
      <w:tr>
        <w:trPr>
          <w:trHeight w:val="246"/>
        </w:trPr>
        <w:tc>
          <w:tcPr>
            <w:tcW w:w="5080" w:type="dxa"/>
            <w:vAlign w:val="bottom"/>
            <w:tcBorders>
              <w:bottom w:val="single" w:sz="8" w:color="DCDDDE"/>
            </w:tcBorders>
            <w:gridSpan w:val="2"/>
            <w:shd w:val="clear" w:color="auto" w:fill="DCDDDE"/>
          </w:tcPr>
          <w:p>
            <w:pPr>
              <w:ind w:left="180"/>
              <w:spacing w:after="0"/>
              <w:rPr>
                <w:sz w:val="20"/>
                <w:szCs w:val="20"/>
                <w:color w:val="auto"/>
              </w:rPr>
            </w:pPr>
            <w:r>
              <w:rPr>
                <w:rFonts w:ascii="Calibri" w:cs="Calibri" w:eastAsia="Calibri" w:hAnsi="Calibri"/>
                <w:sz w:val="18"/>
                <w:szCs w:val="18"/>
                <w:color w:val="231F20"/>
              </w:rPr>
              <w:t>Awards Granted Prior to Year that Vested During Year</w:t>
            </w:r>
          </w:p>
        </w:tc>
        <w:tc>
          <w:tcPr>
            <w:tcW w:w="28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449,965</w:t>
            </w:r>
          </w:p>
        </w:tc>
        <w:tc>
          <w:tcPr>
            <w:tcW w:w="320" w:type="dxa"/>
            <w:vAlign w:val="bottom"/>
            <w:tcBorders>
              <w:bottom w:val="single" w:sz="8" w:color="DCDDDE"/>
            </w:tcBorders>
            <w:shd w:val="clear" w:color="auto" w:fill="DCDDDE"/>
          </w:tcPr>
          <w:p>
            <w:pPr>
              <w:jc w:val="right"/>
              <w:ind w:right="70"/>
              <w:spacing w:after="0"/>
              <w:rPr>
                <w:sz w:val="20"/>
                <w:szCs w:val="20"/>
                <w:color w:val="auto"/>
              </w:rPr>
            </w:pPr>
            <w:r>
              <w:rPr>
                <w:rFonts w:ascii="Calibri" w:cs="Calibri" w:eastAsia="Calibri" w:hAnsi="Calibri"/>
                <w:sz w:val="18"/>
                <w:szCs w:val="18"/>
                <w:color w:val="231F20"/>
              </w:rPr>
              <w:t>$</w:t>
            </w:r>
          </w:p>
        </w:tc>
        <w:tc>
          <w:tcPr>
            <w:tcW w:w="1100" w:type="dxa"/>
            <w:vAlign w:val="bottom"/>
            <w:tcBorders>
              <w:bottom w:val="single" w:sz="8" w:color="DCDDDE"/>
            </w:tcBorders>
            <w:shd w:val="clear" w:color="auto" w:fill="DCDDDE"/>
          </w:tcPr>
          <w:p>
            <w:pPr>
              <w:jc w:val="right"/>
              <w:ind w:right="73"/>
              <w:spacing w:after="0"/>
              <w:rPr>
                <w:sz w:val="20"/>
                <w:szCs w:val="20"/>
                <w:color w:val="auto"/>
              </w:rPr>
            </w:pPr>
            <w:r>
              <w:rPr>
                <w:rFonts w:ascii="Calibri" w:cs="Calibri" w:eastAsia="Calibri" w:hAnsi="Calibri"/>
                <w:sz w:val="18"/>
                <w:szCs w:val="18"/>
                <w:color w:val="231F20"/>
              </w:rPr>
              <w:t>66,969</w:t>
            </w:r>
          </w:p>
        </w:tc>
        <w:tc>
          <w:tcPr>
            <w:tcW w:w="22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1060" w:type="dxa"/>
            <w:vAlign w:val="bottom"/>
            <w:tcBorders>
              <w:bottom w:val="single" w:sz="8" w:color="DCDDDE"/>
            </w:tcBorders>
            <w:gridSpan w:val="2"/>
            <w:shd w:val="clear" w:color="auto" w:fill="DCDDDE"/>
          </w:tcPr>
          <w:p>
            <w:pPr>
              <w:jc w:val="right"/>
              <w:ind w:right="200"/>
              <w:spacing w:after="0"/>
              <w:rPr>
                <w:sz w:val="20"/>
                <w:szCs w:val="20"/>
                <w:color w:val="auto"/>
              </w:rPr>
            </w:pPr>
            <w:r>
              <w:rPr>
                <w:rFonts w:ascii="Calibri" w:cs="Calibri" w:eastAsia="Calibri" w:hAnsi="Calibri"/>
                <w:sz w:val="18"/>
                <w:szCs w:val="18"/>
                <w:color w:val="231F20"/>
              </w:rPr>
              <w:t>765,243</w:t>
            </w:r>
          </w:p>
        </w:tc>
        <w:tc>
          <w:tcPr>
            <w:tcW w:w="180" w:type="dxa"/>
            <w:vAlign w:val="bottom"/>
            <w:tcBorders>
              <w:bottom w:val="single" w:sz="8" w:color="DCDDDE"/>
            </w:tcBorders>
            <w:shd w:val="clear" w:color="auto" w:fill="DCDDDE"/>
          </w:tcPr>
          <w:p>
            <w:pPr>
              <w:jc w:val="right"/>
              <w:ind w:right="20"/>
              <w:spacing w:after="0"/>
              <w:rPr>
                <w:sz w:val="20"/>
                <w:szCs w:val="20"/>
                <w:color w:val="auto"/>
              </w:rPr>
            </w:pPr>
            <w:r>
              <w:rPr>
                <w:rFonts w:ascii="Calibri" w:cs="Calibri" w:eastAsia="Calibri" w:hAnsi="Calibri"/>
                <w:sz w:val="16"/>
                <w:szCs w:val="16"/>
                <w:color w:val="231F20"/>
                <w:w w:val="73"/>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(223,600)</w:t>
            </w:r>
          </w:p>
        </w:tc>
        <w:tc>
          <w:tcPr>
            <w:tcW w:w="60" w:type="dxa"/>
            <w:vAlign w:val="bottom"/>
          </w:tcPr>
          <w:p>
            <w:pPr>
              <w:spacing w:after="0"/>
              <w:rPr>
                <w:sz w:val="21"/>
                <w:szCs w:val="21"/>
                <w:color w:val="auto"/>
              </w:rPr>
            </w:pPr>
          </w:p>
        </w:tc>
      </w:tr>
      <w:tr>
        <w:trPr>
          <w:trHeight w:val="254"/>
        </w:trPr>
        <w:tc>
          <w:tcPr>
            <w:tcW w:w="5080" w:type="dxa"/>
            <w:vAlign w:val="bottom"/>
            <w:gridSpan w:val="2"/>
          </w:tcPr>
          <w:p>
            <w:pPr>
              <w:spacing w:after="0"/>
              <w:rPr>
                <w:sz w:val="20"/>
                <w:szCs w:val="20"/>
                <w:color w:val="auto"/>
              </w:rPr>
            </w:pPr>
            <w:r>
              <w:rPr>
                <w:rFonts w:ascii="Calibri" w:cs="Calibri" w:eastAsia="Calibri" w:hAnsi="Calibri"/>
                <w:sz w:val="18"/>
                <w:szCs w:val="18"/>
                <w:color w:val="231F20"/>
              </w:rPr>
              <w:t>Increase based on Dividends or Other Earnings Paid During Year</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5080" w:type="dxa"/>
            <w:vAlign w:val="bottom"/>
            <w:gridSpan w:val="2"/>
          </w:tcPr>
          <w:p>
            <w:pPr>
              <w:ind w:left="180"/>
              <w:spacing w:after="0"/>
              <w:rPr>
                <w:sz w:val="20"/>
                <w:szCs w:val="20"/>
                <w:color w:val="auto"/>
              </w:rPr>
            </w:pPr>
            <w:r>
              <w:rPr>
                <w:rFonts w:ascii="Calibri" w:cs="Calibri" w:eastAsia="Calibri" w:hAnsi="Calibri"/>
                <w:sz w:val="18"/>
                <w:szCs w:val="18"/>
                <w:color w:val="231F20"/>
              </w:rPr>
              <w:t>prior to Vesting Date of Award</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31"/>
              <w:spacing w:after="0"/>
              <w:rPr>
                <w:sz w:val="20"/>
                <w:szCs w:val="20"/>
                <w:color w:val="auto"/>
              </w:rPr>
            </w:pPr>
            <w:r>
              <w:rPr>
                <w:rFonts w:ascii="Calibri" w:cs="Calibri" w:eastAsia="Calibri" w:hAnsi="Calibri"/>
                <w:sz w:val="18"/>
                <w:szCs w:val="18"/>
                <w:color w:val="231F20"/>
              </w:rPr>
              <w:t>472,866</w:t>
            </w:r>
          </w:p>
        </w:tc>
        <w:tc>
          <w:tcPr>
            <w:tcW w:w="320" w:type="dxa"/>
            <w:vAlign w:val="bottom"/>
          </w:tcPr>
          <w:p>
            <w:pPr>
              <w:jc w:val="right"/>
              <w:ind w:right="70"/>
              <w:spacing w:after="0"/>
              <w:rPr>
                <w:sz w:val="20"/>
                <w:szCs w:val="20"/>
                <w:color w:val="auto"/>
              </w:rPr>
            </w:pPr>
            <w:r>
              <w:rPr>
                <w:rFonts w:ascii="Calibri" w:cs="Calibri" w:eastAsia="Calibri" w:hAnsi="Calibri"/>
                <w:sz w:val="18"/>
                <w:szCs w:val="18"/>
                <w:color w:val="231F20"/>
              </w:rPr>
              <w:t>$</w:t>
            </w:r>
          </w:p>
        </w:tc>
        <w:tc>
          <w:tcPr>
            <w:tcW w:w="1100" w:type="dxa"/>
            <w:vAlign w:val="bottom"/>
          </w:tcPr>
          <w:p>
            <w:pPr>
              <w:jc w:val="right"/>
              <w:ind w:right="73"/>
              <w:spacing w:after="0"/>
              <w:rPr>
                <w:sz w:val="20"/>
                <w:szCs w:val="20"/>
                <w:color w:val="auto"/>
              </w:rPr>
            </w:pPr>
            <w:r>
              <w:rPr>
                <w:rFonts w:ascii="Calibri" w:cs="Calibri" w:eastAsia="Calibri" w:hAnsi="Calibri"/>
                <w:sz w:val="18"/>
                <w:szCs w:val="18"/>
                <w:color w:val="231F20"/>
              </w:rPr>
              <w:t>436,488</w:t>
            </w:r>
          </w:p>
        </w:tc>
        <w:tc>
          <w:tcPr>
            <w:tcW w:w="22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1060" w:type="dxa"/>
            <w:vAlign w:val="bottom"/>
            <w:gridSpan w:val="2"/>
          </w:tcPr>
          <w:p>
            <w:pPr>
              <w:jc w:val="right"/>
              <w:ind w:right="200"/>
              <w:spacing w:after="0"/>
              <w:rPr>
                <w:sz w:val="20"/>
                <w:szCs w:val="20"/>
                <w:color w:val="auto"/>
              </w:rPr>
            </w:pPr>
            <w:r>
              <w:rPr>
                <w:rFonts w:ascii="Calibri" w:cs="Calibri" w:eastAsia="Calibri" w:hAnsi="Calibri"/>
                <w:sz w:val="18"/>
                <w:szCs w:val="18"/>
                <w:color w:val="231F20"/>
              </w:rPr>
              <w:t>409,008</w:t>
            </w:r>
          </w:p>
        </w:tc>
        <w:tc>
          <w:tcPr>
            <w:tcW w:w="180" w:type="dxa"/>
            <w:vAlign w:val="bottom"/>
          </w:tcPr>
          <w:p>
            <w:pPr>
              <w:jc w:val="right"/>
              <w:ind w:right="20"/>
              <w:spacing w:after="0"/>
              <w:rPr>
                <w:sz w:val="20"/>
                <w:szCs w:val="20"/>
                <w:color w:val="auto"/>
              </w:rPr>
            </w:pPr>
            <w:r>
              <w:rPr>
                <w:rFonts w:ascii="Calibri" w:cs="Calibri" w:eastAsia="Calibri" w:hAnsi="Calibri"/>
                <w:sz w:val="16"/>
                <w:szCs w:val="16"/>
                <w:color w:val="231F20"/>
                <w:w w:val="73"/>
              </w:rPr>
              <w:t>$</w:t>
            </w:r>
          </w:p>
        </w:tc>
        <w:tc>
          <w:tcPr>
            <w:tcW w:w="920" w:type="dxa"/>
            <w:vAlign w:val="bottom"/>
            <w:gridSpan w:val="2"/>
          </w:tcPr>
          <w:p>
            <w:pPr>
              <w:jc w:val="right"/>
              <w:ind w:right="60"/>
              <w:spacing w:after="0"/>
              <w:rPr>
                <w:sz w:val="20"/>
                <w:szCs w:val="20"/>
                <w:color w:val="auto"/>
              </w:rPr>
            </w:pPr>
            <w:r>
              <w:rPr>
                <w:rFonts w:ascii="Calibri" w:cs="Calibri" w:eastAsia="Calibri" w:hAnsi="Calibri"/>
                <w:sz w:val="18"/>
                <w:szCs w:val="18"/>
                <w:color w:val="231F20"/>
              </w:rPr>
              <w:t>371,631</w:t>
            </w:r>
          </w:p>
        </w:tc>
      </w:tr>
      <w:tr>
        <w:trPr>
          <w:trHeight w:val="26"/>
        </w:trPr>
        <w:tc>
          <w:tcPr>
            <w:tcW w:w="9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0"/>
        </w:trPr>
        <w:tc>
          <w:tcPr>
            <w:tcW w:w="5080" w:type="dxa"/>
            <w:vAlign w:val="bottom"/>
            <w:tcBorders>
              <w:bottom w:val="single" w:sz="8" w:color="DCDDDE"/>
            </w:tcBorders>
            <w:gridSpan w:val="2"/>
            <w:shd w:val="clear" w:color="auto" w:fill="DCDDDE"/>
          </w:tcPr>
          <w:p>
            <w:pPr>
              <w:spacing w:after="0"/>
              <w:rPr>
                <w:sz w:val="20"/>
                <w:szCs w:val="20"/>
                <w:color w:val="auto"/>
              </w:rPr>
            </w:pPr>
            <w:r>
              <w:rPr>
                <w:rFonts w:ascii="Calibri" w:cs="Calibri" w:eastAsia="Calibri" w:hAnsi="Calibri"/>
                <w:sz w:val="18"/>
                <w:szCs w:val="18"/>
                <w:b w:val="1"/>
                <w:bCs w:val="1"/>
                <w:color w:val="231F20"/>
              </w:rPr>
              <w:t>Total Adjustments</w:t>
            </w:r>
          </w:p>
        </w:tc>
        <w:tc>
          <w:tcPr>
            <w:tcW w:w="28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b w:val="1"/>
                <w:bCs w:val="1"/>
                <w:color w:val="231F20"/>
              </w:rPr>
              <w:t>$</w:t>
            </w:r>
          </w:p>
        </w:tc>
        <w:tc>
          <w:tcPr>
            <w:tcW w:w="98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b w:val="1"/>
                <w:bCs w:val="1"/>
                <w:color w:val="231F20"/>
              </w:rPr>
              <w:t>1,030,762</w:t>
            </w:r>
          </w:p>
        </w:tc>
        <w:tc>
          <w:tcPr>
            <w:tcW w:w="320" w:type="dxa"/>
            <w:vAlign w:val="bottom"/>
            <w:tcBorders>
              <w:bottom w:val="single" w:sz="8" w:color="DCDDDE"/>
            </w:tcBorders>
            <w:shd w:val="clear" w:color="auto" w:fill="DCDDDE"/>
          </w:tcPr>
          <w:p>
            <w:pPr>
              <w:jc w:val="right"/>
              <w:ind w:right="70"/>
              <w:spacing w:after="0"/>
              <w:rPr>
                <w:sz w:val="20"/>
                <w:szCs w:val="20"/>
                <w:color w:val="auto"/>
              </w:rPr>
            </w:pPr>
            <w:r>
              <w:rPr>
                <w:rFonts w:ascii="Calibri" w:cs="Calibri" w:eastAsia="Calibri" w:hAnsi="Calibri"/>
                <w:sz w:val="18"/>
                <w:szCs w:val="18"/>
                <w:b w:val="1"/>
                <w:bCs w:val="1"/>
                <w:color w:val="231F20"/>
              </w:rPr>
              <w:t>$</w:t>
            </w:r>
          </w:p>
        </w:tc>
        <w:tc>
          <w:tcPr>
            <w:tcW w:w="1100" w:type="dxa"/>
            <w:vAlign w:val="bottom"/>
            <w:tcBorders>
              <w:bottom w:val="single" w:sz="8" w:color="DCDDDE"/>
            </w:tcBorders>
            <w:shd w:val="clear" w:color="auto" w:fill="DCDDDE"/>
          </w:tcPr>
          <w:p>
            <w:pPr>
              <w:jc w:val="right"/>
              <w:ind w:right="13"/>
              <w:spacing w:after="0"/>
              <w:rPr>
                <w:sz w:val="20"/>
                <w:szCs w:val="20"/>
                <w:color w:val="auto"/>
              </w:rPr>
            </w:pPr>
            <w:r>
              <w:rPr>
                <w:rFonts w:ascii="Calibri" w:cs="Calibri" w:eastAsia="Calibri" w:hAnsi="Calibri"/>
                <w:sz w:val="18"/>
                <w:szCs w:val="18"/>
                <w:b w:val="1"/>
                <w:bCs w:val="1"/>
                <w:color w:val="231F20"/>
              </w:rPr>
              <w:t>(2,345,236)</w:t>
            </w:r>
          </w:p>
        </w:tc>
        <w:tc>
          <w:tcPr>
            <w:tcW w:w="22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b w:val="1"/>
                <w:bCs w:val="1"/>
                <w:color w:val="231F20"/>
              </w:rPr>
              <w:t>$</w:t>
            </w:r>
          </w:p>
        </w:tc>
        <w:tc>
          <w:tcPr>
            <w:tcW w:w="1060" w:type="dxa"/>
            <w:vAlign w:val="bottom"/>
            <w:tcBorders>
              <w:bottom w:val="single" w:sz="8" w:color="DCDDDE"/>
            </w:tcBorders>
            <w:gridSpan w:val="2"/>
            <w:shd w:val="clear" w:color="auto" w:fill="DCDDDE"/>
          </w:tcPr>
          <w:p>
            <w:pPr>
              <w:jc w:val="right"/>
              <w:ind w:right="200"/>
              <w:spacing w:after="0"/>
              <w:rPr>
                <w:sz w:val="20"/>
                <w:szCs w:val="20"/>
                <w:color w:val="auto"/>
              </w:rPr>
            </w:pPr>
            <w:r>
              <w:rPr>
                <w:rFonts w:ascii="Calibri" w:cs="Calibri" w:eastAsia="Calibri" w:hAnsi="Calibri"/>
                <w:sz w:val="18"/>
                <w:szCs w:val="18"/>
                <w:b w:val="1"/>
                <w:bCs w:val="1"/>
                <w:color w:val="231F20"/>
              </w:rPr>
              <w:t>7,925,792</w:t>
            </w:r>
          </w:p>
        </w:tc>
        <w:tc>
          <w:tcPr>
            <w:tcW w:w="180" w:type="dxa"/>
            <w:vAlign w:val="bottom"/>
            <w:tcBorders>
              <w:bottom w:val="single" w:sz="8" w:color="DCDDDE"/>
            </w:tcBorders>
            <w:shd w:val="clear" w:color="auto" w:fill="DCDDDE"/>
          </w:tcPr>
          <w:p>
            <w:pPr>
              <w:jc w:val="right"/>
              <w:ind w:right="20"/>
              <w:spacing w:after="0"/>
              <w:rPr>
                <w:sz w:val="20"/>
                <w:szCs w:val="20"/>
                <w:color w:val="auto"/>
              </w:rPr>
            </w:pPr>
            <w:r>
              <w:rPr>
                <w:rFonts w:ascii="Calibri" w:cs="Calibri" w:eastAsia="Calibri" w:hAnsi="Calibri"/>
                <w:sz w:val="16"/>
                <w:szCs w:val="16"/>
                <w:b w:val="1"/>
                <w:bCs w:val="1"/>
                <w:color w:val="231F20"/>
                <w:w w:val="73"/>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w w:val="99"/>
              </w:rPr>
              <w:t>(5,649,582)</w:t>
            </w:r>
          </w:p>
        </w:tc>
        <w:tc>
          <w:tcPr>
            <w:tcW w:w="60" w:type="dxa"/>
            <w:vAlign w:val="bottom"/>
          </w:tcPr>
          <w:p>
            <w:pPr>
              <w:spacing w:after="0"/>
              <w:rPr>
                <w:sz w:val="24"/>
                <w:szCs w:val="24"/>
                <w:color w:val="auto"/>
              </w:rPr>
            </w:pPr>
          </w:p>
        </w:tc>
      </w:tr>
      <w:tr>
        <w:trPr>
          <w:trHeight w:val="150"/>
        </w:trPr>
        <w:tc>
          <w:tcPr>
            <w:tcW w:w="960" w:type="dxa"/>
            <w:vAlign w:val="bottom"/>
            <w:tcBorders>
              <w:bottom w:val="single" w:sz="8" w:color="231F20"/>
            </w:tcBorders>
          </w:tcPr>
          <w:p>
            <w:pPr>
              <w:spacing w:after="0"/>
              <w:rPr>
                <w:sz w:val="13"/>
                <w:szCs w:val="13"/>
                <w:color w:val="auto"/>
              </w:rPr>
            </w:pP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55" w:lineRule="exact"/>
        <w:rPr>
          <w:sz w:val="20"/>
          <w:szCs w:val="20"/>
          <w:color w:val="auto"/>
        </w:rPr>
      </w:pPr>
    </w:p>
    <w:p>
      <w:pPr>
        <w:jc w:val="both"/>
        <w:ind w:left="360" w:right="60" w:hanging="360"/>
        <w:spacing w:after="0" w:line="226" w:lineRule="auto"/>
        <w:tabs>
          <w:tab w:leader="none" w:pos="360" w:val="left"/>
        </w:tabs>
        <w:numPr>
          <w:ilvl w:val="0"/>
          <w:numId w:val="144"/>
        </w:numPr>
        <w:rPr>
          <w:rFonts w:ascii="Arial" w:cs="Arial" w:eastAsia="Arial" w:hAnsi="Arial"/>
          <w:sz w:val="23"/>
          <w:szCs w:val="23"/>
          <w:color w:val="231F20"/>
          <w:vertAlign w:val="superscript"/>
        </w:rPr>
      </w:pPr>
      <w:r>
        <w:rPr>
          <w:rFonts w:ascii="Arial" w:cs="Arial" w:eastAsia="Arial" w:hAnsi="Arial"/>
          <w:sz w:val="18"/>
          <w:szCs w:val="18"/>
          <w:color w:val="231F20"/>
        </w:rPr>
        <w:t>For 2020, our other NEOs included Mr. Guglielmone and Ms. Becker. For 2021, 2022 and 2023, our other NEOs included Mr. Berkes, Mr. Guglielmone and Ms. Becker. Following are the adjustments made during each year shown to arrive at the average compensation actually paid to our other NEOs during each year.</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shd w:val="clear" w:color="auto" w:fill="EF3E2A"/>
          </w:tcPr>
          <w:p>
            <w:pPr>
              <w:spacing w:after="0"/>
              <w:rPr>
                <w:sz w:val="19"/>
                <w:szCs w:val="19"/>
                <w:color w:val="auto"/>
              </w:rPr>
            </w:pPr>
          </w:p>
        </w:tc>
        <w:tc>
          <w:tcPr>
            <w:tcW w:w="320" w:type="dxa"/>
            <w:vAlign w:val="bottom"/>
            <w:shd w:val="clear" w:color="auto" w:fill="EF3E2A"/>
          </w:tcPr>
          <w:p>
            <w:pPr>
              <w:spacing w:after="0"/>
              <w:rPr>
                <w:sz w:val="19"/>
                <w:szCs w:val="19"/>
                <w:color w:val="auto"/>
              </w:rPr>
            </w:pPr>
          </w:p>
        </w:tc>
        <w:tc>
          <w:tcPr>
            <w:tcW w:w="1060" w:type="dxa"/>
            <w:vAlign w:val="bottom"/>
            <w:shd w:val="clear" w:color="auto" w:fill="EF3E2A"/>
          </w:tcPr>
          <w:p>
            <w:pPr>
              <w:spacing w:after="0"/>
              <w:rPr>
                <w:sz w:val="19"/>
                <w:szCs w:val="19"/>
                <w:color w:val="auto"/>
              </w:rPr>
            </w:pPr>
          </w:p>
        </w:tc>
        <w:tc>
          <w:tcPr>
            <w:tcW w:w="280" w:type="dxa"/>
            <w:vAlign w:val="bottom"/>
            <w:shd w:val="clear" w:color="auto" w:fill="EF3E2A"/>
          </w:tcPr>
          <w:p>
            <w:pPr>
              <w:spacing w:after="0"/>
              <w:rPr>
                <w:sz w:val="19"/>
                <w:szCs w:val="19"/>
                <w:color w:val="auto"/>
              </w:rPr>
            </w:pPr>
          </w:p>
        </w:tc>
        <w:tc>
          <w:tcPr>
            <w:tcW w:w="2420" w:type="dxa"/>
            <w:vAlign w:val="bottom"/>
            <w:gridSpan w:val="4"/>
            <w:shd w:val="clear" w:color="auto" w:fill="EF3E2A"/>
          </w:tcPr>
          <w:p>
            <w:pPr>
              <w:jc w:val="right"/>
              <w:ind w:right="760"/>
              <w:spacing w:after="0"/>
              <w:rPr>
                <w:sz w:val="20"/>
                <w:szCs w:val="20"/>
                <w:color w:val="auto"/>
              </w:rPr>
            </w:pPr>
            <w:r>
              <w:rPr>
                <w:rFonts w:ascii="Calibri" w:cs="Calibri" w:eastAsia="Calibri" w:hAnsi="Calibri"/>
                <w:sz w:val="16"/>
                <w:szCs w:val="16"/>
                <w:b w:val="1"/>
                <w:bCs w:val="1"/>
                <w:color w:val="FFFFFF"/>
              </w:rPr>
              <w:t>Average of Other NEOs</w:t>
            </w:r>
          </w:p>
        </w:tc>
        <w:tc>
          <w:tcPr>
            <w:tcW w:w="220" w:type="dxa"/>
            <w:vAlign w:val="bottom"/>
            <w:shd w:val="clear" w:color="auto" w:fill="EF3E2A"/>
          </w:tcPr>
          <w:p>
            <w:pPr>
              <w:spacing w:after="0"/>
              <w:rPr>
                <w:sz w:val="19"/>
                <w:szCs w:val="19"/>
                <w:color w:val="auto"/>
              </w:rPr>
            </w:pPr>
          </w:p>
        </w:tc>
        <w:tc>
          <w:tcPr>
            <w:tcW w:w="820" w:type="dxa"/>
            <w:vAlign w:val="bottom"/>
            <w:shd w:val="clear" w:color="auto" w:fill="EF3E2A"/>
          </w:tcPr>
          <w:p>
            <w:pPr>
              <w:spacing w:after="0"/>
              <w:rPr>
                <w:sz w:val="19"/>
                <w:szCs w:val="19"/>
                <w:color w:val="auto"/>
              </w:rPr>
            </w:pPr>
          </w:p>
        </w:tc>
        <w:tc>
          <w:tcPr>
            <w:tcW w:w="60" w:type="dxa"/>
            <w:vAlign w:val="bottom"/>
          </w:tcPr>
          <w:p>
            <w:pPr>
              <w:spacing w:after="0"/>
              <w:rPr>
                <w:sz w:val="19"/>
                <w:szCs w:val="19"/>
                <w:color w:val="auto"/>
              </w:rPr>
            </w:pPr>
          </w:p>
        </w:tc>
      </w:tr>
      <w:tr>
        <w:trPr>
          <w:trHeight w:val="272"/>
        </w:trPr>
        <w:tc>
          <w:tcPr>
            <w:tcW w:w="4960" w:type="dxa"/>
            <w:vAlign w:val="bottom"/>
            <w:tcBorders>
              <w:bottom w:val="single" w:sz="8" w:color="EF3E2A"/>
            </w:tcBorders>
            <w:shd w:val="clear" w:color="auto" w:fill="EF3E2A"/>
          </w:tcPr>
          <w:p>
            <w:pPr>
              <w:spacing w:after="0"/>
              <w:rPr>
                <w:sz w:val="20"/>
                <w:szCs w:val="20"/>
                <w:color w:val="auto"/>
              </w:rPr>
            </w:pPr>
            <w:r>
              <w:rPr>
                <w:rFonts w:ascii="Calibri" w:cs="Calibri" w:eastAsia="Calibri" w:hAnsi="Calibri"/>
                <w:sz w:val="16"/>
                <w:szCs w:val="16"/>
                <w:b w:val="1"/>
                <w:bCs w:val="1"/>
                <w:color w:val="FFFFFF"/>
              </w:rPr>
              <w:t>Adjustments</w:t>
            </w:r>
          </w:p>
        </w:tc>
        <w:tc>
          <w:tcPr>
            <w:tcW w:w="320" w:type="dxa"/>
            <w:vAlign w:val="bottom"/>
            <w:tcBorders>
              <w:bottom w:val="single" w:sz="8" w:color="EF3E2A"/>
            </w:tcBorders>
            <w:shd w:val="clear" w:color="auto" w:fill="EF3E2A"/>
          </w:tcPr>
          <w:p>
            <w:pPr>
              <w:spacing w:after="0"/>
              <w:rPr>
                <w:sz w:val="23"/>
                <w:szCs w:val="23"/>
                <w:color w:val="auto"/>
              </w:rPr>
            </w:pPr>
          </w:p>
        </w:tc>
        <w:tc>
          <w:tcPr>
            <w:tcW w:w="1060" w:type="dxa"/>
            <w:vAlign w:val="bottom"/>
            <w:tcBorders>
              <w:bottom w:val="single" w:sz="8" w:color="EF3E2A"/>
            </w:tcBorders>
            <w:shd w:val="clear" w:color="auto" w:fill="EF3E2A"/>
          </w:tcPr>
          <w:p>
            <w:pPr>
              <w:jc w:val="right"/>
              <w:ind w:right="511"/>
              <w:spacing w:after="0"/>
              <w:rPr>
                <w:sz w:val="20"/>
                <w:szCs w:val="20"/>
                <w:color w:val="auto"/>
              </w:rPr>
            </w:pPr>
            <w:r>
              <w:rPr>
                <w:rFonts w:ascii="Calibri" w:cs="Calibri" w:eastAsia="Calibri" w:hAnsi="Calibri"/>
                <w:sz w:val="16"/>
                <w:szCs w:val="16"/>
                <w:b w:val="1"/>
                <w:bCs w:val="1"/>
                <w:color w:val="FFFFFF"/>
              </w:rPr>
              <w:t>2023</w:t>
            </w:r>
          </w:p>
        </w:tc>
        <w:tc>
          <w:tcPr>
            <w:tcW w:w="280" w:type="dxa"/>
            <w:vAlign w:val="bottom"/>
            <w:tcBorders>
              <w:bottom w:val="single" w:sz="8" w:color="EF3E2A"/>
            </w:tcBorders>
            <w:shd w:val="clear" w:color="auto" w:fill="EF3E2A"/>
          </w:tcPr>
          <w:p>
            <w:pPr>
              <w:spacing w:after="0"/>
              <w:rPr>
                <w:sz w:val="23"/>
                <w:szCs w:val="23"/>
                <w:color w:val="auto"/>
              </w:rPr>
            </w:pPr>
          </w:p>
        </w:tc>
        <w:tc>
          <w:tcPr>
            <w:tcW w:w="960" w:type="dxa"/>
            <w:vAlign w:val="bottom"/>
            <w:tcBorders>
              <w:bottom w:val="single" w:sz="8" w:color="EF3E2A"/>
            </w:tcBorders>
            <w:shd w:val="clear" w:color="auto" w:fill="EF3E2A"/>
          </w:tcPr>
          <w:p>
            <w:pPr>
              <w:jc w:val="right"/>
              <w:ind w:right="393"/>
              <w:spacing w:after="0"/>
              <w:rPr>
                <w:sz w:val="20"/>
                <w:szCs w:val="20"/>
                <w:color w:val="auto"/>
              </w:rPr>
            </w:pPr>
            <w:r>
              <w:rPr>
                <w:rFonts w:ascii="Calibri" w:cs="Calibri" w:eastAsia="Calibri" w:hAnsi="Calibri"/>
                <w:sz w:val="16"/>
                <w:szCs w:val="16"/>
                <w:b w:val="1"/>
                <w:bCs w:val="1"/>
                <w:color w:val="FFFFFF"/>
              </w:rPr>
              <w:t>2022</w:t>
            </w:r>
          </w:p>
        </w:tc>
        <w:tc>
          <w:tcPr>
            <w:tcW w:w="320" w:type="dxa"/>
            <w:vAlign w:val="bottom"/>
            <w:tcBorders>
              <w:bottom w:val="single" w:sz="8" w:color="EF3E2A"/>
            </w:tcBorders>
            <w:shd w:val="clear" w:color="auto" w:fill="EF3E2A"/>
          </w:tcPr>
          <w:p>
            <w:pPr>
              <w:spacing w:after="0"/>
              <w:rPr>
                <w:sz w:val="23"/>
                <w:szCs w:val="23"/>
                <w:color w:val="auto"/>
              </w:rPr>
            </w:pPr>
          </w:p>
        </w:tc>
        <w:tc>
          <w:tcPr>
            <w:tcW w:w="940" w:type="dxa"/>
            <w:vAlign w:val="bottom"/>
            <w:tcBorders>
              <w:bottom w:val="single" w:sz="8" w:color="EF3E2A"/>
            </w:tcBorders>
            <w:shd w:val="clear" w:color="auto" w:fill="EF3E2A"/>
          </w:tcPr>
          <w:p>
            <w:pPr>
              <w:jc w:val="right"/>
              <w:ind w:right="331"/>
              <w:spacing w:after="0"/>
              <w:rPr>
                <w:sz w:val="20"/>
                <w:szCs w:val="20"/>
                <w:color w:val="auto"/>
              </w:rPr>
            </w:pPr>
            <w:r>
              <w:rPr>
                <w:rFonts w:ascii="Calibri" w:cs="Calibri" w:eastAsia="Calibri" w:hAnsi="Calibri"/>
                <w:sz w:val="16"/>
                <w:szCs w:val="16"/>
                <w:b w:val="1"/>
                <w:bCs w:val="1"/>
                <w:color w:val="FFFFFF"/>
              </w:rPr>
              <w:t>2021</w:t>
            </w:r>
          </w:p>
        </w:tc>
        <w:tc>
          <w:tcPr>
            <w:tcW w:w="200" w:type="dxa"/>
            <w:vAlign w:val="bottom"/>
            <w:tcBorders>
              <w:bottom w:val="single" w:sz="8" w:color="EF3E2A"/>
            </w:tcBorders>
            <w:shd w:val="clear" w:color="auto" w:fill="EF3E2A"/>
          </w:tcPr>
          <w:p>
            <w:pPr>
              <w:spacing w:after="0"/>
              <w:rPr>
                <w:sz w:val="23"/>
                <w:szCs w:val="23"/>
                <w:color w:val="auto"/>
              </w:rPr>
            </w:pPr>
          </w:p>
        </w:tc>
        <w:tc>
          <w:tcPr>
            <w:tcW w:w="220" w:type="dxa"/>
            <w:vAlign w:val="bottom"/>
            <w:tcBorders>
              <w:bottom w:val="single" w:sz="8" w:color="EF3E2A"/>
            </w:tcBorders>
            <w:shd w:val="clear" w:color="auto" w:fill="EF3E2A"/>
          </w:tcPr>
          <w:p>
            <w:pPr>
              <w:spacing w:after="0"/>
              <w:rPr>
                <w:sz w:val="23"/>
                <w:szCs w:val="23"/>
                <w:color w:val="auto"/>
              </w:rPr>
            </w:pPr>
          </w:p>
        </w:tc>
        <w:tc>
          <w:tcPr>
            <w:tcW w:w="820" w:type="dxa"/>
            <w:vAlign w:val="bottom"/>
            <w:tcBorders>
              <w:bottom w:val="single" w:sz="8" w:color="EF3E2A"/>
            </w:tcBorders>
            <w:shd w:val="clear" w:color="auto" w:fill="EF3E2A"/>
          </w:tcPr>
          <w:p>
            <w:pPr>
              <w:jc w:val="right"/>
              <w:ind w:right="271"/>
              <w:spacing w:after="0"/>
              <w:rPr>
                <w:sz w:val="20"/>
                <w:szCs w:val="20"/>
                <w:color w:val="auto"/>
              </w:rPr>
            </w:pPr>
            <w:r>
              <w:rPr>
                <w:rFonts w:ascii="Calibri" w:cs="Calibri" w:eastAsia="Calibri" w:hAnsi="Calibri"/>
                <w:sz w:val="16"/>
                <w:szCs w:val="16"/>
                <w:b w:val="1"/>
                <w:bCs w:val="1"/>
                <w:color w:val="FFFFFF"/>
              </w:rPr>
              <w:t>2020</w:t>
            </w:r>
          </w:p>
        </w:tc>
        <w:tc>
          <w:tcPr>
            <w:tcW w:w="60" w:type="dxa"/>
            <w:vAlign w:val="bottom"/>
          </w:tcPr>
          <w:p>
            <w:pPr>
              <w:spacing w:after="0"/>
              <w:rPr>
                <w:sz w:val="23"/>
                <w:szCs w:val="23"/>
                <w:color w:val="auto"/>
              </w:rPr>
            </w:pPr>
          </w:p>
        </w:tc>
      </w:tr>
      <w:tr>
        <w:trPr>
          <w:trHeight w:val="254"/>
        </w:trPr>
        <w:tc>
          <w:tcPr>
            <w:tcW w:w="4960" w:type="dxa"/>
            <w:vAlign w:val="bottom"/>
          </w:tcPr>
          <w:p>
            <w:pPr>
              <w:spacing w:after="0"/>
              <w:rPr>
                <w:sz w:val="20"/>
                <w:szCs w:val="20"/>
                <w:color w:val="auto"/>
              </w:rPr>
            </w:pPr>
            <w:r>
              <w:rPr>
                <w:rFonts w:ascii="Calibri" w:cs="Calibri" w:eastAsia="Calibri" w:hAnsi="Calibri"/>
                <w:sz w:val="18"/>
                <w:szCs w:val="18"/>
                <w:color w:val="231F20"/>
              </w:rPr>
              <w:t>Amounts reported under "Stock Awards" in SCT</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231F20"/>
              </w:rPr>
              <w:t>$</w:t>
            </w:r>
          </w:p>
        </w:tc>
        <w:tc>
          <w:tcPr>
            <w:tcW w:w="1060" w:type="dxa"/>
            <w:vAlign w:val="bottom"/>
          </w:tcPr>
          <w:p>
            <w:pPr>
              <w:jc w:val="right"/>
              <w:spacing w:after="0"/>
              <w:rPr>
                <w:sz w:val="20"/>
                <w:szCs w:val="20"/>
                <w:color w:val="auto"/>
              </w:rPr>
            </w:pPr>
            <w:r>
              <w:rPr>
                <w:rFonts w:ascii="Calibri" w:cs="Calibri" w:eastAsia="Calibri" w:hAnsi="Calibri"/>
                <w:sz w:val="18"/>
                <w:szCs w:val="18"/>
                <w:color w:val="231F20"/>
              </w:rPr>
              <w:t>(1,143,120)</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spacing w:after="0"/>
              <w:rPr>
                <w:sz w:val="20"/>
                <w:szCs w:val="20"/>
                <w:color w:val="auto"/>
              </w:rPr>
            </w:pPr>
            <w:r>
              <w:rPr>
                <w:rFonts w:ascii="Calibri" w:cs="Calibri" w:eastAsia="Calibri" w:hAnsi="Calibri"/>
                <w:sz w:val="18"/>
                <w:szCs w:val="18"/>
                <w:color w:val="231F20"/>
              </w:rPr>
              <w:t>(941,423)</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231F20"/>
              </w:rPr>
              <w:t>$</w:t>
            </w:r>
          </w:p>
        </w:tc>
        <w:tc>
          <w:tcPr>
            <w:tcW w:w="1140" w:type="dxa"/>
            <w:vAlign w:val="bottom"/>
            <w:gridSpan w:val="2"/>
          </w:tcPr>
          <w:p>
            <w:pPr>
              <w:jc w:val="right"/>
              <w:ind w:right="140"/>
              <w:spacing w:after="0"/>
              <w:rPr>
                <w:sz w:val="20"/>
                <w:szCs w:val="20"/>
                <w:color w:val="auto"/>
              </w:rPr>
            </w:pPr>
            <w:r>
              <w:rPr>
                <w:rFonts w:ascii="Calibri" w:cs="Calibri" w:eastAsia="Calibri" w:hAnsi="Calibri"/>
                <w:sz w:val="18"/>
                <w:szCs w:val="18"/>
                <w:color w:val="231F20"/>
              </w:rPr>
              <w:t>(1,903,744)</w:t>
            </w:r>
          </w:p>
        </w:tc>
        <w:tc>
          <w:tcPr>
            <w:tcW w:w="220" w:type="dxa"/>
            <w:vAlign w:val="bottom"/>
          </w:tcPr>
          <w:p>
            <w:pPr>
              <w:jc w:val="right"/>
              <w:ind w:right="60"/>
              <w:spacing w:after="0"/>
              <w:rPr>
                <w:sz w:val="20"/>
                <w:szCs w:val="20"/>
                <w:color w:val="auto"/>
              </w:rPr>
            </w:pPr>
            <w:r>
              <w:rPr>
                <w:rFonts w:ascii="Calibri" w:cs="Calibri" w:eastAsia="Calibri" w:hAnsi="Calibri"/>
                <w:sz w:val="16"/>
                <w:szCs w:val="16"/>
                <w:color w:val="231F20"/>
                <w:w w:val="73"/>
              </w:rPr>
              <w:t>$</w:t>
            </w:r>
          </w:p>
        </w:tc>
        <w:tc>
          <w:tcPr>
            <w:tcW w:w="880" w:type="dxa"/>
            <w:vAlign w:val="bottom"/>
            <w:gridSpan w:val="2"/>
          </w:tcPr>
          <w:p>
            <w:pPr>
              <w:jc w:val="right"/>
              <w:spacing w:after="0"/>
              <w:rPr>
                <w:sz w:val="20"/>
                <w:szCs w:val="20"/>
                <w:color w:val="auto"/>
              </w:rPr>
            </w:pPr>
            <w:r>
              <w:rPr>
                <w:rFonts w:ascii="Calibri" w:cs="Calibri" w:eastAsia="Calibri" w:hAnsi="Calibri"/>
                <w:sz w:val="18"/>
                <w:szCs w:val="18"/>
                <w:color w:val="231F20"/>
              </w:rPr>
              <w:t>(863,272)</w:t>
            </w:r>
          </w:p>
        </w:tc>
      </w:tr>
      <w:tr>
        <w:trPr>
          <w:trHeight w:val="46"/>
        </w:trPr>
        <w:tc>
          <w:tcPr>
            <w:tcW w:w="4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4"/>
        </w:trPr>
        <w:tc>
          <w:tcPr>
            <w:tcW w:w="4960" w:type="dxa"/>
            <w:vAlign w:val="bottom"/>
            <w:shd w:val="clear" w:color="auto" w:fill="DCDDDE"/>
          </w:tcPr>
          <w:p>
            <w:pPr>
              <w:spacing w:after="0"/>
              <w:rPr>
                <w:sz w:val="20"/>
                <w:szCs w:val="20"/>
                <w:color w:val="auto"/>
              </w:rPr>
            </w:pPr>
            <w:r>
              <w:rPr>
                <w:rFonts w:ascii="Calibri" w:cs="Calibri" w:eastAsia="Calibri" w:hAnsi="Calibri"/>
                <w:sz w:val="18"/>
                <w:szCs w:val="18"/>
                <w:color w:val="231F20"/>
              </w:rPr>
              <w:t>Change Fair Value of Awards Granted in Year and Unvested as of</w:t>
            </w:r>
          </w:p>
        </w:tc>
        <w:tc>
          <w:tcPr>
            <w:tcW w:w="320" w:type="dxa"/>
            <w:vAlign w:val="bottom"/>
            <w:shd w:val="clear" w:color="auto" w:fill="DCDDDE"/>
          </w:tcPr>
          <w:p>
            <w:pPr>
              <w:spacing w:after="0"/>
              <w:rPr>
                <w:sz w:val="22"/>
                <w:szCs w:val="22"/>
                <w:color w:val="auto"/>
              </w:rPr>
            </w:pPr>
          </w:p>
        </w:tc>
        <w:tc>
          <w:tcPr>
            <w:tcW w:w="1060" w:type="dxa"/>
            <w:vAlign w:val="bottom"/>
            <w:shd w:val="clear" w:color="auto" w:fill="DCDDDE"/>
          </w:tcPr>
          <w:p>
            <w:pPr>
              <w:spacing w:after="0"/>
              <w:rPr>
                <w:sz w:val="22"/>
                <w:szCs w:val="22"/>
                <w:color w:val="auto"/>
              </w:rPr>
            </w:pPr>
          </w:p>
        </w:tc>
        <w:tc>
          <w:tcPr>
            <w:tcW w:w="280" w:type="dxa"/>
            <w:vAlign w:val="bottom"/>
            <w:shd w:val="clear" w:color="auto" w:fill="DCDDDE"/>
          </w:tcPr>
          <w:p>
            <w:pPr>
              <w:spacing w:after="0"/>
              <w:rPr>
                <w:sz w:val="22"/>
                <w:szCs w:val="22"/>
                <w:color w:val="auto"/>
              </w:rPr>
            </w:pPr>
          </w:p>
        </w:tc>
        <w:tc>
          <w:tcPr>
            <w:tcW w:w="960" w:type="dxa"/>
            <w:vAlign w:val="bottom"/>
            <w:shd w:val="clear" w:color="auto" w:fill="DCDDDE"/>
          </w:tcPr>
          <w:p>
            <w:pPr>
              <w:spacing w:after="0"/>
              <w:rPr>
                <w:sz w:val="22"/>
                <w:szCs w:val="22"/>
                <w:color w:val="auto"/>
              </w:rPr>
            </w:pPr>
          </w:p>
        </w:tc>
        <w:tc>
          <w:tcPr>
            <w:tcW w:w="320" w:type="dxa"/>
            <w:vAlign w:val="bottom"/>
            <w:shd w:val="clear" w:color="auto" w:fill="DCDDDE"/>
          </w:tcPr>
          <w:p>
            <w:pPr>
              <w:spacing w:after="0"/>
              <w:rPr>
                <w:sz w:val="22"/>
                <w:szCs w:val="22"/>
                <w:color w:val="auto"/>
              </w:rPr>
            </w:pPr>
          </w:p>
        </w:tc>
        <w:tc>
          <w:tcPr>
            <w:tcW w:w="940" w:type="dxa"/>
            <w:vAlign w:val="bottom"/>
            <w:shd w:val="clear" w:color="auto" w:fill="DCDDDE"/>
          </w:tcPr>
          <w:p>
            <w:pPr>
              <w:spacing w:after="0"/>
              <w:rPr>
                <w:sz w:val="22"/>
                <w:szCs w:val="22"/>
                <w:color w:val="auto"/>
              </w:rPr>
            </w:pPr>
          </w:p>
        </w:tc>
        <w:tc>
          <w:tcPr>
            <w:tcW w:w="200" w:type="dxa"/>
            <w:vAlign w:val="bottom"/>
            <w:shd w:val="clear" w:color="auto" w:fill="DCDDDE"/>
          </w:tcPr>
          <w:p>
            <w:pPr>
              <w:spacing w:after="0"/>
              <w:rPr>
                <w:sz w:val="22"/>
                <w:szCs w:val="22"/>
                <w:color w:val="auto"/>
              </w:rPr>
            </w:pPr>
          </w:p>
        </w:tc>
        <w:tc>
          <w:tcPr>
            <w:tcW w:w="220" w:type="dxa"/>
            <w:vAlign w:val="bottom"/>
            <w:shd w:val="clear" w:color="auto" w:fill="DCDDDE"/>
          </w:tcPr>
          <w:p>
            <w:pPr>
              <w:spacing w:after="0"/>
              <w:rPr>
                <w:sz w:val="22"/>
                <w:szCs w:val="22"/>
                <w:color w:val="auto"/>
              </w:rPr>
            </w:pPr>
          </w:p>
        </w:tc>
        <w:tc>
          <w:tcPr>
            <w:tcW w:w="820" w:type="dxa"/>
            <w:vAlign w:val="bottom"/>
            <w:shd w:val="clear" w:color="auto" w:fill="DCDDDE"/>
          </w:tcPr>
          <w:p>
            <w:pPr>
              <w:spacing w:after="0"/>
              <w:rPr>
                <w:sz w:val="22"/>
                <w:szCs w:val="22"/>
                <w:color w:val="auto"/>
              </w:rPr>
            </w:pPr>
          </w:p>
        </w:tc>
        <w:tc>
          <w:tcPr>
            <w:tcW w:w="60" w:type="dxa"/>
            <w:vAlign w:val="bottom"/>
          </w:tcPr>
          <w:p>
            <w:pPr>
              <w:spacing w:after="0"/>
              <w:rPr>
                <w:sz w:val="22"/>
                <w:szCs w:val="22"/>
                <w:color w:val="auto"/>
              </w:rPr>
            </w:pPr>
          </w:p>
        </w:tc>
      </w:tr>
      <w:tr>
        <w:trPr>
          <w:trHeight w:val="246"/>
        </w:trPr>
        <w:tc>
          <w:tcPr>
            <w:tcW w:w="4960" w:type="dxa"/>
            <w:vAlign w:val="bottom"/>
            <w:tcBorders>
              <w:bottom w:val="single" w:sz="8" w:color="DCDDDE"/>
            </w:tcBorders>
            <w:shd w:val="clear" w:color="auto" w:fill="DCDDDE"/>
          </w:tcPr>
          <w:p>
            <w:pPr>
              <w:ind w:left="180"/>
              <w:spacing w:after="0"/>
              <w:rPr>
                <w:sz w:val="20"/>
                <w:szCs w:val="20"/>
                <w:color w:val="auto"/>
              </w:rPr>
            </w:pPr>
            <w:r>
              <w:rPr>
                <w:rFonts w:ascii="Calibri" w:cs="Calibri" w:eastAsia="Calibri" w:hAnsi="Calibri"/>
                <w:sz w:val="18"/>
                <w:szCs w:val="18"/>
                <w:color w:val="231F20"/>
              </w:rPr>
              <w:t>Year-End</w:t>
            </w:r>
          </w:p>
        </w:tc>
        <w:tc>
          <w:tcPr>
            <w:tcW w:w="320" w:type="dxa"/>
            <w:vAlign w:val="bottom"/>
            <w:tcBorders>
              <w:bottom w:val="single" w:sz="8" w:color="DCDDDE"/>
            </w:tcBorders>
            <w:shd w:val="clear" w:color="auto" w:fill="DCDDDE"/>
          </w:tcPr>
          <w:p>
            <w:pPr>
              <w:jc w:val="right"/>
              <w:ind w:right="50"/>
              <w:spacing w:after="0"/>
              <w:rPr>
                <w:sz w:val="20"/>
                <w:szCs w:val="20"/>
                <w:color w:val="auto"/>
              </w:rPr>
            </w:pPr>
            <w:r>
              <w:rPr>
                <w:rFonts w:ascii="Calibri" w:cs="Calibri" w:eastAsia="Calibri" w:hAnsi="Calibri"/>
                <w:sz w:val="18"/>
                <w:szCs w:val="18"/>
                <w:color w:val="231F20"/>
              </w:rPr>
              <w:t>$</w:t>
            </w:r>
          </w:p>
        </w:tc>
        <w:tc>
          <w:tcPr>
            <w:tcW w:w="106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1,090,565</w:t>
            </w:r>
          </w:p>
        </w:tc>
        <w:tc>
          <w:tcPr>
            <w:tcW w:w="280" w:type="dxa"/>
            <w:vAlign w:val="bottom"/>
            <w:tcBorders>
              <w:bottom w:val="single" w:sz="8" w:color="DCDDDE"/>
            </w:tcBorders>
            <w:shd w:val="clear" w:color="auto" w:fill="DCDDDE"/>
          </w:tcPr>
          <w:p>
            <w:pPr>
              <w:jc w:val="right"/>
              <w:ind w:right="30"/>
              <w:spacing w:after="0"/>
              <w:rPr>
                <w:sz w:val="20"/>
                <w:szCs w:val="20"/>
                <w:color w:val="auto"/>
              </w:rPr>
            </w:pPr>
            <w:r>
              <w:rPr>
                <w:rFonts w:ascii="Calibri" w:cs="Calibri" w:eastAsia="Calibri" w:hAnsi="Calibri"/>
                <w:sz w:val="18"/>
                <w:szCs w:val="18"/>
                <w:color w:val="231F20"/>
              </w:rPr>
              <w:t>$</w:t>
            </w:r>
          </w:p>
        </w:tc>
        <w:tc>
          <w:tcPr>
            <w:tcW w:w="960" w:type="dxa"/>
            <w:vAlign w:val="bottom"/>
            <w:tcBorders>
              <w:bottom w:val="single" w:sz="8" w:color="DCDDDE"/>
            </w:tcBorders>
            <w:shd w:val="clear" w:color="auto" w:fill="DCDDDE"/>
          </w:tcPr>
          <w:p>
            <w:pPr>
              <w:jc w:val="right"/>
              <w:ind w:right="33"/>
              <w:spacing w:after="0"/>
              <w:rPr>
                <w:sz w:val="20"/>
                <w:szCs w:val="20"/>
                <w:color w:val="auto"/>
              </w:rPr>
            </w:pPr>
            <w:r>
              <w:rPr>
                <w:rFonts w:ascii="Calibri" w:cs="Calibri" w:eastAsia="Calibri" w:hAnsi="Calibri"/>
                <w:sz w:val="18"/>
                <w:szCs w:val="18"/>
                <w:color w:val="231F20"/>
              </w:rPr>
              <w:t>752,007</w:t>
            </w:r>
          </w:p>
        </w:tc>
        <w:tc>
          <w:tcPr>
            <w:tcW w:w="320" w:type="dxa"/>
            <w:vAlign w:val="bottom"/>
            <w:tcBorders>
              <w:bottom w:val="single" w:sz="8" w:color="DCDDDE"/>
            </w:tcBorders>
            <w:shd w:val="clear" w:color="auto" w:fill="DCDDDE"/>
          </w:tcPr>
          <w:p>
            <w:pPr>
              <w:jc w:val="right"/>
              <w:ind w:right="50"/>
              <w:spacing w:after="0"/>
              <w:rPr>
                <w:sz w:val="20"/>
                <w:szCs w:val="20"/>
                <w:color w:val="auto"/>
              </w:rPr>
            </w:pPr>
            <w:r>
              <w:rPr>
                <w:rFonts w:ascii="Calibri" w:cs="Calibri" w:eastAsia="Calibri" w:hAnsi="Calibri"/>
                <w:sz w:val="18"/>
                <w:szCs w:val="18"/>
                <w:color w:val="231F20"/>
              </w:rPr>
              <w:t>$</w:t>
            </w:r>
          </w:p>
        </w:tc>
        <w:tc>
          <w:tcPr>
            <w:tcW w:w="1140" w:type="dxa"/>
            <w:vAlign w:val="bottom"/>
            <w:tcBorders>
              <w:bottom w:val="single" w:sz="8" w:color="DCDDDE"/>
            </w:tcBorders>
            <w:gridSpan w:val="2"/>
            <w:shd w:val="clear" w:color="auto" w:fill="DCDDDE"/>
          </w:tcPr>
          <w:p>
            <w:pPr>
              <w:jc w:val="right"/>
              <w:ind w:right="200"/>
              <w:spacing w:after="0"/>
              <w:rPr>
                <w:sz w:val="20"/>
                <w:szCs w:val="20"/>
                <w:color w:val="auto"/>
              </w:rPr>
            </w:pPr>
            <w:r>
              <w:rPr>
                <w:rFonts w:ascii="Calibri" w:cs="Calibri" w:eastAsia="Calibri" w:hAnsi="Calibri"/>
                <w:sz w:val="18"/>
                <w:szCs w:val="18"/>
                <w:color w:val="231F20"/>
              </w:rPr>
              <w:t>1,669,647</w:t>
            </w:r>
          </w:p>
        </w:tc>
        <w:tc>
          <w:tcPr>
            <w:tcW w:w="220" w:type="dxa"/>
            <w:vAlign w:val="bottom"/>
            <w:tcBorders>
              <w:bottom w:val="single" w:sz="8" w:color="DCDDDE"/>
            </w:tcBorders>
            <w:shd w:val="clear" w:color="auto" w:fill="DCDDDE"/>
          </w:tcPr>
          <w:p>
            <w:pPr>
              <w:jc w:val="right"/>
              <w:ind w:right="60"/>
              <w:spacing w:after="0"/>
              <w:rPr>
                <w:sz w:val="20"/>
                <w:szCs w:val="20"/>
                <w:color w:val="auto"/>
              </w:rPr>
            </w:pPr>
            <w:r>
              <w:rPr>
                <w:rFonts w:ascii="Calibri" w:cs="Calibri" w:eastAsia="Calibri" w:hAnsi="Calibri"/>
                <w:sz w:val="16"/>
                <w:szCs w:val="16"/>
                <w:color w:val="231F20"/>
                <w:w w:val="73"/>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577,369</w:t>
            </w:r>
          </w:p>
        </w:tc>
        <w:tc>
          <w:tcPr>
            <w:tcW w:w="60" w:type="dxa"/>
            <w:vAlign w:val="bottom"/>
          </w:tcPr>
          <w:p>
            <w:pPr>
              <w:spacing w:after="0"/>
              <w:rPr>
                <w:sz w:val="21"/>
                <w:szCs w:val="21"/>
                <w:color w:val="auto"/>
              </w:rPr>
            </w:pPr>
          </w:p>
        </w:tc>
      </w:tr>
      <w:tr>
        <w:trPr>
          <w:trHeight w:val="254"/>
        </w:trPr>
        <w:tc>
          <w:tcPr>
            <w:tcW w:w="4960" w:type="dxa"/>
            <w:vAlign w:val="bottom"/>
          </w:tcPr>
          <w:p>
            <w:pPr>
              <w:spacing w:after="0"/>
              <w:rPr>
                <w:sz w:val="20"/>
                <w:szCs w:val="20"/>
                <w:color w:val="auto"/>
              </w:rPr>
            </w:pPr>
            <w:r>
              <w:rPr>
                <w:rFonts w:ascii="Calibri" w:cs="Calibri" w:eastAsia="Calibri" w:hAnsi="Calibri"/>
                <w:sz w:val="18"/>
                <w:szCs w:val="18"/>
                <w:color w:val="231F20"/>
              </w:rPr>
              <w:t>Change in Fair Value from Prior Year-End to Current Year-End of</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4960" w:type="dxa"/>
            <w:vAlign w:val="bottom"/>
          </w:tcPr>
          <w:p>
            <w:pPr>
              <w:ind w:left="180"/>
              <w:spacing w:after="0"/>
              <w:rPr>
                <w:sz w:val="20"/>
                <w:szCs w:val="20"/>
                <w:color w:val="auto"/>
              </w:rPr>
            </w:pPr>
            <w:r>
              <w:rPr>
                <w:rFonts w:ascii="Calibri" w:cs="Calibri" w:eastAsia="Calibri" w:hAnsi="Calibri"/>
                <w:sz w:val="18"/>
                <w:szCs w:val="18"/>
                <w:color w:val="231F20"/>
              </w:rPr>
              <w:t>Awards Granted Prior to Year that were Outstanding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4960" w:type="dxa"/>
            <w:vAlign w:val="bottom"/>
          </w:tcPr>
          <w:p>
            <w:pPr>
              <w:ind w:left="180"/>
              <w:spacing w:after="0"/>
              <w:rPr>
                <w:sz w:val="20"/>
                <w:szCs w:val="20"/>
                <w:color w:val="auto"/>
              </w:rPr>
            </w:pPr>
            <w:r>
              <w:rPr>
                <w:rFonts w:ascii="Calibri" w:cs="Calibri" w:eastAsia="Calibri" w:hAnsi="Calibri"/>
                <w:sz w:val="18"/>
                <w:szCs w:val="18"/>
                <w:color w:val="231F20"/>
              </w:rPr>
              <w:t>Unvested as of Year-End</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231F20"/>
              </w:rPr>
              <w:t>$</w:t>
            </w:r>
          </w:p>
        </w:tc>
        <w:tc>
          <w:tcPr>
            <w:tcW w:w="1060" w:type="dxa"/>
            <w:vAlign w:val="bottom"/>
          </w:tcPr>
          <w:p>
            <w:pPr>
              <w:jc w:val="right"/>
              <w:ind w:right="31"/>
              <w:spacing w:after="0"/>
              <w:rPr>
                <w:sz w:val="20"/>
                <w:szCs w:val="20"/>
                <w:color w:val="auto"/>
              </w:rPr>
            </w:pPr>
            <w:r>
              <w:rPr>
                <w:rFonts w:ascii="Calibri" w:cs="Calibri" w:eastAsia="Calibri" w:hAnsi="Calibri"/>
                <w:sz w:val="18"/>
                <w:szCs w:val="18"/>
                <w:color w:val="231F20"/>
              </w:rPr>
              <w:t>99,558</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spacing w:after="0"/>
              <w:rPr>
                <w:sz w:val="20"/>
                <w:szCs w:val="20"/>
                <w:color w:val="auto"/>
              </w:rPr>
            </w:pPr>
            <w:r>
              <w:rPr>
                <w:rFonts w:ascii="Calibri" w:cs="Calibri" w:eastAsia="Calibri" w:hAnsi="Calibri"/>
                <w:sz w:val="18"/>
                <w:szCs w:val="18"/>
                <w:color w:val="231F20"/>
              </w:rPr>
              <w:t>(433,020)</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231F20"/>
              </w:rPr>
              <w:t>$</w:t>
            </w:r>
          </w:p>
        </w:tc>
        <w:tc>
          <w:tcPr>
            <w:tcW w:w="1140" w:type="dxa"/>
            <w:vAlign w:val="bottom"/>
            <w:gridSpan w:val="2"/>
          </w:tcPr>
          <w:p>
            <w:pPr>
              <w:jc w:val="right"/>
              <w:ind w:right="200"/>
              <w:spacing w:after="0"/>
              <w:rPr>
                <w:sz w:val="20"/>
                <w:szCs w:val="20"/>
                <w:color w:val="auto"/>
              </w:rPr>
            </w:pPr>
            <w:r>
              <w:rPr>
                <w:rFonts w:ascii="Calibri" w:cs="Calibri" w:eastAsia="Calibri" w:hAnsi="Calibri"/>
                <w:sz w:val="18"/>
                <w:szCs w:val="18"/>
                <w:color w:val="231F20"/>
              </w:rPr>
              <w:t>1,024,717</w:t>
            </w:r>
          </w:p>
        </w:tc>
        <w:tc>
          <w:tcPr>
            <w:tcW w:w="220" w:type="dxa"/>
            <w:vAlign w:val="bottom"/>
          </w:tcPr>
          <w:p>
            <w:pPr>
              <w:jc w:val="right"/>
              <w:ind w:right="60"/>
              <w:spacing w:after="0"/>
              <w:rPr>
                <w:sz w:val="20"/>
                <w:szCs w:val="20"/>
                <w:color w:val="auto"/>
              </w:rPr>
            </w:pPr>
            <w:r>
              <w:rPr>
                <w:rFonts w:ascii="Calibri" w:cs="Calibri" w:eastAsia="Calibri" w:hAnsi="Calibri"/>
                <w:sz w:val="16"/>
                <w:szCs w:val="16"/>
                <w:color w:val="231F20"/>
                <w:w w:val="73"/>
              </w:rPr>
              <w:t>$</w:t>
            </w:r>
          </w:p>
        </w:tc>
        <w:tc>
          <w:tcPr>
            <w:tcW w:w="880" w:type="dxa"/>
            <w:vAlign w:val="bottom"/>
            <w:gridSpan w:val="2"/>
          </w:tcPr>
          <w:p>
            <w:pPr>
              <w:jc w:val="right"/>
              <w:spacing w:after="0"/>
              <w:rPr>
                <w:sz w:val="20"/>
                <w:szCs w:val="20"/>
                <w:color w:val="auto"/>
              </w:rPr>
            </w:pPr>
            <w:r>
              <w:rPr>
                <w:rFonts w:ascii="Calibri" w:cs="Calibri" w:eastAsia="Calibri" w:hAnsi="Calibri"/>
                <w:sz w:val="18"/>
                <w:szCs w:val="18"/>
                <w:color w:val="231F20"/>
              </w:rPr>
              <w:t>(616,362)</w:t>
            </w:r>
          </w:p>
        </w:tc>
      </w:tr>
      <w:tr>
        <w:trPr>
          <w:trHeight w:val="46"/>
        </w:trPr>
        <w:tc>
          <w:tcPr>
            <w:tcW w:w="4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4"/>
        </w:trPr>
        <w:tc>
          <w:tcPr>
            <w:tcW w:w="4960" w:type="dxa"/>
            <w:vAlign w:val="bottom"/>
            <w:shd w:val="clear" w:color="auto" w:fill="DCDDDE"/>
          </w:tcPr>
          <w:p>
            <w:pPr>
              <w:spacing w:after="0"/>
              <w:rPr>
                <w:sz w:val="20"/>
                <w:szCs w:val="20"/>
                <w:color w:val="auto"/>
              </w:rPr>
            </w:pPr>
            <w:r>
              <w:rPr>
                <w:rFonts w:ascii="Calibri" w:cs="Calibri" w:eastAsia="Calibri" w:hAnsi="Calibri"/>
                <w:sz w:val="18"/>
                <w:szCs w:val="18"/>
                <w:color w:val="231F20"/>
              </w:rPr>
              <w:t>Change in Fair Value from Prior Year-End to Vesting Date of</w:t>
            </w:r>
          </w:p>
        </w:tc>
        <w:tc>
          <w:tcPr>
            <w:tcW w:w="320" w:type="dxa"/>
            <w:vAlign w:val="bottom"/>
            <w:shd w:val="clear" w:color="auto" w:fill="DCDDDE"/>
          </w:tcPr>
          <w:p>
            <w:pPr>
              <w:spacing w:after="0"/>
              <w:rPr>
                <w:sz w:val="22"/>
                <w:szCs w:val="22"/>
                <w:color w:val="auto"/>
              </w:rPr>
            </w:pPr>
          </w:p>
        </w:tc>
        <w:tc>
          <w:tcPr>
            <w:tcW w:w="1060" w:type="dxa"/>
            <w:vAlign w:val="bottom"/>
            <w:shd w:val="clear" w:color="auto" w:fill="DCDDDE"/>
          </w:tcPr>
          <w:p>
            <w:pPr>
              <w:spacing w:after="0"/>
              <w:rPr>
                <w:sz w:val="22"/>
                <w:szCs w:val="22"/>
                <w:color w:val="auto"/>
              </w:rPr>
            </w:pPr>
          </w:p>
        </w:tc>
        <w:tc>
          <w:tcPr>
            <w:tcW w:w="280" w:type="dxa"/>
            <w:vAlign w:val="bottom"/>
            <w:shd w:val="clear" w:color="auto" w:fill="DCDDDE"/>
          </w:tcPr>
          <w:p>
            <w:pPr>
              <w:spacing w:after="0"/>
              <w:rPr>
                <w:sz w:val="22"/>
                <w:szCs w:val="22"/>
                <w:color w:val="auto"/>
              </w:rPr>
            </w:pPr>
          </w:p>
        </w:tc>
        <w:tc>
          <w:tcPr>
            <w:tcW w:w="960" w:type="dxa"/>
            <w:vAlign w:val="bottom"/>
            <w:shd w:val="clear" w:color="auto" w:fill="DCDDDE"/>
          </w:tcPr>
          <w:p>
            <w:pPr>
              <w:spacing w:after="0"/>
              <w:rPr>
                <w:sz w:val="22"/>
                <w:szCs w:val="22"/>
                <w:color w:val="auto"/>
              </w:rPr>
            </w:pPr>
          </w:p>
        </w:tc>
        <w:tc>
          <w:tcPr>
            <w:tcW w:w="320" w:type="dxa"/>
            <w:vAlign w:val="bottom"/>
            <w:shd w:val="clear" w:color="auto" w:fill="DCDDDE"/>
          </w:tcPr>
          <w:p>
            <w:pPr>
              <w:spacing w:after="0"/>
              <w:rPr>
                <w:sz w:val="22"/>
                <w:szCs w:val="22"/>
                <w:color w:val="auto"/>
              </w:rPr>
            </w:pPr>
          </w:p>
        </w:tc>
        <w:tc>
          <w:tcPr>
            <w:tcW w:w="940" w:type="dxa"/>
            <w:vAlign w:val="bottom"/>
            <w:shd w:val="clear" w:color="auto" w:fill="DCDDDE"/>
          </w:tcPr>
          <w:p>
            <w:pPr>
              <w:spacing w:after="0"/>
              <w:rPr>
                <w:sz w:val="22"/>
                <w:szCs w:val="22"/>
                <w:color w:val="auto"/>
              </w:rPr>
            </w:pPr>
          </w:p>
        </w:tc>
        <w:tc>
          <w:tcPr>
            <w:tcW w:w="200" w:type="dxa"/>
            <w:vAlign w:val="bottom"/>
            <w:shd w:val="clear" w:color="auto" w:fill="DCDDDE"/>
          </w:tcPr>
          <w:p>
            <w:pPr>
              <w:spacing w:after="0"/>
              <w:rPr>
                <w:sz w:val="22"/>
                <w:szCs w:val="22"/>
                <w:color w:val="auto"/>
              </w:rPr>
            </w:pPr>
          </w:p>
        </w:tc>
        <w:tc>
          <w:tcPr>
            <w:tcW w:w="220" w:type="dxa"/>
            <w:vAlign w:val="bottom"/>
            <w:shd w:val="clear" w:color="auto" w:fill="DCDDDE"/>
          </w:tcPr>
          <w:p>
            <w:pPr>
              <w:spacing w:after="0"/>
              <w:rPr>
                <w:sz w:val="22"/>
                <w:szCs w:val="22"/>
                <w:color w:val="auto"/>
              </w:rPr>
            </w:pPr>
          </w:p>
        </w:tc>
        <w:tc>
          <w:tcPr>
            <w:tcW w:w="820" w:type="dxa"/>
            <w:vAlign w:val="bottom"/>
            <w:shd w:val="clear" w:color="auto" w:fill="DCDDDE"/>
          </w:tcPr>
          <w:p>
            <w:pPr>
              <w:spacing w:after="0"/>
              <w:rPr>
                <w:sz w:val="22"/>
                <w:szCs w:val="22"/>
                <w:color w:val="auto"/>
              </w:rPr>
            </w:pPr>
          </w:p>
        </w:tc>
        <w:tc>
          <w:tcPr>
            <w:tcW w:w="60" w:type="dxa"/>
            <w:vAlign w:val="bottom"/>
          </w:tcPr>
          <w:p>
            <w:pPr>
              <w:spacing w:after="0"/>
              <w:rPr>
                <w:sz w:val="22"/>
                <w:szCs w:val="22"/>
                <w:color w:val="auto"/>
              </w:rPr>
            </w:pPr>
          </w:p>
        </w:tc>
      </w:tr>
      <w:tr>
        <w:trPr>
          <w:trHeight w:val="246"/>
        </w:trPr>
        <w:tc>
          <w:tcPr>
            <w:tcW w:w="4960" w:type="dxa"/>
            <w:vAlign w:val="bottom"/>
            <w:tcBorders>
              <w:bottom w:val="single" w:sz="8" w:color="DCDDDE"/>
            </w:tcBorders>
            <w:shd w:val="clear" w:color="auto" w:fill="DCDDDE"/>
          </w:tcPr>
          <w:p>
            <w:pPr>
              <w:ind w:left="180"/>
              <w:spacing w:after="0"/>
              <w:rPr>
                <w:sz w:val="20"/>
                <w:szCs w:val="20"/>
                <w:color w:val="auto"/>
              </w:rPr>
            </w:pPr>
            <w:r>
              <w:rPr>
                <w:rFonts w:ascii="Calibri" w:cs="Calibri" w:eastAsia="Calibri" w:hAnsi="Calibri"/>
                <w:sz w:val="18"/>
                <w:szCs w:val="18"/>
                <w:color w:val="231F20"/>
              </w:rPr>
              <w:t>Awards Granted Prior to Year that Vested During Year</w:t>
            </w:r>
          </w:p>
        </w:tc>
        <w:tc>
          <w:tcPr>
            <w:tcW w:w="320" w:type="dxa"/>
            <w:vAlign w:val="bottom"/>
            <w:tcBorders>
              <w:bottom w:val="single" w:sz="8" w:color="DCDDDE"/>
            </w:tcBorders>
            <w:shd w:val="clear" w:color="auto" w:fill="DCDDDE"/>
          </w:tcPr>
          <w:p>
            <w:pPr>
              <w:jc w:val="right"/>
              <w:ind w:right="50"/>
              <w:spacing w:after="0"/>
              <w:rPr>
                <w:sz w:val="20"/>
                <w:szCs w:val="20"/>
                <w:color w:val="auto"/>
              </w:rPr>
            </w:pPr>
            <w:r>
              <w:rPr>
                <w:rFonts w:ascii="Calibri" w:cs="Calibri" w:eastAsia="Calibri" w:hAnsi="Calibri"/>
                <w:sz w:val="18"/>
                <w:szCs w:val="18"/>
                <w:color w:val="231F20"/>
              </w:rPr>
              <w:t>$</w:t>
            </w:r>
          </w:p>
        </w:tc>
        <w:tc>
          <w:tcPr>
            <w:tcW w:w="106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91,527</w:t>
            </w:r>
          </w:p>
        </w:tc>
        <w:tc>
          <w:tcPr>
            <w:tcW w:w="280" w:type="dxa"/>
            <w:vAlign w:val="bottom"/>
            <w:tcBorders>
              <w:bottom w:val="single" w:sz="8" w:color="DCDDDE"/>
            </w:tcBorders>
            <w:shd w:val="clear" w:color="auto" w:fill="DCDDDE"/>
          </w:tcPr>
          <w:p>
            <w:pPr>
              <w:jc w:val="right"/>
              <w:ind w:right="30"/>
              <w:spacing w:after="0"/>
              <w:rPr>
                <w:sz w:val="20"/>
                <w:szCs w:val="20"/>
                <w:color w:val="auto"/>
              </w:rPr>
            </w:pPr>
            <w:r>
              <w:rPr>
                <w:rFonts w:ascii="Calibri" w:cs="Calibri" w:eastAsia="Calibri" w:hAnsi="Calibri"/>
                <w:sz w:val="18"/>
                <w:szCs w:val="18"/>
                <w:color w:val="231F20"/>
              </w:rPr>
              <w:t>$</w:t>
            </w:r>
          </w:p>
        </w:tc>
        <w:tc>
          <w:tcPr>
            <w:tcW w:w="960" w:type="dxa"/>
            <w:vAlign w:val="bottom"/>
            <w:tcBorders>
              <w:bottom w:val="single" w:sz="8" w:color="DCDDDE"/>
            </w:tcBorders>
            <w:shd w:val="clear" w:color="auto" w:fill="DCDDDE"/>
          </w:tcPr>
          <w:p>
            <w:pPr>
              <w:jc w:val="right"/>
              <w:ind w:right="33"/>
              <w:spacing w:after="0"/>
              <w:rPr>
                <w:sz w:val="20"/>
                <w:szCs w:val="20"/>
                <w:color w:val="auto"/>
              </w:rPr>
            </w:pPr>
            <w:r>
              <w:rPr>
                <w:rFonts w:ascii="Calibri" w:cs="Calibri" w:eastAsia="Calibri" w:hAnsi="Calibri"/>
                <w:sz w:val="18"/>
                <w:szCs w:val="18"/>
                <w:color w:val="231F20"/>
              </w:rPr>
              <w:t>5,263</w:t>
            </w:r>
          </w:p>
        </w:tc>
        <w:tc>
          <w:tcPr>
            <w:tcW w:w="320" w:type="dxa"/>
            <w:vAlign w:val="bottom"/>
            <w:tcBorders>
              <w:bottom w:val="single" w:sz="8" w:color="DCDDDE"/>
            </w:tcBorders>
            <w:shd w:val="clear" w:color="auto" w:fill="DCDDDE"/>
          </w:tcPr>
          <w:p>
            <w:pPr>
              <w:jc w:val="right"/>
              <w:ind w:right="50"/>
              <w:spacing w:after="0"/>
              <w:rPr>
                <w:sz w:val="20"/>
                <w:szCs w:val="20"/>
                <w:color w:val="auto"/>
              </w:rPr>
            </w:pPr>
            <w:r>
              <w:rPr>
                <w:rFonts w:ascii="Calibri" w:cs="Calibri" w:eastAsia="Calibri" w:hAnsi="Calibri"/>
                <w:sz w:val="18"/>
                <w:szCs w:val="18"/>
                <w:color w:val="231F20"/>
              </w:rPr>
              <w:t>$</w:t>
            </w:r>
          </w:p>
        </w:tc>
        <w:tc>
          <w:tcPr>
            <w:tcW w:w="1140" w:type="dxa"/>
            <w:vAlign w:val="bottom"/>
            <w:tcBorders>
              <w:bottom w:val="single" w:sz="8" w:color="DCDDDE"/>
            </w:tcBorders>
            <w:gridSpan w:val="2"/>
            <w:shd w:val="clear" w:color="auto" w:fill="DCDDDE"/>
          </w:tcPr>
          <w:p>
            <w:pPr>
              <w:jc w:val="right"/>
              <w:ind w:right="200"/>
              <w:spacing w:after="0"/>
              <w:rPr>
                <w:sz w:val="20"/>
                <w:szCs w:val="20"/>
                <w:color w:val="auto"/>
              </w:rPr>
            </w:pPr>
            <w:r>
              <w:rPr>
                <w:rFonts w:ascii="Calibri" w:cs="Calibri" w:eastAsia="Calibri" w:hAnsi="Calibri"/>
                <w:sz w:val="18"/>
                <w:szCs w:val="18"/>
                <w:color w:val="231F20"/>
              </w:rPr>
              <w:t>149,658</w:t>
            </w:r>
          </w:p>
        </w:tc>
        <w:tc>
          <w:tcPr>
            <w:tcW w:w="220" w:type="dxa"/>
            <w:vAlign w:val="bottom"/>
            <w:tcBorders>
              <w:bottom w:val="single" w:sz="8" w:color="DCDDDE"/>
            </w:tcBorders>
            <w:shd w:val="clear" w:color="auto" w:fill="DCDDDE"/>
          </w:tcPr>
          <w:p>
            <w:pPr>
              <w:jc w:val="right"/>
              <w:ind w:right="60"/>
              <w:spacing w:after="0"/>
              <w:rPr>
                <w:sz w:val="20"/>
                <w:szCs w:val="20"/>
                <w:color w:val="auto"/>
              </w:rPr>
            </w:pPr>
            <w:r>
              <w:rPr>
                <w:rFonts w:ascii="Calibri" w:cs="Calibri" w:eastAsia="Calibri" w:hAnsi="Calibri"/>
                <w:sz w:val="16"/>
                <w:szCs w:val="16"/>
                <w:color w:val="231F20"/>
                <w:w w:val="73"/>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(51,710)</w:t>
            </w:r>
          </w:p>
        </w:tc>
        <w:tc>
          <w:tcPr>
            <w:tcW w:w="60" w:type="dxa"/>
            <w:vAlign w:val="bottom"/>
          </w:tcPr>
          <w:p>
            <w:pPr>
              <w:spacing w:after="0"/>
              <w:rPr>
                <w:sz w:val="21"/>
                <w:szCs w:val="21"/>
                <w:color w:val="auto"/>
              </w:rPr>
            </w:pPr>
          </w:p>
        </w:tc>
      </w:tr>
      <w:tr>
        <w:trPr>
          <w:trHeight w:val="254"/>
        </w:trPr>
        <w:tc>
          <w:tcPr>
            <w:tcW w:w="4960" w:type="dxa"/>
            <w:vAlign w:val="bottom"/>
          </w:tcPr>
          <w:p>
            <w:pPr>
              <w:spacing w:after="0"/>
              <w:rPr>
                <w:sz w:val="20"/>
                <w:szCs w:val="20"/>
                <w:color w:val="auto"/>
              </w:rPr>
            </w:pPr>
            <w:r>
              <w:rPr>
                <w:rFonts w:ascii="Calibri" w:cs="Calibri" w:eastAsia="Calibri" w:hAnsi="Calibri"/>
                <w:sz w:val="18"/>
                <w:szCs w:val="18"/>
                <w:color w:val="231F20"/>
              </w:rPr>
              <w:t>Increase based on Dividends or Other Earnings Paid During Year</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4960" w:type="dxa"/>
            <w:vAlign w:val="bottom"/>
          </w:tcPr>
          <w:p>
            <w:pPr>
              <w:ind w:left="180"/>
              <w:spacing w:after="0"/>
              <w:rPr>
                <w:sz w:val="20"/>
                <w:szCs w:val="20"/>
                <w:color w:val="auto"/>
              </w:rPr>
            </w:pPr>
            <w:r>
              <w:rPr>
                <w:rFonts w:ascii="Calibri" w:cs="Calibri" w:eastAsia="Calibri" w:hAnsi="Calibri"/>
                <w:sz w:val="18"/>
                <w:szCs w:val="18"/>
                <w:color w:val="231F20"/>
              </w:rPr>
              <w:t>prior to Vesting Date of Award</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231F20"/>
              </w:rPr>
              <w:t>$</w:t>
            </w:r>
          </w:p>
        </w:tc>
        <w:tc>
          <w:tcPr>
            <w:tcW w:w="1060" w:type="dxa"/>
            <w:vAlign w:val="bottom"/>
          </w:tcPr>
          <w:p>
            <w:pPr>
              <w:jc w:val="right"/>
              <w:ind w:right="31"/>
              <w:spacing w:after="0"/>
              <w:rPr>
                <w:sz w:val="20"/>
                <w:szCs w:val="20"/>
                <w:color w:val="auto"/>
              </w:rPr>
            </w:pPr>
            <w:r>
              <w:rPr>
                <w:rFonts w:ascii="Calibri" w:cs="Calibri" w:eastAsia="Calibri" w:hAnsi="Calibri"/>
                <w:sz w:val="18"/>
                <w:szCs w:val="18"/>
                <w:color w:val="231F20"/>
              </w:rPr>
              <w:t>104,406</w:t>
            </w:r>
          </w:p>
        </w:tc>
        <w:tc>
          <w:tcPr>
            <w:tcW w:w="280" w:type="dxa"/>
            <w:vAlign w:val="bottom"/>
          </w:tcPr>
          <w:p>
            <w:pPr>
              <w:jc w:val="right"/>
              <w:ind w:right="30"/>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ind w:right="33"/>
              <w:spacing w:after="0"/>
              <w:rPr>
                <w:sz w:val="20"/>
                <w:szCs w:val="20"/>
                <w:color w:val="auto"/>
              </w:rPr>
            </w:pPr>
            <w:r>
              <w:rPr>
                <w:rFonts w:ascii="Calibri" w:cs="Calibri" w:eastAsia="Calibri" w:hAnsi="Calibri"/>
                <w:sz w:val="18"/>
                <w:szCs w:val="18"/>
                <w:color w:val="231F20"/>
              </w:rPr>
              <w:t>108,881</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231F20"/>
              </w:rPr>
              <w:t>$</w:t>
            </w:r>
          </w:p>
        </w:tc>
        <w:tc>
          <w:tcPr>
            <w:tcW w:w="1140" w:type="dxa"/>
            <w:vAlign w:val="bottom"/>
            <w:gridSpan w:val="2"/>
          </w:tcPr>
          <w:p>
            <w:pPr>
              <w:jc w:val="right"/>
              <w:ind w:right="200"/>
              <w:spacing w:after="0"/>
              <w:rPr>
                <w:sz w:val="20"/>
                <w:szCs w:val="20"/>
                <w:color w:val="auto"/>
              </w:rPr>
            </w:pPr>
            <w:r>
              <w:rPr>
                <w:rFonts w:ascii="Calibri" w:cs="Calibri" w:eastAsia="Calibri" w:hAnsi="Calibri"/>
                <w:sz w:val="18"/>
                <w:szCs w:val="18"/>
                <w:color w:val="231F20"/>
              </w:rPr>
              <w:t>103,048</w:t>
            </w:r>
          </w:p>
        </w:tc>
        <w:tc>
          <w:tcPr>
            <w:tcW w:w="220" w:type="dxa"/>
            <w:vAlign w:val="bottom"/>
          </w:tcPr>
          <w:p>
            <w:pPr>
              <w:jc w:val="right"/>
              <w:ind w:right="60"/>
              <w:spacing w:after="0"/>
              <w:rPr>
                <w:sz w:val="20"/>
                <w:szCs w:val="20"/>
                <w:color w:val="auto"/>
              </w:rPr>
            </w:pPr>
            <w:r>
              <w:rPr>
                <w:rFonts w:ascii="Calibri" w:cs="Calibri" w:eastAsia="Calibri" w:hAnsi="Calibri"/>
                <w:sz w:val="16"/>
                <w:szCs w:val="16"/>
                <w:color w:val="231F20"/>
                <w:w w:val="73"/>
              </w:rPr>
              <w:t>$</w:t>
            </w:r>
          </w:p>
        </w:tc>
        <w:tc>
          <w:tcPr>
            <w:tcW w:w="880" w:type="dxa"/>
            <w:vAlign w:val="bottom"/>
            <w:gridSpan w:val="2"/>
          </w:tcPr>
          <w:p>
            <w:pPr>
              <w:jc w:val="right"/>
              <w:ind w:right="60"/>
              <w:spacing w:after="0"/>
              <w:rPr>
                <w:sz w:val="20"/>
                <w:szCs w:val="20"/>
                <w:color w:val="auto"/>
              </w:rPr>
            </w:pPr>
            <w:r>
              <w:rPr>
                <w:rFonts w:ascii="Calibri" w:cs="Calibri" w:eastAsia="Calibri" w:hAnsi="Calibri"/>
                <w:sz w:val="18"/>
                <w:szCs w:val="18"/>
                <w:color w:val="231F20"/>
              </w:rPr>
              <w:t>60,114</w:t>
            </w:r>
          </w:p>
        </w:tc>
      </w:tr>
      <w:tr>
        <w:trPr>
          <w:trHeight w:val="26"/>
        </w:trPr>
        <w:tc>
          <w:tcPr>
            <w:tcW w:w="49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52"/>
        </w:trPr>
        <w:tc>
          <w:tcPr>
            <w:tcW w:w="4960" w:type="dxa"/>
            <w:vAlign w:val="bottom"/>
            <w:shd w:val="clear" w:color="auto" w:fill="DCDDDE"/>
          </w:tcPr>
          <w:p>
            <w:pPr>
              <w:spacing w:after="0"/>
              <w:rPr>
                <w:sz w:val="20"/>
                <w:szCs w:val="20"/>
                <w:color w:val="auto"/>
              </w:rPr>
            </w:pPr>
            <w:r>
              <w:rPr>
                <w:rFonts w:ascii="Calibri" w:cs="Calibri" w:eastAsia="Calibri" w:hAnsi="Calibri"/>
                <w:sz w:val="18"/>
                <w:szCs w:val="18"/>
                <w:b w:val="1"/>
                <w:bCs w:val="1"/>
                <w:color w:val="231F20"/>
              </w:rPr>
              <w:t>Total Adjustments</w:t>
            </w:r>
          </w:p>
        </w:tc>
        <w:tc>
          <w:tcPr>
            <w:tcW w:w="320" w:type="dxa"/>
            <w:vAlign w:val="bottom"/>
            <w:shd w:val="clear" w:color="auto" w:fill="DCDDDE"/>
          </w:tcPr>
          <w:p>
            <w:pPr>
              <w:jc w:val="right"/>
              <w:ind w:right="50"/>
              <w:spacing w:after="0"/>
              <w:rPr>
                <w:sz w:val="20"/>
                <w:szCs w:val="20"/>
                <w:color w:val="auto"/>
              </w:rPr>
            </w:pPr>
            <w:r>
              <w:rPr>
                <w:rFonts w:ascii="Calibri" w:cs="Calibri" w:eastAsia="Calibri" w:hAnsi="Calibri"/>
                <w:sz w:val="18"/>
                <w:szCs w:val="18"/>
                <w:b w:val="1"/>
                <w:bCs w:val="1"/>
                <w:color w:val="231F20"/>
              </w:rPr>
              <w:t>$</w:t>
            </w:r>
          </w:p>
        </w:tc>
        <w:tc>
          <w:tcPr>
            <w:tcW w:w="1060" w:type="dxa"/>
            <w:vAlign w:val="bottom"/>
            <w:shd w:val="clear" w:color="auto" w:fill="DCDDDE"/>
          </w:tcPr>
          <w:p>
            <w:pPr>
              <w:jc w:val="right"/>
              <w:ind w:right="31"/>
              <w:spacing w:after="0"/>
              <w:rPr>
                <w:sz w:val="20"/>
                <w:szCs w:val="20"/>
                <w:color w:val="auto"/>
              </w:rPr>
            </w:pPr>
            <w:r>
              <w:rPr>
                <w:rFonts w:ascii="Calibri" w:cs="Calibri" w:eastAsia="Calibri" w:hAnsi="Calibri"/>
                <w:sz w:val="18"/>
                <w:szCs w:val="18"/>
                <w:b w:val="1"/>
                <w:bCs w:val="1"/>
                <w:color w:val="231F20"/>
              </w:rPr>
              <w:t>242,936</w:t>
            </w:r>
          </w:p>
        </w:tc>
        <w:tc>
          <w:tcPr>
            <w:tcW w:w="280" w:type="dxa"/>
            <w:vAlign w:val="bottom"/>
            <w:shd w:val="clear" w:color="auto" w:fill="DCDDDE"/>
          </w:tcPr>
          <w:p>
            <w:pPr>
              <w:jc w:val="right"/>
              <w:ind w:right="30"/>
              <w:spacing w:after="0"/>
              <w:rPr>
                <w:sz w:val="20"/>
                <w:szCs w:val="20"/>
                <w:color w:val="auto"/>
              </w:rPr>
            </w:pPr>
            <w:r>
              <w:rPr>
                <w:rFonts w:ascii="Calibri" w:cs="Calibri" w:eastAsia="Calibri" w:hAnsi="Calibri"/>
                <w:sz w:val="18"/>
                <w:szCs w:val="18"/>
                <w:b w:val="1"/>
                <w:bCs w:val="1"/>
                <w:color w:val="231F20"/>
              </w:rPr>
              <w:t>$</w:t>
            </w:r>
          </w:p>
        </w:tc>
        <w:tc>
          <w:tcPr>
            <w:tcW w:w="960" w:type="dxa"/>
            <w:vAlign w:val="bottom"/>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(508,292)</w:t>
            </w:r>
          </w:p>
        </w:tc>
        <w:tc>
          <w:tcPr>
            <w:tcW w:w="320" w:type="dxa"/>
            <w:vAlign w:val="bottom"/>
            <w:shd w:val="clear" w:color="auto" w:fill="DCDDDE"/>
          </w:tcPr>
          <w:p>
            <w:pPr>
              <w:jc w:val="right"/>
              <w:ind w:right="50"/>
              <w:spacing w:after="0"/>
              <w:rPr>
                <w:sz w:val="20"/>
                <w:szCs w:val="20"/>
                <w:color w:val="auto"/>
              </w:rPr>
            </w:pPr>
            <w:r>
              <w:rPr>
                <w:rFonts w:ascii="Calibri" w:cs="Calibri" w:eastAsia="Calibri" w:hAnsi="Calibri"/>
                <w:sz w:val="18"/>
                <w:szCs w:val="18"/>
                <w:b w:val="1"/>
                <w:bCs w:val="1"/>
                <w:color w:val="231F20"/>
              </w:rPr>
              <w:t>$</w:t>
            </w:r>
          </w:p>
        </w:tc>
        <w:tc>
          <w:tcPr>
            <w:tcW w:w="1140" w:type="dxa"/>
            <w:vAlign w:val="bottom"/>
            <w:gridSpan w:val="2"/>
            <w:shd w:val="clear" w:color="auto" w:fill="DCDDDE"/>
          </w:tcPr>
          <w:p>
            <w:pPr>
              <w:jc w:val="right"/>
              <w:ind w:right="200"/>
              <w:spacing w:after="0"/>
              <w:rPr>
                <w:sz w:val="20"/>
                <w:szCs w:val="20"/>
                <w:color w:val="auto"/>
              </w:rPr>
            </w:pPr>
            <w:r>
              <w:rPr>
                <w:rFonts w:ascii="Calibri" w:cs="Calibri" w:eastAsia="Calibri" w:hAnsi="Calibri"/>
                <w:sz w:val="18"/>
                <w:szCs w:val="18"/>
                <w:b w:val="1"/>
                <w:bCs w:val="1"/>
                <w:color w:val="231F20"/>
              </w:rPr>
              <w:t>1,043,325</w:t>
            </w:r>
          </w:p>
        </w:tc>
        <w:tc>
          <w:tcPr>
            <w:tcW w:w="220" w:type="dxa"/>
            <w:vAlign w:val="bottom"/>
            <w:shd w:val="clear" w:color="auto" w:fill="DCDDDE"/>
          </w:tcPr>
          <w:p>
            <w:pPr>
              <w:jc w:val="right"/>
              <w:ind w:right="60"/>
              <w:spacing w:after="0"/>
              <w:rPr>
                <w:sz w:val="20"/>
                <w:szCs w:val="20"/>
                <w:color w:val="auto"/>
              </w:rPr>
            </w:pPr>
            <w:r>
              <w:rPr>
                <w:rFonts w:ascii="Calibri" w:cs="Calibri" w:eastAsia="Calibri" w:hAnsi="Calibri"/>
                <w:sz w:val="16"/>
                <w:szCs w:val="16"/>
                <w:b w:val="1"/>
                <w:bCs w:val="1"/>
                <w:color w:val="231F20"/>
                <w:w w:val="73"/>
              </w:rPr>
              <w:t>$</w:t>
            </w:r>
          </w:p>
        </w:tc>
        <w:tc>
          <w:tcPr>
            <w:tcW w:w="820" w:type="dxa"/>
            <w:vAlign w:val="bottom"/>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(893,862)</w:t>
            </w:r>
          </w:p>
        </w:tc>
        <w:tc>
          <w:tcPr>
            <w:tcW w:w="60" w:type="dxa"/>
            <w:vAlign w:val="bottom"/>
          </w:tcPr>
          <w:p>
            <w:pPr>
              <w:spacing w:after="0"/>
              <w:rPr>
                <w:sz w:val="21"/>
                <w:szCs w:val="21"/>
                <w:color w:val="auto"/>
              </w:rPr>
            </w:pPr>
          </w:p>
        </w:tc>
      </w:tr>
      <w:tr>
        <w:trPr>
          <w:trHeight w:val="48"/>
        </w:trPr>
        <w:tc>
          <w:tcPr>
            <w:tcW w:w="4960" w:type="dxa"/>
            <w:vAlign w:val="bottom"/>
            <w:shd w:val="clear" w:color="auto" w:fill="DCDDDE"/>
          </w:tcPr>
          <w:p>
            <w:pPr>
              <w:spacing w:after="0"/>
              <w:rPr>
                <w:sz w:val="4"/>
                <w:szCs w:val="4"/>
                <w:color w:val="auto"/>
              </w:rPr>
            </w:pPr>
          </w:p>
        </w:tc>
        <w:tc>
          <w:tcPr>
            <w:tcW w:w="320" w:type="dxa"/>
            <w:vAlign w:val="bottom"/>
            <w:shd w:val="clear" w:color="auto" w:fill="DCDDDE"/>
          </w:tcPr>
          <w:p>
            <w:pPr>
              <w:spacing w:after="0"/>
              <w:rPr>
                <w:sz w:val="4"/>
                <w:szCs w:val="4"/>
                <w:color w:val="auto"/>
              </w:rPr>
            </w:pPr>
          </w:p>
        </w:tc>
        <w:tc>
          <w:tcPr>
            <w:tcW w:w="1060" w:type="dxa"/>
            <w:vAlign w:val="bottom"/>
            <w:shd w:val="clear" w:color="auto" w:fill="DCDDDE"/>
          </w:tcPr>
          <w:p>
            <w:pPr>
              <w:spacing w:after="0"/>
              <w:rPr>
                <w:sz w:val="4"/>
                <w:szCs w:val="4"/>
                <w:color w:val="auto"/>
              </w:rPr>
            </w:pPr>
          </w:p>
        </w:tc>
        <w:tc>
          <w:tcPr>
            <w:tcW w:w="280" w:type="dxa"/>
            <w:vAlign w:val="bottom"/>
            <w:shd w:val="clear" w:color="auto" w:fill="DCDDDE"/>
          </w:tcPr>
          <w:p>
            <w:pPr>
              <w:spacing w:after="0"/>
              <w:rPr>
                <w:sz w:val="4"/>
                <w:szCs w:val="4"/>
                <w:color w:val="auto"/>
              </w:rPr>
            </w:pPr>
          </w:p>
        </w:tc>
        <w:tc>
          <w:tcPr>
            <w:tcW w:w="960" w:type="dxa"/>
            <w:vAlign w:val="bottom"/>
            <w:shd w:val="clear" w:color="auto" w:fill="DCDDDE"/>
          </w:tcPr>
          <w:p>
            <w:pPr>
              <w:spacing w:after="0"/>
              <w:rPr>
                <w:sz w:val="4"/>
                <w:szCs w:val="4"/>
                <w:color w:val="auto"/>
              </w:rPr>
            </w:pPr>
          </w:p>
        </w:tc>
        <w:tc>
          <w:tcPr>
            <w:tcW w:w="320" w:type="dxa"/>
            <w:vAlign w:val="bottom"/>
            <w:shd w:val="clear" w:color="auto" w:fill="DCDDDE"/>
          </w:tcPr>
          <w:p>
            <w:pPr>
              <w:spacing w:after="0"/>
              <w:rPr>
                <w:sz w:val="4"/>
                <w:szCs w:val="4"/>
                <w:color w:val="auto"/>
              </w:rPr>
            </w:pPr>
          </w:p>
        </w:tc>
        <w:tc>
          <w:tcPr>
            <w:tcW w:w="940" w:type="dxa"/>
            <w:vAlign w:val="bottom"/>
            <w:shd w:val="clear" w:color="auto" w:fill="DCDDDE"/>
          </w:tcPr>
          <w:p>
            <w:pPr>
              <w:spacing w:after="0"/>
              <w:rPr>
                <w:sz w:val="4"/>
                <w:szCs w:val="4"/>
                <w:color w:val="auto"/>
              </w:rPr>
            </w:pPr>
          </w:p>
        </w:tc>
        <w:tc>
          <w:tcPr>
            <w:tcW w:w="200" w:type="dxa"/>
            <w:vAlign w:val="bottom"/>
            <w:shd w:val="clear" w:color="auto" w:fill="DCDDDE"/>
          </w:tcPr>
          <w:p>
            <w:pPr>
              <w:spacing w:after="0"/>
              <w:rPr>
                <w:sz w:val="4"/>
                <w:szCs w:val="4"/>
                <w:color w:val="auto"/>
              </w:rPr>
            </w:pPr>
          </w:p>
        </w:tc>
        <w:tc>
          <w:tcPr>
            <w:tcW w:w="220" w:type="dxa"/>
            <w:vAlign w:val="bottom"/>
            <w:shd w:val="clear" w:color="auto" w:fill="DCDDDE"/>
          </w:tcPr>
          <w:p>
            <w:pPr>
              <w:spacing w:after="0"/>
              <w:rPr>
                <w:sz w:val="4"/>
                <w:szCs w:val="4"/>
                <w:color w:val="auto"/>
              </w:rPr>
            </w:pPr>
          </w:p>
        </w:tc>
        <w:tc>
          <w:tcPr>
            <w:tcW w:w="820" w:type="dxa"/>
            <w:vAlign w:val="bottom"/>
            <w:shd w:val="clear" w:color="auto" w:fill="DCDDDE"/>
          </w:tcPr>
          <w:p>
            <w:pPr>
              <w:spacing w:after="0"/>
              <w:rPr>
                <w:sz w:val="4"/>
                <w:szCs w:val="4"/>
                <w:color w:val="auto"/>
              </w:rPr>
            </w:pPr>
          </w:p>
        </w:tc>
        <w:tc>
          <w:tcPr>
            <w:tcW w:w="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736600</wp:posOffset>
                </wp:positionV>
                <wp:extent cx="6400800" cy="17780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59" o:spid="_x0000_s1484" style="position:absolute;margin-left:0pt;margin-top:5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736600</wp:posOffset>
                </wp:positionV>
                <wp:extent cx="0" cy="17780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58pt" to="0.5pt,7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742950</wp:posOffset>
                </wp:positionV>
                <wp:extent cx="6400800"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5pt" to="504pt,5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736600</wp:posOffset>
                </wp:positionV>
                <wp:extent cx="0" cy="17780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58pt" to="503.5pt,7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908050</wp:posOffset>
                </wp:positionV>
                <wp:extent cx="640080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04pt,71.5pt" o:allowincell="f" strokecolor="#231F20" strokeweight="1pt"/>
            </w:pict>
          </mc:Fallback>
        </mc:AlternateContent>
      </w:r>
    </w:p>
    <w:p>
      <w:pPr>
        <w:sectPr>
          <w:pgSz w:w="12240" w:h="15840" w:orient="portrait"/>
          <w:cols w:equalWidth="0" w:num="1">
            <w:col w:w="10140"/>
          </w:cols>
          <w:pgMar w:left="1080" w:top="1440" w:right="102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37</w:t>
      </w:r>
    </w:p>
    <w:p>
      <w:pPr>
        <w:sectPr>
          <w:pgSz w:w="12240" w:h="15840" w:orient="portrait"/>
          <w:cols w:equalWidth="0" w:num="1">
            <w:col w:w="10140"/>
          </w:cols>
          <w:pgMar w:left="1080" w:top="1440" w:right="1020" w:bottom="944" w:gutter="0" w:footer="0" w:header="0"/>
          <w:type w:val="continuous"/>
        </w:sectPr>
      </w:pPr>
    </w:p>
    <w:bookmarkStart w:id="157" w:name="page158"/>
    <w:bookmarkEnd w:id="157"/>
    <w:p>
      <w:pPr>
        <w:spacing w:after="0" w:line="15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1012825</wp:posOffset>
                </wp:positionV>
                <wp:extent cx="609600"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9.75pt" to="102pt,79.75pt" o:allowincell="f" strokecolor="#231F20" strokeweight="0.5pt">
                <w10:wrap anchorx="page" anchory="page"/>
              </v:line>
            </w:pict>
          </mc:Fallback>
        </mc:AlternateContent>
      </w:r>
    </w:p>
    <w:p>
      <w:pPr>
        <w:ind w:left="360" w:hanging="360"/>
        <w:spacing w:after="0"/>
        <w:tabs>
          <w:tab w:leader="none" w:pos="360" w:val="left"/>
        </w:tabs>
        <w:numPr>
          <w:ilvl w:val="0"/>
          <w:numId w:val="145"/>
        </w:numPr>
        <w:rPr>
          <w:rFonts w:ascii="Arial" w:cs="Arial" w:eastAsia="Arial" w:hAnsi="Arial"/>
          <w:sz w:val="23"/>
          <w:szCs w:val="23"/>
          <w:color w:val="231F20"/>
          <w:vertAlign w:val="superscript"/>
        </w:rPr>
      </w:pPr>
      <w:r>
        <w:rPr>
          <w:rFonts w:ascii="Arial" w:cs="Arial" w:eastAsia="Arial" w:hAnsi="Arial"/>
          <w:sz w:val="18"/>
          <w:szCs w:val="18"/>
          <w:color w:val="231F20"/>
        </w:rPr>
        <w:t>Peer group is the BBRESHOP Index.</w:t>
      </w:r>
    </w:p>
    <w:p>
      <w:pPr>
        <w:spacing w:after="0" w:line="55" w:lineRule="exact"/>
        <w:rPr>
          <w:rFonts w:ascii="Arial" w:cs="Arial" w:eastAsia="Arial" w:hAnsi="Arial"/>
          <w:sz w:val="23"/>
          <w:szCs w:val="23"/>
          <w:color w:val="231F20"/>
          <w:vertAlign w:val="superscript"/>
        </w:rPr>
      </w:pPr>
    </w:p>
    <w:p>
      <w:pPr>
        <w:jc w:val="both"/>
        <w:ind w:left="360" w:hanging="360"/>
        <w:spacing w:after="0" w:line="238" w:lineRule="auto"/>
        <w:tabs>
          <w:tab w:leader="none" w:pos="360" w:val="left"/>
        </w:tabs>
        <w:numPr>
          <w:ilvl w:val="0"/>
          <w:numId w:val="145"/>
        </w:numPr>
        <w:rPr>
          <w:rFonts w:ascii="Arial" w:cs="Arial" w:eastAsia="Arial" w:hAnsi="Arial"/>
          <w:sz w:val="23"/>
          <w:szCs w:val="23"/>
          <w:color w:val="231F20"/>
          <w:vertAlign w:val="superscript"/>
        </w:rPr>
      </w:pPr>
      <w:r>
        <w:rPr>
          <w:rFonts w:ascii="Arial" w:cs="Arial" w:eastAsia="Arial" w:hAnsi="Arial"/>
          <w:sz w:val="18"/>
          <w:szCs w:val="18"/>
          <w:color w:val="231F20"/>
        </w:rPr>
        <w:t>The Company has identified FFO per diluted share as the most important additional financial metric used to link pay and performance. Our annual bonus program pays out based on our absolute level of FFO per diluted share achieved for the year and one-third of our long-term incentive plan pays out based on a metric tied to FFO per diluted share. FFO per diluted share is a non-GAAP financial measure of a real estate company’s operating performance and is defined by the National Association of Real Estate Investment Trusts. We consider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FFO per diluted share to net income is included as Appendix A.</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Relationship to Compensation Actually Paid</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following charts show the relationship of the compensation actually paid to our CEO and the average compensation actually paid to our other NEOs to the total shareholder return for the Company and for the BBRESHOP Index.</w:t>
      </w:r>
    </w:p>
    <w:p>
      <w:pPr>
        <w:sectPr>
          <w:pgSz w:w="12240" w:h="15840" w:orient="portrait"/>
          <w:cols w:equalWidth="0" w:num="1">
            <w:col w:w="10080"/>
          </w:cols>
          <w:pgMar w:left="1080" w:top="1440" w:right="1080" w:bottom="944" w:gutter="0" w:footer="0" w:header="0"/>
        </w:sectPr>
      </w:pPr>
    </w:p>
    <w:p>
      <w:pPr>
        <w:spacing w:after="0" w:line="288" w:lineRule="exact"/>
        <w:rPr>
          <w:sz w:val="20"/>
          <w:szCs w:val="20"/>
          <w:color w:val="auto"/>
        </w:rPr>
      </w:pPr>
    </w:p>
    <w:p>
      <w:pPr>
        <w:jc w:val="center"/>
        <w:ind w:left="60"/>
        <w:spacing w:after="0"/>
        <w:rPr>
          <w:sz w:val="20"/>
          <w:szCs w:val="20"/>
          <w:color w:val="auto"/>
        </w:rPr>
      </w:pPr>
      <w:r>
        <w:rPr>
          <w:rFonts w:ascii="Calibri" w:cs="Calibri" w:eastAsia="Calibri" w:hAnsi="Calibri"/>
          <w:sz w:val="18"/>
          <w:szCs w:val="18"/>
          <w:color w:val="231F20"/>
        </w:rPr>
        <w:t>CEO Compensation Actually Paid v.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2874645" cy="16465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103">
                      <a:extLst>
                        <a:ext uri="{28A0092B-C50C-407E-A947-70E740481C1C}"/>
                      </a:extLst>
                    </a:blip>
                    <a:srcRect/>
                    <a:stretch>
                      <a:fillRect/>
                    </a:stretch>
                  </pic:blipFill>
                  <pic:spPr bwMode="auto">
                    <a:xfrm>
                      <a:off x="0" y="0"/>
                      <a:ext cx="2874645" cy="1646555"/>
                    </a:xfrm>
                    <a:prstGeom prst="rect">
                      <a:avLst/>
                    </a:prstGeom>
                    <a:noFill/>
                  </pic:spPr>
                </pic:pic>
              </a:graphicData>
            </a:graphic>
          </wp:anchor>
        </w:drawing>
      </w:r>
    </w:p>
    <w:p>
      <w:pPr>
        <w:spacing w:after="0" w:line="49" w:lineRule="exact"/>
        <w:rPr>
          <w:sz w:val="20"/>
          <w:szCs w:val="20"/>
          <w:color w:val="auto"/>
        </w:rPr>
      </w:pPr>
    </w:p>
    <w:p>
      <w:pPr>
        <w:ind w:left="4220"/>
        <w:spacing w:after="0"/>
        <w:rPr>
          <w:sz w:val="20"/>
          <w:szCs w:val="20"/>
          <w:color w:val="auto"/>
        </w:rPr>
      </w:pPr>
      <w:r>
        <w:rPr>
          <w:rFonts w:ascii="Calibri" w:cs="Calibri" w:eastAsia="Calibri" w:hAnsi="Calibri"/>
          <w:sz w:val="11"/>
          <w:szCs w:val="11"/>
          <w:color w:val="4C4C4E"/>
        </w:rPr>
        <w:t>40%</w:t>
      </w:r>
    </w:p>
    <w:p>
      <w:pPr>
        <w:spacing w:after="0" w:line="41" w:lineRule="exact"/>
        <w:rPr>
          <w:sz w:val="20"/>
          <w:szCs w:val="20"/>
          <w:color w:val="auto"/>
        </w:rPr>
      </w:pPr>
    </w:p>
    <w:tbl>
      <w:tblPr>
        <w:tblLayout w:type="fixed"/>
        <w:tblInd w:w="100" w:type="dxa"/>
        <w:tblCellMar>
          <w:top w:w="0" w:type="dxa"/>
          <w:left w:w="0" w:type="dxa"/>
          <w:bottom w:w="0" w:type="dxa"/>
          <w:right w:w="0" w:type="dxa"/>
        </w:tblCellMar>
      </w:tblPr>
      <w:tr>
        <w:trPr>
          <w:trHeight w:val="82"/>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w w:val="99"/>
              </w:rPr>
              <w:t>$14,500</w:t>
            </w:r>
          </w:p>
        </w:tc>
        <w:tc>
          <w:tcPr>
            <w:tcW w:w="420" w:type="dxa"/>
            <w:vAlign w:val="bottom"/>
            <w:tcBorders>
              <w:bottom w:val="single" w:sz="8" w:color="D9D9D8"/>
            </w:tcBorders>
          </w:tcPr>
          <w:p>
            <w:pPr>
              <w:spacing w:after="0"/>
              <w:rPr>
                <w:sz w:val="7"/>
                <w:szCs w:val="7"/>
                <w:color w:val="auto"/>
              </w:rPr>
            </w:pPr>
          </w:p>
        </w:tc>
        <w:tc>
          <w:tcPr>
            <w:tcW w:w="240" w:type="dxa"/>
            <w:vAlign w:val="bottom"/>
            <w:tcBorders>
              <w:bottom w:val="single" w:sz="8" w:color="D9D9D8"/>
            </w:tcBorders>
          </w:tcPr>
          <w:p>
            <w:pPr>
              <w:spacing w:after="0"/>
              <w:rPr>
                <w:sz w:val="7"/>
                <w:szCs w:val="7"/>
                <w:color w:val="auto"/>
              </w:rPr>
            </w:pPr>
          </w:p>
        </w:tc>
        <w:tc>
          <w:tcPr>
            <w:tcW w:w="480" w:type="dxa"/>
            <w:vAlign w:val="bottom"/>
            <w:tcBorders>
              <w:bottom w:val="single" w:sz="8" w:color="D9D9D8"/>
            </w:tcBorders>
          </w:tcPr>
          <w:p>
            <w:pPr>
              <w:spacing w:after="0"/>
              <w:rPr>
                <w:sz w:val="7"/>
                <w:szCs w:val="7"/>
                <w:color w:val="auto"/>
              </w:rPr>
            </w:pPr>
          </w:p>
        </w:tc>
        <w:tc>
          <w:tcPr>
            <w:tcW w:w="100" w:type="dxa"/>
            <w:vAlign w:val="bottom"/>
            <w:tcBorders>
              <w:bottom w:val="single" w:sz="8" w:color="D9D9D8"/>
            </w:tcBorders>
          </w:tcPr>
          <w:p>
            <w:pPr>
              <w:spacing w:after="0"/>
              <w:rPr>
                <w:sz w:val="7"/>
                <w:szCs w:val="7"/>
                <w:color w:val="auto"/>
              </w:rPr>
            </w:pPr>
          </w:p>
        </w:tc>
        <w:tc>
          <w:tcPr>
            <w:tcW w:w="240" w:type="dxa"/>
            <w:vAlign w:val="bottom"/>
            <w:tcBorders>
              <w:bottom w:val="single" w:sz="8" w:color="D9D9D8"/>
            </w:tcBorders>
          </w:tcPr>
          <w:p>
            <w:pPr>
              <w:spacing w:after="0"/>
              <w:rPr>
                <w:sz w:val="7"/>
                <w:szCs w:val="7"/>
                <w:color w:val="auto"/>
              </w:rPr>
            </w:pPr>
          </w:p>
        </w:tc>
        <w:tc>
          <w:tcPr>
            <w:tcW w:w="520" w:type="dxa"/>
            <w:vAlign w:val="bottom"/>
            <w:tcBorders>
              <w:bottom w:val="single" w:sz="8" w:color="D9D9D8"/>
            </w:tcBorders>
          </w:tcPr>
          <w:p>
            <w:pPr>
              <w:spacing w:after="0"/>
              <w:rPr>
                <w:sz w:val="7"/>
                <w:szCs w:val="7"/>
                <w:color w:val="auto"/>
              </w:rPr>
            </w:pPr>
          </w:p>
        </w:tc>
        <w:tc>
          <w:tcPr>
            <w:tcW w:w="240" w:type="dxa"/>
            <w:vAlign w:val="bottom"/>
            <w:tcBorders>
              <w:bottom w:val="single" w:sz="8" w:color="D9D9D8"/>
            </w:tcBorders>
          </w:tcPr>
          <w:p>
            <w:pPr>
              <w:spacing w:after="0"/>
              <w:rPr>
                <w:sz w:val="7"/>
                <w:szCs w:val="7"/>
                <w:color w:val="auto"/>
              </w:rPr>
            </w:pPr>
          </w:p>
        </w:tc>
        <w:tc>
          <w:tcPr>
            <w:tcW w:w="720" w:type="dxa"/>
            <w:vAlign w:val="bottom"/>
            <w:tcBorders>
              <w:bottom w:val="single" w:sz="8" w:color="D9D9D8"/>
            </w:tcBorders>
          </w:tcPr>
          <w:p>
            <w:pPr>
              <w:spacing w:after="0"/>
              <w:rPr>
                <w:sz w:val="7"/>
                <w:szCs w:val="7"/>
                <w:color w:val="auto"/>
              </w:rPr>
            </w:pPr>
          </w:p>
        </w:tc>
        <w:tc>
          <w:tcPr>
            <w:tcW w:w="560" w:type="dxa"/>
            <w:vAlign w:val="bottom"/>
            <w:tcBorders>
              <w:bottom w:val="single" w:sz="8" w:color="D9D9D8"/>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5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w w:val="99"/>
              </w:rPr>
              <w:t>$12,000</w:t>
            </w:r>
          </w:p>
        </w:tc>
        <w:tc>
          <w:tcPr>
            <w:tcW w:w="42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480" w:type="dxa"/>
            <w:vAlign w:val="bottom"/>
            <w:tcBorders>
              <w:bottom w:val="single" w:sz="8" w:color="D9D9D8"/>
            </w:tcBorders>
          </w:tcPr>
          <w:p>
            <w:pPr>
              <w:spacing w:after="0"/>
              <w:rPr>
                <w:sz w:val="19"/>
                <w:szCs w:val="19"/>
                <w:color w:val="auto"/>
              </w:rPr>
            </w:pPr>
          </w:p>
        </w:tc>
        <w:tc>
          <w:tcPr>
            <w:tcW w:w="10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52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720" w:type="dxa"/>
            <w:vAlign w:val="bottom"/>
            <w:tcBorders>
              <w:bottom w:val="single" w:sz="8" w:color="D9D9D8"/>
            </w:tcBorders>
          </w:tcPr>
          <w:p>
            <w:pPr>
              <w:spacing w:after="0"/>
              <w:rPr>
                <w:sz w:val="19"/>
                <w:szCs w:val="19"/>
                <w:color w:val="auto"/>
              </w:rPr>
            </w:pPr>
          </w:p>
        </w:tc>
        <w:tc>
          <w:tcPr>
            <w:tcW w:w="560" w:type="dxa"/>
            <w:vAlign w:val="bottom"/>
            <w:tcBorders>
              <w:bottom w:val="single" w:sz="8" w:color="D9D9D8"/>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2"/>
            <w:vMerge w:val="restart"/>
          </w:tcPr>
          <w:p>
            <w:pPr>
              <w:ind w:left="660"/>
              <w:spacing w:after="0"/>
              <w:rPr>
                <w:sz w:val="20"/>
                <w:szCs w:val="20"/>
                <w:color w:val="auto"/>
              </w:rPr>
            </w:pPr>
            <w:r>
              <w:rPr>
                <w:rFonts w:ascii="Calibri" w:cs="Calibri" w:eastAsia="Calibri" w:hAnsi="Calibri"/>
                <w:sz w:val="11"/>
                <w:szCs w:val="11"/>
                <w:color w:val="4C4C4E"/>
              </w:rPr>
              <w:t>10%</w:t>
            </w: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$9,500</w:t>
            </w:r>
          </w:p>
        </w:tc>
        <w:tc>
          <w:tcPr>
            <w:tcW w:w="42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480" w:type="dxa"/>
            <w:vAlign w:val="bottom"/>
            <w:tcBorders>
              <w:bottom w:val="single" w:sz="8" w:color="D9D9D8"/>
            </w:tcBorders>
          </w:tcPr>
          <w:p>
            <w:pPr>
              <w:spacing w:after="0"/>
              <w:rPr>
                <w:sz w:val="10"/>
                <w:szCs w:val="10"/>
                <w:color w:val="auto"/>
              </w:rPr>
            </w:pPr>
          </w:p>
        </w:tc>
        <w:tc>
          <w:tcPr>
            <w:tcW w:w="10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52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720" w:type="dxa"/>
            <w:vAlign w:val="bottom"/>
            <w:tcBorders>
              <w:bottom w:val="single" w:sz="8" w:color="D9D9D8"/>
            </w:tcBorders>
          </w:tcPr>
          <w:p>
            <w:pPr>
              <w:spacing w:after="0"/>
              <w:rPr>
                <w:sz w:val="10"/>
                <w:szCs w:val="10"/>
                <w:color w:val="auto"/>
              </w:rPr>
            </w:pPr>
          </w:p>
        </w:tc>
        <w:tc>
          <w:tcPr>
            <w:tcW w:w="560" w:type="dxa"/>
            <w:vAlign w:val="bottom"/>
            <w:tcBorders>
              <w:bottom w:val="single" w:sz="8" w:color="D9D9D8"/>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$7,000</w:t>
            </w:r>
          </w:p>
        </w:tc>
        <w:tc>
          <w:tcPr>
            <w:tcW w:w="42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480" w:type="dxa"/>
            <w:vAlign w:val="bottom"/>
            <w:tcBorders>
              <w:bottom w:val="single" w:sz="8" w:color="D9D9D8"/>
            </w:tcBorders>
          </w:tcPr>
          <w:p>
            <w:pPr>
              <w:spacing w:after="0"/>
              <w:rPr>
                <w:sz w:val="19"/>
                <w:szCs w:val="19"/>
                <w:color w:val="auto"/>
              </w:rPr>
            </w:pPr>
          </w:p>
        </w:tc>
        <w:tc>
          <w:tcPr>
            <w:tcW w:w="10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52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720" w:type="dxa"/>
            <w:vAlign w:val="bottom"/>
            <w:tcBorders>
              <w:bottom w:val="single" w:sz="8" w:color="D9D9D8"/>
            </w:tcBorders>
          </w:tcPr>
          <w:p>
            <w:pPr>
              <w:spacing w:after="0"/>
              <w:rPr>
                <w:sz w:val="19"/>
                <w:szCs w:val="19"/>
                <w:color w:val="auto"/>
              </w:rPr>
            </w:pPr>
          </w:p>
        </w:tc>
        <w:tc>
          <w:tcPr>
            <w:tcW w:w="560" w:type="dxa"/>
            <w:vAlign w:val="bottom"/>
            <w:tcBorders>
              <w:bottom w:val="single" w:sz="8" w:color="D9D9D8"/>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2"/>
            <w:vMerge w:val="restart"/>
          </w:tcPr>
          <w:p>
            <w:pPr>
              <w:ind w:left="660"/>
              <w:spacing w:after="0"/>
              <w:rPr>
                <w:sz w:val="20"/>
                <w:szCs w:val="20"/>
                <w:color w:val="auto"/>
              </w:rPr>
            </w:pPr>
            <w:r>
              <w:rPr>
                <w:rFonts w:ascii="Calibri" w:cs="Calibri" w:eastAsia="Calibri" w:hAnsi="Calibri"/>
                <w:sz w:val="11"/>
                <w:szCs w:val="11"/>
                <w:color w:val="4C4C4E"/>
                <w:w w:val="98"/>
              </w:rPr>
              <w:t>-20%</w:t>
            </w:r>
          </w:p>
        </w:tc>
        <w:tc>
          <w:tcPr>
            <w:tcW w:w="0" w:type="dxa"/>
            <w:vAlign w:val="bottom"/>
          </w:tcPr>
          <w:p>
            <w:pPr>
              <w:spacing w:after="0"/>
              <w:rPr>
                <w:sz w:val="1"/>
                <w:szCs w:val="1"/>
                <w:color w:val="auto"/>
              </w:rPr>
            </w:pPr>
          </w:p>
        </w:tc>
      </w:tr>
      <w:tr>
        <w:trPr>
          <w:trHeight w:val="93"/>
        </w:trPr>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$4,500</w:t>
            </w:r>
          </w:p>
        </w:tc>
        <w:tc>
          <w:tcPr>
            <w:tcW w:w="42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480" w:type="dxa"/>
            <w:vAlign w:val="bottom"/>
            <w:tcBorders>
              <w:bottom w:val="single" w:sz="8" w:color="D9D9D8"/>
            </w:tcBorders>
          </w:tcPr>
          <w:p>
            <w:pPr>
              <w:spacing w:after="0"/>
              <w:rPr>
                <w:sz w:val="10"/>
                <w:szCs w:val="10"/>
                <w:color w:val="auto"/>
              </w:rPr>
            </w:pPr>
          </w:p>
        </w:tc>
        <w:tc>
          <w:tcPr>
            <w:tcW w:w="10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52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720" w:type="dxa"/>
            <w:vAlign w:val="bottom"/>
            <w:tcBorders>
              <w:bottom w:val="single" w:sz="8" w:color="D9D9D8"/>
            </w:tcBorders>
          </w:tcPr>
          <w:p>
            <w:pPr>
              <w:spacing w:after="0"/>
              <w:rPr>
                <w:sz w:val="10"/>
                <w:szCs w:val="10"/>
                <w:color w:val="auto"/>
              </w:rPr>
            </w:pPr>
          </w:p>
        </w:tc>
        <w:tc>
          <w:tcPr>
            <w:tcW w:w="560" w:type="dxa"/>
            <w:vAlign w:val="bottom"/>
            <w:tcBorders>
              <w:bottom w:val="single" w:sz="8" w:color="D9D9D8"/>
            </w:tcBorders>
          </w:tcPr>
          <w:p>
            <w:pPr>
              <w:spacing w:after="0"/>
              <w:rPr>
                <w:sz w:val="10"/>
                <w:szCs w:val="10"/>
                <w:color w:val="auto"/>
              </w:rPr>
            </w:pPr>
          </w:p>
        </w:tc>
        <w:tc>
          <w:tcPr>
            <w:tcW w:w="340" w:type="dxa"/>
            <w:vAlign w:val="bottom"/>
            <w:vMerge w:val="restart"/>
          </w:tcPr>
          <w:p>
            <w:pPr>
              <w:ind w:left="100"/>
              <w:spacing w:after="0"/>
              <w:rPr>
                <w:sz w:val="20"/>
                <w:szCs w:val="20"/>
                <w:color w:val="auto"/>
              </w:rPr>
            </w:pPr>
            <w:r>
              <w:rPr>
                <w:rFonts w:ascii="Calibri" w:cs="Calibri" w:eastAsia="Calibri" w:hAnsi="Calibri"/>
                <w:sz w:val="11"/>
                <w:szCs w:val="11"/>
                <w:color w:val="4C4C4E"/>
                <w:w w:val="98"/>
              </w:rPr>
              <w:t>-50%</w:t>
            </w:r>
          </w:p>
        </w:tc>
        <w:tc>
          <w:tcPr>
            <w:tcW w:w="0" w:type="dxa"/>
            <w:vAlign w:val="bottom"/>
          </w:tcPr>
          <w:p>
            <w:pPr>
              <w:spacing w:after="0"/>
              <w:rPr>
                <w:sz w:val="1"/>
                <w:szCs w:val="1"/>
                <w:color w:val="auto"/>
              </w:rPr>
            </w:pPr>
          </w:p>
        </w:tc>
      </w:tr>
      <w:tr>
        <w:trPr>
          <w:trHeight w:val="51"/>
        </w:trPr>
        <w:tc>
          <w:tcPr>
            <w:tcW w:w="5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$2,000</w:t>
            </w:r>
          </w:p>
        </w:tc>
        <w:tc>
          <w:tcPr>
            <w:tcW w:w="42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480" w:type="dxa"/>
            <w:vAlign w:val="bottom"/>
            <w:tcBorders>
              <w:bottom w:val="single" w:sz="8" w:color="D9D9D8"/>
            </w:tcBorders>
          </w:tcPr>
          <w:p>
            <w:pPr>
              <w:spacing w:after="0"/>
              <w:rPr>
                <w:sz w:val="19"/>
                <w:szCs w:val="19"/>
                <w:color w:val="auto"/>
              </w:rPr>
            </w:pPr>
          </w:p>
        </w:tc>
        <w:tc>
          <w:tcPr>
            <w:tcW w:w="10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520" w:type="dxa"/>
            <w:vAlign w:val="bottom"/>
            <w:tcBorders>
              <w:bottom w:val="single" w:sz="8" w:color="D9D9D8"/>
            </w:tcBorders>
          </w:tcPr>
          <w:p>
            <w:pPr>
              <w:spacing w:after="0"/>
              <w:rPr>
                <w:sz w:val="19"/>
                <w:szCs w:val="19"/>
                <w:color w:val="auto"/>
              </w:rPr>
            </w:pPr>
          </w:p>
        </w:tc>
        <w:tc>
          <w:tcPr>
            <w:tcW w:w="240" w:type="dxa"/>
            <w:vAlign w:val="bottom"/>
            <w:tcBorders>
              <w:bottom w:val="single" w:sz="8" w:color="D9D9D8"/>
            </w:tcBorders>
          </w:tcPr>
          <w:p>
            <w:pPr>
              <w:spacing w:after="0"/>
              <w:rPr>
                <w:sz w:val="19"/>
                <w:szCs w:val="19"/>
                <w:color w:val="auto"/>
              </w:rPr>
            </w:pPr>
          </w:p>
        </w:tc>
        <w:tc>
          <w:tcPr>
            <w:tcW w:w="720" w:type="dxa"/>
            <w:vAlign w:val="bottom"/>
            <w:tcBorders>
              <w:bottom w:val="single" w:sz="8" w:color="D9D9D8"/>
            </w:tcBorders>
          </w:tcPr>
          <w:p>
            <w:pPr>
              <w:spacing w:after="0"/>
              <w:rPr>
                <w:sz w:val="19"/>
                <w:szCs w:val="19"/>
                <w:color w:val="auto"/>
              </w:rPr>
            </w:pPr>
          </w:p>
        </w:tc>
        <w:tc>
          <w:tcPr>
            <w:tcW w:w="560" w:type="dxa"/>
            <w:vAlign w:val="bottom"/>
            <w:tcBorders>
              <w:bottom w:val="single" w:sz="8" w:color="D9D9D8"/>
            </w:tcBorders>
          </w:tcPr>
          <w:p>
            <w:pPr>
              <w:spacing w:after="0"/>
              <w:rPr>
                <w:sz w:val="19"/>
                <w:szCs w:val="19"/>
                <w:color w:val="auto"/>
              </w:rPr>
            </w:pP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160" w:type="dxa"/>
            <w:vAlign w:val="bottom"/>
            <w:gridSpan w:val="3"/>
          </w:tcPr>
          <w:p>
            <w:pPr>
              <w:jc w:val="right"/>
              <w:ind w:right="100"/>
              <w:spacing w:after="0"/>
              <w:rPr>
                <w:sz w:val="20"/>
                <w:szCs w:val="20"/>
                <w:color w:val="auto"/>
              </w:rPr>
            </w:pPr>
            <w:r>
              <w:rPr>
                <w:rFonts w:ascii="Calibri" w:cs="Calibri" w:eastAsia="Calibri" w:hAnsi="Calibri"/>
                <w:sz w:val="11"/>
                <w:szCs w:val="11"/>
                <w:color w:val="4C4C4E"/>
              </w:rPr>
              <w:t>2020</w:t>
            </w:r>
          </w:p>
        </w:tc>
        <w:tc>
          <w:tcPr>
            <w:tcW w:w="48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Calibri" w:cs="Calibri" w:eastAsia="Calibri" w:hAnsi="Calibri"/>
                <w:sz w:val="11"/>
                <w:szCs w:val="11"/>
                <w:color w:val="4C4C4E"/>
              </w:rPr>
              <w:t>2021</w:t>
            </w:r>
          </w:p>
        </w:tc>
        <w:tc>
          <w:tcPr>
            <w:tcW w:w="520" w:type="dxa"/>
            <w:vAlign w:val="bottom"/>
          </w:tcPr>
          <w:p>
            <w:pPr>
              <w:spacing w:after="0"/>
              <w:rPr>
                <w:sz w:val="12"/>
                <w:szCs w:val="12"/>
                <w:color w:val="auto"/>
              </w:rPr>
            </w:pPr>
          </w:p>
        </w:tc>
        <w:tc>
          <w:tcPr>
            <w:tcW w:w="960" w:type="dxa"/>
            <w:vAlign w:val="bottom"/>
            <w:gridSpan w:val="2"/>
          </w:tcPr>
          <w:p>
            <w:pPr>
              <w:jc w:val="right"/>
              <w:ind w:right="585"/>
              <w:spacing w:after="0"/>
              <w:rPr>
                <w:sz w:val="20"/>
                <w:szCs w:val="20"/>
                <w:color w:val="auto"/>
              </w:rPr>
            </w:pPr>
            <w:r>
              <w:rPr>
                <w:rFonts w:ascii="Calibri" w:cs="Calibri" w:eastAsia="Calibri" w:hAnsi="Calibri"/>
                <w:sz w:val="11"/>
                <w:szCs w:val="11"/>
                <w:color w:val="4C4C4E"/>
              </w:rPr>
              <w:t>2022</w:t>
            </w:r>
          </w:p>
        </w:tc>
        <w:tc>
          <w:tcPr>
            <w:tcW w:w="560" w:type="dxa"/>
            <w:vAlign w:val="bottom"/>
          </w:tcPr>
          <w:p>
            <w:pPr>
              <w:jc w:val="right"/>
              <w:ind w:right="263"/>
              <w:spacing w:after="0"/>
              <w:rPr>
                <w:sz w:val="20"/>
                <w:szCs w:val="20"/>
                <w:color w:val="auto"/>
              </w:rPr>
            </w:pPr>
            <w:r>
              <w:rPr>
                <w:rFonts w:ascii="Calibri" w:cs="Calibri" w:eastAsia="Calibri" w:hAnsi="Calibri"/>
                <w:sz w:val="11"/>
                <w:szCs w:val="11"/>
                <w:color w:val="4C4C4E"/>
                <w:w w:val="98"/>
              </w:rPr>
              <w:t>2023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Calibri" w:cs="Calibri" w:eastAsia="Calibri" w:hAnsi="Calibri"/>
                <w:sz w:val="11"/>
                <w:szCs w:val="11"/>
                <w:color w:val="595959"/>
              </w:rPr>
              <w:t>CEO CAP</w:t>
            </w:r>
          </w:p>
        </w:tc>
        <w:tc>
          <w:tcPr>
            <w:tcW w:w="100" w:type="dxa"/>
            <w:vAlign w:val="bottom"/>
            <w:vMerge w:val="restart"/>
          </w:tcPr>
          <w:p>
            <w:pPr>
              <w:spacing w:after="0"/>
              <w:rPr>
                <w:sz w:val="10"/>
                <w:szCs w:val="10"/>
                <w:color w:val="auto"/>
              </w:rPr>
            </w:pPr>
          </w:p>
        </w:tc>
        <w:tc>
          <w:tcPr>
            <w:tcW w:w="240" w:type="dxa"/>
            <w:vAlign w:val="bottom"/>
            <w:tcBorders>
              <w:bottom w:val="single" w:sz="8" w:color="EF3E29"/>
            </w:tcBorders>
          </w:tcPr>
          <w:p>
            <w:pPr>
              <w:spacing w:after="0"/>
              <w:rPr>
                <w:sz w:val="10"/>
                <w:szCs w:val="10"/>
                <w:color w:val="auto"/>
              </w:rPr>
            </w:pPr>
          </w:p>
        </w:tc>
        <w:tc>
          <w:tcPr>
            <w:tcW w:w="520" w:type="dxa"/>
            <w:vAlign w:val="bottom"/>
            <w:vMerge w:val="restart"/>
          </w:tcPr>
          <w:p>
            <w:pPr>
              <w:ind w:left="20"/>
              <w:spacing w:after="0"/>
              <w:rPr>
                <w:sz w:val="20"/>
                <w:szCs w:val="20"/>
                <w:color w:val="auto"/>
              </w:rPr>
            </w:pPr>
            <w:r>
              <w:rPr>
                <w:rFonts w:ascii="Calibri" w:cs="Calibri" w:eastAsia="Calibri" w:hAnsi="Calibri"/>
                <w:sz w:val="11"/>
                <w:szCs w:val="11"/>
                <w:color w:val="595959"/>
              </w:rPr>
              <w:t>FRT TSR</w:t>
            </w:r>
          </w:p>
        </w:tc>
        <w:tc>
          <w:tcPr>
            <w:tcW w:w="240" w:type="dxa"/>
            <w:vAlign w:val="bottom"/>
            <w:tcBorders>
              <w:bottom w:val="single" w:sz="8" w:color="B6B8BA"/>
            </w:tcBorders>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Calibri" w:cs="Calibri" w:eastAsia="Calibri" w:hAnsi="Calibri"/>
                <w:sz w:val="11"/>
                <w:szCs w:val="11"/>
                <w:color w:val="595959"/>
              </w:rPr>
              <w:t>BBRESHOP TSR</w:t>
            </w: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19"/>
        </w:trPr>
        <w:tc>
          <w:tcPr>
            <w:tcW w:w="560" w:type="dxa"/>
            <w:vAlign w:val="bottom"/>
            <w:tcBorders>
              <w:top w:val="single" w:sz="8" w:color="E3E4E5"/>
              <w:left w:val="single" w:sz="8" w:color="E3E4E5"/>
            </w:tcBorders>
          </w:tcPr>
          <w:p>
            <w:pPr>
              <w:spacing w:after="0"/>
              <w:rPr>
                <w:sz w:val="24"/>
                <w:szCs w:val="24"/>
                <w:color w:val="auto"/>
              </w:rPr>
            </w:pPr>
          </w:p>
        </w:tc>
        <w:tc>
          <w:tcPr>
            <w:tcW w:w="3980" w:type="dxa"/>
            <w:vAlign w:val="bottom"/>
            <w:tcBorders>
              <w:top w:val="single" w:sz="8" w:color="E3E4E5"/>
              <w:right w:val="single" w:sz="8" w:color="E3E4E5"/>
            </w:tcBorders>
            <w:gridSpan w:val="8"/>
          </w:tcPr>
          <w:p>
            <w:pPr>
              <w:ind w:left="180"/>
              <w:spacing w:after="0"/>
              <w:rPr>
                <w:sz w:val="20"/>
                <w:szCs w:val="20"/>
                <w:color w:val="auto"/>
              </w:rPr>
            </w:pPr>
            <w:r>
              <w:rPr>
                <w:rFonts w:ascii="Calibri" w:cs="Calibri" w:eastAsia="Calibri" w:hAnsi="Calibri"/>
                <w:sz w:val="18"/>
                <w:szCs w:val="18"/>
                <w:color w:val="231F20"/>
              </w:rPr>
              <w:t>Avg NEO Compensation Actually Paid v. TSR</w:t>
            </w:r>
          </w:p>
        </w:tc>
        <w:tc>
          <w:tcPr>
            <w:tcW w:w="0" w:type="dxa"/>
            <w:vAlign w:val="bottom"/>
          </w:tcPr>
          <w:p>
            <w:pPr>
              <w:spacing w:after="0"/>
              <w:rPr>
                <w:sz w:val="1"/>
                <w:szCs w:val="1"/>
                <w:color w:val="auto"/>
              </w:rPr>
            </w:pPr>
          </w:p>
        </w:tc>
      </w:tr>
      <w:tr>
        <w:trPr>
          <w:trHeight w:val="145"/>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$4,000</w:t>
            </w:r>
          </w:p>
        </w:tc>
        <w:tc>
          <w:tcPr>
            <w:tcW w:w="320" w:type="dxa"/>
            <w:vAlign w:val="bottom"/>
            <w:tcBorders>
              <w:bottom w:val="single" w:sz="8" w:color="E3E4E5"/>
            </w:tcBorders>
          </w:tcPr>
          <w:p>
            <w:pPr>
              <w:spacing w:after="0"/>
              <w:rPr>
                <w:sz w:val="12"/>
                <w:szCs w:val="12"/>
                <w:color w:val="auto"/>
              </w:rPr>
            </w:pPr>
          </w:p>
        </w:tc>
        <w:tc>
          <w:tcPr>
            <w:tcW w:w="240" w:type="dxa"/>
            <w:vAlign w:val="bottom"/>
            <w:tcBorders>
              <w:bottom w:val="single" w:sz="8" w:color="E3E4E5"/>
            </w:tcBorders>
          </w:tcPr>
          <w:p>
            <w:pPr>
              <w:spacing w:after="0"/>
              <w:rPr>
                <w:sz w:val="12"/>
                <w:szCs w:val="12"/>
                <w:color w:val="auto"/>
              </w:rPr>
            </w:pPr>
          </w:p>
        </w:tc>
        <w:tc>
          <w:tcPr>
            <w:tcW w:w="820" w:type="dxa"/>
            <w:vAlign w:val="bottom"/>
            <w:tcBorders>
              <w:bottom w:val="single" w:sz="8" w:color="E3E4E5"/>
            </w:tcBorders>
          </w:tcPr>
          <w:p>
            <w:pPr>
              <w:spacing w:after="0"/>
              <w:rPr>
                <w:sz w:val="12"/>
                <w:szCs w:val="12"/>
                <w:color w:val="auto"/>
              </w:rPr>
            </w:pPr>
          </w:p>
        </w:tc>
        <w:tc>
          <w:tcPr>
            <w:tcW w:w="240" w:type="dxa"/>
            <w:vAlign w:val="bottom"/>
            <w:tcBorders>
              <w:bottom w:val="single" w:sz="8" w:color="E3E4E5"/>
            </w:tcBorders>
          </w:tcPr>
          <w:p>
            <w:pPr>
              <w:spacing w:after="0"/>
              <w:rPr>
                <w:sz w:val="12"/>
                <w:szCs w:val="12"/>
                <w:color w:val="auto"/>
              </w:rPr>
            </w:pPr>
          </w:p>
        </w:tc>
        <w:tc>
          <w:tcPr>
            <w:tcW w:w="560" w:type="dxa"/>
            <w:vAlign w:val="bottom"/>
            <w:tcBorders>
              <w:bottom w:val="single" w:sz="8" w:color="E3E4E5"/>
            </w:tcBorders>
          </w:tcPr>
          <w:p>
            <w:pPr>
              <w:spacing w:after="0"/>
              <w:rPr>
                <w:sz w:val="12"/>
                <w:szCs w:val="12"/>
                <w:color w:val="auto"/>
              </w:rPr>
            </w:pPr>
          </w:p>
        </w:tc>
        <w:tc>
          <w:tcPr>
            <w:tcW w:w="240" w:type="dxa"/>
            <w:vAlign w:val="bottom"/>
            <w:tcBorders>
              <w:bottom w:val="single" w:sz="8" w:color="E3E4E5"/>
            </w:tcBorders>
          </w:tcPr>
          <w:p>
            <w:pPr>
              <w:spacing w:after="0"/>
              <w:rPr>
                <w:sz w:val="12"/>
                <w:szCs w:val="12"/>
                <w:color w:val="auto"/>
              </w:rPr>
            </w:pPr>
          </w:p>
        </w:tc>
        <w:tc>
          <w:tcPr>
            <w:tcW w:w="1120" w:type="dxa"/>
            <w:vAlign w:val="bottom"/>
            <w:tcBorders>
              <w:bottom w:val="single" w:sz="8" w:color="E3E4E5"/>
            </w:tcBorders>
          </w:tcPr>
          <w:p>
            <w:pPr>
              <w:spacing w:after="0"/>
              <w:rPr>
                <w:sz w:val="12"/>
                <w:szCs w:val="12"/>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30%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$3,500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56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112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20%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$3,000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56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112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10%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$2,500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56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112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$2,000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56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112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-10%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$1,500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56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112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-20%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$1,000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56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112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-30%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$500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56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112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-40%</w:t>
            </w:r>
          </w:p>
        </w:tc>
        <w:tc>
          <w:tcPr>
            <w:tcW w:w="0" w:type="dxa"/>
            <w:vAlign w:val="bottom"/>
          </w:tcPr>
          <w:p>
            <w:pPr>
              <w:spacing w:after="0"/>
              <w:rPr>
                <w:sz w:val="1"/>
                <w:szCs w:val="1"/>
                <w:color w:val="auto"/>
              </w:rPr>
            </w:pPr>
          </w:p>
        </w:tc>
      </w:tr>
      <w:tr>
        <w:trPr>
          <w:trHeight w:val="39"/>
        </w:trPr>
        <w:tc>
          <w:tcPr>
            <w:tcW w:w="560" w:type="dxa"/>
            <w:vAlign w:val="bottom"/>
            <w:tcBorders>
              <w:left w:val="single" w:sz="8" w:color="E3E4E5"/>
            </w:tcBorders>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right w:val="single" w:sz="8" w:color="E3E4E5"/>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Borders>
              <w:left w:val="single" w:sz="8" w:color="E3E4E5"/>
            </w:tcBorders>
            <w:gridSpan w:val="3"/>
          </w:tcPr>
          <w:p>
            <w:pPr>
              <w:jc w:val="right"/>
              <w:ind w:right="20"/>
              <w:spacing w:after="0"/>
              <w:rPr>
                <w:sz w:val="20"/>
                <w:szCs w:val="20"/>
                <w:color w:val="auto"/>
              </w:rPr>
            </w:pPr>
            <w:r>
              <w:rPr>
                <w:rFonts w:ascii="Calibri" w:cs="Calibri" w:eastAsia="Calibri" w:hAnsi="Calibri"/>
                <w:sz w:val="11"/>
                <w:szCs w:val="11"/>
                <w:color w:val="4C4C4E"/>
              </w:rPr>
              <w:t>2020</w:t>
            </w:r>
          </w:p>
        </w:tc>
        <w:tc>
          <w:tcPr>
            <w:tcW w:w="1060" w:type="dxa"/>
            <w:vAlign w:val="bottom"/>
            <w:gridSpan w:val="2"/>
          </w:tcPr>
          <w:p>
            <w:pPr>
              <w:jc w:val="right"/>
              <w:ind w:right="180"/>
              <w:spacing w:after="0"/>
              <w:rPr>
                <w:sz w:val="20"/>
                <w:szCs w:val="20"/>
                <w:color w:val="auto"/>
              </w:rPr>
            </w:pPr>
            <w:r>
              <w:rPr>
                <w:rFonts w:ascii="Calibri" w:cs="Calibri" w:eastAsia="Calibri" w:hAnsi="Calibri"/>
                <w:sz w:val="11"/>
                <w:szCs w:val="11"/>
                <w:color w:val="4C4C4E"/>
              </w:rPr>
              <w:t>2021</w:t>
            </w:r>
          </w:p>
        </w:tc>
        <w:tc>
          <w:tcPr>
            <w:tcW w:w="800" w:type="dxa"/>
            <w:vAlign w:val="bottom"/>
            <w:gridSpan w:val="2"/>
          </w:tcPr>
          <w:p>
            <w:pPr>
              <w:jc w:val="right"/>
              <w:ind w:right="100"/>
              <w:spacing w:after="0"/>
              <w:rPr>
                <w:sz w:val="20"/>
                <w:szCs w:val="20"/>
                <w:color w:val="auto"/>
              </w:rPr>
            </w:pPr>
            <w:r>
              <w:rPr>
                <w:rFonts w:ascii="Calibri" w:cs="Calibri" w:eastAsia="Calibri" w:hAnsi="Calibri"/>
                <w:sz w:val="11"/>
                <w:szCs w:val="11"/>
                <w:color w:val="4C4C4E"/>
              </w:rPr>
              <w:t>2022</w:t>
            </w:r>
          </w:p>
        </w:tc>
        <w:tc>
          <w:tcPr>
            <w:tcW w:w="1120" w:type="dxa"/>
            <w:vAlign w:val="bottom"/>
          </w:tcPr>
          <w:p>
            <w:pPr>
              <w:jc w:val="right"/>
              <w:ind w:right="263"/>
              <w:spacing w:after="0"/>
              <w:rPr>
                <w:sz w:val="20"/>
                <w:szCs w:val="20"/>
                <w:color w:val="auto"/>
              </w:rPr>
            </w:pPr>
            <w:r>
              <w:rPr>
                <w:rFonts w:ascii="Calibri" w:cs="Calibri" w:eastAsia="Calibri" w:hAnsi="Calibri"/>
                <w:sz w:val="11"/>
                <w:szCs w:val="11"/>
                <w:color w:val="4C4C4E"/>
              </w:rPr>
              <w:t>2023</w:t>
            </w:r>
          </w:p>
        </w:tc>
        <w:tc>
          <w:tcPr>
            <w:tcW w:w="440" w:type="dxa"/>
            <w:vAlign w:val="bottom"/>
            <w:tcBorders>
              <w:right w:val="single" w:sz="8" w:color="E3E4E5"/>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60" w:type="dxa"/>
            <w:vAlign w:val="bottom"/>
            <w:tcBorders>
              <w:left w:val="single" w:sz="8" w:color="E3E4E5"/>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20" w:type="dxa"/>
            <w:vAlign w:val="bottom"/>
            <w:vMerge w:val="restart"/>
          </w:tcPr>
          <w:p>
            <w:pPr>
              <w:ind w:left="20"/>
              <w:spacing w:after="0"/>
              <w:rPr>
                <w:sz w:val="20"/>
                <w:szCs w:val="20"/>
                <w:color w:val="auto"/>
              </w:rPr>
            </w:pPr>
            <w:r>
              <w:rPr>
                <w:rFonts w:ascii="Calibri" w:cs="Calibri" w:eastAsia="Calibri" w:hAnsi="Calibri"/>
                <w:sz w:val="11"/>
                <w:szCs w:val="11"/>
                <w:color w:val="4C4C4E"/>
              </w:rPr>
              <w:t>Avg. NEO CAP</w:t>
            </w:r>
          </w:p>
        </w:tc>
        <w:tc>
          <w:tcPr>
            <w:tcW w:w="240" w:type="dxa"/>
            <w:vAlign w:val="bottom"/>
            <w:tcBorders>
              <w:bottom w:val="single" w:sz="8" w:color="EF3E29"/>
            </w:tcBorders>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Calibri" w:cs="Calibri" w:eastAsia="Calibri" w:hAnsi="Calibri"/>
                <w:sz w:val="11"/>
                <w:szCs w:val="11"/>
                <w:color w:val="4C4C4E"/>
              </w:rPr>
              <w:t>FRT TSR</w:t>
            </w:r>
          </w:p>
        </w:tc>
        <w:tc>
          <w:tcPr>
            <w:tcW w:w="240" w:type="dxa"/>
            <w:vAlign w:val="bottom"/>
            <w:tcBorders>
              <w:bottom w:val="single" w:sz="8" w:color="B6B8BB"/>
            </w:tcBorders>
          </w:tcPr>
          <w:p>
            <w:pPr>
              <w:spacing w:after="0"/>
              <w:rPr>
                <w:sz w:val="15"/>
                <w:szCs w:val="15"/>
                <w:color w:val="auto"/>
              </w:rPr>
            </w:pPr>
          </w:p>
        </w:tc>
        <w:tc>
          <w:tcPr>
            <w:tcW w:w="1560" w:type="dxa"/>
            <w:vAlign w:val="bottom"/>
            <w:tcBorders>
              <w:right w:val="single" w:sz="8" w:color="E3E4E5"/>
            </w:tcBorders>
            <w:gridSpan w:val="2"/>
            <w:vMerge w:val="restart"/>
          </w:tcPr>
          <w:p>
            <w:pPr>
              <w:ind w:left="20"/>
              <w:spacing w:after="0"/>
              <w:rPr>
                <w:sz w:val="20"/>
                <w:szCs w:val="20"/>
                <w:color w:val="auto"/>
              </w:rPr>
            </w:pPr>
            <w:r>
              <w:rPr>
                <w:rFonts w:ascii="Calibri" w:cs="Calibri" w:eastAsia="Calibri" w:hAnsi="Calibri"/>
                <w:sz w:val="11"/>
                <w:szCs w:val="11"/>
                <w:color w:val="4C4C4E"/>
              </w:rPr>
              <w:t>BBRESHOP TSR</w:t>
            </w:r>
          </w:p>
        </w:tc>
        <w:tc>
          <w:tcPr>
            <w:tcW w:w="0" w:type="dxa"/>
            <w:vAlign w:val="bottom"/>
          </w:tcPr>
          <w:p>
            <w:pPr>
              <w:spacing w:after="0"/>
              <w:rPr>
                <w:sz w:val="1"/>
                <w:szCs w:val="1"/>
                <w:color w:val="auto"/>
              </w:rPr>
            </w:pPr>
          </w:p>
        </w:tc>
      </w:tr>
      <w:tr>
        <w:trPr>
          <w:trHeight w:val="48"/>
        </w:trPr>
        <w:tc>
          <w:tcPr>
            <w:tcW w:w="560" w:type="dxa"/>
            <w:vAlign w:val="bottom"/>
            <w:tcBorders>
              <w:left w:val="single" w:sz="8" w:color="E3E4E5"/>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Borders>
              <w:right w:val="single" w:sz="8" w:color="E3E4E5"/>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560" w:type="dxa"/>
            <w:vAlign w:val="bottom"/>
            <w:tcBorders>
              <w:left w:val="single" w:sz="8" w:color="E3E4E5"/>
              <w:bottom w:val="single" w:sz="8" w:color="E3E4E5"/>
            </w:tcBorders>
          </w:tcPr>
          <w:p>
            <w:pPr>
              <w:spacing w:after="0"/>
              <w:rPr>
                <w:sz w:val="9"/>
                <w:szCs w:val="9"/>
                <w:color w:val="auto"/>
              </w:rPr>
            </w:pPr>
          </w:p>
        </w:tc>
        <w:tc>
          <w:tcPr>
            <w:tcW w:w="320" w:type="dxa"/>
            <w:vAlign w:val="bottom"/>
            <w:tcBorders>
              <w:bottom w:val="single" w:sz="8" w:color="E3E4E5"/>
            </w:tcBorders>
          </w:tcPr>
          <w:p>
            <w:pPr>
              <w:spacing w:after="0"/>
              <w:rPr>
                <w:sz w:val="9"/>
                <w:szCs w:val="9"/>
                <w:color w:val="auto"/>
              </w:rPr>
            </w:pPr>
          </w:p>
        </w:tc>
        <w:tc>
          <w:tcPr>
            <w:tcW w:w="240" w:type="dxa"/>
            <w:vAlign w:val="bottom"/>
            <w:tcBorders>
              <w:bottom w:val="single" w:sz="8" w:color="E3E4E5"/>
            </w:tcBorders>
          </w:tcPr>
          <w:p>
            <w:pPr>
              <w:spacing w:after="0"/>
              <w:rPr>
                <w:sz w:val="9"/>
                <w:szCs w:val="9"/>
                <w:color w:val="auto"/>
              </w:rPr>
            </w:pPr>
          </w:p>
        </w:tc>
        <w:tc>
          <w:tcPr>
            <w:tcW w:w="820" w:type="dxa"/>
            <w:vAlign w:val="bottom"/>
            <w:tcBorders>
              <w:bottom w:val="single" w:sz="8" w:color="E3E4E5"/>
            </w:tcBorders>
          </w:tcPr>
          <w:p>
            <w:pPr>
              <w:spacing w:after="0"/>
              <w:rPr>
                <w:sz w:val="9"/>
                <w:szCs w:val="9"/>
                <w:color w:val="auto"/>
              </w:rPr>
            </w:pPr>
          </w:p>
        </w:tc>
        <w:tc>
          <w:tcPr>
            <w:tcW w:w="240" w:type="dxa"/>
            <w:vAlign w:val="bottom"/>
            <w:tcBorders>
              <w:bottom w:val="single" w:sz="8" w:color="E3E4E5"/>
            </w:tcBorders>
          </w:tcPr>
          <w:p>
            <w:pPr>
              <w:spacing w:after="0"/>
              <w:rPr>
                <w:sz w:val="9"/>
                <w:szCs w:val="9"/>
                <w:color w:val="auto"/>
              </w:rPr>
            </w:pPr>
          </w:p>
        </w:tc>
        <w:tc>
          <w:tcPr>
            <w:tcW w:w="560" w:type="dxa"/>
            <w:vAlign w:val="bottom"/>
            <w:tcBorders>
              <w:bottom w:val="single" w:sz="8" w:color="E3E4E5"/>
            </w:tcBorders>
          </w:tcPr>
          <w:p>
            <w:pPr>
              <w:spacing w:after="0"/>
              <w:rPr>
                <w:sz w:val="9"/>
                <w:szCs w:val="9"/>
                <w:color w:val="auto"/>
              </w:rPr>
            </w:pPr>
          </w:p>
        </w:tc>
        <w:tc>
          <w:tcPr>
            <w:tcW w:w="240" w:type="dxa"/>
            <w:vAlign w:val="bottom"/>
            <w:tcBorders>
              <w:bottom w:val="single" w:sz="8" w:color="E3E4E5"/>
            </w:tcBorders>
          </w:tcPr>
          <w:p>
            <w:pPr>
              <w:spacing w:after="0"/>
              <w:rPr>
                <w:sz w:val="9"/>
                <w:szCs w:val="9"/>
                <w:color w:val="auto"/>
              </w:rPr>
            </w:pPr>
          </w:p>
        </w:tc>
        <w:tc>
          <w:tcPr>
            <w:tcW w:w="1120" w:type="dxa"/>
            <w:vAlign w:val="bottom"/>
            <w:tcBorders>
              <w:bottom w:val="single" w:sz="8" w:color="E3E4E5"/>
            </w:tcBorders>
          </w:tcPr>
          <w:p>
            <w:pPr>
              <w:spacing w:after="0"/>
              <w:rPr>
                <w:sz w:val="9"/>
                <w:szCs w:val="9"/>
                <w:color w:val="auto"/>
              </w:rPr>
            </w:pPr>
          </w:p>
        </w:tc>
        <w:tc>
          <w:tcPr>
            <w:tcW w:w="440" w:type="dxa"/>
            <w:vAlign w:val="bottom"/>
            <w:tcBorders>
              <w:bottom w:val="single" w:sz="8" w:color="E3E4E5"/>
              <w:right w:val="single" w:sz="8" w:color="E3E4E5"/>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-1388110</wp:posOffset>
            </wp:positionV>
            <wp:extent cx="1768475" cy="9569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04">
                      <a:extLst>
                        <a:ext uri="{28A0092B-C50C-407E-A947-70E740481C1C}"/>
                      </a:extLst>
                    </a:blip>
                    <a:srcRect/>
                    <a:stretch>
                      <a:fillRect/>
                    </a:stretch>
                  </pic:blipFill>
                  <pic:spPr bwMode="auto">
                    <a:xfrm>
                      <a:off x="0" y="0"/>
                      <a:ext cx="1768475" cy="95694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460" w:space="120"/>
            <w:col w:w="5500"/>
          </w:cols>
          <w:pgMar w:left="1080" w:top="1440" w:right="1080" w:bottom="944" w:gutter="0" w:footer="0" w:header="0"/>
          <w:type w:val="continuous"/>
        </w:sectPr>
      </w:pPr>
    </w:p>
    <w:p>
      <w:pPr>
        <w:spacing w:after="0" w:line="99" w:lineRule="exact"/>
        <w:rPr>
          <w:sz w:val="20"/>
          <w:szCs w:val="20"/>
          <w:color w:val="auto"/>
        </w:rPr>
      </w:pPr>
    </w:p>
    <w:p>
      <w:pPr>
        <w:ind w:left="480" w:hanging="358"/>
        <w:spacing w:after="0"/>
        <w:tabs>
          <w:tab w:leader="none" w:pos="480" w:val="left"/>
        </w:tabs>
        <w:numPr>
          <w:ilvl w:val="0"/>
          <w:numId w:val="146"/>
        </w:numPr>
        <w:rPr>
          <w:rFonts w:ascii="Arial" w:cs="Arial" w:eastAsia="Arial" w:hAnsi="Arial"/>
          <w:sz w:val="18"/>
          <w:szCs w:val="18"/>
          <w:color w:val="231F20"/>
        </w:rPr>
      </w:pPr>
      <w:r>
        <w:rPr>
          <w:rFonts w:ascii="Arial" w:cs="Arial" w:eastAsia="Arial" w:hAnsi="Arial"/>
          <w:sz w:val="18"/>
          <w:szCs w:val="18"/>
          <w:color w:val="231F20"/>
        </w:rPr>
        <w:t>Compensation actually paid is shown in thousands.</w:t>
      </w:r>
    </w:p>
    <w:p>
      <w:pPr>
        <w:spacing w:after="0" w:line="27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following charts show the relationship of the compensation actually paid to our CEO and the average compensation actually paid to our other NEOs as compared to our GAAP reported net income and our FFO per diluted share.</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4540" w:type="dxa"/>
            <w:vAlign w:val="bottom"/>
            <w:tcBorders>
              <w:top w:val="single" w:sz="8" w:color="D9D9D8"/>
              <w:left w:val="single" w:sz="8" w:color="D9D9D8"/>
              <w:right w:val="single" w:sz="8" w:color="D9D9D8"/>
            </w:tcBorders>
            <w:gridSpan w:val="11"/>
          </w:tcPr>
          <w:p>
            <w:pPr>
              <w:jc w:val="center"/>
              <w:spacing w:after="0"/>
              <w:rPr>
                <w:sz w:val="20"/>
                <w:szCs w:val="20"/>
                <w:color w:val="auto"/>
              </w:rPr>
            </w:pPr>
            <w:r>
              <w:rPr>
                <w:rFonts w:ascii="Calibri" w:cs="Calibri" w:eastAsia="Calibri" w:hAnsi="Calibri"/>
                <w:sz w:val="17"/>
                <w:szCs w:val="17"/>
                <w:color w:val="231F20"/>
                <w:w w:val="97"/>
              </w:rPr>
              <w:t>CEO Compensation Actually Paid v. Company</w:t>
            </w:r>
          </w:p>
        </w:tc>
        <w:tc>
          <w:tcPr>
            <w:tcW w:w="60" w:type="dxa"/>
            <w:vAlign w:val="bottom"/>
            <w:tcBorders>
              <w:right w:val="single" w:sz="8" w:color="DCDDDE"/>
            </w:tcBorders>
          </w:tcPr>
          <w:p>
            <w:pPr>
              <w:spacing w:after="0"/>
              <w:rPr>
                <w:sz w:val="24"/>
                <w:szCs w:val="24"/>
                <w:color w:val="auto"/>
              </w:rPr>
            </w:pPr>
          </w:p>
        </w:tc>
        <w:tc>
          <w:tcPr>
            <w:tcW w:w="4520" w:type="dxa"/>
            <w:vAlign w:val="bottom"/>
            <w:tcBorders>
              <w:top w:val="single" w:sz="8" w:color="DCDDDE"/>
              <w:right w:val="single" w:sz="8" w:color="DCDDDE"/>
            </w:tcBorders>
            <w:gridSpan w:val="10"/>
          </w:tcPr>
          <w:p>
            <w:pPr>
              <w:jc w:val="center"/>
              <w:spacing w:after="0"/>
              <w:rPr>
                <w:sz w:val="20"/>
                <w:szCs w:val="20"/>
                <w:color w:val="auto"/>
              </w:rPr>
            </w:pPr>
            <w:r>
              <w:rPr>
                <w:rFonts w:ascii="Calibri" w:cs="Calibri" w:eastAsia="Calibri" w:hAnsi="Calibri"/>
                <w:sz w:val="17"/>
                <w:szCs w:val="17"/>
                <w:color w:val="231F20"/>
                <w:w w:val="97"/>
              </w:rPr>
              <w:t>Avg. NEO Compensation Actually Paid v. Company</w:t>
            </w:r>
          </w:p>
        </w:tc>
        <w:tc>
          <w:tcPr>
            <w:tcW w:w="0" w:type="dxa"/>
            <w:vAlign w:val="bottom"/>
          </w:tcPr>
          <w:p>
            <w:pPr>
              <w:spacing w:after="0"/>
              <w:rPr>
                <w:sz w:val="1"/>
                <w:szCs w:val="1"/>
                <w:color w:val="auto"/>
              </w:rPr>
            </w:pPr>
          </w:p>
        </w:tc>
      </w:tr>
      <w:tr>
        <w:trPr>
          <w:trHeight w:val="253"/>
        </w:trPr>
        <w:tc>
          <w:tcPr>
            <w:tcW w:w="780" w:type="dxa"/>
            <w:vAlign w:val="bottom"/>
            <w:tcBorders>
              <w:left w:val="single" w:sz="8" w:color="D9D9D8"/>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Calibri" w:cs="Calibri" w:eastAsia="Calibri" w:hAnsi="Calibri"/>
                <w:sz w:val="17"/>
                <w:szCs w:val="17"/>
                <w:color w:val="231F20"/>
              </w:rPr>
              <w:t>Performance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Borders>
              <w:right w:val="single" w:sz="8" w:color="D9D9D8"/>
            </w:tcBorders>
          </w:tcPr>
          <w:p>
            <w:pPr>
              <w:spacing w:after="0"/>
              <w:rPr>
                <w:sz w:val="21"/>
                <w:szCs w:val="21"/>
                <w:color w:val="auto"/>
              </w:rPr>
            </w:pPr>
          </w:p>
        </w:tc>
        <w:tc>
          <w:tcPr>
            <w:tcW w:w="60" w:type="dxa"/>
            <w:vAlign w:val="bottom"/>
            <w:tcBorders>
              <w:right w:val="single" w:sz="8" w:color="DCDDDE"/>
            </w:tcBorders>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4"/>
          </w:tcPr>
          <w:p>
            <w:pPr>
              <w:jc w:val="center"/>
              <w:ind w:right="160"/>
              <w:spacing w:after="0"/>
              <w:rPr>
                <w:sz w:val="20"/>
                <w:szCs w:val="20"/>
                <w:color w:val="auto"/>
              </w:rPr>
            </w:pPr>
            <w:r>
              <w:rPr>
                <w:rFonts w:ascii="Calibri" w:cs="Calibri" w:eastAsia="Calibri" w:hAnsi="Calibri"/>
                <w:sz w:val="17"/>
                <w:szCs w:val="17"/>
                <w:color w:val="231F20"/>
                <w:w w:val="98"/>
              </w:rPr>
              <w:t>Performance</w:t>
            </w:r>
          </w:p>
        </w:tc>
        <w:tc>
          <w:tcPr>
            <w:tcW w:w="940" w:type="dxa"/>
            <w:vAlign w:val="bottom"/>
          </w:tcPr>
          <w:p>
            <w:pPr>
              <w:spacing w:after="0"/>
              <w:rPr>
                <w:sz w:val="21"/>
                <w:szCs w:val="21"/>
                <w:color w:val="auto"/>
              </w:rPr>
            </w:pPr>
          </w:p>
        </w:tc>
        <w:tc>
          <w:tcPr>
            <w:tcW w:w="480" w:type="dxa"/>
            <w:vAlign w:val="bottom"/>
            <w:tcBorders>
              <w:right w:val="single" w:sz="8" w:color="DCDDDE"/>
            </w:tcBorders>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780" w:type="dxa"/>
            <w:vAlign w:val="bottom"/>
            <w:tcBorders>
              <w:left w:val="single" w:sz="8" w:color="D9D9D8"/>
            </w:tcBorders>
            <w:vMerge w:val="restart"/>
          </w:tcPr>
          <w:p>
            <w:pPr>
              <w:jc w:val="right"/>
              <w:ind w:right="40"/>
              <w:spacing w:after="0" w:line="129" w:lineRule="exact"/>
              <w:rPr>
                <w:sz w:val="20"/>
                <w:szCs w:val="20"/>
                <w:color w:val="auto"/>
              </w:rPr>
            </w:pPr>
            <w:r>
              <w:rPr>
                <w:rFonts w:ascii="Calibri" w:cs="Calibri" w:eastAsia="Calibri" w:hAnsi="Calibri"/>
                <w:sz w:val="11"/>
                <w:szCs w:val="11"/>
                <w:color w:val="4C4C4E"/>
              </w:rPr>
              <w:t>$45,000,000</w:t>
            </w:r>
          </w:p>
        </w:tc>
        <w:tc>
          <w:tcPr>
            <w:tcW w:w="300" w:type="dxa"/>
            <w:vAlign w:val="bottom"/>
            <w:tcBorders>
              <w:bottom w:val="single" w:sz="8" w:color="DCDDDE"/>
            </w:tcBorders>
          </w:tcPr>
          <w:p>
            <w:pPr>
              <w:spacing w:after="0"/>
              <w:rPr>
                <w:sz w:val="7"/>
                <w:szCs w:val="7"/>
                <w:color w:val="auto"/>
              </w:rPr>
            </w:pPr>
          </w:p>
        </w:tc>
        <w:tc>
          <w:tcPr>
            <w:tcW w:w="240" w:type="dxa"/>
            <w:vAlign w:val="bottom"/>
            <w:tcBorders>
              <w:bottom w:val="single" w:sz="8" w:color="DCDDDE"/>
            </w:tcBorders>
          </w:tcPr>
          <w:p>
            <w:pPr>
              <w:spacing w:after="0"/>
              <w:rPr>
                <w:sz w:val="7"/>
                <w:szCs w:val="7"/>
                <w:color w:val="auto"/>
              </w:rPr>
            </w:pPr>
          </w:p>
        </w:tc>
        <w:tc>
          <w:tcPr>
            <w:tcW w:w="460" w:type="dxa"/>
            <w:vAlign w:val="bottom"/>
            <w:tcBorders>
              <w:bottom w:val="single" w:sz="8" w:color="DCDDDE"/>
            </w:tcBorders>
          </w:tcPr>
          <w:p>
            <w:pPr>
              <w:spacing w:after="0"/>
              <w:rPr>
                <w:sz w:val="7"/>
                <w:szCs w:val="7"/>
                <w:color w:val="auto"/>
              </w:rPr>
            </w:pPr>
          </w:p>
        </w:tc>
        <w:tc>
          <w:tcPr>
            <w:tcW w:w="80" w:type="dxa"/>
            <w:vAlign w:val="bottom"/>
            <w:tcBorders>
              <w:bottom w:val="single" w:sz="8" w:color="DCDDDE"/>
            </w:tcBorders>
          </w:tcPr>
          <w:p>
            <w:pPr>
              <w:spacing w:after="0"/>
              <w:rPr>
                <w:sz w:val="7"/>
                <w:szCs w:val="7"/>
                <w:color w:val="auto"/>
              </w:rPr>
            </w:pPr>
          </w:p>
        </w:tc>
        <w:tc>
          <w:tcPr>
            <w:tcW w:w="240" w:type="dxa"/>
            <w:vAlign w:val="bottom"/>
            <w:tcBorders>
              <w:bottom w:val="single" w:sz="8" w:color="DCDDDE"/>
            </w:tcBorders>
          </w:tcPr>
          <w:p>
            <w:pPr>
              <w:spacing w:after="0"/>
              <w:rPr>
                <w:sz w:val="7"/>
                <w:szCs w:val="7"/>
                <w:color w:val="auto"/>
              </w:rPr>
            </w:pPr>
          </w:p>
        </w:tc>
        <w:tc>
          <w:tcPr>
            <w:tcW w:w="620" w:type="dxa"/>
            <w:vAlign w:val="bottom"/>
            <w:tcBorders>
              <w:bottom w:val="single" w:sz="8" w:color="DCDDDE"/>
            </w:tcBorders>
          </w:tcPr>
          <w:p>
            <w:pPr>
              <w:spacing w:after="0"/>
              <w:rPr>
                <w:sz w:val="7"/>
                <w:szCs w:val="7"/>
                <w:color w:val="auto"/>
              </w:rPr>
            </w:pPr>
          </w:p>
        </w:tc>
        <w:tc>
          <w:tcPr>
            <w:tcW w:w="60" w:type="dxa"/>
            <w:vAlign w:val="bottom"/>
            <w:tcBorders>
              <w:bottom w:val="single" w:sz="8" w:color="DCDDDE"/>
            </w:tcBorders>
          </w:tcPr>
          <w:p>
            <w:pPr>
              <w:spacing w:after="0"/>
              <w:rPr>
                <w:sz w:val="7"/>
                <w:szCs w:val="7"/>
                <w:color w:val="auto"/>
              </w:rPr>
            </w:pPr>
          </w:p>
        </w:tc>
        <w:tc>
          <w:tcPr>
            <w:tcW w:w="220" w:type="dxa"/>
            <w:vAlign w:val="bottom"/>
            <w:tcBorders>
              <w:bottom w:val="single" w:sz="8" w:color="DCDDDE"/>
            </w:tcBorders>
          </w:tcPr>
          <w:p>
            <w:pPr>
              <w:spacing w:after="0"/>
              <w:rPr>
                <w:sz w:val="7"/>
                <w:szCs w:val="7"/>
                <w:color w:val="auto"/>
              </w:rPr>
            </w:pPr>
          </w:p>
        </w:tc>
        <w:tc>
          <w:tcPr>
            <w:tcW w:w="1060" w:type="dxa"/>
            <w:vAlign w:val="bottom"/>
            <w:tcBorders>
              <w:bottom w:val="single" w:sz="8" w:color="DCDDDE"/>
            </w:tcBorders>
          </w:tcPr>
          <w:p>
            <w:pPr>
              <w:spacing w:after="0"/>
              <w:rPr>
                <w:sz w:val="7"/>
                <w:szCs w:val="7"/>
                <w:color w:val="auto"/>
              </w:rPr>
            </w:pPr>
          </w:p>
        </w:tc>
        <w:tc>
          <w:tcPr>
            <w:tcW w:w="480" w:type="dxa"/>
            <w:vAlign w:val="bottom"/>
            <w:tcBorders>
              <w:right w:val="single" w:sz="8" w:color="D9D9D8"/>
            </w:tcBorders>
            <w:vMerge w:val="restart"/>
          </w:tcPr>
          <w:p>
            <w:pPr>
              <w:jc w:val="right"/>
              <w:ind w:right="43"/>
              <w:spacing w:after="0" w:line="129" w:lineRule="exact"/>
              <w:rPr>
                <w:sz w:val="20"/>
                <w:szCs w:val="20"/>
                <w:color w:val="auto"/>
              </w:rPr>
            </w:pPr>
            <w:r>
              <w:rPr>
                <w:rFonts w:ascii="Calibri" w:cs="Calibri" w:eastAsia="Calibri" w:hAnsi="Calibri"/>
                <w:sz w:val="11"/>
                <w:szCs w:val="11"/>
                <w:color w:val="4C4C4E"/>
              </w:rPr>
              <w:t>$7.00</w:t>
            </w:r>
          </w:p>
        </w:tc>
        <w:tc>
          <w:tcPr>
            <w:tcW w:w="60" w:type="dxa"/>
            <w:vAlign w:val="bottom"/>
            <w:tcBorders>
              <w:right w:val="single" w:sz="8" w:color="DCDDDE"/>
            </w:tcBorders>
          </w:tcPr>
          <w:p>
            <w:pPr>
              <w:spacing w:after="0"/>
              <w:rPr>
                <w:sz w:val="7"/>
                <w:szCs w:val="7"/>
                <w:color w:val="auto"/>
              </w:rPr>
            </w:pPr>
          </w:p>
        </w:tc>
        <w:tc>
          <w:tcPr>
            <w:tcW w:w="740" w:type="dxa"/>
            <w:vAlign w:val="bottom"/>
            <w:vMerge w:val="restart"/>
          </w:tcPr>
          <w:p>
            <w:pPr>
              <w:jc w:val="right"/>
              <w:ind w:right="20"/>
              <w:spacing w:after="0"/>
              <w:rPr>
                <w:sz w:val="20"/>
                <w:szCs w:val="20"/>
                <w:color w:val="auto"/>
              </w:rPr>
            </w:pPr>
            <w:r>
              <w:rPr>
                <w:rFonts w:ascii="Calibri" w:cs="Calibri" w:eastAsia="Calibri" w:hAnsi="Calibri"/>
                <w:sz w:val="11"/>
                <w:szCs w:val="11"/>
                <w:color w:val="4C4C4E"/>
              </w:rPr>
              <w:t>$45,000,000</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Borders>
              <w:right w:val="single" w:sz="8" w:color="DCDDDE"/>
            </w:tcBorders>
            <w:vMerge w:val="restart"/>
          </w:tcPr>
          <w:p>
            <w:pPr>
              <w:jc w:val="right"/>
              <w:ind w:right="43"/>
              <w:spacing w:after="0"/>
              <w:rPr>
                <w:sz w:val="20"/>
                <w:szCs w:val="20"/>
                <w:color w:val="auto"/>
              </w:rPr>
            </w:pPr>
            <w:r>
              <w:rPr>
                <w:rFonts w:ascii="Calibri" w:cs="Calibri" w:eastAsia="Calibri" w:hAnsi="Calibri"/>
                <w:sz w:val="11"/>
                <w:szCs w:val="11"/>
                <w:color w:val="4C4C4E"/>
              </w:rPr>
              <w:t>$7.00</w:t>
            </w:r>
          </w:p>
        </w:tc>
        <w:tc>
          <w:tcPr>
            <w:tcW w:w="0" w:type="dxa"/>
            <w:vAlign w:val="bottom"/>
          </w:tcPr>
          <w:p>
            <w:pPr>
              <w:spacing w:after="0"/>
              <w:rPr>
                <w:sz w:val="1"/>
                <w:szCs w:val="1"/>
                <w:color w:val="auto"/>
              </w:rPr>
            </w:pPr>
          </w:p>
        </w:tc>
      </w:tr>
      <w:tr>
        <w:trPr>
          <w:trHeight w:val="24"/>
        </w:trPr>
        <w:tc>
          <w:tcPr>
            <w:tcW w:w="780" w:type="dxa"/>
            <w:vAlign w:val="bottom"/>
            <w:tcBorders>
              <w:left w:val="single" w:sz="8" w:color="D9D9D8"/>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Borders>
              <w:right w:val="single" w:sz="8" w:color="D9D9D8"/>
            </w:tcBorders>
            <w:vMerge w:val="continue"/>
          </w:tcPr>
          <w:p>
            <w:pPr>
              <w:spacing w:after="0"/>
              <w:rPr>
                <w:sz w:val="2"/>
                <w:szCs w:val="2"/>
                <w:color w:val="auto"/>
              </w:rPr>
            </w:pPr>
          </w:p>
        </w:tc>
        <w:tc>
          <w:tcPr>
            <w:tcW w:w="60" w:type="dxa"/>
            <w:vAlign w:val="bottom"/>
            <w:tcBorders>
              <w:right w:val="single" w:sz="8" w:color="DCDDDE"/>
            </w:tcBorders>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360" w:type="dxa"/>
            <w:vAlign w:val="bottom"/>
            <w:tcBorders>
              <w:bottom w:val="single" w:sz="8" w:color="DCDDDE"/>
            </w:tcBorders>
          </w:tcPr>
          <w:p>
            <w:pPr>
              <w:spacing w:after="0"/>
              <w:rPr>
                <w:sz w:val="2"/>
                <w:szCs w:val="2"/>
                <w:color w:val="auto"/>
              </w:rPr>
            </w:pPr>
          </w:p>
        </w:tc>
        <w:tc>
          <w:tcPr>
            <w:tcW w:w="420" w:type="dxa"/>
            <w:vAlign w:val="bottom"/>
            <w:tcBorders>
              <w:bottom w:val="single" w:sz="8" w:color="DCDDDE"/>
            </w:tcBorders>
          </w:tcPr>
          <w:p>
            <w:pPr>
              <w:spacing w:after="0"/>
              <w:rPr>
                <w:sz w:val="2"/>
                <w:szCs w:val="2"/>
                <w:color w:val="auto"/>
              </w:rPr>
            </w:pPr>
          </w:p>
        </w:tc>
        <w:tc>
          <w:tcPr>
            <w:tcW w:w="240" w:type="dxa"/>
            <w:vAlign w:val="bottom"/>
            <w:tcBorders>
              <w:bottom w:val="single" w:sz="8" w:color="DCDDDE"/>
            </w:tcBorders>
          </w:tcPr>
          <w:p>
            <w:pPr>
              <w:spacing w:after="0"/>
              <w:rPr>
                <w:sz w:val="2"/>
                <w:szCs w:val="2"/>
                <w:color w:val="auto"/>
              </w:rPr>
            </w:pPr>
          </w:p>
        </w:tc>
        <w:tc>
          <w:tcPr>
            <w:tcW w:w="6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480" w:type="dxa"/>
            <w:vAlign w:val="bottom"/>
            <w:tcBorders>
              <w:right w:val="single" w:sz="8" w:color="DCDDDE"/>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$37,500,000</w:t>
            </w: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$6.50</w:t>
            </w:r>
          </w:p>
        </w:tc>
        <w:tc>
          <w:tcPr>
            <w:tcW w:w="60" w:type="dxa"/>
            <w:vAlign w:val="bottom"/>
            <w:tcBorders>
              <w:right w:val="single" w:sz="8" w:color="DCDDDE"/>
            </w:tcBorders>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Borders>
              <w:right w:val="single" w:sz="8" w:color="DCDDDE"/>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780" w:type="dxa"/>
            <w:vAlign w:val="bottom"/>
            <w:tcBorders>
              <w:left w:val="single" w:sz="8" w:color="D9D9D8"/>
            </w:tcBorders>
            <w:vMerge w:val="continue"/>
          </w:tcPr>
          <w:p>
            <w:pPr>
              <w:spacing w:after="0"/>
              <w:rPr>
                <w:sz w:val="9"/>
                <w:szCs w:val="9"/>
                <w:color w:val="auto"/>
              </w:rPr>
            </w:pPr>
          </w:p>
        </w:tc>
        <w:tc>
          <w:tcPr>
            <w:tcW w:w="300" w:type="dxa"/>
            <w:vAlign w:val="bottom"/>
            <w:tcBorders>
              <w:bottom w:val="single" w:sz="8" w:color="DCDDDE"/>
            </w:tcBorders>
          </w:tcPr>
          <w:p>
            <w:pPr>
              <w:spacing w:after="0"/>
              <w:rPr>
                <w:sz w:val="9"/>
                <w:szCs w:val="9"/>
                <w:color w:val="auto"/>
              </w:rPr>
            </w:pPr>
          </w:p>
        </w:tc>
        <w:tc>
          <w:tcPr>
            <w:tcW w:w="240" w:type="dxa"/>
            <w:vAlign w:val="bottom"/>
            <w:tcBorders>
              <w:bottom w:val="single" w:sz="8" w:color="DCDDDE"/>
            </w:tcBorders>
          </w:tcPr>
          <w:p>
            <w:pPr>
              <w:spacing w:after="0"/>
              <w:rPr>
                <w:sz w:val="9"/>
                <w:szCs w:val="9"/>
                <w:color w:val="auto"/>
              </w:rPr>
            </w:pPr>
          </w:p>
        </w:tc>
        <w:tc>
          <w:tcPr>
            <w:tcW w:w="460" w:type="dxa"/>
            <w:vAlign w:val="bottom"/>
            <w:tcBorders>
              <w:bottom w:val="single" w:sz="8" w:color="DCDDDE"/>
            </w:tcBorders>
          </w:tcPr>
          <w:p>
            <w:pPr>
              <w:spacing w:after="0"/>
              <w:rPr>
                <w:sz w:val="9"/>
                <w:szCs w:val="9"/>
                <w:color w:val="auto"/>
              </w:rPr>
            </w:pPr>
          </w:p>
        </w:tc>
        <w:tc>
          <w:tcPr>
            <w:tcW w:w="80" w:type="dxa"/>
            <w:vAlign w:val="bottom"/>
            <w:tcBorders>
              <w:bottom w:val="single" w:sz="8" w:color="DCDDDE"/>
            </w:tcBorders>
          </w:tcPr>
          <w:p>
            <w:pPr>
              <w:spacing w:after="0"/>
              <w:rPr>
                <w:sz w:val="9"/>
                <w:szCs w:val="9"/>
                <w:color w:val="auto"/>
              </w:rPr>
            </w:pPr>
          </w:p>
        </w:tc>
        <w:tc>
          <w:tcPr>
            <w:tcW w:w="240" w:type="dxa"/>
            <w:vAlign w:val="bottom"/>
            <w:tcBorders>
              <w:bottom w:val="single" w:sz="8" w:color="DCDDDE"/>
            </w:tcBorders>
          </w:tcPr>
          <w:p>
            <w:pPr>
              <w:spacing w:after="0"/>
              <w:rPr>
                <w:sz w:val="9"/>
                <w:szCs w:val="9"/>
                <w:color w:val="auto"/>
              </w:rPr>
            </w:pPr>
          </w:p>
        </w:tc>
        <w:tc>
          <w:tcPr>
            <w:tcW w:w="620" w:type="dxa"/>
            <w:vAlign w:val="bottom"/>
            <w:tcBorders>
              <w:bottom w:val="single" w:sz="8" w:color="DCDDDE"/>
            </w:tcBorders>
          </w:tcPr>
          <w:p>
            <w:pPr>
              <w:spacing w:after="0"/>
              <w:rPr>
                <w:sz w:val="9"/>
                <w:szCs w:val="9"/>
                <w:color w:val="auto"/>
              </w:rPr>
            </w:pPr>
          </w:p>
        </w:tc>
        <w:tc>
          <w:tcPr>
            <w:tcW w:w="60" w:type="dxa"/>
            <w:vAlign w:val="bottom"/>
            <w:tcBorders>
              <w:bottom w:val="single" w:sz="8" w:color="DCDDDE"/>
            </w:tcBorders>
          </w:tcPr>
          <w:p>
            <w:pPr>
              <w:spacing w:after="0"/>
              <w:rPr>
                <w:sz w:val="9"/>
                <w:szCs w:val="9"/>
                <w:color w:val="auto"/>
              </w:rPr>
            </w:pPr>
          </w:p>
        </w:tc>
        <w:tc>
          <w:tcPr>
            <w:tcW w:w="220" w:type="dxa"/>
            <w:vAlign w:val="bottom"/>
            <w:tcBorders>
              <w:bottom w:val="single" w:sz="8" w:color="DCDDDE"/>
            </w:tcBorders>
          </w:tcPr>
          <w:p>
            <w:pPr>
              <w:spacing w:after="0"/>
              <w:rPr>
                <w:sz w:val="9"/>
                <w:szCs w:val="9"/>
                <w:color w:val="auto"/>
              </w:rPr>
            </w:pPr>
          </w:p>
        </w:tc>
        <w:tc>
          <w:tcPr>
            <w:tcW w:w="1060" w:type="dxa"/>
            <w:vAlign w:val="bottom"/>
            <w:tcBorders>
              <w:bottom w:val="single" w:sz="8" w:color="DCDDDE"/>
            </w:tcBorders>
          </w:tcPr>
          <w:p>
            <w:pPr>
              <w:spacing w:after="0"/>
              <w:rPr>
                <w:sz w:val="9"/>
                <w:szCs w:val="9"/>
                <w:color w:val="auto"/>
              </w:rPr>
            </w:pPr>
          </w:p>
        </w:tc>
        <w:tc>
          <w:tcPr>
            <w:tcW w:w="480" w:type="dxa"/>
            <w:vAlign w:val="bottom"/>
            <w:tcBorders>
              <w:right w:val="single" w:sz="8" w:color="D9D9D8"/>
            </w:tcBorders>
            <w:vMerge w:val="continue"/>
          </w:tcPr>
          <w:p>
            <w:pPr>
              <w:spacing w:after="0"/>
              <w:rPr>
                <w:sz w:val="9"/>
                <w:szCs w:val="9"/>
                <w:color w:val="auto"/>
              </w:rPr>
            </w:pPr>
          </w:p>
        </w:tc>
        <w:tc>
          <w:tcPr>
            <w:tcW w:w="60" w:type="dxa"/>
            <w:vAlign w:val="bottom"/>
            <w:tcBorders>
              <w:right w:val="single" w:sz="8" w:color="DCDDDE"/>
            </w:tcBorders>
            <w:vMerge w:val="restart"/>
          </w:tcPr>
          <w:p>
            <w:pPr>
              <w:spacing w:after="0"/>
              <w:rPr>
                <w:sz w:val="9"/>
                <w:szCs w:val="9"/>
                <w:color w:val="auto"/>
              </w:rPr>
            </w:pPr>
          </w:p>
        </w:tc>
        <w:tc>
          <w:tcPr>
            <w:tcW w:w="740" w:type="dxa"/>
            <w:vAlign w:val="bottom"/>
            <w:vMerge w:val="restart"/>
          </w:tcPr>
          <w:p>
            <w:pPr>
              <w:jc w:val="right"/>
              <w:ind w:right="20"/>
              <w:spacing w:after="0"/>
              <w:rPr>
                <w:sz w:val="20"/>
                <w:szCs w:val="20"/>
                <w:color w:val="auto"/>
              </w:rPr>
            </w:pPr>
            <w:r>
              <w:rPr>
                <w:rFonts w:ascii="Calibri" w:cs="Calibri" w:eastAsia="Calibri" w:hAnsi="Calibri"/>
                <w:sz w:val="11"/>
                <w:szCs w:val="11"/>
                <w:color w:val="4C4C4E"/>
              </w:rPr>
              <w:t>$37,500,000</w:t>
            </w:r>
          </w:p>
        </w:tc>
        <w:tc>
          <w:tcPr>
            <w:tcW w:w="2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36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spacing w:after="0"/>
              <w:rPr>
                <w:sz w:val="9"/>
                <w:szCs w:val="9"/>
                <w:color w:val="auto"/>
              </w:rPr>
            </w:pPr>
          </w:p>
        </w:tc>
        <w:tc>
          <w:tcPr>
            <w:tcW w:w="480" w:type="dxa"/>
            <w:vAlign w:val="bottom"/>
            <w:tcBorders>
              <w:right w:val="single" w:sz="8" w:color="DCDDDE"/>
            </w:tcBorders>
            <w:vMerge w:val="restart"/>
          </w:tcPr>
          <w:p>
            <w:pPr>
              <w:jc w:val="right"/>
              <w:ind w:right="43"/>
              <w:spacing w:after="0"/>
              <w:rPr>
                <w:sz w:val="20"/>
                <w:szCs w:val="20"/>
                <w:color w:val="auto"/>
              </w:rPr>
            </w:pPr>
            <w:r>
              <w:rPr>
                <w:rFonts w:ascii="Calibri" w:cs="Calibri" w:eastAsia="Calibri" w:hAnsi="Calibri"/>
                <w:sz w:val="11"/>
                <w:szCs w:val="11"/>
                <w:color w:val="4C4C4E"/>
              </w:rPr>
              <w:t>$6.50</w:t>
            </w:r>
          </w:p>
        </w:tc>
        <w:tc>
          <w:tcPr>
            <w:tcW w:w="0" w:type="dxa"/>
            <w:vAlign w:val="bottom"/>
          </w:tcPr>
          <w:p>
            <w:pPr>
              <w:spacing w:after="0"/>
              <w:rPr>
                <w:sz w:val="1"/>
                <w:szCs w:val="1"/>
                <w:color w:val="auto"/>
              </w:rPr>
            </w:pPr>
          </w:p>
        </w:tc>
      </w:tr>
      <w:tr>
        <w:trPr>
          <w:trHeight w:val="21"/>
        </w:trPr>
        <w:tc>
          <w:tcPr>
            <w:tcW w:w="780" w:type="dxa"/>
            <w:vAlign w:val="bottom"/>
            <w:tcBorders>
              <w:left w:val="single" w:sz="8" w:color="D9D9D8"/>
            </w:tcBorders>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Borders>
              <w:right w:val="single" w:sz="8" w:color="D9D9D8"/>
            </w:tcBorders>
            <w:vMerge w:val="continue"/>
          </w:tcPr>
          <w:p>
            <w:pPr>
              <w:spacing w:after="0" w:line="20" w:lineRule="exact"/>
              <w:rPr>
                <w:sz w:val="1"/>
                <w:szCs w:val="1"/>
                <w:color w:val="auto"/>
              </w:rPr>
            </w:pPr>
          </w:p>
        </w:tc>
        <w:tc>
          <w:tcPr>
            <w:tcW w:w="60" w:type="dxa"/>
            <w:vAlign w:val="bottom"/>
            <w:tcBorders>
              <w:right w:val="single" w:sz="8" w:color="DCDDDE"/>
            </w:tcBorders>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20" w:type="dxa"/>
            <w:vAlign w:val="bottom"/>
            <w:tcBorders>
              <w:bottom w:val="single" w:sz="8" w:color="DCDDDE"/>
            </w:tcBorders>
            <w:vMerge w:val="continue"/>
          </w:tcPr>
          <w:p>
            <w:pPr>
              <w:spacing w:after="0" w:line="20" w:lineRule="exact"/>
              <w:rPr>
                <w:sz w:val="1"/>
                <w:szCs w:val="1"/>
                <w:color w:val="auto"/>
              </w:rPr>
            </w:pPr>
          </w:p>
        </w:tc>
        <w:tc>
          <w:tcPr>
            <w:tcW w:w="220" w:type="dxa"/>
            <w:vAlign w:val="bottom"/>
            <w:tcBorders>
              <w:bottom w:val="single" w:sz="8" w:color="DCDDDE"/>
            </w:tcBorders>
            <w:vMerge w:val="continue"/>
          </w:tcPr>
          <w:p>
            <w:pPr>
              <w:spacing w:after="0" w:line="20" w:lineRule="exact"/>
              <w:rPr>
                <w:sz w:val="1"/>
                <w:szCs w:val="1"/>
                <w:color w:val="auto"/>
              </w:rPr>
            </w:pPr>
          </w:p>
        </w:tc>
        <w:tc>
          <w:tcPr>
            <w:tcW w:w="360" w:type="dxa"/>
            <w:vAlign w:val="bottom"/>
            <w:tcBorders>
              <w:bottom w:val="single" w:sz="8" w:color="DCDDDE"/>
            </w:tcBorders>
            <w:vMerge w:val="continue"/>
          </w:tcPr>
          <w:p>
            <w:pPr>
              <w:spacing w:after="0" w:line="20" w:lineRule="exact"/>
              <w:rPr>
                <w:sz w:val="1"/>
                <w:szCs w:val="1"/>
                <w:color w:val="auto"/>
              </w:rPr>
            </w:pPr>
          </w:p>
        </w:tc>
        <w:tc>
          <w:tcPr>
            <w:tcW w:w="420" w:type="dxa"/>
            <w:vAlign w:val="bottom"/>
            <w:tcBorders>
              <w:bottom w:val="single" w:sz="8" w:color="DCDDDE"/>
            </w:tcBorders>
          </w:tcPr>
          <w:p>
            <w:pPr>
              <w:spacing w:after="0" w:line="20" w:lineRule="exact"/>
              <w:rPr>
                <w:sz w:val="1"/>
                <w:szCs w:val="1"/>
                <w:color w:val="auto"/>
              </w:rPr>
            </w:pPr>
          </w:p>
        </w:tc>
        <w:tc>
          <w:tcPr>
            <w:tcW w:w="240" w:type="dxa"/>
            <w:vAlign w:val="bottom"/>
            <w:tcBorders>
              <w:bottom w:val="single" w:sz="8" w:color="DCDDDE"/>
            </w:tcBorders>
          </w:tcPr>
          <w:p>
            <w:pPr>
              <w:spacing w:after="0" w:line="20" w:lineRule="exact"/>
              <w:rPr>
                <w:sz w:val="1"/>
                <w:szCs w:val="1"/>
                <w:color w:val="auto"/>
              </w:rPr>
            </w:pPr>
          </w:p>
        </w:tc>
        <w:tc>
          <w:tcPr>
            <w:tcW w:w="680" w:type="dxa"/>
            <w:vAlign w:val="bottom"/>
            <w:tcBorders>
              <w:bottom w:val="single" w:sz="8" w:color="DCDDDE"/>
            </w:tcBorders>
          </w:tcPr>
          <w:p>
            <w:pPr>
              <w:spacing w:after="0" w:line="20" w:lineRule="exact"/>
              <w:rPr>
                <w:sz w:val="1"/>
                <w:szCs w:val="1"/>
                <w:color w:val="auto"/>
              </w:rPr>
            </w:pPr>
          </w:p>
        </w:tc>
        <w:tc>
          <w:tcPr>
            <w:tcW w:w="220" w:type="dxa"/>
            <w:vAlign w:val="bottom"/>
            <w:tcBorders>
              <w:bottom w:val="single" w:sz="8" w:color="DCDDDE"/>
            </w:tcBorders>
          </w:tcPr>
          <w:p>
            <w:pPr>
              <w:spacing w:after="0" w:line="20" w:lineRule="exact"/>
              <w:rPr>
                <w:sz w:val="1"/>
                <w:szCs w:val="1"/>
                <w:color w:val="auto"/>
              </w:rPr>
            </w:pPr>
          </w:p>
        </w:tc>
        <w:tc>
          <w:tcPr>
            <w:tcW w:w="940" w:type="dxa"/>
            <w:vAlign w:val="bottom"/>
            <w:tcBorders>
              <w:bottom w:val="single" w:sz="8" w:color="DCDDDE"/>
            </w:tcBorders>
            <w:vMerge w:val="continue"/>
          </w:tcPr>
          <w:p>
            <w:pPr>
              <w:spacing w:after="0" w:line="20" w:lineRule="exact"/>
              <w:rPr>
                <w:sz w:val="1"/>
                <w:szCs w:val="1"/>
                <w:color w:val="auto"/>
              </w:rPr>
            </w:pPr>
          </w:p>
        </w:tc>
        <w:tc>
          <w:tcPr>
            <w:tcW w:w="480" w:type="dxa"/>
            <w:vAlign w:val="bottom"/>
            <w:tcBorders>
              <w:right w:val="single" w:sz="8" w:color="DCDDD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
        </w:trPr>
        <w:tc>
          <w:tcPr>
            <w:tcW w:w="780" w:type="dxa"/>
            <w:vAlign w:val="bottom"/>
            <w:tcBorders>
              <w:left w:val="single" w:sz="8" w:color="D9D9D8"/>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Borders>
              <w:right w:val="single" w:sz="8" w:color="D9D9D8"/>
            </w:tcBorders>
            <w:vMerge w:val="continue"/>
          </w:tcPr>
          <w:p>
            <w:pPr>
              <w:spacing w:after="0"/>
              <w:rPr>
                <w:sz w:val="3"/>
                <w:szCs w:val="3"/>
                <w:color w:val="auto"/>
              </w:rPr>
            </w:pPr>
          </w:p>
        </w:tc>
        <w:tc>
          <w:tcPr>
            <w:tcW w:w="60" w:type="dxa"/>
            <w:vAlign w:val="bottom"/>
            <w:tcBorders>
              <w:right w:val="single" w:sz="8" w:color="DCDDDE"/>
            </w:tcBorders>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Borders>
              <w:right w:val="single" w:sz="8" w:color="DCDDDE"/>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$30,000,000</w:t>
            </w:r>
          </w:p>
        </w:tc>
        <w:tc>
          <w:tcPr>
            <w:tcW w:w="300" w:type="dxa"/>
            <w:vAlign w:val="bottom"/>
            <w:tcBorders>
              <w:bottom w:val="single" w:sz="8" w:color="DCDDDE"/>
            </w:tcBorders>
          </w:tcPr>
          <w:p>
            <w:pPr>
              <w:spacing w:after="0"/>
              <w:rPr>
                <w:sz w:val="11"/>
                <w:szCs w:val="11"/>
                <w:color w:val="auto"/>
              </w:rPr>
            </w:pPr>
          </w:p>
        </w:tc>
        <w:tc>
          <w:tcPr>
            <w:tcW w:w="240" w:type="dxa"/>
            <w:vAlign w:val="bottom"/>
            <w:tcBorders>
              <w:bottom w:val="single" w:sz="8" w:color="DCDDDE"/>
            </w:tcBorders>
          </w:tcPr>
          <w:p>
            <w:pPr>
              <w:spacing w:after="0"/>
              <w:rPr>
                <w:sz w:val="11"/>
                <w:szCs w:val="11"/>
                <w:color w:val="auto"/>
              </w:rPr>
            </w:pPr>
          </w:p>
        </w:tc>
        <w:tc>
          <w:tcPr>
            <w:tcW w:w="460" w:type="dxa"/>
            <w:vAlign w:val="bottom"/>
            <w:tcBorders>
              <w:bottom w:val="single" w:sz="8" w:color="DCDDDE"/>
            </w:tcBorders>
          </w:tcPr>
          <w:p>
            <w:pPr>
              <w:spacing w:after="0"/>
              <w:rPr>
                <w:sz w:val="11"/>
                <w:szCs w:val="11"/>
                <w:color w:val="auto"/>
              </w:rPr>
            </w:pPr>
          </w:p>
        </w:tc>
        <w:tc>
          <w:tcPr>
            <w:tcW w:w="80" w:type="dxa"/>
            <w:vAlign w:val="bottom"/>
            <w:tcBorders>
              <w:bottom w:val="single" w:sz="8" w:color="DCDDDE"/>
            </w:tcBorders>
          </w:tcPr>
          <w:p>
            <w:pPr>
              <w:spacing w:after="0"/>
              <w:rPr>
                <w:sz w:val="11"/>
                <w:szCs w:val="11"/>
                <w:color w:val="auto"/>
              </w:rPr>
            </w:pPr>
          </w:p>
        </w:tc>
        <w:tc>
          <w:tcPr>
            <w:tcW w:w="240" w:type="dxa"/>
            <w:vAlign w:val="bottom"/>
            <w:tcBorders>
              <w:bottom w:val="single" w:sz="8" w:color="DCDDDE"/>
            </w:tcBorders>
          </w:tcPr>
          <w:p>
            <w:pPr>
              <w:spacing w:after="0"/>
              <w:rPr>
                <w:sz w:val="11"/>
                <w:szCs w:val="11"/>
                <w:color w:val="auto"/>
              </w:rPr>
            </w:pPr>
          </w:p>
        </w:tc>
        <w:tc>
          <w:tcPr>
            <w:tcW w:w="620" w:type="dxa"/>
            <w:vAlign w:val="bottom"/>
            <w:tcBorders>
              <w:bottom w:val="single" w:sz="8" w:color="DCDDDE"/>
            </w:tcBorders>
          </w:tcPr>
          <w:p>
            <w:pPr>
              <w:spacing w:after="0"/>
              <w:rPr>
                <w:sz w:val="11"/>
                <w:szCs w:val="11"/>
                <w:color w:val="auto"/>
              </w:rPr>
            </w:pPr>
          </w:p>
        </w:tc>
        <w:tc>
          <w:tcPr>
            <w:tcW w:w="60" w:type="dxa"/>
            <w:vAlign w:val="bottom"/>
            <w:tcBorders>
              <w:bottom w:val="single" w:sz="8" w:color="DCDDDE"/>
            </w:tcBorders>
          </w:tcPr>
          <w:p>
            <w:pPr>
              <w:spacing w:after="0"/>
              <w:rPr>
                <w:sz w:val="11"/>
                <w:szCs w:val="11"/>
                <w:color w:val="auto"/>
              </w:rPr>
            </w:pPr>
          </w:p>
        </w:tc>
        <w:tc>
          <w:tcPr>
            <w:tcW w:w="220" w:type="dxa"/>
            <w:vAlign w:val="bottom"/>
            <w:tcBorders>
              <w:bottom w:val="single" w:sz="8" w:color="DCDDDE"/>
            </w:tcBorders>
          </w:tcPr>
          <w:p>
            <w:pPr>
              <w:spacing w:after="0"/>
              <w:rPr>
                <w:sz w:val="11"/>
                <w:szCs w:val="11"/>
                <w:color w:val="auto"/>
              </w:rPr>
            </w:pPr>
          </w:p>
        </w:tc>
        <w:tc>
          <w:tcPr>
            <w:tcW w:w="1060" w:type="dxa"/>
            <w:vAlign w:val="bottom"/>
            <w:tcBorders>
              <w:bottom w:val="single" w:sz="8" w:color="DCDDDE"/>
            </w:tcBorders>
          </w:tcPr>
          <w:p>
            <w:pPr>
              <w:spacing w:after="0"/>
              <w:rPr>
                <w:sz w:val="11"/>
                <w:szCs w:val="11"/>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$6.00</w:t>
            </w:r>
          </w:p>
        </w:tc>
        <w:tc>
          <w:tcPr>
            <w:tcW w:w="60" w:type="dxa"/>
            <w:vAlign w:val="bottom"/>
            <w:tcBorders>
              <w:right w:val="single" w:sz="8" w:color="DCDDDE"/>
            </w:tcBorders>
            <w:vMerge w:val="restart"/>
          </w:tcPr>
          <w:p>
            <w:pPr>
              <w:spacing w:after="0"/>
              <w:rPr>
                <w:sz w:val="11"/>
                <w:szCs w:val="11"/>
                <w:color w:val="auto"/>
              </w:rPr>
            </w:pPr>
          </w:p>
        </w:tc>
        <w:tc>
          <w:tcPr>
            <w:tcW w:w="740" w:type="dxa"/>
            <w:vAlign w:val="bottom"/>
            <w:vMerge w:val="restart"/>
          </w:tcPr>
          <w:p>
            <w:pPr>
              <w:jc w:val="right"/>
              <w:ind w:right="20"/>
              <w:spacing w:after="0"/>
              <w:rPr>
                <w:sz w:val="20"/>
                <w:szCs w:val="20"/>
                <w:color w:val="auto"/>
              </w:rPr>
            </w:pPr>
            <w:r>
              <w:rPr>
                <w:rFonts w:ascii="Calibri" w:cs="Calibri" w:eastAsia="Calibri" w:hAnsi="Calibri"/>
                <w:sz w:val="11"/>
                <w:szCs w:val="11"/>
                <w:color w:val="4C4C4E"/>
              </w:rPr>
              <w:t>$30,000,000</w:t>
            </w:r>
          </w:p>
        </w:tc>
        <w:tc>
          <w:tcPr>
            <w:tcW w:w="2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36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spacing w:after="0"/>
              <w:rPr>
                <w:sz w:val="11"/>
                <w:szCs w:val="11"/>
                <w:color w:val="auto"/>
              </w:rPr>
            </w:pPr>
          </w:p>
        </w:tc>
        <w:tc>
          <w:tcPr>
            <w:tcW w:w="480" w:type="dxa"/>
            <w:vAlign w:val="bottom"/>
            <w:tcBorders>
              <w:right w:val="single" w:sz="8" w:color="DCDDDE"/>
            </w:tcBorders>
            <w:vMerge w:val="restart"/>
          </w:tcPr>
          <w:p>
            <w:pPr>
              <w:jc w:val="right"/>
              <w:ind w:right="43"/>
              <w:spacing w:after="0"/>
              <w:rPr>
                <w:sz w:val="20"/>
                <w:szCs w:val="20"/>
                <w:color w:val="auto"/>
              </w:rPr>
            </w:pPr>
            <w:r>
              <w:rPr>
                <w:rFonts w:ascii="Calibri" w:cs="Calibri" w:eastAsia="Calibri" w:hAnsi="Calibri"/>
                <w:sz w:val="11"/>
                <w:szCs w:val="11"/>
                <w:color w:val="4C4C4E"/>
              </w:rPr>
              <w:t>$6.00</w:t>
            </w:r>
          </w:p>
        </w:tc>
        <w:tc>
          <w:tcPr>
            <w:tcW w:w="0" w:type="dxa"/>
            <w:vAlign w:val="bottom"/>
          </w:tcPr>
          <w:p>
            <w:pPr>
              <w:spacing w:after="0"/>
              <w:rPr>
                <w:sz w:val="1"/>
                <w:szCs w:val="1"/>
                <w:color w:val="auto"/>
              </w:rPr>
            </w:pPr>
          </w:p>
        </w:tc>
      </w:tr>
      <w:tr>
        <w:trPr>
          <w:trHeight w:val="20"/>
        </w:trPr>
        <w:tc>
          <w:tcPr>
            <w:tcW w:w="780" w:type="dxa"/>
            <w:vAlign w:val="bottom"/>
            <w:tcBorders>
              <w:left w:val="single" w:sz="8" w:color="D9D9D8"/>
            </w:tcBorders>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Borders>
              <w:right w:val="single" w:sz="8" w:color="D9D9D8"/>
            </w:tcBorders>
            <w:vMerge w:val="continue"/>
          </w:tcPr>
          <w:p>
            <w:pPr>
              <w:spacing w:after="0" w:line="20" w:lineRule="exact"/>
              <w:rPr>
                <w:sz w:val="1"/>
                <w:szCs w:val="1"/>
                <w:color w:val="auto"/>
              </w:rPr>
            </w:pPr>
          </w:p>
        </w:tc>
        <w:tc>
          <w:tcPr>
            <w:tcW w:w="60" w:type="dxa"/>
            <w:vAlign w:val="bottom"/>
            <w:tcBorders>
              <w:right w:val="single" w:sz="8" w:color="DCDDDE"/>
            </w:tcBorders>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20" w:type="dxa"/>
            <w:vAlign w:val="bottom"/>
            <w:tcBorders>
              <w:bottom w:val="single" w:sz="8" w:color="DCDDDE"/>
            </w:tcBorders>
            <w:vMerge w:val="continue"/>
          </w:tcPr>
          <w:p>
            <w:pPr>
              <w:spacing w:after="0" w:line="20" w:lineRule="exact"/>
              <w:rPr>
                <w:sz w:val="1"/>
                <w:szCs w:val="1"/>
                <w:color w:val="auto"/>
              </w:rPr>
            </w:pPr>
          </w:p>
        </w:tc>
        <w:tc>
          <w:tcPr>
            <w:tcW w:w="220" w:type="dxa"/>
            <w:vAlign w:val="bottom"/>
            <w:tcBorders>
              <w:bottom w:val="single" w:sz="8" w:color="DCDDDE"/>
            </w:tcBorders>
            <w:vMerge w:val="continue"/>
          </w:tcPr>
          <w:p>
            <w:pPr>
              <w:spacing w:after="0" w:line="20" w:lineRule="exact"/>
              <w:rPr>
                <w:sz w:val="1"/>
                <w:szCs w:val="1"/>
                <w:color w:val="auto"/>
              </w:rPr>
            </w:pPr>
          </w:p>
        </w:tc>
        <w:tc>
          <w:tcPr>
            <w:tcW w:w="360" w:type="dxa"/>
            <w:vAlign w:val="bottom"/>
            <w:tcBorders>
              <w:bottom w:val="single" w:sz="8" w:color="DCDDDE"/>
            </w:tcBorders>
            <w:vMerge w:val="continue"/>
          </w:tcPr>
          <w:p>
            <w:pPr>
              <w:spacing w:after="0" w:line="20" w:lineRule="exact"/>
              <w:rPr>
                <w:sz w:val="1"/>
                <w:szCs w:val="1"/>
                <w:color w:val="auto"/>
              </w:rPr>
            </w:pPr>
          </w:p>
        </w:tc>
        <w:tc>
          <w:tcPr>
            <w:tcW w:w="420" w:type="dxa"/>
            <w:vAlign w:val="bottom"/>
            <w:tcBorders>
              <w:bottom w:val="single" w:sz="8" w:color="DCDDDE"/>
            </w:tcBorders>
          </w:tcPr>
          <w:p>
            <w:pPr>
              <w:spacing w:after="0" w:line="20" w:lineRule="exact"/>
              <w:rPr>
                <w:sz w:val="1"/>
                <w:szCs w:val="1"/>
                <w:color w:val="auto"/>
              </w:rPr>
            </w:pPr>
          </w:p>
        </w:tc>
        <w:tc>
          <w:tcPr>
            <w:tcW w:w="240" w:type="dxa"/>
            <w:vAlign w:val="bottom"/>
            <w:tcBorders>
              <w:bottom w:val="single" w:sz="8" w:color="DCDDDE"/>
            </w:tcBorders>
          </w:tcPr>
          <w:p>
            <w:pPr>
              <w:spacing w:after="0" w:line="20" w:lineRule="exact"/>
              <w:rPr>
                <w:sz w:val="1"/>
                <w:szCs w:val="1"/>
                <w:color w:val="auto"/>
              </w:rPr>
            </w:pPr>
          </w:p>
        </w:tc>
        <w:tc>
          <w:tcPr>
            <w:tcW w:w="680" w:type="dxa"/>
            <w:vAlign w:val="bottom"/>
            <w:tcBorders>
              <w:bottom w:val="single" w:sz="8" w:color="DCDDDE"/>
            </w:tcBorders>
          </w:tcPr>
          <w:p>
            <w:pPr>
              <w:spacing w:after="0" w:line="20" w:lineRule="exact"/>
              <w:rPr>
                <w:sz w:val="1"/>
                <w:szCs w:val="1"/>
                <w:color w:val="auto"/>
              </w:rPr>
            </w:pPr>
          </w:p>
        </w:tc>
        <w:tc>
          <w:tcPr>
            <w:tcW w:w="220" w:type="dxa"/>
            <w:vAlign w:val="bottom"/>
            <w:tcBorders>
              <w:bottom w:val="single" w:sz="8" w:color="DCDDDE"/>
            </w:tcBorders>
          </w:tcPr>
          <w:p>
            <w:pPr>
              <w:spacing w:after="0" w:line="20" w:lineRule="exact"/>
              <w:rPr>
                <w:sz w:val="1"/>
                <w:szCs w:val="1"/>
                <w:color w:val="auto"/>
              </w:rPr>
            </w:pPr>
          </w:p>
        </w:tc>
        <w:tc>
          <w:tcPr>
            <w:tcW w:w="940" w:type="dxa"/>
            <w:vAlign w:val="bottom"/>
            <w:tcBorders>
              <w:bottom w:val="single" w:sz="8" w:color="DCDDDE"/>
            </w:tcBorders>
            <w:vMerge w:val="continue"/>
          </w:tcPr>
          <w:p>
            <w:pPr>
              <w:spacing w:after="0" w:line="20" w:lineRule="exact"/>
              <w:rPr>
                <w:sz w:val="1"/>
                <w:szCs w:val="1"/>
                <w:color w:val="auto"/>
              </w:rPr>
            </w:pPr>
          </w:p>
        </w:tc>
        <w:tc>
          <w:tcPr>
            <w:tcW w:w="480" w:type="dxa"/>
            <w:vAlign w:val="bottom"/>
            <w:tcBorders>
              <w:right w:val="single" w:sz="8" w:color="DCDDDE"/>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780" w:type="dxa"/>
            <w:vAlign w:val="bottom"/>
            <w:tcBorders>
              <w:left w:val="single" w:sz="8" w:color="D9D9D8"/>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Borders>
              <w:right w:val="single" w:sz="8" w:color="D9D9D8"/>
            </w:tcBorders>
            <w:vMerge w:val="continue"/>
          </w:tcPr>
          <w:p>
            <w:pPr>
              <w:spacing w:after="0"/>
              <w:rPr>
                <w:sz w:val="2"/>
                <w:szCs w:val="2"/>
                <w:color w:val="auto"/>
              </w:rPr>
            </w:pPr>
          </w:p>
        </w:tc>
        <w:tc>
          <w:tcPr>
            <w:tcW w:w="60" w:type="dxa"/>
            <w:vAlign w:val="bottom"/>
            <w:tcBorders>
              <w:right w:val="single" w:sz="8" w:color="DCDDDE"/>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Borders>
              <w:right w:val="single" w:sz="8" w:color="DCDDDE"/>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$22,500,000</w:t>
            </w:r>
          </w:p>
        </w:tc>
        <w:tc>
          <w:tcPr>
            <w:tcW w:w="300" w:type="dxa"/>
            <w:vAlign w:val="bottom"/>
            <w:tcBorders>
              <w:bottom w:val="single" w:sz="8" w:color="DCDDDE"/>
            </w:tcBorders>
          </w:tcPr>
          <w:p>
            <w:pPr>
              <w:spacing w:after="0"/>
              <w:rPr>
                <w:sz w:val="14"/>
                <w:szCs w:val="14"/>
                <w:color w:val="auto"/>
              </w:rPr>
            </w:pPr>
          </w:p>
        </w:tc>
        <w:tc>
          <w:tcPr>
            <w:tcW w:w="240" w:type="dxa"/>
            <w:vAlign w:val="bottom"/>
            <w:tcBorders>
              <w:bottom w:val="single" w:sz="8" w:color="DCDDDE"/>
            </w:tcBorders>
          </w:tcPr>
          <w:p>
            <w:pPr>
              <w:spacing w:after="0"/>
              <w:rPr>
                <w:sz w:val="14"/>
                <w:szCs w:val="14"/>
                <w:color w:val="auto"/>
              </w:rPr>
            </w:pPr>
          </w:p>
        </w:tc>
        <w:tc>
          <w:tcPr>
            <w:tcW w:w="460" w:type="dxa"/>
            <w:vAlign w:val="bottom"/>
            <w:tcBorders>
              <w:bottom w:val="single" w:sz="8" w:color="DCDDDE"/>
            </w:tcBorders>
          </w:tcPr>
          <w:p>
            <w:pPr>
              <w:spacing w:after="0"/>
              <w:rPr>
                <w:sz w:val="14"/>
                <w:szCs w:val="14"/>
                <w:color w:val="auto"/>
              </w:rPr>
            </w:pPr>
          </w:p>
        </w:tc>
        <w:tc>
          <w:tcPr>
            <w:tcW w:w="80" w:type="dxa"/>
            <w:vAlign w:val="bottom"/>
            <w:tcBorders>
              <w:bottom w:val="single" w:sz="8" w:color="DCDDDE"/>
            </w:tcBorders>
          </w:tcPr>
          <w:p>
            <w:pPr>
              <w:spacing w:after="0"/>
              <w:rPr>
                <w:sz w:val="14"/>
                <w:szCs w:val="14"/>
                <w:color w:val="auto"/>
              </w:rPr>
            </w:pPr>
          </w:p>
        </w:tc>
        <w:tc>
          <w:tcPr>
            <w:tcW w:w="240" w:type="dxa"/>
            <w:vAlign w:val="bottom"/>
            <w:tcBorders>
              <w:bottom w:val="single" w:sz="8" w:color="DCDDDE"/>
            </w:tcBorders>
          </w:tcPr>
          <w:p>
            <w:pPr>
              <w:spacing w:after="0"/>
              <w:rPr>
                <w:sz w:val="14"/>
                <w:szCs w:val="14"/>
                <w:color w:val="auto"/>
              </w:rPr>
            </w:pPr>
          </w:p>
        </w:tc>
        <w:tc>
          <w:tcPr>
            <w:tcW w:w="620" w:type="dxa"/>
            <w:vAlign w:val="bottom"/>
            <w:tcBorders>
              <w:bottom w:val="single" w:sz="8" w:color="DCDDDE"/>
            </w:tcBorders>
          </w:tcPr>
          <w:p>
            <w:pPr>
              <w:spacing w:after="0"/>
              <w:rPr>
                <w:sz w:val="14"/>
                <w:szCs w:val="14"/>
                <w:color w:val="auto"/>
              </w:rPr>
            </w:pPr>
          </w:p>
        </w:tc>
        <w:tc>
          <w:tcPr>
            <w:tcW w:w="60" w:type="dxa"/>
            <w:vAlign w:val="bottom"/>
            <w:tcBorders>
              <w:bottom w:val="single" w:sz="8" w:color="DCDDDE"/>
            </w:tcBorders>
          </w:tcPr>
          <w:p>
            <w:pPr>
              <w:spacing w:after="0"/>
              <w:rPr>
                <w:sz w:val="14"/>
                <w:szCs w:val="14"/>
                <w:color w:val="auto"/>
              </w:rPr>
            </w:pPr>
          </w:p>
        </w:tc>
        <w:tc>
          <w:tcPr>
            <w:tcW w:w="220" w:type="dxa"/>
            <w:vAlign w:val="bottom"/>
            <w:tcBorders>
              <w:bottom w:val="single" w:sz="8" w:color="DCDDDE"/>
            </w:tcBorders>
          </w:tcPr>
          <w:p>
            <w:pPr>
              <w:spacing w:after="0"/>
              <w:rPr>
                <w:sz w:val="14"/>
                <w:szCs w:val="14"/>
                <w:color w:val="auto"/>
              </w:rPr>
            </w:pPr>
          </w:p>
        </w:tc>
        <w:tc>
          <w:tcPr>
            <w:tcW w:w="1060" w:type="dxa"/>
            <w:vAlign w:val="bottom"/>
            <w:tcBorders>
              <w:bottom w:val="single" w:sz="8" w:color="DCDDDE"/>
            </w:tcBorders>
          </w:tcPr>
          <w:p>
            <w:pPr>
              <w:spacing w:after="0"/>
              <w:rPr>
                <w:sz w:val="14"/>
                <w:szCs w:val="14"/>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$5.50</w:t>
            </w:r>
          </w:p>
        </w:tc>
        <w:tc>
          <w:tcPr>
            <w:tcW w:w="60" w:type="dxa"/>
            <w:vAlign w:val="bottom"/>
            <w:tcBorders>
              <w:right w:val="single" w:sz="8" w:color="DCDDDE"/>
            </w:tcBorders>
            <w:vMerge w:val="restart"/>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Calibri" w:cs="Calibri" w:eastAsia="Calibri" w:hAnsi="Calibri"/>
                <w:sz w:val="11"/>
                <w:szCs w:val="11"/>
                <w:color w:val="4C4C4E"/>
              </w:rPr>
              <w:t>$22,500,000</w:t>
            </w:r>
          </w:p>
        </w:tc>
        <w:tc>
          <w:tcPr>
            <w:tcW w:w="220" w:type="dxa"/>
            <w:vAlign w:val="bottom"/>
            <w:tcBorders>
              <w:bottom w:val="single" w:sz="8" w:color="DCDDDE"/>
            </w:tcBorders>
          </w:tcPr>
          <w:p>
            <w:pPr>
              <w:spacing w:after="0"/>
              <w:rPr>
                <w:sz w:val="14"/>
                <w:szCs w:val="14"/>
                <w:color w:val="auto"/>
              </w:rPr>
            </w:pPr>
          </w:p>
        </w:tc>
        <w:tc>
          <w:tcPr>
            <w:tcW w:w="220" w:type="dxa"/>
            <w:vAlign w:val="bottom"/>
            <w:tcBorders>
              <w:bottom w:val="single" w:sz="8" w:color="DCDDDE"/>
            </w:tcBorders>
          </w:tcPr>
          <w:p>
            <w:pPr>
              <w:spacing w:after="0"/>
              <w:rPr>
                <w:sz w:val="14"/>
                <w:szCs w:val="14"/>
                <w:color w:val="auto"/>
              </w:rPr>
            </w:pPr>
          </w:p>
        </w:tc>
        <w:tc>
          <w:tcPr>
            <w:tcW w:w="360" w:type="dxa"/>
            <w:vAlign w:val="bottom"/>
            <w:tcBorders>
              <w:bottom w:val="single" w:sz="8" w:color="DCDDDE"/>
            </w:tcBorders>
          </w:tcPr>
          <w:p>
            <w:pPr>
              <w:spacing w:after="0"/>
              <w:rPr>
                <w:sz w:val="14"/>
                <w:szCs w:val="14"/>
                <w:color w:val="auto"/>
              </w:rPr>
            </w:pPr>
          </w:p>
        </w:tc>
        <w:tc>
          <w:tcPr>
            <w:tcW w:w="420" w:type="dxa"/>
            <w:vAlign w:val="bottom"/>
            <w:tcBorders>
              <w:bottom w:val="single" w:sz="8" w:color="DCDDDE"/>
            </w:tcBorders>
          </w:tcPr>
          <w:p>
            <w:pPr>
              <w:spacing w:after="0"/>
              <w:rPr>
                <w:sz w:val="14"/>
                <w:szCs w:val="14"/>
                <w:color w:val="auto"/>
              </w:rPr>
            </w:pPr>
          </w:p>
        </w:tc>
        <w:tc>
          <w:tcPr>
            <w:tcW w:w="240" w:type="dxa"/>
            <w:vAlign w:val="bottom"/>
            <w:tcBorders>
              <w:bottom w:val="single" w:sz="8" w:color="DCDDDE"/>
            </w:tcBorders>
          </w:tcPr>
          <w:p>
            <w:pPr>
              <w:spacing w:after="0"/>
              <w:rPr>
                <w:sz w:val="14"/>
                <w:szCs w:val="14"/>
                <w:color w:val="auto"/>
              </w:rPr>
            </w:pPr>
          </w:p>
        </w:tc>
        <w:tc>
          <w:tcPr>
            <w:tcW w:w="680" w:type="dxa"/>
            <w:vAlign w:val="bottom"/>
            <w:tcBorders>
              <w:bottom w:val="single" w:sz="8" w:color="DCDDDE"/>
            </w:tcBorders>
          </w:tcPr>
          <w:p>
            <w:pPr>
              <w:spacing w:after="0"/>
              <w:rPr>
                <w:sz w:val="14"/>
                <w:szCs w:val="14"/>
                <w:color w:val="auto"/>
              </w:rPr>
            </w:pPr>
          </w:p>
        </w:tc>
        <w:tc>
          <w:tcPr>
            <w:tcW w:w="220" w:type="dxa"/>
            <w:vAlign w:val="bottom"/>
            <w:tcBorders>
              <w:bottom w:val="single" w:sz="8" w:color="DCDDDE"/>
            </w:tcBorders>
          </w:tcPr>
          <w:p>
            <w:pPr>
              <w:spacing w:after="0"/>
              <w:rPr>
                <w:sz w:val="14"/>
                <w:szCs w:val="14"/>
                <w:color w:val="auto"/>
              </w:rPr>
            </w:pPr>
          </w:p>
        </w:tc>
        <w:tc>
          <w:tcPr>
            <w:tcW w:w="940" w:type="dxa"/>
            <w:vAlign w:val="bottom"/>
            <w:tcBorders>
              <w:bottom w:val="single" w:sz="8" w:color="DCDDDE"/>
            </w:tcBorders>
          </w:tcPr>
          <w:p>
            <w:pPr>
              <w:spacing w:after="0"/>
              <w:rPr>
                <w:sz w:val="14"/>
                <w:szCs w:val="14"/>
                <w:color w:val="auto"/>
              </w:rPr>
            </w:pPr>
          </w:p>
        </w:tc>
        <w:tc>
          <w:tcPr>
            <w:tcW w:w="480" w:type="dxa"/>
            <w:vAlign w:val="bottom"/>
            <w:tcBorders>
              <w:right w:val="single" w:sz="8" w:color="DCDDDE"/>
            </w:tcBorders>
            <w:vMerge w:val="restart"/>
          </w:tcPr>
          <w:p>
            <w:pPr>
              <w:jc w:val="right"/>
              <w:ind w:right="43"/>
              <w:spacing w:after="0"/>
              <w:rPr>
                <w:sz w:val="20"/>
                <w:szCs w:val="20"/>
                <w:color w:val="auto"/>
              </w:rPr>
            </w:pPr>
            <w:r>
              <w:rPr>
                <w:rFonts w:ascii="Calibri" w:cs="Calibri" w:eastAsia="Calibri" w:hAnsi="Calibri"/>
                <w:sz w:val="11"/>
                <w:szCs w:val="11"/>
                <w:color w:val="4C4C4E"/>
              </w:rPr>
              <w:t>$5.50</w:t>
            </w:r>
          </w:p>
        </w:tc>
        <w:tc>
          <w:tcPr>
            <w:tcW w:w="0" w:type="dxa"/>
            <w:vAlign w:val="bottom"/>
          </w:tcPr>
          <w:p>
            <w:pPr>
              <w:spacing w:after="0"/>
              <w:rPr>
                <w:sz w:val="1"/>
                <w:szCs w:val="1"/>
                <w:color w:val="auto"/>
              </w:rPr>
            </w:pPr>
          </w:p>
        </w:tc>
      </w:tr>
      <w:tr>
        <w:trPr>
          <w:trHeight w:val="28"/>
        </w:trPr>
        <w:tc>
          <w:tcPr>
            <w:tcW w:w="780" w:type="dxa"/>
            <w:vAlign w:val="bottom"/>
            <w:tcBorders>
              <w:left w:val="single" w:sz="8" w:color="D9D9D8"/>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Borders>
              <w:right w:val="single" w:sz="8" w:color="D9D9D8"/>
            </w:tcBorders>
            <w:vMerge w:val="continue"/>
          </w:tcPr>
          <w:p>
            <w:pPr>
              <w:spacing w:after="0"/>
              <w:rPr>
                <w:sz w:val="2"/>
                <w:szCs w:val="2"/>
                <w:color w:val="auto"/>
              </w:rPr>
            </w:pPr>
          </w:p>
        </w:tc>
        <w:tc>
          <w:tcPr>
            <w:tcW w:w="60" w:type="dxa"/>
            <w:vAlign w:val="bottom"/>
            <w:tcBorders>
              <w:right w:val="single" w:sz="8" w:color="DCDDDE"/>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Borders>
              <w:right w:val="single" w:sz="8" w:color="DCDDDE"/>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$15,000,000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$5.00</w:t>
            </w:r>
          </w:p>
        </w:tc>
        <w:tc>
          <w:tcPr>
            <w:tcW w:w="60" w:type="dxa"/>
            <w:vAlign w:val="bottom"/>
            <w:tcBorders>
              <w:right w:val="single" w:sz="8" w:color="DCDDDE"/>
            </w:tcBorders>
            <w:vMerge w:val="restart"/>
          </w:tcPr>
          <w:p>
            <w:pPr>
              <w:spacing w:after="0"/>
              <w:rPr>
                <w:sz w:val="12"/>
                <w:szCs w:val="12"/>
                <w:color w:val="auto"/>
              </w:rPr>
            </w:pPr>
          </w:p>
        </w:tc>
        <w:tc>
          <w:tcPr>
            <w:tcW w:w="740" w:type="dxa"/>
            <w:vAlign w:val="bottom"/>
            <w:vMerge w:val="restart"/>
          </w:tcPr>
          <w:p>
            <w:pPr>
              <w:jc w:val="right"/>
              <w:ind w:right="20"/>
              <w:spacing w:after="0"/>
              <w:rPr>
                <w:sz w:val="20"/>
                <w:szCs w:val="20"/>
                <w:color w:val="auto"/>
              </w:rPr>
            </w:pPr>
            <w:r>
              <w:rPr>
                <w:rFonts w:ascii="Calibri" w:cs="Calibri" w:eastAsia="Calibri" w:hAnsi="Calibri"/>
                <w:sz w:val="11"/>
                <w:szCs w:val="11"/>
                <w:color w:val="4C4C4E"/>
              </w:rPr>
              <w:t>$15,000,000</w:t>
            </w:r>
          </w:p>
        </w:tc>
        <w:tc>
          <w:tcPr>
            <w:tcW w:w="220" w:type="dxa"/>
            <w:vAlign w:val="bottom"/>
            <w:tcBorders>
              <w:bottom w:val="single" w:sz="8" w:color="DCDDDE"/>
            </w:tcBorders>
          </w:tcPr>
          <w:p>
            <w:pPr>
              <w:spacing w:after="0"/>
              <w:rPr>
                <w:sz w:val="12"/>
                <w:szCs w:val="12"/>
                <w:color w:val="auto"/>
              </w:rPr>
            </w:pPr>
          </w:p>
        </w:tc>
        <w:tc>
          <w:tcPr>
            <w:tcW w:w="220" w:type="dxa"/>
            <w:vAlign w:val="bottom"/>
            <w:tcBorders>
              <w:bottom w:val="single" w:sz="8" w:color="DCDDDE"/>
            </w:tcBorders>
          </w:tcPr>
          <w:p>
            <w:pPr>
              <w:spacing w:after="0"/>
              <w:rPr>
                <w:sz w:val="12"/>
                <w:szCs w:val="12"/>
                <w:color w:val="auto"/>
              </w:rPr>
            </w:pPr>
          </w:p>
        </w:tc>
        <w:tc>
          <w:tcPr>
            <w:tcW w:w="360" w:type="dxa"/>
            <w:vAlign w:val="bottom"/>
            <w:tcBorders>
              <w:bottom w:val="single" w:sz="8" w:color="DCDDDE"/>
            </w:tcBorders>
          </w:tcPr>
          <w:p>
            <w:pPr>
              <w:spacing w:after="0"/>
              <w:rPr>
                <w:sz w:val="12"/>
                <w:szCs w:val="12"/>
                <w:color w:val="auto"/>
              </w:rPr>
            </w:pPr>
          </w:p>
        </w:tc>
        <w:tc>
          <w:tcPr>
            <w:tcW w:w="420" w:type="dxa"/>
            <w:vAlign w:val="bottom"/>
            <w:tcBorders>
              <w:bottom w:val="single" w:sz="8" w:color="DCDDDE"/>
            </w:tcBorders>
          </w:tcPr>
          <w:p>
            <w:pPr>
              <w:spacing w:after="0"/>
              <w:rPr>
                <w:sz w:val="12"/>
                <w:szCs w:val="12"/>
                <w:color w:val="auto"/>
              </w:rPr>
            </w:pPr>
          </w:p>
        </w:tc>
        <w:tc>
          <w:tcPr>
            <w:tcW w:w="240" w:type="dxa"/>
            <w:vAlign w:val="bottom"/>
            <w:tcBorders>
              <w:bottom w:val="single" w:sz="8" w:color="DCDDDE"/>
            </w:tcBorders>
          </w:tcPr>
          <w:p>
            <w:pPr>
              <w:spacing w:after="0"/>
              <w:rPr>
                <w:sz w:val="12"/>
                <w:szCs w:val="12"/>
                <w:color w:val="auto"/>
              </w:rPr>
            </w:pPr>
          </w:p>
        </w:tc>
        <w:tc>
          <w:tcPr>
            <w:tcW w:w="680" w:type="dxa"/>
            <w:vAlign w:val="bottom"/>
            <w:tcBorders>
              <w:bottom w:val="single" w:sz="8" w:color="DCDDDE"/>
            </w:tcBorders>
          </w:tcPr>
          <w:p>
            <w:pPr>
              <w:spacing w:after="0"/>
              <w:rPr>
                <w:sz w:val="12"/>
                <w:szCs w:val="12"/>
                <w:color w:val="auto"/>
              </w:rPr>
            </w:pPr>
          </w:p>
        </w:tc>
        <w:tc>
          <w:tcPr>
            <w:tcW w:w="220" w:type="dxa"/>
            <w:vAlign w:val="bottom"/>
            <w:tcBorders>
              <w:bottom w:val="single" w:sz="8" w:color="DCDDDE"/>
            </w:tcBorders>
          </w:tcPr>
          <w:p>
            <w:pPr>
              <w:spacing w:after="0"/>
              <w:rPr>
                <w:sz w:val="12"/>
                <w:szCs w:val="12"/>
                <w:color w:val="auto"/>
              </w:rPr>
            </w:pPr>
          </w:p>
        </w:tc>
        <w:tc>
          <w:tcPr>
            <w:tcW w:w="940" w:type="dxa"/>
            <w:vAlign w:val="bottom"/>
            <w:tcBorders>
              <w:bottom w:val="single" w:sz="8" w:color="DCDDDE"/>
            </w:tcBorders>
          </w:tcPr>
          <w:p>
            <w:pPr>
              <w:spacing w:after="0"/>
              <w:rPr>
                <w:sz w:val="12"/>
                <w:szCs w:val="12"/>
                <w:color w:val="auto"/>
              </w:rPr>
            </w:pPr>
          </w:p>
        </w:tc>
        <w:tc>
          <w:tcPr>
            <w:tcW w:w="480" w:type="dxa"/>
            <w:vAlign w:val="bottom"/>
            <w:tcBorders>
              <w:right w:val="single" w:sz="8" w:color="DCDDDE"/>
            </w:tcBorders>
            <w:vMerge w:val="restart"/>
          </w:tcPr>
          <w:p>
            <w:pPr>
              <w:jc w:val="right"/>
              <w:ind w:right="43"/>
              <w:spacing w:after="0"/>
              <w:rPr>
                <w:sz w:val="20"/>
                <w:szCs w:val="20"/>
                <w:color w:val="auto"/>
              </w:rPr>
            </w:pPr>
            <w:r>
              <w:rPr>
                <w:rFonts w:ascii="Calibri" w:cs="Calibri" w:eastAsia="Calibri" w:hAnsi="Calibri"/>
                <w:sz w:val="11"/>
                <w:szCs w:val="11"/>
                <w:color w:val="4C4C4E"/>
              </w:rPr>
              <w:t>$5.00</w:t>
            </w:r>
          </w:p>
        </w:tc>
        <w:tc>
          <w:tcPr>
            <w:tcW w:w="0" w:type="dxa"/>
            <w:vAlign w:val="bottom"/>
          </w:tcPr>
          <w:p>
            <w:pPr>
              <w:spacing w:after="0"/>
              <w:rPr>
                <w:sz w:val="1"/>
                <w:szCs w:val="1"/>
                <w:color w:val="auto"/>
              </w:rPr>
            </w:pPr>
          </w:p>
        </w:tc>
      </w:tr>
      <w:tr>
        <w:trPr>
          <w:trHeight w:val="20"/>
        </w:trPr>
        <w:tc>
          <w:tcPr>
            <w:tcW w:w="780" w:type="dxa"/>
            <w:vAlign w:val="bottom"/>
            <w:tcBorders>
              <w:left w:val="single" w:sz="8" w:color="D9D9D8"/>
            </w:tcBorders>
            <w:vMerge w:val="continue"/>
          </w:tcPr>
          <w:p>
            <w:pPr>
              <w:spacing w:after="0" w:line="20" w:lineRule="exact"/>
              <w:rPr>
                <w:sz w:val="1"/>
                <w:szCs w:val="1"/>
                <w:color w:val="auto"/>
              </w:rPr>
            </w:pPr>
          </w:p>
        </w:tc>
        <w:tc>
          <w:tcPr>
            <w:tcW w:w="300" w:type="dxa"/>
            <w:vAlign w:val="bottom"/>
            <w:tcBorders>
              <w:bottom w:val="single" w:sz="8" w:color="DCDDDE"/>
            </w:tcBorders>
          </w:tcPr>
          <w:p>
            <w:pPr>
              <w:spacing w:after="0" w:line="20" w:lineRule="exact"/>
              <w:rPr>
                <w:sz w:val="1"/>
                <w:szCs w:val="1"/>
                <w:color w:val="auto"/>
              </w:rPr>
            </w:pPr>
          </w:p>
        </w:tc>
        <w:tc>
          <w:tcPr>
            <w:tcW w:w="240" w:type="dxa"/>
            <w:vAlign w:val="bottom"/>
            <w:tcBorders>
              <w:bottom w:val="single" w:sz="8" w:color="DCDDDE"/>
            </w:tcBorders>
          </w:tcPr>
          <w:p>
            <w:pPr>
              <w:spacing w:after="0" w:line="20" w:lineRule="exact"/>
              <w:rPr>
                <w:sz w:val="1"/>
                <w:szCs w:val="1"/>
                <w:color w:val="auto"/>
              </w:rPr>
            </w:pPr>
          </w:p>
        </w:tc>
        <w:tc>
          <w:tcPr>
            <w:tcW w:w="460" w:type="dxa"/>
            <w:vAlign w:val="bottom"/>
            <w:tcBorders>
              <w:bottom w:val="single" w:sz="8" w:color="DCDDDE"/>
            </w:tcBorders>
          </w:tcPr>
          <w:p>
            <w:pPr>
              <w:spacing w:after="0" w:line="20" w:lineRule="exact"/>
              <w:rPr>
                <w:sz w:val="1"/>
                <w:szCs w:val="1"/>
                <w:color w:val="auto"/>
              </w:rPr>
            </w:pPr>
          </w:p>
        </w:tc>
        <w:tc>
          <w:tcPr>
            <w:tcW w:w="80" w:type="dxa"/>
            <w:vAlign w:val="bottom"/>
            <w:tcBorders>
              <w:bottom w:val="single" w:sz="8" w:color="DCDDDE"/>
            </w:tcBorders>
          </w:tcPr>
          <w:p>
            <w:pPr>
              <w:spacing w:after="0" w:line="20" w:lineRule="exact"/>
              <w:rPr>
                <w:sz w:val="1"/>
                <w:szCs w:val="1"/>
                <w:color w:val="auto"/>
              </w:rPr>
            </w:pPr>
          </w:p>
        </w:tc>
        <w:tc>
          <w:tcPr>
            <w:tcW w:w="240" w:type="dxa"/>
            <w:vAlign w:val="bottom"/>
            <w:tcBorders>
              <w:bottom w:val="single" w:sz="8" w:color="DCDDDE"/>
            </w:tcBorders>
          </w:tcPr>
          <w:p>
            <w:pPr>
              <w:spacing w:after="0" w:line="20" w:lineRule="exact"/>
              <w:rPr>
                <w:sz w:val="1"/>
                <w:szCs w:val="1"/>
                <w:color w:val="auto"/>
              </w:rPr>
            </w:pPr>
          </w:p>
        </w:tc>
        <w:tc>
          <w:tcPr>
            <w:tcW w:w="620" w:type="dxa"/>
            <w:vAlign w:val="bottom"/>
            <w:tcBorders>
              <w:bottom w:val="single" w:sz="8" w:color="DCDDDE"/>
            </w:tcBorders>
          </w:tcPr>
          <w:p>
            <w:pPr>
              <w:spacing w:after="0" w:line="20" w:lineRule="exact"/>
              <w:rPr>
                <w:sz w:val="1"/>
                <w:szCs w:val="1"/>
                <w:color w:val="auto"/>
              </w:rPr>
            </w:pPr>
          </w:p>
        </w:tc>
        <w:tc>
          <w:tcPr>
            <w:tcW w:w="60" w:type="dxa"/>
            <w:vAlign w:val="bottom"/>
            <w:tcBorders>
              <w:bottom w:val="single" w:sz="8" w:color="DCDDDE"/>
            </w:tcBorders>
          </w:tcPr>
          <w:p>
            <w:pPr>
              <w:spacing w:after="0" w:line="20" w:lineRule="exact"/>
              <w:rPr>
                <w:sz w:val="1"/>
                <w:szCs w:val="1"/>
                <w:color w:val="auto"/>
              </w:rPr>
            </w:pPr>
          </w:p>
        </w:tc>
        <w:tc>
          <w:tcPr>
            <w:tcW w:w="220" w:type="dxa"/>
            <w:vAlign w:val="bottom"/>
            <w:tcBorders>
              <w:bottom w:val="single" w:sz="8" w:color="DCDDDE"/>
            </w:tcBorders>
          </w:tcPr>
          <w:p>
            <w:pPr>
              <w:spacing w:after="0" w:line="20" w:lineRule="exact"/>
              <w:rPr>
                <w:sz w:val="1"/>
                <w:szCs w:val="1"/>
                <w:color w:val="auto"/>
              </w:rPr>
            </w:pPr>
          </w:p>
        </w:tc>
        <w:tc>
          <w:tcPr>
            <w:tcW w:w="1060" w:type="dxa"/>
            <w:vAlign w:val="bottom"/>
            <w:tcBorders>
              <w:bottom w:val="single" w:sz="8" w:color="DCDDDE"/>
            </w:tcBorders>
          </w:tcPr>
          <w:p>
            <w:pPr>
              <w:spacing w:after="0" w:line="20" w:lineRule="exact"/>
              <w:rPr>
                <w:sz w:val="1"/>
                <w:szCs w:val="1"/>
                <w:color w:val="auto"/>
              </w:rPr>
            </w:pPr>
          </w:p>
        </w:tc>
        <w:tc>
          <w:tcPr>
            <w:tcW w:w="480" w:type="dxa"/>
            <w:vAlign w:val="bottom"/>
            <w:tcBorders>
              <w:right w:val="single" w:sz="8" w:color="D9D9D8"/>
            </w:tcBorders>
            <w:vMerge w:val="continue"/>
          </w:tcPr>
          <w:p>
            <w:pPr>
              <w:spacing w:after="0" w:line="20" w:lineRule="exact"/>
              <w:rPr>
                <w:sz w:val="1"/>
                <w:szCs w:val="1"/>
                <w:color w:val="auto"/>
              </w:rPr>
            </w:pPr>
          </w:p>
        </w:tc>
        <w:tc>
          <w:tcPr>
            <w:tcW w:w="60" w:type="dxa"/>
            <w:vAlign w:val="bottom"/>
            <w:tcBorders>
              <w:right w:val="single" w:sz="8" w:color="DCDDDE"/>
            </w:tcBorders>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480" w:type="dxa"/>
            <w:vAlign w:val="bottom"/>
            <w:tcBorders>
              <w:right w:val="single" w:sz="8" w:color="DCDDDE"/>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780" w:type="dxa"/>
            <w:vAlign w:val="bottom"/>
            <w:tcBorders>
              <w:left w:val="single" w:sz="8" w:color="D9D9D8"/>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Borders>
              <w:right w:val="single" w:sz="8" w:color="D9D9D8"/>
            </w:tcBorders>
            <w:vMerge w:val="continue"/>
          </w:tcPr>
          <w:p>
            <w:pPr>
              <w:spacing w:after="0"/>
              <w:rPr>
                <w:sz w:val="2"/>
                <w:szCs w:val="2"/>
                <w:color w:val="auto"/>
              </w:rPr>
            </w:pPr>
          </w:p>
        </w:tc>
        <w:tc>
          <w:tcPr>
            <w:tcW w:w="60" w:type="dxa"/>
            <w:vAlign w:val="bottom"/>
            <w:tcBorders>
              <w:right w:val="single" w:sz="8" w:color="DCDDDE"/>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480" w:type="dxa"/>
            <w:vAlign w:val="bottom"/>
            <w:tcBorders>
              <w:right w:val="single" w:sz="8" w:color="DCDDDE"/>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$7,500,000</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$4.50</w:t>
            </w:r>
          </w:p>
        </w:tc>
        <w:tc>
          <w:tcPr>
            <w:tcW w:w="60" w:type="dxa"/>
            <w:vAlign w:val="bottom"/>
            <w:tcBorders>
              <w:right w:val="single" w:sz="8" w:color="DCDDDE"/>
            </w:tcBorders>
            <w:vMerge w:val="restart"/>
          </w:tcPr>
          <w:p>
            <w:pPr>
              <w:spacing w:after="0"/>
              <w:rPr>
                <w:sz w:val="10"/>
                <w:szCs w:val="10"/>
                <w:color w:val="auto"/>
              </w:rPr>
            </w:pPr>
          </w:p>
        </w:tc>
        <w:tc>
          <w:tcPr>
            <w:tcW w:w="740" w:type="dxa"/>
            <w:vAlign w:val="bottom"/>
            <w:vMerge w:val="restart"/>
          </w:tcPr>
          <w:p>
            <w:pPr>
              <w:jc w:val="right"/>
              <w:ind w:right="20"/>
              <w:spacing w:after="0"/>
              <w:rPr>
                <w:sz w:val="20"/>
                <w:szCs w:val="20"/>
                <w:color w:val="auto"/>
              </w:rPr>
            </w:pPr>
            <w:r>
              <w:rPr>
                <w:rFonts w:ascii="Calibri" w:cs="Calibri" w:eastAsia="Calibri" w:hAnsi="Calibri"/>
                <w:sz w:val="11"/>
                <w:szCs w:val="11"/>
                <w:color w:val="4C4C4E"/>
              </w:rPr>
              <w:t>$7,500,000</w:t>
            </w:r>
          </w:p>
        </w:tc>
        <w:tc>
          <w:tcPr>
            <w:tcW w:w="220" w:type="dxa"/>
            <w:vAlign w:val="bottom"/>
            <w:tcBorders>
              <w:bottom w:val="single" w:sz="8" w:color="DCDDDE"/>
            </w:tcBorders>
          </w:tcPr>
          <w:p>
            <w:pPr>
              <w:spacing w:after="0"/>
              <w:rPr>
                <w:sz w:val="10"/>
                <w:szCs w:val="10"/>
                <w:color w:val="auto"/>
              </w:rPr>
            </w:pPr>
          </w:p>
        </w:tc>
        <w:tc>
          <w:tcPr>
            <w:tcW w:w="220" w:type="dxa"/>
            <w:vAlign w:val="bottom"/>
            <w:tcBorders>
              <w:bottom w:val="single" w:sz="8" w:color="DCDDDE"/>
            </w:tcBorders>
          </w:tcPr>
          <w:p>
            <w:pPr>
              <w:spacing w:after="0"/>
              <w:rPr>
                <w:sz w:val="10"/>
                <w:szCs w:val="10"/>
                <w:color w:val="auto"/>
              </w:rPr>
            </w:pPr>
          </w:p>
        </w:tc>
        <w:tc>
          <w:tcPr>
            <w:tcW w:w="360" w:type="dxa"/>
            <w:vAlign w:val="bottom"/>
            <w:tcBorders>
              <w:bottom w:val="single" w:sz="8" w:color="DCDDDE"/>
            </w:tcBorders>
          </w:tcPr>
          <w:p>
            <w:pPr>
              <w:spacing w:after="0"/>
              <w:rPr>
                <w:sz w:val="10"/>
                <w:szCs w:val="10"/>
                <w:color w:val="auto"/>
              </w:rPr>
            </w:pPr>
          </w:p>
        </w:tc>
        <w:tc>
          <w:tcPr>
            <w:tcW w:w="420" w:type="dxa"/>
            <w:vAlign w:val="bottom"/>
            <w:tcBorders>
              <w:bottom w:val="single" w:sz="8" w:color="DCDDDE"/>
            </w:tcBorders>
          </w:tcPr>
          <w:p>
            <w:pPr>
              <w:spacing w:after="0"/>
              <w:rPr>
                <w:sz w:val="10"/>
                <w:szCs w:val="10"/>
                <w:color w:val="auto"/>
              </w:rPr>
            </w:pPr>
          </w:p>
        </w:tc>
        <w:tc>
          <w:tcPr>
            <w:tcW w:w="240" w:type="dxa"/>
            <w:vAlign w:val="bottom"/>
            <w:tcBorders>
              <w:bottom w:val="single" w:sz="8" w:color="DCDDDE"/>
            </w:tcBorders>
          </w:tcPr>
          <w:p>
            <w:pPr>
              <w:spacing w:after="0"/>
              <w:rPr>
                <w:sz w:val="10"/>
                <w:szCs w:val="10"/>
                <w:color w:val="auto"/>
              </w:rPr>
            </w:pPr>
          </w:p>
        </w:tc>
        <w:tc>
          <w:tcPr>
            <w:tcW w:w="680" w:type="dxa"/>
            <w:vAlign w:val="bottom"/>
            <w:tcBorders>
              <w:bottom w:val="single" w:sz="8" w:color="DCDDDE"/>
            </w:tcBorders>
          </w:tcPr>
          <w:p>
            <w:pPr>
              <w:spacing w:after="0"/>
              <w:rPr>
                <w:sz w:val="10"/>
                <w:szCs w:val="10"/>
                <w:color w:val="auto"/>
              </w:rPr>
            </w:pPr>
          </w:p>
        </w:tc>
        <w:tc>
          <w:tcPr>
            <w:tcW w:w="220" w:type="dxa"/>
            <w:vAlign w:val="bottom"/>
            <w:tcBorders>
              <w:bottom w:val="single" w:sz="8" w:color="DCDDDE"/>
            </w:tcBorders>
          </w:tcPr>
          <w:p>
            <w:pPr>
              <w:spacing w:after="0"/>
              <w:rPr>
                <w:sz w:val="10"/>
                <w:szCs w:val="10"/>
                <w:color w:val="auto"/>
              </w:rPr>
            </w:pPr>
          </w:p>
        </w:tc>
        <w:tc>
          <w:tcPr>
            <w:tcW w:w="940" w:type="dxa"/>
            <w:vAlign w:val="bottom"/>
            <w:tcBorders>
              <w:bottom w:val="single" w:sz="8" w:color="DCDDDE"/>
            </w:tcBorders>
          </w:tcPr>
          <w:p>
            <w:pPr>
              <w:spacing w:after="0"/>
              <w:rPr>
                <w:sz w:val="10"/>
                <w:szCs w:val="10"/>
                <w:color w:val="auto"/>
              </w:rPr>
            </w:pPr>
          </w:p>
        </w:tc>
        <w:tc>
          <w:tcPr>
            <w:tcW w:w="480" w:type="dxa"/>
            <w:vAlign w:val="bottom"/>
            <w:tcBorders>
              <w:right w:val="single" w:sz="8" w:color="DCDDDE"/>
            </w:tcBorders>
            <w:vMerge w:val="restart"/>
          </w:tcPr>
          <w:p>
            <w:pPr>
              <w:jc w:val="right"/>
              <w:ind w:right="43"/>
              <w:spacing w:after="0"/>
              <w:rPr>
                <w:sz w:val="20"/>
                <w:szCs w:val="20"/>
                <w:color w:val="auto"/>
              </w:rPr>
            </w:pPr>
            <w:r>
              <w:rPr>
                <w:rFonts w:ascii="Calibri" w:cs="Calibri" w:eastAsia="Calibri" w:hAnsi="Calibri"/>
                <w:sz w:val="11"/>
                <w:szCs w:val="11"/>
                <w:color w:val="4C4C4E"/>
              </w:rPr>
              <w:t>$4.50</w:t>
            </w:r>
          </w:p>
        </w:tc>
        <w:tc>
          <w:tcPr>
            <w:tcW w:w="0" w:type="dxa"/>
            <w:vAlign w:val="bottom"/>
          </w:tcPr>
          <w:p>
            <w:pPr>
              <w:spacing w:after="0"/>
              <w:rPr>
                <w:sz w:val="1"/>
                <w:szCs w:val="1"/>
                <w:color w:val="auto"/>
              </w:rPr>
            </w:pPr>
          </w:p>
        </w:tc>
      </w:tr>
      <w:tr>
        <w:trPr>
          <w:trHeight w:val="20"/>
        </w:trPr>
        <w:tc>
          <w:tcPr>
            <w:tcW w:w="780" w:type="dxa"/>
            <w:vAlign w:val="bottom"/>
            <w:tcBorders>
              <w:left w:val="single" w:sz="8" w:color="D9D9D8"/>
            </w:tcBorders>
            <w:vMerge w:val="continue"/>
          </w:tcPr>
          <w:p>
            <w:pPr>
              <w:spacing w:after="0" w:line="20" w:lineRule="exact"/>
              <w:rPr>
                <w:sz w:val="1"/>
                <w:szCs w:val="1"/>
                <w:color w:val="auto"/>
              </w:rPr>
            </w:pPr>
          </w:p>
        </w:tc>
        <w:tc>
          <w:tcPr>
            <w:tcW w:w="300" w:type="dxa"/>
            <w:vAlign w:val="bottom"/>
            <w:tcBorders>
              <w:bottom w:val="single" w:sz="8" w:color="DCDDDE"/>
            </w:tcBorders>
          </w:tcPr>
          <w:p>
            <w:pPr>
              <w:spacing w:after="0" w:line="20" w:lineRule="exact"/>
              <w:rPr>
                <w:sz w:val="1"/>
                <w:szCs w:val="1"/>
                <w:color w:val="auto"/>
              </w:rPr>
            </w:pPr>
          </w:p>
        </w:tc>
        <w:tc>
          <w:tcPr>
            <w:tcW w:w="240" w:type="dxa"/>
            <w:vAlign w:val="bottom"/>
            <w:tcBorders>
              <w:bottom w:val="single" w:sz="8" w:color="DCDDDE"/>
            </w:tcBorders>
          </w:tcPr>
          <w:p>
            <w:pPr>
              <w:spacing w:after="0" w:line="20" w:lineRule="exact"/>
              <w:rPr>
                <w:sz w:val="1"/>
                <w:szCs w:val="1"/>
                <w:color w:val="auto"/>
              </w:rPr>
            </w:pPr>
          </w:p>
        </w:tc>
        <w:tc>
          <w:tcPr>
            <w:tcW w:w="460" w:type="dxa"/>
            <w:vAlign w:val="bottom"/>
            <w:tcBorders>
              <w:bottom w:val="single" w:sz="8" w:color="DCDDDE"/>
            </w:tcBorders>
          </w:tcPr>
          <w:p>
            <w:pPr>
              <w:spacing w:after="0" w:line="20" w:lineRule="exact"/>
              <w:rPr>
                <w:sz w:val="1"/>
                <w:szCs w:val="1"/>
                <w:color w:val="auto"/>
              </w:rPr>
            </w:pPr>
          </w:p>
        </w:tc>
        <w:tc>
          <w:tcPr>
            <w:tcW w:w="80" w:type="dxa"/>
            <w:vAlign w:val="bottom"/>
            <w:tcBorders>
              <w:bottom w:val="single" w:sz="8" w:color="DCDDDE"/>
            </w:tcBorders>
          </w:tcPr>
          <w:p>
            <w:pPr>
              <w:spacing w:after="0" w:line="20" w:lineRule="exact"/>
              <w:rPr>
                <w:sz w:val="1"/>
                <w:szCs w:val="1"/>
                <w:color w:val="auto"/>
              </w:rPr>
            </w:pPr>
          </w:p>
        </w:tc>
        <w:tc>
          <w:tcPr>
            <w:tcW w:w="240" w:type="dxa"/>
            <w:vAlign w:val="bottom"/>
            <w:tcBorders>
              <w:bottom w:val="single" w:sz="8" w:color="DCDDDE"/>
            </w:tcBorders>
          </w:tcPr>
          <w:p>
            <w:pPr>
              <w:spacing w:after="0" w:line="20" w:lineRule="exact"/>
              <w:rPr>
                <w:sz w:val="1"/>
                <w:szCs w:val="1"/>
                <w:color w:val="auto"/>
              </w:rPr>
            </w:pPr>
          </w:p>
        </w:tc>
        <w:tc>
          <w:tcPr>
            <w:tcW w:w="620" w:type="dxa"/>
            <w:vAlign w:val="bottom"/>
            <w:tcBorders>
              <w:bottom w:val="single" w:sz="8" w:color="DCDDDE"/>
            </w:tcBorders>
          </w:tcPr>
          <w:p>
            <w:pPr>
              <w:spacing w:after="0" w:line="20" w:lineRule="exact"/>
              <w:rPr>
                <w:sz w:val="1"/>
                <w:szCs w:val="1"/>
                <w:color w:val="auto"/>
              </w:rPr>
            </w:pPr>
          </w:p>
        </w:tc>
        <w:tc>
          <w:tcPr>
            <w:tcW w:w="60" w:type="dxa"/>
            <w:vAlign w:val="bottom"/>
            <w:tcBorders>
              <w:bottom w:val="single" w:sz="8" w:color="DCDDDE"/>
            </w:tcBorders>
          </w:tcPr>
          <w:p>
            <w:pPr>
              <w:spacing w:after="0" w:line="20" w:lineRule="exact"/>
              <w:rPr>
                <w:sz w:val="1"/>
                <w:szCs w:val="1"/>
                <w:color w:val="auto"/>
              </w:rPr>
            </w:pPr>
          </w:p>
        </w:tc>
        <w:tc>
          <w:tcPr>
            <w:tcW w:w="220" w:type="dxa"/>
            <w:vAlign w:val="bottom"/>
            <w:tcBorders>
              <w:bottom w:val="single" w:sz="8" w:color="DCDDDE"/>
            </w:tcBorders>
          </w:tcPr>
          <w:p>
            <w:pPr>
              <w:spacing w:after="0" w:line="20" w:lineRule="exact"/>
              <w:rPr>
                <w:sz w:val="1"/>
                <w:szCs w:val="1"/>
                <w:color w:val="auto"/>
              </w:rPr>
            </w:pPr>
          </w:p>
        </w:tc>
        <w:tc>
          <w:tcPr>
            <w:tcW w:w="1060" w:type="dxa"/>
            <w:vAlign w:val="bottom"/>
            <w:tcBorders>
              <w:bottom w:val="single" w:sz="8" w:color="DCDDDE"/>
            </w:tcBorders>
          </w:tcPr>
          <w:p>
            <w:pPr>
              <w:spacing w:after="0" w:line="20" w:lineRule="exact"/>
              <w:rPr>
                <w:sz w:val="1"/>
                <w:szCs w:val="1"/>
                <w:color w:val="auto"/>
              </w:rPr>
            </w:pPr>
          </w:p>
        </w:tc>
        <w:tc>
          <w:tcPr>
            <w:tcW w:w="480" w:type="dxa"/>
            <w:vAlign w:val="bottom"/>
            <w:tcBorders>
              <w:right w:val="single" w:sz="8" w:color="D9D9D8"/>
            </w:tcBorders>
            <w:vMerge w:val="continue"/>
          </w:tcPr>
          <w:p>
            <w:pPr>
              <w:spacing w:after="0" w:line="20" w:lineRule="exact"/>
              <w:rPr>
                <w:sz w:val="1"/>
                <w:szCs w:val="1"/>
                <w:color w:val="auto"/>
              </w:rPr>
            </w:pPr>
          </w:p>
        </w:tc>
        <w:tc>
          <w:tcPr>
            <w:tcW w:w="60" w:type="dxa"/>
            <w:vAlign w:val="bottom"/>
            <w:tcBorders>
              <w:right w:val="single" w:sz="8" w:color="DCDDDE"/>
            </w:tcBorders>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480" w:type="dxa"/>
            <w:vAlign w:val="bottom"/>
            <w:tcBorders>
              <w:right w:val="single" w:sz="8" w:color="DCDDDE"/>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780" w:type="dxa"/>
            <w:vAlign w:val="bottom"/>
            <w:tcBorders>
              <w:left w:val="single" w:sz="8" w:color="D9D9D8"/>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Borders>
              <w:right w:val="single" w:sz="8" w:color="D9D9D8"/>
            </w:tcBorders>
            <w:vMerge w:val="continue"/>
          </w:tcPr>
          <w:p>
            <w:pPr>
              <w:spacing w:after="0"/>
              <w:rPr>
                <w:sz w:val="3"/>
                <w:szCs w:val="3"/>
                <w:color w:val="auto"/>
              </w:rPr>
            </w:pPr>
          </w:p>
        </w:tc>
        <w:tc>
          <w:tcPr>
            <w:tcW w:w="60" w:type="dxa"/>
            <w:vAlign w:val="bottom"/>
            <w:tcBorders>
              <w:right w:val="single" w:sz="8" w:color="DCDDDE"/>
            </w:tcBorders>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480" w:type="dxa"/>
            <w:vAlign w:val="bottom"/>
            <w:tcBorders>
              <w:right w:val="single" w:sz="8" w:color="DCDDDE"/>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$4.00</w:t>
            </w:r>
          </w:p>
        </w:tc>
        <w:tc>
          <w:tcPr>
            <w:tcW w:w="60" w:type="dxa"/>
            <w:vAlign w:val="bottom"/>
            <w:tcBorders>
              <w:right w:val="single" w:sz="8" w:color="DCDDDE"/>
            </w:tcBorders>
            <w:vMerge w:val="restart"/>
          </w:tcPr>
          <w:p>
            <w:pPr>
              <w:spacing w:after="0"/>
              <w:rPr>
                <w:sz w:val="10"/>
                <w:szCs w:val="10"/>
                <w:color w:val="auto"/>
              </w:rPr>
            </w:pPr>
          </w:p>
        </w:tc>
        <w:tc>
          <w:tcPr>
            <w:tcW w:w="740" w:type="dxa"/>
            <w:vAlign w:val="bottom"/>
            <w:vMerge w:val="restart"/>
          </w:tcPr>
          <w:p>
            <w:pPr>
              <w:jc w:val="right"/>
              <w:ind w:right="20"/>
              <w:spacing w:after="0"/>
              <w:rPr>
                <w:sz w:val="20"/>
                <w:szCs w:val="20"/>
                <w:color w:val="auto"/>
              </w:rPr>
            </w:pPr>
            <w:r>
              <w:rPr>
                <w:rFonts w:ascii="Calibri" w:cs="Calibri" w:eastAsia="Calibri" w:hAnsi="Calibri"/>
                <w:sz w:val="11"/>
                <w:szCs w:val="11"/>
                <w:color w:val="4C4C4E"/>
              </w:rPr>
              <w:t>$-</w:t>
            </w:r>
          </w:p>
        </w:tc>
        <w:tc>
          <w:tcPr>
            <w:tcW w:w="220" w:type="dxa"/>
            <w:vAlign w:val="bottom"/>
            <w:tcBorders>
              <w:bottom w:val="single" w:sz="8" w:color="DCDDDE"/>
            </w:tcBorders>
          </w:tcPr>
          <w:p>
            <w:pPr>
              <w:spacing w:after="0"/>
              <w:rPr>
                <w:sz w:val="10"/>
                <w:szCs w:val="10"/>
                <w:color w:val="auto"/>
              </w:rPr>
            </w:pPr>
          </w:p>
        </w:tc>
        <w:tc>
          <w:tcPr>
            <w:tcW w:w="220" w:type="dxa"/>
            <w:vAlign w:val="bottom"/>
            <w:tcBorders>
              <w:bottom w:val="single" w:sz="8" w:color="DCDDDE"/>
            </w:tcBorders>
          </w:tcPr>
          <w:p>
            <w:pPr>
              <w:spacing w:after="0"/>
              <w:rPr>
                <w:sz w:val="10"/>
                <w:szCs w:val="10"/>
                <w:color w:val="auto"/>
              </w:rPr>
            </w:pPr>
          </w:p>
        </w:tc>
        <w:tc>
          <w:tcPr>
            <w:tcW w:w="360" w:type="dxa"/>
            <w:vAlign w:val="bottom"/>
            <w:tcBorders>
              <w:bottom w:val="single" w:sz="8" w:color="DCDDDE"/>
            </w:tcBorders>
          </w:tcPr>
          <w:p>
            <w:pPr>
              <w:spacing w:after="0"/>
              <w:rPr>
                <w:sz w:val="10"/>
                <w:szCs w:val="10"/>
                <w:color w:val="auto"/>
              </w:rPr>
            </w:pPr>
          </w:p>
        </w:tc>
        <w:tc>
          <w:tcPr>
            <w:tcW w:w="420" w:type="dxa"/>
            <w:vAlign w:val="bottom"/>
            <w:tcBorders>
              <w:bottom w:val="single" w:sz="8" w:color="DCDDDE"/>
            </w:tcBorders>
          </w:tcPr>
          <w:p>
            <w:pPr>
              <w:spacing w:after="0"/>
              <w:rPr>
                <w:sz w:val="10"/>
                <w:szCs w:val="10"/>
                <w:color w:val="auto"/>
              </w:rPr>
            </w:pPr>
          </w:p>
        </w:tc>
        <w:tc>
          <w:tcPr>
            <w:tcW w:w="240" w:type="dxa"/>
            <w:vAlign w:val="bottom"/>
            <w:tcBorders>
              <w:bottom w:val="single" w:sz="8" w:color="DCDDDE"/>
            </w:tcBorders>
          </w:tcPr>
          <w:p>
            <w:pPr>
              <w:spacing w:after="0"/>
              <w:rPr>
                <w:sz w:val="10"/>
                <w:szCs w:val="10"/>
                <w:color w:val="auto"/>
              </w:rPr>
            </w:pPr>
          </w:p>
        </w:tc>
        <w:tc>
          <w:tcPr>
            <w:tcW w:w="680" w:type="dxa"/>
            <w:vAlign w:val="bottom"/>
            <w:tcBorders>
              <w:bottom w:val="single" w:sz="8" w:color="DCDDDE"/>
            </w:tcBorders>
          </w:tcPr>
          <w:p>
            <w:pPr>
              <w:spacing w:after="0"/>
              <w:rPr>
                <w:sz w:val="10"/>
                <w:szCs w:val="10"/>
                <w:color w:val="auto"/>
              </w:rPr>
            </w:pPr>
          </w:p>
        </w:tc>
        <w:tc>
          <w:tcPr>
            <w:tcW w:w="220" w:type="dxa"/>
            <w:vAlign w:val="bottom"/>
            <w:tcBorders>
              <w:bottom w:val="single" w:sz="8" w:color="DCDDDE"/>
            </w:tcBorders>
          </w:tcPr>
          <w:p>
            <w:pPr>
              <w:spacing w:after="0"/>
              <w:rPr>
                <w:sz w:val="10"/>
                <w:szCs w:val="10"/>
                <w:color w:val="auto"/>
              </w:rPr>
            </w:pPr>
          </w:p>
        </w:tc>
        <w:tc>
          <w:tcPr>
            <w:tcW w:w="940" w:type="dxa"/>
            <w:vAlign w:val="bottom"/>
            <w:tcBorders>
              <w:bottom w:val="single" w:sz="8" w:color="DCDDDE"/>
            </w:tcBorders>
          </w:tcPr>
          <w:p>
            <w:pPr>
              <w:spacing w:after="0"/>
              <w:rPr>
                <w:sz w:val="10"/>
                <w:szCs w:val="10"/>
                <w:color w:val="auto"/>
              </w:rPr>
            </w:pPr>
          </w:p>
        </w:tc>
        <w:tc>
          <w:tcPr>
            <w:tcW w:w="480" w:type="dxa"/>
            <w:vAlign w:val="bottom"/>
            <w:tcBorders>
              <w:right w:val="single" w:sz="8" w:color="DCDDDE"/>
            </w:tcBorders>
            <w:vMerge w:val="restart"/>
          </w:tcPr>
          <w:p>
            <w:pPr>
              <w:jc w:val="right"/>
              <w:ind w:right="43"/>
              <w:spacing w:after="0"/>
              <w:rPr>
                <w:sz w:val="20"/>
                <w:szCs w:val="20"/>
                <w:color w:val="auto"/>
              </w:rPr>
            </w:pPr>
            <w:r>
              <w:rPr>
                <w:rFonts w:ascii="Calibri" w:cs="Calibri" w:eastAsia="Calibri" w:hAnsi="Calibri"/>
                <w:sz w:val="11"/>
                <w:szCs w:val="11"/>
                <w:color w:val="4C4C4E"/>
              </w:rPr>
              <w:t>$4.00</w:t>
            </w:r>
          </w:p>
        </w:tc>
        <w:tc>
          <w:tcPr>
            <w:tcW w:w="0" w:type="dxa"/>
            <w:vAlign w:val="bottom"/>
          </w:tcPr>
          <w:p>
            <w:pPr>
              <w:spacing w:after="0"/>
              <w:rPr>
                <w:sz w:val="1"/>
                <w:szCs w:val="1"/>
                <w:color w:val="auto"/>
              </w:rPr>
            </w:pPr>
          </w:p>
        </w:tc>
      </w:tr>
      <w:tr>
        <w:trPr>
          <w:trHeight w:val="25"/>
        </w:trPr>
        <w:tc>
          <w:tcPr>
            <w:tcW w:w="780" w:type="dxa"/>
            <w:vAlign w:val="bottom"/>
            <w:tcBorders>
              <w:left w:val="single" w:sz="8" w:color="D9D9D8"/>
            </w:tcBorders>
            <w:vMerge w:val="continue"/>
          </w:tcPr>
          <w:p>
            <w:pPr>
              <w:spacing w:after="0"/>
              <w:rPr>
                <w:sz w:val="2"/>
                <w:szCs w:val="2"/>
                <w:color w:val="auto"/>
              </w:rPr>
            </w:pPr>
          </w:p>
        </w:tc>
        <w:tc>
          <w:tcPr>
            <w:tcW w:w="300" w:type="dxa"/>
            <w:vAlign w:val="bottom"/>
            <w:tcBorders>
              <w:bottom w:val="single" w:sz="8" w:color="DCDDDE"/>
            </w:tcBorders>
          </w:tcPr>
          <w:p>
            <w:pPr>
              <w:spacing w:after="0"/>
              <w:rPr>
                <w:sz w:val="2"/>
                <w:szCs w:val="2"/>
                <w:color w:val="auto"/>
              </w:rPr>
            </w:pPr>
          </w:p>
        </w:tc>
        <w:tc>
          <w:tcPr>
            <w:tcW w:w="240" w:type="dxa"/>
            <w:vAlign w:val="bottom"/>
            <w:tcBorders>
              <w:bottom w:val="single" w:sz="8" w:color="DCDDDE"/>
            </w:tcBorders>
          </w:tcPr>
          <w:p>
            <w:pPr>
              <w:spacing w:after="0"/>
              <w:rPr>
                <w:sz w:val="2"/>
                <w:szCs w:val="2"/>
                <w:color w:val="auto"/>
              </w:rPr>
            </w:pPr>
          </w:p>
        </w:tc>
        <w:tc>
          <w:tcPr>
            <w:tcW w:w="460" w:type="dxa"/>
            <w:vAlign w:val="bottom"/>
            <w:tcBorders>
              <w:bottom w:val="single" w:sz="8" w:color="DCDDDE"/>
            </w:tcBorders>
          </w:tcPr>
          <w:p>
            <w:pPr>
              <w:spacing w:after="0"/>
              <w:rPr>
                <w:sz w:val="2"/>
                <w:szCs w:val="2"/>
                <w:color w:val="auto"/>
              </w:rPr>
            </w:pPr>
          </w:p>
        </w:tc>
        <w:tc>
          <w:tcPr>
            <w:tcW w:w="80" w:type="dxa"/>
            <w:vAlign w:val="bottom"/>
            <w:tcBorders>
              <w:bottom w:val="single" w:sz="8" w:color="DCDDDE"/>
            </w:tcBorders>
          </w:tcPr>
          <w:p>
            <w:pPr>
              <w:spacing w:after="0"/>
              <w:rPr>
                <w:sz w:val="2"/>
                <w:szCs w:val="2"/>
                <w:color w:val="auto"/>
              </w:rPr>
            </w:pPr>
          </w:p>
        </w:tc>
        <w:tc>
          <w:tcPr>
            <w:tcW w:w="240" w:type="dxa"/>
            <w:vAlign w:val="bottom"/>
            <w:tcBorders>
              <w:bottom w:val="single" w:sz="8" w:color="DCDDDE"/>
            </w:tcBorders>
          </w:tcPr>
          <w:p>
            <w:pPr>
              <w:spacing w:after="0"/>
              <w:rPr>
                <w:sz w:val="2"/>
                <w:szCs w:val="2"/>
                <w:color w:val="auto"/>
              </w:rPr>
            </w:pPr>
          </w:p>
        </w:tc>
        <w:tc>
          <w:tcPr>
            <w:tcW w:w="620" w:type="dxa"/>
            <w:vAlign w:val="bottom"/>
            <w:tcBorders>
              <w:bottom w:val="single" w:sz="8" w:color="DCDDDE"/>
            </w:tcBorders>
          </w:tcPr>
          <w:p>
            <w:pPr>
              <w:spacing w:after="0"/>
              <w:rPr>
                <w:sz w:val="2"/>
                <w:szCs w:val="2"/>
                <w:color w:val="auto"/>
              </w:rPr>
            </w:pPr>
          </w:p>
        </w:tc>
        <w:tc>
          <w:tcPr>
            <w:tcW w:w="6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1060" w:type="dxa"/>
            <w:vAlign w:val="bottom"/>
            <w:tcBorders>
              <w:bottom w:val="single" w:sz="8" w:color="DCDDDE"/>
            </w:tcBorders>
          </w:tcPr>
          <w:p>
            <w:pPr>
              <w:spacing w:after="0"/>
              <w:rPr>
                <w:sz w:val="2"/>
                <w:szCs w:val="2"/>
                <w:color w:val="auto"/>
              </w:rPr>
            </w:pPr>
          </w:p>
        </w:tc>
        <w:tc>
          <w:tcPr>
            <w:tcW w:w="480" w:type="dxa"/>
            <w:vAlign w:val="bottom"/>
            <w:tcBorders>
              <w:right w:val="single" w:sz="8" w:color="D9D9D8"/>
            </w:tcBorders>
            <w:vMerge w:val="continue"/>
          </w:tcPr>
          <w:p>
            <w:pPr>
              <w:spacing w:after="0"/>
              <w:rPr>
                <w:sz w:val="2"/>
                <w:szCs w:val="2"/>
                <w:color w:val="auto"/>
              </w:rPr>
            </w:pPr>
          </w:p>
        </w:tc>
        <w:tc>
          <w:tcPr>
            <w:tcW w:w="60" w:type="dxa"/>
            <w:vAlign w:val="bottom"/>
            <w:tcBorders>
              <w:right w:val="single" w:sz="8" w:color="DCDDDE"/>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Borders>
              <w:right w:val="single" w:sz="8" w:color="DCDDDE"/>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780" w:type="dxa"/>
            <w:vAlign w:val="bottom"/>
            <w:tcBorders>
              <w:left w:val="single" w:sz="8" w:color="D9D9D8"/>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Borders>
              <w:right w:val="single" w:sz="8" w:color="D9D9D8"/>
            </w:tcBorders>
            <w:vMerge w:val="continue"/>
          </w:tcPr>
          <w:p>
            <w:pPr>
              <w:spacing w:after="0"/>
              <w:rPr>
                <w:sz w:val="3"/>
                <w:szCs w:val="3"/>
                <w:color w:val="auto"/>
              </w:rPr>
            </w:pPr>
          </w:p>
        </w:tc>
        <w:tc>
          <w:tcPr>
            <w:tcW w:w="60" w:type="dxa"/>
            <w:vAlign w:val="bottom"/>
            <w:tcBorders>
              <w:right w:val="single" w:sz="8" w:color="DCDDDE"/>
            </w:tcBorders>
          </w:tcPr>
          <w:p>
            <w:pPr>
              <w:spacing w:after="0"/>
              <w:rPr>
                <w:sz w:val="3"/>
                <w:szCs w:val="3"/>
                <w:color w:val="auto"/>
              </w:rPr>
            </w:pPr>
          </w:p>
        </w:tc>
        <w:tc>
          <w:tcPr>
            <w:tcW w:w="1540" w:type="dxa"/>
            <w:vAlign w:val="bottom"/>
            <w:gridSpan w:val="4"/>
            <w:vMerge w:val="restart"/>
          </w:tcPr>
          <w:p>
            <w:pPr>
              <w:jc w:val="right"/>
              <w:ind w:right="203"/>
              <w:spacing w:after="0"/>
              <w:rPr>
                <w:sz w:val="20"/>
                <w:szCs w:val="20"/>
                <w:color w:val="auto"/>
              </w:rPr>
            </w:pPr>
            <w:r>
              <w:rPr>
                <w:rFonts w:ascii="Calibri" w:cs="Calibri" w:eastAsia="Calibri" w:hAnsi="Calibri"/>
                <w:sz w:val="11"/>
                <w:szCs w:val="11"/>
                <w:color w:val="4C4C4E"/>
              </w:rPr>
              <w:t>2020</w:t>
            </w:r>
          </w:p>
        </w:tc>
        <w:tc>
          <w:tcPr>
            <w:tcW w:w="660" w:type="dxa"/>
            <w:vAlign w:val="bottom"/>
            <w:gridSpan w:val="2"/>
            <w:vMerge w:val="restart"/>
          </w:tcPr>
          <w:p>
            <w:pPr>
              <w:jc w:val="right"/>
              <w:ind w:right="100"/>
              <w:spacing w:after="0"/>
              <w:rPr>
                <w:sz w:val="20"/>
                <w:szCs w:val="20"/>
                <w:color w:val="auto"/>
              </w:rPr>
            </w:pPr>
            <w:r>
              <w:rPr>
                <w:rFonts w:ascii="Calibri" w:cs="Calibri" w:eastAsia="Calibri" w:hAnsi="Calibri"/>
                <w:sz w:val="11"/>
                <w:szCs w:val="11"/>
                <w:color w:val="4C4C4E"/>
              </w:rPr>
              <w:t>2021</w:t>
            </w:r>
          </w:p>
        </w:tc>
        <w:tc>
          <w:tcPr>
            <w:tcW w:w="900" w:type="dxa"/>
            <w:vAlign w:val="bottom"/>
            <w:gridSpan w:val="2"/>
            <w:vMerge w:val="restart"/>
          </w:tcPr>
          <w:p>
            <w:pPr>
              <w:jc w:val="right"/>
              <w:ind w:right="180"/>
              <w:spacing w:after="0"/>
              <w:rPr>
                <w:sz w:val="20"/>
                <w:szCs w:val="20"/>
                <w:color w:val="auto"/>
              </w:rPr>
            </w:pPr>
            <w:r>
              <w:rPr>
                <w:rFonts w:ascii="Calibri" w:cs="Calibri" w:eastAsia="Calibri" w:hAnsi="Calibri"/>
                <w:sz w:val="11"/>
                <w:szCs w:val="11"/>
                <w:color w:val="4C4C4E"/>
              </w:rPr>
              <w:t>2022</w:t>
            </w:r>
          </w:p>
        </w:tc>
        <w:tc>
          <w:tcPr>
            <w:tcW w:w="940" w:type="dxa"/>
            <w:vAlign w:val="bottom"/>
            <w:vMerge w:val="restart"/>
          </w:tcPr>
          <w:p>
            <w:pPr>
              <w:jc w:val="right"/>
              <w:ind w:right="243"/>
              <w:spacing w:after="0"/>
              <w:rPr>
                <w:sz w:val="20"/>
                <w:szCs w:val="20"/>
                <w:color w:val="auto"/>
              </w:rPr>
            </w:pPr>
            <w:r>
              <w:rPr>
                <w:rFonts w:ascii="Calibri" w:cs="Calibri" w:eastAsia="Calibri" w:hAnsi="Calibri"/>
                <w:sz w:val="11"/>
                <w:szCs w:val="11"/>
                <w:color w:val="4C4C4E"/>
              </w:rPr>
              <w:t>2023</w:t>
            </w:r>
          </w:p>
        </w:tc>
        <w:tc>
          <w:tcPr>
            <w:tcW w:w="480" w:type="dxa"/>
            <w:vAlign w:val="bottom"/>
            <w:tcBorders>
              <w:right w:val="single" w:sz="8" w:color="DCDDDE"/>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8"/>
        </w:trPr>
        <w:tc>
          <w:tcPr>
            <w:tcW w:w="1320" w:type="dxa"/>
            <w:vAlign w:val="bottom"/>
            <w:tcBorders>
              <w:left w:val="single" w:sz="8" w:color="D9D9D8"/>
            </w:tcBorders>
            <w:gridSpan w:val="3"/>
            <w:vMerge w:val="restart"/>
          </w:tcPr>
          <w:p>
            <w:pPr>
              <w:jc w:val="right"/>
              <w:ind w:right="20"/>
              <w:spacing w:after="0"/>
              <w:rPr>
                <w:sz w:val="20"/>
                <w:szCs w:val="20"/>
                <w:color w:val="auto"/>
              </w:rPr>
            </w:pPr>
            <w:r>
              <w:rPr>
                <w:rFonts w:ascii="Calibri" w:cs="Calibri" w:eastAsia="Calibri" w:hAnsi="Calibri"/>
                <w:sz w:val="11"/>
                <w:szCs w:val="11"/>
                <w:color w:val="4C4C4E"/>
              </w:rPr>
              <w:t>2020</w:t>
            </w:r>
          </w:p>
        </w:tc>
        <w:tc>
          <w:tcPr>
            <w:tcW w:w="460" w:type="dxa"/>
            <w:vAlign w:val="bottom"/>
          </w:tcPr>
          <w:p>
            <w:pPr>
              <w:spacing w:after="0"/>
              <w:rPr>
                <w:sz w:val="8"/>
                <w:szCs w:val="8"/>
                <w:color w:val="auto"/>
              </w:rPr>
            </w:pPr>
          </w:p>
        </w:tc>
        <w:tc>
          <w:tcPr>
            <w:tcW w:w="940" w:type="dxa"/>
            <w:vAlign w:val="bottom"/>
            <w:gridSpan w:val="3"/>
            <w:vMerge w:val="restart"/>
          </w:tcPr>
          <w:p>
            <w:pPr>
              <w:jc w:val="right"/>
              <w:ind w:right="543"/>
              <w:spacing w:after="0"/>
              <w:rPr>
                <w:sz w:val="20"/>
                <w:szCs w:val="20"/>
                <w:color w:val="auto"/>
              </w:rPr>
            </w:pPr>
            <w:r>
              <w:rPr>
                <w:rFonts w:ascii="Calibri" w:cs="Calibri" w:eastAsia="Calibri" w:hAnsi="Calibri"/>
                <w:sz w:val="11"/>
                <w:szCs w:val="11"/>
                <w:color w:val="4C4C4E"/>
              </w:rPr>
              <w:t>2021</w:t>
            </w:r>
          </w:p>
        </w:tc>
        <w:tc>
          <w:tcPr>
            <w:tcW w:w="280" w:type="dxa"/>
            <w:vAlign w:val="bottom"/>
            <w:gridSpan w:val="2"/>
            <w:vMerge w:val="restart"/>
          </w:tcPr>
          <w:p>
            <w:pPr>
              <w:jc w:val="right"/>
              <w:ind w:right="60"/>
              <w:spacing w:after="0"/>
              <w:rPr>
                <w:sz w:val="20"/>
                <w:szCs w:val="20"/>
                <w:color w:val="auto"/>
              </w:rPr>
            </w:pPr>
            <w:r>
              <w:rPr>
                <w:rFonts w:ascii="Calibri" w:cs="Calibri" w:eastAsia="Calibri" w:hAnsi="Calibri"/>
                <w:sz w:val="11"/>
                <w:szCs w:val="11"/>
                <w:color w:val="4C4C4E"/>
                <w:w w:val="89"/>
              </w:rPr>
              <w:t>2022</w:t>
            </w:r>
          </w:p>
        </w:tc>
        <w:tc>
          <w:tcPr>
            <w:tcW w:w="1060" w:type="dxa"/>
            <w:vAlign w:val="bottom"/>
            <w:vMerge w:val="restart"/>
          </w:tcPr>
          <w:p>
            <w:pPr>
              <w:jc w:val="right"/>
              <w:ind w:right="243"/>
              <w:spacing w:after="0"/>
              <w:rPr>
                <w:sz w:val="20"/>
                <w:szCs w:val="20"/>
                <w:color w:val="auto"/>
              </w:rPr>
            </w:pPr>
            <w:r>
              <w:rPr>
                <w:rFonts w:ascii="Calibri" w:cs="Calibri" w:eastAsia="Calibri" w:hAnsi="Calibri"/>
                <w:sz w:val="11"/>
                <w:szCs w:val="11"/>
                <w:color w:val="4C4C4E"/>
              </w:rPr>
              <w:t>2023</w:t>
            </w:r>
          </w:p>
        </w:tc>
        <w:tc>
          <w:tcPr>
            <w:tcW w:w="480" w:type="dxa"/>
            <w:vAlign w:val="bottom"/>
            <w:tcBorders>
              <w:right w:val="single" w:sz="8" w:color="D9D9D8"/>
            </w:tcBorders>
          </w:tcPr>
          <w:p>
            <w:pPr>
              <w:spacing w:after="0"/>
              <w:rPr>
                <w:sz w:val="8"/>
                <w:szCs w:val="8"/>
                <w:color w:val="auto"/>
              </w:rPr>
            </w:pPr>
          </w:p>
        </w:tc>
        <w:tc>
          <w:tcPr>
            <w:tcW w:w="60" w:type="dxa"/>
            <w:vAlign w:val="bottom"/>
            <w:tcBorders>
              <w:right w:val="single" w:sz="8" w:color="DCDDDE"/>
            </w:tcBorders>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80" w:type="dxa"/>
            <w:vAlign w:val="bottom"/>
            <w:tcBorders>
              <w:right w:val="single" w:sz="8" w:color="DCDDDE"/>
            </w:tcBorders>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320" w:type="dxa"/>
            <w:vAlign w:val="bottom"/>
            <w:tcBorders>
              <w:left w:val="single" w:sz="8" w:color="D9D9D8"/>
            </w:tcBorders>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480" w:type="dxa"/>
            <w:vAlign w:val="bottom"/>
            <w:tcBorders>
              <w:right w:val="single" w:sz="8" w:color="D9D9D8"/>
            </w:tcBorders>
          </w:tcPr>
          <w:p>
            <w:pPr>
              <w:spacing w:after="0"/>
              <w:rPr>
                <w:sz w:val="4"/>
                <w:szCs w:val="4"/>
                <w:color w:val="auto"/>
              </w:rPr>
            </w:pPr>
          </w:p>
        </w:tc>
        <w:tc>
          <w:tcPr>
            <w:tcW w:w="60" w:type="dxa"/>
            <w:vAlign w:val="bottom"/>
            <w:tcBorders>
              <w:right w:val="single" w:sz="8" w:color="DCDDDE"/>
            </w:tcBorders>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Borders>
              <w:right w:val="single" w:sz="8" w:color="DCDDDE"/>
            </w:tcBorders>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780" w:type="dxa"/>
            <w:vAlign w:val="bottom"/>
            <w:tcBorders>
              <w:left w:val="single" w:sz="8" w:color="D9D9D8"/>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Calibri" w:cs="Calibri" w:eastAsia="Calibri" w:hAnsi="Calibri"/>
                <w:sz w:val="11"/>
                <w:szCs w:val="11"/>
                <w:color w:val="4C4C4E"/>
              </w:rPr>
              <w:t>CEO CAP</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restart"/>
          </w:tcPr>
          <w:p>
            <w:pPr>
              <w:jc w:val="right"/>
              <w:ind w:right="3"/>
              <w:spacing w:after="0"/>
              <w:rPr>
                <w:sz w:val="20"/>
                <w:szCs w:val="20"/>
                <w:color w:val="auto"/>
              </w:rPr>
            </w:pPr>
            <w:r>
              <w:rPr>
                <w:rFonts w:ascii="Calibri" w:cs="Calibri" w:eastAsia="Calibri" w:hAnsi="Calibri"/>
                <w:sz w:val="11"/>
                <w:szCs w:val="11"/>
                <w:color w:val="4C4C4E"/>
              </w:rPr>
              <w:t>Net Income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Borders>
              <w:right w:val="single" w:sz="8" w:color="D9D9D8"/>
            </w:tcBorders>
            <w:gridSpan w:val="2"/>
            <w:vMerge w:val="restart"/>
          </w:tcPr>
          <w:p>
            <w:pPr>
              <w:jc w:val="right"/>
              <w:ind w:right="963"/>
              <w:spacing w:after="0"/>
              <w:rPr>
                <w:sz w:val="20"/>
                <w:szCs w:val="20"/>
                <w:color w:val="auto"/>
              </w:rPr>
            </w:pPr>
            <w:r>
              <w:rPr>
                <w:rFonts w:ascii="Calibri" w:cs="Calibri" w:eastAsia="Calibri" w:hAnsi="Calibri"/>
                <w:sz w:val="11"/>
                <w:szCs w:val="11"/>
                <w:color w:val="4C4C4E"/>
              </w:rPr>
              <w:t>FFO/share</w:t>
            </w:r>
          </w:p>
        </w:tc>
        <w:tc>
          <w:tcPr>
            <w:tcW w:w="60" w:type="dxa"/>
            <w:vAlign w:val="bottom"/>
            <w:tcBorders>
              <w:right w:val="single" w:sz="8" w:color="DCDDDE"/>
            </w:tcBorders>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231F20"/>
            </w:tcBorders>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Calibri" w:cs="Calibri" w:eastAsia="Calibri" w:hAnsi="Calibri"/>
                <w:sz w:val="11"/>
                <w:szCs w:val="11"/>
                <w:color w:val="4C4C4E"/>
              </w:rPr>
              <w:t>Avg. NEO CAP</w:t>
            </w:r>
          </w:p>
        </w:tc>
        <w:tc>
          <w:tcPr>
            <w:tcW w:w="240" w:type="dxa"/>
            <w:vAlign w:val="bottom"/>
            <w:tcBorders>
              <w:bottom w:val="single" w:sz="8" w:color="EF3E29"/>
            </w:tcBorders>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Calibri" w:cs="Calibri" w:eastAsia="Calibri" w:hAnsi="Calibri"/>
                <w:sz w:val="11"/>
                <w:szCs w:val="11"/>
                <w:color w:val="4C4C4E"/>
              </w:rPr>
              <w:t>Net Income</w:t>
            </w:r>
          </w:p>
        </w:tc>
        <w:tc>
          <w:tcPr>
            <w:tcW w:w="220" w:type="dxa"/>
            <w:vAlign w:val="bottom"/>
            <w:tcBorders>
              <w:bottom w:val="single" w:sz="8" w:color="B6B8BA"/>
            </w:tcBorders>
          </w:tcPr>
          <w:p>
            <w:pPr>
              <w:spacing w:after="0"/>
              <w:rPr>
                <w:sz w:val="10"/>
                <w:szCs w:val="10"/>
                <w:color w:val="auto"/>
              </w:rPr>
            </w:pPr>
          </w:p>
        </w:tc>
        <w:tc>
          <w:tcPr>
            <w:tcW w:w="1420" w:type="dxa"/>
            <w:vAlign w:val="bottom"/>
            <w:tcBorders>
              <w:right w:val="single" w:sz="8" w:color="DCDDDE"/>
            </w:tcBorders>
            <w:gridSpan w:val="2"/>
            <w:vMerge w:val="restart"/>
          </w:tcPr>
          <w:p>
            <w:pPr>
              <w:jc w:val="right"/>
              <w:ind w:right="863"/>
              <w:spacing w:after="0"/>
              <w:rPr>
                <w:sz w:val="20"/>
                <w:szCs w:val="20"/>
                <w:color w:val="auto"/>
              </w:rPr>
            </w:pPr>
            <w:r>
              <w:rPr>
                <w:rFonts w:ascii="Calibri" w:cs="Calibri" w:eastAsia="Calibri" w:hAnsi="Calibri"/>
                <w:sz w:val="11"/>
                <w:szCs w:val="11"/>
                <w:color w:val="4C4C4E"/>
              </w:rPr>
              <w:t>FFO/share</w:t>
            </w:r>
          </w:p>
        </w:tc>
        <w:tc>
          <w:tcPr>
            <w:tcW w:w="0" w:type="dxa"/>
            <w:vAlign w:val="bottom"/>
          </w:tcPr>
          <w:p>
            <w:pPr>
              <w:spacing w:after="0"/>
              <w:rPr>
                <w:sz w:val="1"/>
                <w:szCs w:val="1"/>
                <w:color w:val="auto"/>
              </w:rPr>
            </w:pPr>
          </w:p>
        </w:tc>
      </w:tr>
      <w:tr>
        <w:trPr>
          <w:trHeight w:val="30"/>
        </w:trPr>
        <w:tc>
          <w:tcPr>
            <w:tcW w:w="780" w:type="dxa"/>
            <w:vAlign w:val="bottom"/>
            <w:tcBorders>
              <w:left w:val="single" w:sz="8" w:color="D9D9D8"/>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EF3E29"/>
            </w:tcBorders>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B6B8BA"/>
            </w:tcBorders>
          </w:tcPr>
          <w:p>
            <w:pPr>
              <w:spacing w:after="0"/>
              <w:rPr>
                <w:sz w:val="2"/>
                <w:szCs w:val="2"/>
                <w:color w:val="auto"/>
              </w:rPr>
            </w:pPr>
          </w:p>
        </w:tc>
        <w:tc>
          <w:tcPr>
            <w:tcW w:w="1540" w:type="dxa"/>
            <w:vAlign w:val="bottom"/>
            <w:tcBorders>
              <w:right w:val="single" w:sz="8" w:color="D9D9D8"/>
            </w:tcBorders>
            <w:gridSpan w:val="2"/>
            <w:vMerge w:val="continue"/>
          </w:tcPr>
          <w:p>
            <w:pPr>
              <w:spacing w:after="0"/>
              <w:rPr>
                <w:sz w:val="2"/>
                <w:szCs w:val="2"/>
                <w:color w:val="auto"/>
              </w:rPr>
            </w:pPr>
          </w:p>
        </w:tc>
        <w:tc>
          <w:tcPr>
            <w:tcW w:w="60" w:type="dxa"/>
            <w:vAlign w:val="bottom"/>
            <w:tcBorders>
              <w:right w:val="single" w:sz="8" w:color="DCDDDE"/>
            </w:tcBorders>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right w:val="single" w:sz="8" w:color="DCDDDE"/>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780" w:type="dxa"/>
            <w:vAlign w:val="bottom"/>
            <w:tcBorders>
              <w:left w:val="single" w:sz="8" w:color="D9D9D8"/>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right w:val="single" w:sz="8" w:color="D9D9D8"/>
            </w:tcBorders>
            <w:gridSpan w:val="2"/>
            <w:vMerge w:val="continue"/>
          </w:tcPr>
          <w:p>
            <w:pPr>
              <w:spacing w:after="0"/>
              <w:rPr>
                <w:sz w:val="4"/>
                <w:szCs w:val="4"/>
                <w:color w:val="auto"/>
              </w:rPr>
            </w:pPr>
          </w:p>
        </w:tc>
        <w:tc>
          <w:tcPr>
            <w:tcW w:w="60" w:type="dxa"/>
            <w:vAlign w:val="bottom"/>
            <w:tcBorders>
              <w:right w:val="single" w:sz="8" w:color="DCDDDE"/>
            </w:tcBorders>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Borders>
              <w:right w:val="single" w:sz="8" w:color="DCDDDE"/>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80" w:type="dxa"/>
            <w:vAlign w:val="bottom"/>
            <w:tcBorders>
              <w:left w:val="single" w:sz="8" w:color="D9D9D8"/>
              <w:bottom w:val="single" w:sz="8" w:color="D9D9D8"/>
            </w:tcBorders>
          </w:tcPr>
          <w:p>
            <w:pPr>
              <w:spacing w:after="0"/>
              <w:rPr>
                <w:sz w:val="10"/>
                <w:szCs w:val="10"/>
                <w:color w:val="auto"/>
              </w:rPr>
            </w:pPr>
          </w:p>
        </w:tc>
        <w:tc>
          <w:tcPr>
            <w:tcW w:w="30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460" w:type="dxa"/>
            <w:vAlign w:val="bottom"/>
            <w:tcBorders>
              <w:bottom w:val="single" w:sz="8" w:color="D9D9D8"/>
            </w:tcBorders>
          </w:tcPr>
          <w:p>
            <w:pPr>
              <w:spacing w:after="0"/>
              <w:rPr>
                <w:sz w:val="10"/>
                <w:szCs w:val="10"/>
                <w:color w:val="auto"/>
              </w:rPr>
            </w:pPr>
          </w:p>
        </w:tc>
        <w:tc>
          <w:tcPr>
            <w:tcW w:w="8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620" w:type="dxa"/>
            <w:vAlign w:val="bottom"/>
            <w:tcBorders>
              <w:bottom w:val="single" w:sz="8" w:color="D9D9D8"/>
            </w:tcBorders>
          </w:tcPr>
          <w:p>
            <w:pPr>
              <w:spacing w:after="0"/>
              <w:rPr>
                <w:sz w:val="10"/>
                <w:szCs w:val="10"/>
                <w:color w:val="auto"/>
              </w:rPr>
            </w:pPr>
          </w:p>
        </w:tc>
        <w:tc>
          <w:tcPr>
            <w:tcW w:w="60" w:type="dxa"/>
            <w:vAlign w:val="bottom"/>
            <w:tcBorders>
              <w:bottom w:val="single" w:sz="8" w:color="D9D9D8"/>
            </w:tcBorders>
          </w:tcPr>
          <w:p>
            <w:pPr>
              <w:spacing w:after="0"/>
              <w:rPr>
                <w:sz w:val="10"/>
                <w:szCs w:val="10"/>
                <w:color w:val="auto"/>
              </w:rPr>
            </w:pPr>
          </w:p>
        </w:tc>
        <w:tc>
          <w:tcPr>
            <w:tcW w:w="220" w:type="dxa"/>
            <w:vAlign w:val="bottom"/>
            <w:tcBorders>
              <w:bottom w:val="single" w:sz="8" w:color="D9D9D8"/>
            </w:tcBorders>
          </w:tcPr>
          <w:p>
            <w:pPr>
              <w:spacing w:after="0"/>
              <w:rPr>
                <w:sz w:val="10"/>
                <w:szCs w:val="10"/>
                <w:color w:val="auto"/>
              </w:rPr>
            </w:pPr>
          </w:p>
        </w:tc>
        <w:tc>
          <w:tcPr>
            <w:tcW w:w="1060" w:type="dxa"/>
            <w:vAlign w:val="bottom"/>
            <w:tcBorders>
              <w:bottom w:val="single" w:sz="8" w:color="D9D9D8"/>
            </w:tcBorders>
          </w:tcPr>
          <w:p>
            <w:pPr>
              <w:spacing w:after="0"/>
              <w:rPr>
                <w:sz w:val="10"/>
                <w:szCs w:val="10"/>
                <w:color w:val="auto"/>
              </w:rPr>
            </w:pPr>
          </w:p>
        </w:tc>
        <w:tc>
          <w:tcPr>
            <w:tcW w:w="480" w:type="dxa"/>
            <w:vAlign w:val="bottom"/>
            <w:tcBorders>
              <w:bottom w:val="single" w:sz="8" w:color="D9D9D8"/>
              <w:right w:val="single" w:sz="8" w:color="D9D9D8"/>
            </w:tcBorders>
          </w:tcPr>
          <w:p>
            <w:pPr>
              <w:spacing w:after="0"/>
              <w:rPr>
                <w:sz w:val="10"/>
                <w:szCs w:val="10"/>
                <w:color w:val="auto"/>
              </w:rPr>
            </w:pPr>
          </w:p>
        </w:tc>
        <w:tc>
          <w:tcPr>
            <w:tcW w:w="60" w:type="dxa"/>
            <w:vAlign w:val="bottom"/>
            <w:tcBorders>
              <w:right w:val="single" w:sz="8" w:color="DCDDDE"/>
            </w:tcBorders>
          </w:tcPr>
          <w:p>
            <w:pPr>
              <w:spacing w:after="0"/>
              <w:rPr>
                <w:sz w:val="10"/>
                <w:szCs w:val="10"/>
                <w:color w:val="auto"/>
              </w:rPr>
            </w:pPr>
          </w:p>
        </w:tc>
        <w:tc>
          <w:tcPr>
            <w:tcW w:w="740" w:type="dxa"/>
            <w:vAlign w:val="bottom"/>
            <w:tcBorders>
              <w:bottom w:val="single" w:sz="8" w:color="DCDDDE"/>
            </w:tcBorders>
          </w:tcPr>
          <w:p>
            <w:pPr>
              <w:spacing w:after="0"/>
              <w:rPr>
                <w:sz w:val="10"/>
                <w:szCs w:val="10"/>
                <w:color w:val="auto"/>
              </w:rPr>
            </w:pPr>
          </w:p>
        </w:tc>
        <w:tc>
          <w:tcPr>
            <w:tcW w:w="220" w:type="dxa"/>
            <w:vAlign w:val="bottom"/>
            <w:tcBorders>
              <w:bottom w:val="single" w:sz="8" w:color="DCDDDE"/>
            </w:tcBorders>
          </w:tcPr>
          <w:p>
            <w:pPr>
              <w:spacing w:after="0"/>
              <w:rPr>
                <w:sz w:val="10"/>
                <w:szCs w:val="10"/>
                <w:color w:val="auto"/>
              </w:rPr>
            </w:pPr>
          </w:p>
        </w:tc>
        <w:tc>
          <w:tcPr>
            <w:tcW w:w="220" w:type="dxa"/>
            <w:vAlign w:val="bottom"/>
            <w:tcBorders>
              <w:bottom w:val="single" w:sz="8" w:color="DCDDDE"/>
            </w:tcBorders>
          </w:tcPr>
          <w:p>
            <w:pPr>
              <w:spacing w:after="0"/>
              <w:rPr>
                <w:sz w:val="10"/>
                <w:szCs w:val="10"/>
                <w:color w:val="auto"/>
              </w:rPr>
            </w:pPr>
          </w:p>
        </w:tc>
        <w:tc>
          <w:tcPr>
            <w:tcW w:w="360" w:type="dxa"/>
            <w:vAlign w:val="bottom"/>
            <w:tcBorders>
              <w:bottom w:val="single" w:sz="8" w:color="DCDDDE"/>
            </w:tcBorders>
          </w:tcPr>
          <w:p>
            <w:pPr>
              <w:spacing w:after="0"/>
              <w:rPr>
                <w:sz w:val="10"/>
                <w:szCs w:val="10"/>
                <w:color w:val="auto"/>
              </w:rPr>
            </w:pPr>
          </w:p>
        </w:tc>
        <w:tc>
          <w:tcPr>
            <w:tcW w:w="420" w:type="dxa"/>
            <w:vAlign w:val="bottom"/>
            <w:tcBorders>
              <w:bottom w:val="single" w:sz="8" w:color="DCDDDE"/>
            </w:tcBorders>
          </w:tcPr>
          <w:p>
            <w:pPr>
              <w:spacing w:after="0"/>
              <w:rPr>
                <w:sz w:val="10"/>
                <w:szCs w:val="10"/>
                <w:color w:val="auto"/>
              </w:rPr>
            </w:pPr>
          </w:p>
        </w:tc>
        <w:tc>
          <w:tcPr>
            <w:tcW w:w="240" w:type="dxa"/>
            <w:vAlign w:val="bottom"/>
            <w:tcBorders>
              <w:bottom w:val="single" w:sz="8" w:color="DCDDDE"/>
            </w:tcBorders>
          </w:tcPr>
          <w:p>
            <w:pPr>
              <w:spacing w:after="0"/>
              <w:rPr>
                <w:sz w:val="10"/>
                <w:szCs w:val="10"/>
                <w:color w:val="auto"/>
              </w:rPr>
            </w:pPr>
          </w:p>
        </w:tc>
        <w:tc>
          <w:tcPr>
            <w:tcW w:w="680" w:type="dxa"/>
            <w:vAlign w:val="bottom"/>
            <w:tcBorders>
              <w:bottom w:val="single" w:sz="8" w:color="DCDDDE"/>
            </w:tcBorders>
          </w:tcPr>
          <w:p>
            <w:pPr>
              <w:spacing w:after="0"/>
              <w:rPr>
                <w:sz w:val="10"/>
                <w:szCs w:val="10"/>
                <w:color w:val="auto"/>
              </w:rPr>
            </w:pPr>
          </w:p>
        </w:tc>
        <w:tc>
          <w:tcPr>
            <w:tcW w:w="220" w:type="dxa"/>
            <w:vAlign w:val="bottom"/>
            <w:tcBorders>
              <w:bottom w:val="single" w:sz="8" w:color="DCDDDE"/>
            </w:tcBorders>
          </w:tcPr>
          <w:p>
            <w:pPr>
              <w:spacing w:after="0"/>
              <w:rPr>
                <w:sz w:val="10"/>
                <w:szCs w:val="10"/>
                <w:color w:val="auto"/>
              </w:rPr>
            </w:pPr>
          </w:p>
        </w:tc>
        <w:tc>
          <w:tcPr>
            <w:tcW w:w="940" w:type="dxa"/>
            <w:vAlign w:val="bottom"/>
            <w:tcBorders>
              <w:bottom w:val="single" w:sz="8" w:color="DCDDDE"/>
            </w:tcBorders>
          </w:tcPr>
          <w:p>
            <w:pPr>
              <w:spacing w:after="0"/>
              <w:rPr>
                <w:sz w:val="10"/>
                <w:szCs w:val="10"/>
                <w:color w:val="auto"/>
              </w:rPr>
            </w:pPr>
          </w:p>
        </w:tc>
        <w:tc>
          <w:tcPr>
            <w:tcW w:w="480" w:type="dxa"/>
            <w:vAlign w:val="bottom"/>
            <w:tcBorders>
              <w:bottom w:val="single" w:sz="8" w:color="DCDDDE"/>
              <w:right w:val="single" w:sz="8" w:color="DCDDDE"/>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-1163955</wp:posOffset>
            </wp:positionV>
            <wp:extent cx="1633855" cy="8089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105">
                      <a:extLst>
                        <a:ext uri="{28A0092B-C50C-407E-A947-70E740481C1C}"/>
                      </a:extLst>
                    </a:blip>
                    <a:srcRect/>
                    <a:stretch>
                      <a:fillRect/>
                    </a:stretch>
                  </pic:blipFill>
                  <pic:spPr bwMode="auto">
                    <a:xfrm>
                      <a:off x="0" y="0"/>
                      <a:ext cx="1633855" cy="808990"/>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-1137285</wp:posOffset>
            </wp:positionV>
            <wp:extent cx="1640840" cy="770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106">
                      <a:extLst>
                        <a:ext uri="{28A0092B-C50C-407E-A947-70E740481C1C}"/>
                      </a:extLst>
                    </a:blip>
                    <a:srcRect/>
                    <a:stretch>
                      <a:fillRect/>
                    </a:stretch>
                  </pic:blipFill>
                  <pic:spPr bwMode="auto">
                    <a:xfrm>
                      <a:off x="0" y="0"/>
                      <a:ext cx="1640840" cy="770890"/>
                    </a:xfrm>
                    <a:prstGeom prst="rect">
                      <a:avLst/>
                    </a:prstGeom>
                    <a:noFill/>
                  </pic:spPr>
                </pic:pic>
              </a:graphicData>
            </a:graphic>
          </wp:anchor>
        </w:drawing>
      </w:r>
    </w:p>
    <w:p>
      <w:pPr>
        <w:spacing w:after="0" w:line="279" w:lineRule="exact"/>
        <w:rPr>
          <w:sz w:val="20"/>
          <w:szCs w:val="20"/>
          <w:color w:val="auto"/>
        </w:rPr>
      </w:pPr>
    </w:p>
    <w:p>
      <w:pPr>
        <w:ind w:left="480" w:hanging="358"/>
        <w:spacing w:after="0"/>
        <w:tabs>
          <w:tab w:leader="none" w:pos="480" w:val="left"/>
        </w:tabs>
        <w:numPr>
          <w:ilvl w:val="0"/>
          <w:numId w:val="147"/>
        </w:numPr>
        <w:rPr>
          <w:rFonts w:ascii="Arial" w:cs="Arial" w:eastAsia="Arial" w:hAnsi="Arial"/>
          <w:sz w:val="18"/>
          <w:szCs w:val="18"/>
          <w:color w:val="231F20"/>
        </w:rPr>
      </w:pPr>
      <w:r>
        <w:rPr>
          <w:rFonts w:ascii="Arial" w:cs="Arial" w:eastAsia="Arial" w:hAnsi="Arial"/>
          <w:sz w:val="18"/>
          <w:szCs w:val="18"/>
          <w:color w:val="231F20"/>
        </w:rPr>
        <w:t>Net income is shown in ten thousands.</w:t>
      </w:r>
    </w:p>
    <w:p>
      <w:pPr>
        <w:spacing w:after="0" w:line="27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 our success in achieving that objective. This is a direct result of the high percentage of our NEO’s compensation that is paid in the form of Company shares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6400800" cy="17780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69" o:spid="_x0000_s1494" style="position:absolute;margin-left:0pt;margin-top:9.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124460</wp:posOffset>
                </wp:positionV>
                <wp:extent cx="0" cy="17780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8pt" to="0.5pt,23.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130810</wp:posOffset>
                </wp:positionV>
                <wp:extent cx="6400800"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pt" to="504pt,10.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124460</wp:posOffset>
                </wp:positionV>
                <wp:extent cx="0" cy="17780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8pt" to="503.5pt,23.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295910</wp:posOffset>
                </wp:positionV>
                <wp:extent cx="6400800"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3pt" to="504pt,23.3pt" o:allowincell="f" strokecolor="#231F20" strokeweight="1pt"/>
            </w:pict>
          </mc:Fallback>
        </mc:AlternateContent>
      </w:r>
    </w:p>
    <w:p>
      <w:pPr>
        <w:sectPr>
          <w:pgSz w:w="12240" w:h="15840" w:orient="portrait"/>
          <w:cols w:equalWidth="0" w:num="1">
            <w:col w:w="10080"/>
          </w:cols>
          <w:pgMar w:left="1080" w:top="1440" w:right="1080" w:bottom="944" w:gutter="0" w:footer="0" w:header="0"/>
          <w:type w:val="continuous"/>
        </w:sectPr>
      </w:pPr>
    </w:p>
    <w:p>
      <w:pPr>
        <w:spacing w:after="0" w:line="245"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38</w:t>
      </w:r>
    </w:p>
    <w:p>
      <w:pPr>
        <w:sectPr>
          <w:pgSz w:w="12240" w:h="15840" w:orient="portrait"/>
          <w:cols w:equalWidth="0" w:num="1">
            <w:col w:w="10080"/>
          </w:cols>
          <w:pgMar w:left="1080" w:top="1440" w:right="1080" w:bottom="944" w:gutter="0" w:footer="0" w:header="0"/>
          <w:type w:val="continuous"/>
        </w:sectPr>
      </w:pPr>
    </w:p>
    <w:bookmarkStart w:id="158" w:name="page159"/>
    <w:bookmarkEnd w:id="158"/>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FFO per diluted share because FFO per diluted share metric is directly used only for our annual bonus plan which is a relatively modest portion of our NEO’s total compensation package and is only a component of the calculation that determines only a third of our NEO’s awards under our long-term incentive plan.</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Other Important Financial Performance Measures for Executive Compensation</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Following is a list of the most important financial and non-financial measures used to link executive compensation and company performance.</w:t>
      </w:r>
    </w:p>
    <w:p>
      <w:pPr>
        <w:spacing w:after="0" w:line="248" w:lineRule="exact"/>
        <w:rPr>
          <w:sz w:val="20"/>
          <w:szCs w:val="20"/>
          <w:color w:val="auto"/>
        </w:rPr>
      </w:pPr>
    </w:p>
    <w:p>
      <w:pPr>
        <w:ind w:left="800" w:hanging="300"/>
        <w:spacing w:after="0"/>
        <w:tabs>
          <w:tab w:leader="none" w:pos="800" w:val="left"/>
        </w:tabs>
        <w:numPr>
          <w:ilvl w:val="0"/>
          <w:numId w:val="148"/>
        </w:numPr>
        <w:rPr>
          <w:rFonts w:ascii="Arial" w:cs="Arial" w:eastAsia="Arial" w:hAnsi="Arial"/>
          <w:sz w:val="20"/>
          <w:szCs w:val="20"/>
          <w:color w:val="231F20"/>
        </w:rPr>
      </w:pPr>
      <w:r>
        <w:rPr>
          <w:rFonts w:ascii="Arial" w:cs="Arial" w:eastAsia="Arial" w:hAnsi="Arial"/>
          <w:sz w:val="20"/>
          <w:szCs w:val="20"/>
          <w:color w:val="231F20"/>
        </w:rPr>
        <w:t>Return on invested capital</w:t>
      </w:r>
    </w:p>
    <w:p>
      <w:pPr>
        <w:spacing w:after="0" w:line="10" w:lineRule="exact"/>
        <w:rPr>
          <w:rFonts w:ascii="Arial" w:cs="Arial" w:eastAsia="Arial" w:hAnsi="Arial"/>
          <w:sz w:val="20"/>
          <w:szCs w:val="20"/>
          <w:color w:val="231F20"/>
        </w:rPr>
      </w:pPr>
    </w:p>
    <w:p>
      <w:pPr>
        <w:ind w:left="800" w:hanging="300"/>
        <w:spacing w:after="0"/>
        <w:tabs>
          <w:tab w:leader="none" w:pos="800" w:val="left"/>
        </w:tabs>
        <w:numPr>
          <w:ilvl w:val="0"/>
          <w:numId w:val="148"/>
        </w:numPr>
        <w:rPr>
          <w:rFonts w:ascii="Arial" w:cs="Arial" w:eastAsia="Arial" w:hAnsi="Arial"/>
          <w:sz w:val="20"/>
          <w:szCs w:val="20"/>
          <w:color w:val="231F20"/>
        </w:rPr>
      </w:pPr>
      <w:r>
        <w:rPr>
          <w:rFonts w:ascii="Arial" w:cs="Arial" w:eastAsia="Arial" w:hAnsi="Arial"/>
          <w:sz w:val="20"/>
          <w:szCs w:val="20"/>
          <w:color w:val="231F20"/>
        </w:rPr>
        <w:t>Relative total shareholder return compared to the BBRESHP Index</w:t>
      </w:r>
    </w:p>
    <w:p>
      <w:pPr>
        <w:spacing w:after="0" w:line="10" w:lineRule="exact"/>
        <w:rPr>
          <w:rFonts w:ascii="Arial" w:cs="Arial" w:eastAsia="Arial" w:hAnsi="Arial"/>
          <w:sz w:val="20"/>
          <w:szCs w:val="20"/>
          <w:color w:val="231F20"/>
        </w:rPr>
      </w:pPr>
    </w:p>
    <w:p>
      <w:pPr>
        <w:ind w:left="800" w:hanging="300"/>
        <w:spacing w:after="0"/>
        <w:tabs>
          <w:tab w:leader="none" w:pos="800" w:val="left"/>
        </w:tabs>
        <w:numPr>
          <w:ilvl w:val="0"/>
          <w:numId w:val="148"/>
        </w:numPr>
        <w:rPr>
          <w:rFonts w:ascii="Arial" w:cs="Arial" w:eastAsia="Arial" w:hAnsi="Arial"/>
          <w:sz w:val="20"/>
          <w:szCs w:val="20"/>
          <w:color w:val="231F20"/>
        </w:rPr>
      </w:pPr>
      <w:r>
        <w:rPr>
          <w:rFonts w:ascii="Arial" w:cs="Arial" w:eastAsia="Arial" w:hAnsi="Arial"/>
          <w:sz w:val="20"/>
          <w:szCs w:val="20"/>
          <w:color w:val="231F20"/>
        </w:rPr>
        <w:t>Relative FFO per diluted share multiple premium</w:t>
      </w:r>
    </w:p>
    <w:p>
      <w:pPr>
        <w:spacing w:after="0" w:line="16" w:lineRule="exact"/>
        <w:rPr>
          <w:rFonts w:ascii="Arial" w:cs="Arial" w:eastAsia="Arial" w:hAnsi="Arial"/>
          <w:sz w:val="20"/>
          <w:szCs w:val="20"/>
          <w:color w:val="231F20"/>
        </w:rPr>
      </w:pPr>
    </w:p>
    <w:p>
      <w:pPr>
        <w:ind w:left="800" w:hanging="300"/>
        <w:spacing w:after="0" w:line="245" w:lineRule="auto"/>
        <w:tabs>
          <w:tab w:leader="none" w:pos="800" w:val="left"/>
        </w:tabs>
        <w:numPr>
          <w:ilvl w:val="0"/>
          <w:numId w:val="148"/>
        </w:numPr>
        <w:rPr>
          <w:rFonts w:ascii="Arial" w:cs="Arial" w:eastAsia="Arial" w:hAnsi="Arial"/>
          <w:sz w:val="20"/>
          <w:szCs w:val="20"/>
          <w:color w:val="231F20"/>
        </w:rPr>
      </w:pPr>
      <w:r>
        <w:rPr>
          <w:rFonts w:ascii="Arial" w:cs="Arial" w:eastAsia="Arial" w:hAnsi="Arial"/>
          <w:sz w:val="20"/>
          <w:szCs w:val="20"/>
          <w:color w:val="231F20"/>
        </w:rPr>
        <w:t>Individual performance including consideration of things such as leasing and occupancy activity, investment activity and advancement of ESG objectives</w:t>
      </w:r>
    </w:p>
    <w:p>
      <w:pPr>
        <w:spacing w:after="0" w:line="250"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Please see the Compensation Discussion and Analysis on pages 19 to 30 for more information on these measures and how they are taken into account in determining compensation for each of our NEOs.</w:t>
      </w:r>
    </w:p>
    <w:p>
      <w:pPr>
        <w:spacing w:after="0" w:line="20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EQUITY COMPENSATION PLAN INFORMATION</w:t>
      </w:r>
    </w:p>
    <w:p>
      <w:pPr>
        <w:spacing w:after="0" w:line="255"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The following table sets forth certain information on the 2020 Plan, our only active equity compensation plan, as of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shd w:val="clear" w:color="auto" w:fill="EF3E2A"/>
          </w:tcPr>
          <w:p>
            <w:pPr>
              <w:spacing w:after="0"/>
              <w:rPr>
                <w:sz w:val="19"/>
                <w:szCs w:val="19"/>
                <w:color w:val="auto"/>
              </w:rPr>
            </w:pPr>
          </w:p>
        </w:tc>
        <w:tc>
          <w:tcPr>
            <w:tcW w:w="168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w w:val="99"/>
              </w:rPr>
              <w:t>Number of securities</w:t>
            </w:r>
          </w:p>
        </w:tc>
        <w:tc>
          <w:tcPr>
            <w:tcW w:w="1420" w:type="dxa"/>
            <w:vAlign w:val="bottom"/>
            <w:shd w:val="clear" w:color="auto" w:fill="EF3E2A"/>
          </w:tcPr>
          <w:p>
            <w:pPr>
              <w:spacing w:after="0"/>
              <w:rPr>
                <w:sz w:val="19"/>
                <w:szCs w:val="19"/>
                <w:color w:val="auto"/>
              </w:rPr>
            </w:pPr>
          </w:p>
        </w:tc>
        <w:tc>
          <w:tcPr>
            <w:tcW w:w="1580" w:type="dxa"/>
            <w:vAlign w:val="bottom"/>
            <w:shd w:val="clear" w:color="auto" w:fill="EF3E2A"/>
          </w:tcPr>
          <w:p>
            <w:pPr>
              <w:spacing w:after="0"/>
              <w:rPr>
                <w:sz w:val="19"/>
                <w:szCs w:val="19"/>
                <w:color w:val="auto"/>
              </w:rPr>
            </w:pPr>
          </w:p>
        </w:tc>
      </w:tr>
      <w:tr>
        <w:trPr>
          <w:trHeight w:val="200"/>
        </w:trPr>
        <w:tc>
          <w:tcPr>
            <w:tcW w:w="5400" w:type="dxa"/>
            <w:vAlign w:val="bottom"/>
            <w:shd w:val="clear" w:color="auto" w:fill="EF3E2A"/>
          </w:tcPr>
          <w:p>
            <w:pPr>
              <w:spacing w:after="0"/>
              <w:rPr>
                <w:sz w:val="17"/>
                <w:szCs w:val="17"/>
                <w:color w:val="auto"/>
              </w:rPr>
            </w:pPr>
          </w:p>
        </w:tc>
        <w:tc>
          <w:tcPr>
            <w:tcW w:w="168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w w:val="99"/>
              </w:rPr>
              <w:t>to be issued upon</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Weighted average</w:t>
            </w:r>
          </w:p>
        </w:tc>
        <w:tc>
          <w:tcPr>
            <w:tcW w:w="15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Number of securities</w:t>
            </w:r>
          </w:p>
        </w:tc>
      </w:tr>
      <w:tr>
        <w:trPr>
          <w:trHeight w:val="200"/>
        </w:trPr>
        <w:tc>
          <w:tcPr>
            <w:tcW w:w="5400" w:type="dxa"/>
            <w:vAlign w:val="bottom"/>
            <w:shd w:val="clear" w:color="auto" w:fill="EF3E2A"/>
          </w:tcPr>
          <w:p>
            <w:pPr>
              <w:spacing w:after="0"/>
              <w:rPr>
                <w:sz w:val="17"/>
                <w:szCs w:val="17"/>
                <w:color w:val="auto"/>
              </w:rPr>
            </w:pPr>
          </w:p>
        </w:tc>
        <w:tc>
          <w:tcPr>
            <w:tcW w:w="168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w w:val="97"/>
              </w:rPr>
              <w:t>exercise of</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exercise price of</w:t>
            </w:r>
          </w:p>
        </w:tc>
        <w:tc>
          <w:tcPr>
            <w:tcW w:w="15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remaining available</w:t>
            </w:r>
          </w:p>
        </w:tc>
      </w:tr>
      <w:tr>
        <w:trPr>
          <w:trHeight w:val="200"/>
        </w:trPr>
        <w:tc>
          <w:tcPr>
            <w:tcW w:w="5400" w:type="dxa"/>
            <w:vAlign w:val="bottom"/>
            <w:shd w:val="clear" w:color="auto" w:fill="EF3E2A"/>
          </w:tcPr>
          <w:p>
            <w:pPr>
              <w:spacing w:after="0"/>
              <w:rPr>
                <w:sz w:val="17"/>
                <w:szCs w:val="17"/>
                <w:color w:val="auto"/>
              </w:rPr>
            </w:pPr>
          </w:p>
        </w:tc>
        <w:tc>
          <w:tcPr>
            <w:tcW w:w="168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rPr>
              <w:t>outstanding options,</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outstanding</w:t>
            </w:r>
          </w:p>
        </w:tc>
        <w:tc>
          <w:tcPr>
            <w:tcW w:w="1580" w:type="dxa"/>
            <w:vAlign w:val="bottom"/>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w w:val="99"/>
              </w:rPr>
              <w:t>for future issuance</w:t>
            </w:r>
          </w:p>
        </w:tc>
      </w:tr>
      <w:tr>
        <w:trPr>
          <w:trHeight w:val="200"/>
        </w:trPr>
        <w:tc>
          <w:tcPr>
            <w:tcW w:w="5400" w:type="dxa"/>
            <w:vAlign w:val="bottom"/>
            <w:shd w:val="clear" w:color="auto" w:fill="EF3E2A"/>
          </w:tcPr>
          <w:p>
            <w:pPr>
              <w:spacing w:after="0"/>
              <w:rPr>
                <w:sz w:val="17"/>
                <w:szCs w:val="17"/>
                <w:color w:val="auto"/>
              </w:rPr>
            </w:pPr>
          </w:p>
        </w:tc>
        <w:tc>
          <w:tcPr>
            <w:tcW w:w="168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rPr>
              <w:t>warrants and rights</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options, warrants</w:t>
            </w:r>
          </w:p>
        </w:tc>
        <w:tc>
          <w:tcPr>
            <w:tcW w:w="1580" w:type="dxa"/>
            <w:vAlign w:val="bottom"/>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rPr>
              <w:t>(excluding securities</w:t>
            </w:r>
          </w:p>
        </w:tc>
      </w:tr>
      <w:tr>
        <w:trPr>
          <w:trHeight w:val="212"/>
        </w:trPr>
        <w:tc>
          <w:tcPr>
            <w:tcW w:w="5400" w:type="dxa"/>
            <w:vAlign w:val="bottom"/>
            <w:tcBorders>
              <w:bottom w:val="single" w:sz="8" w:color="EF3E2A"/>
            </w:tcBorders>
            <w:shd w:val="clear" w:color="auto" w:fill="EF3E2A"/>
          </w:tcPr>
          <w:p>
            <w:pPr>
              <w:spacing w:after="0"/>
              <w:rPr>
                <w:sz w:val="20"/>
                <w:szCs w:val="20"/>
                <w:color w:val="auto"/>
              </w:rPr>
            </w:pPr>
            <w:r>
              <w:rPr>
                <w:rFonts w:ascii="Calibri" w:cs="Calibri" w:eastAsia="Calibri" w:hAnsi="Calibri"/>
                <w:sz w:val="16"/>
                <w:szCs w:val="16"/>
                <w:b w:val="1"/>
                <w:bCs w:val="1"/>
                <w:color w:val="FFFFFF"/>
              </w:rPr>
              <w:t>Plan Category</w:t>
            </w:r>
          </w:p>
        </w:tc>
        <w:tc>
          <w:tcPr>
            <w:tcW w:w="1680" w:type="dxa"/>
            <w:vAlign w:val="bottom"/>
            <w:tcBorders>
              <w:bottom w:val="single" w:sz="8" w:color="EF3E2A"/>
            </w:tcBorders>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w w:val="99"/>
              </w:rPr>
              <w:t>(Column A)</w:t>
            </w:r>
          </w:p>
        </w:tc>
        <w:tc>
          <w:tcPr>
            <w:tcW w:w="1420" w:type="dxa"/>
            <w:vAlign w:val="bottom"/>
            <w:tcBorders>
              <w:bottom w:val="single" w:sz="8" w:color="EF3E2A"/>
            </w:tcBorders>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and rights</w:t>
            </w:r>
          </w:p>
        </w:tc>
        <w:tc>
          <w:tcPr>
            <w:tcW w:w="1580" w:type="dxa"/>
            <w:vAlign w:val="bottom"/>
            <w:tcBorders>
              <w:bottom w:val="single" w:sz="8" w:color="EF3E2A"/>
            </w:tcBorders>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w w:val="99"/>
              </w:rPr>
              <w:t>reflected in Column A)</w:t>
            </w:r>
          </w:p>
        </w:tc>
      </w:tr>
      <w:tr>
        <w:trPr>
          <w:trHeight w:val="254"/>
        </w:trPr>
        <w:tc>
          <w:tcPr>
            <w:tcW w:w="5400" w:type="dxa"/>
            <w:vAlign w:val="bottom"/>
            <w:shd w:val="clear" w:color="auto" w:fill="DCDDDE"/>
          </w:tcPr>
          <w:p>
            <w:pPr>
              <w:spacing w:after="0"/>
              <w:rPr>
                <w:sz w:val="20"/>
                <w:szCs w:val="20"/>
                <w:color w:val="auto"/>
              </w:rPr>
            </w:pPr>
            <w:r>
              <w:rPr>
                <w:rFonts w:ascii="Calibri" w:cs="Calibri" w:eastAsia="Calibri" w:hAnsi="Calibri"/>
                <w:sz w:val="18"/>
                <w:szCs w:val="18"/>
                <w:color w:val="231F20"/>
              </w:rPr>
              <w:t>Equity compensation plans approved by security holders</w:t>
            </w:r>
          </w:p>
        </w:tc>
        <w:tc>
          <w:tcPr>
            <w:tcW w:w="1680" w:type="dxa"/>
            <w:vAlign w:val="bottom"/>
          </w:tcPr>
          <w:p>
            <w:pPr>
              <w:jc w:val="right"/>
              <w:ind w:right="497"/>
              <w:spacing w:after="0"/>
              <w:rPr>
                <w:sz w:val="20"/>
                <w:szCs w:val="20"/>
                <w:color w:val="auto"/>
              </w:rPr>
            </w:pPr>
            <w:r>
              <w:rPr>
                <w:rFonts w:ascii="Calibri" w:cs="Calibri" w:eastAsia="Calibri" w:hAnsi="Calibri"/>
                <w:sz w:val="18"/>
                <w:szCs w:val="18"/>
                <w:color w:val="231F20"/>
              </w:rPr>
              <w:t>1,829</w:t>
            </w:r>
          </w:p>
        </w:tc>
        <w:tc>
          <w:tcPr>
            <w:tcW w:w="1420" w:type="dxa"/>
            <w:vAlign w:val="bottom"/>
          </w:tcPr>
          <w:p>
            <w:pPr>
              <w:jc w:val="right"/>
              <w:ind w:right="376"/>
              <w:spacing w:after="0"/>
              <w:rPr>
                <w:sz w:val="20"/>
                <w:szCs w:val="20"/>
                <w:color w:val="auto"/>
              </w:rPr>
            </w:pPr>
            <w:r>
              <w:rPr>
                <w:rFonts w:ascii="Calibri" w:cs="Calibri" w:eastAsia="Calibri" w:hAnsi="Calibri"/>
                <w:sz w:val="18"/>
                <w:szCs w:val="18"/>
                <w:color w:val="231F20"/>
              </w:rPr>
              <w:t>$95.77</w:t>
            </w:r>
          </w:p>
        </w:tc>
        <w:tc>
          <w:tcPr>
            <w:tcW w:w="1580" w:type="dxa"/>
            <w:vAlign w:val="bottom"/>
          </w:tcPr>
          <w:p>
            <w:pPr>
              <w:jc w:val="right"/>
              <w:ind w:right="296"/>
              <w:spacing w:after="0"/>
              <w:rPr>
                <w:sz w:val="20"/>
                <w:szCs w:val="20"/>
                <w:color w:val="auto"/>
              </w:rPr>
            </w:pPr>
            <w:r>
              <w:rPr>
                <w:rFonts w:ascii="Calibri" w:cs="Calibri" w:eastAsia="Calibri" w:hAnsi="Calibri"/>
                <w:sz w:val="18"/>
                <w:szCs w:val="18"/>
                <w:color w:val="231F20"/>
              </w:rPr>
              <w:t>1,309,851</w:t>
            </w:r>
          </w:p>
        </w:tc>
      </w:tr>
      <w:tr>
        <w:trPr>
          <w:trHeight w:val="246"/>
        </w:trPr>
        <w:tc>
          <w:tcPr>
            <w:tcW w:w="5400" w:type="dxa"/>
            <w:vAlign w:val="bottom"/>
            <w:tcBorders>
              <w:bottom w:val="single" w:sz="8" w:color="DCDDDE"/>
            </w:tcBorders>
            <w:shd w:val="clear" w:color="auto" w:fill="DCDDDE"/>
          </w:tcPr>
          <w:p>
            <w:pPr>
              <w:spacing w:after="0"/>
              <w:rPr>
                <w:sz w:val="20"/>
                <w:szCs w:val="20"/>
                <w:color w:val="auto"/>
              </w:rPr>
            </w:pPr>
            <w:r>
              <w:rPr>
                <w:rFonts w:ascii="Calibri" w:cs="Calibri" w:eastAsia="Calibri" w:hAnsi="Calibri"/>
                <w:sz w:val="18"/>
                <w:szCs w:val="18"/>
                <w:color w:val="231F20"/>
              </w:rPr>
              <w:t>Equity compensation plans not approved by security holders</w:t>
            </w:r>
          </w:p>
        </w:tc>
        <w:tc>
          <w:tcPr>
            <w:tcW w:w="1680" w:type="dxa"/>
            <w:vAlign w:val="bottom"/>
          </w:tcPr>
          <w:p>
            <w:pPr>
              <w:jc w:val="right"/>
              <w:ind w:right="497"/>
              <w:spacing w:after="0"/>
              <w:rPr>
                <w:sz w:val="20"/>
                <w:szCs w:val="20"/>
                <w:color w:val="auto"/>
              </w:rPr>
            </w:pPr>
            <w:r>
              <w:rPr>
                <w:rFonts w:ascii="Calibri" w:cs="Calibri" w:eastAsia="Calibri" w:hAnsi="Calibri"/>
                <w:sz w:val="18"/>
                <w:szCs w:val="18"/>
                <w:color w:val="231F20"/>
              </w:rPr>
              <w:t>-</w:t>
            </w:r>
          </w:p>
        </w:tc>
        <w:tc>
          <w:tcPr>
            <w:tcW w:w="1420" w:type="dxa"/>
            <w:vAlign w:val="bottom"/>
          </w:tcPr>
          <w:p>
            <w:pPr>
              <w:jc w:val="right"/>
              <w:ind w:right="376"/>
              <w:spacing w:after="0"/>
              <w:rPr>
                <w:sz w:val="20"/>
                <w:szCs w:val="20"/>
                <w:color w:val="auto"/>
              </w:rPr>
            </w:pPr>
            <w:r>
              <w:rPr>
                <w:rFonts w:ascii="Calibri" w:cs="Calibri" w:eastAsia="Calibri" w:hAnsi="Calibri"/>
                <w:sz w:val="18"/>
                <w:szCs w:val="18"/>
                <w:color w:val="231F20"/>
              </w:rPr>
              <w:t>-</w:t>
            </w:r>
          </w:p>
        </w:tc>
        <w:tc>
          <w:tcPr>
            <w:tcW w:w="1580" w:type="dxa"/>
            <w:vAlign w:val="bottom"/>
          </w:tcPr>
          <w:p>
            <w:pPr>
              <w:jc w:val="right"/>
              <w:ind w:right="296"/>
              <w:spacing w:after="0"/>
              <w:rPr>
                <w:sz w:val="20"/>
                <w:szCs w:val="20"/>
                <w:color w:val="auto"/>
              </w:rPr>
            </w:pPr>
            <w:r>
              <w:rPr>
                <w:rFonts w:ascii="Calibri" w:cs="Calibri" w:eastAsia="Calibri" w:hAnsi="Calibri"/>
                <w:sz w:val="18"/>
                <w:szCs w:val="18"/>
                <w:color w:val="231F20"/>
              </w:rPr>
              <w:t>-</w:t>
            </w:r>
          </w:p>
        </w:tc>
      </w:tr>
      <w:tr>
        <w:trPr>
          <w:trHeight w:val="252"/>
        </w:trPr>
        <w:tc>
          <w:tcPr>
            <w:tcW w:w="5400" w:type="dxa"/>
            <w:vAlign w:val="bottom"/>
            <w:tcBorders>
              <w:top w:val="single" w:sz="8" w:color="231F20"/>
            </w:tcBorders>
            <w:shd w:val="clear" w:color="auto" w:fill="DCDDDE"/>
          </w:tcPr>
          <w:p>
            <w:pPr>
              <w:spacing w:after="0"/>
              <w:rPr>
                <w:sz w:val="20"/>
                <w:szCs w:val="20"/>
                <w:color w:val="auto"/>
              </w:rPr>
            </w:pPr>
            <w:r>
              <w:rPr>
                <w:rFonts w:ascii="Calibri" w:cs="Calibri" w:eastAsia="Calibri" w:hAnsi="Calibri"/>
                <w:sz w:val="18"/>
                <w:szCs w:val="18"/>
                <w:b w:val="1"/>
                <w:bCs w:val="1"/>
                <w:color w:val="231F20"/>
              </w:rPr>
              <w:t>Total</w:t>
            </w:r>
          </w:p>
        </w:tc>
        <w:tc>
          <w:tcPr>
            <w:tcW w:w="1680" w:type="dxa"/>
            <w:vAlign w:val="bottom"/>
            <w:tcBorders>
              <w:top w:val="single" w:sz="8" w:color="231F20"/>
            </w:tcBorders>
          </w:tcPr>
          <w:p>
            <w:pPr>
              <w:jc w:val="right"/>
              <w:ind w:right="497"/>
              <w:spacing w:after="0"/>
              <w:rPr>
                <w:sz w:val="20"/>
                <w:szCs w:val="20"/>
                <w:color w:val="auto"/>
              </w:rPr>
            </w:pPr>
            <w:r>
              <w:rPr>
                <w:rFonts w:ascii="Calibri" w:cs="Calibri" w:eastAsia="Calibri" w:hAnsi="Calibri"/>
                <w:sz w:val="18"/>
                <w:szCs w:val="18"/>
                <w:b w:val="1"/>
                <w:bCs w:val="1"/>
                <w:color w:val="231F20"/>
              </w:rPr>
              <w:t>1,829</w:t>
            </w:r>
          </w:p>
        </w:tc>
        <w:tc>
          <w:tcPr>
            <w:tcW w:w="1420" w:type="dxa"/>
            <w:vAlign w:val="bottom"/>
            <w:tcBorders>
              <w:top w:val="single" w:sz="8" w:color="231F20"/>
            </w:tcBorders>
          </w:tcPr>
          <w:p>
            <w:pPr>
              <w:jc w:val="right"/>
              <w:ind w:right="376"/>
              <w:spacing w:after="0"/>
              <w:rPr>
                <w:sz w:val="20"/>
                <w:szCs w:val="20"/>
                <w:color w:val="auto"/>
              </w:rPr>
            </w:pPr>
            <w:r>
              <w:rPr>
                <w:rFonts w:ascii="Calibri" w:cs="Calibri" w:eastAsia="Calibri" w:hAnsi="Calibri"/>
                <w:sz w:val="18"/>
                <w:szCs w:val="18"/>
                <w:b w:val="1"/>
                <w:bCs w:val="1"/>
                <w:color w:val="231F20"/>
              </w:rPr>
              <w:t>$95.77</w:t>
            </w:r>
          </w:p>
        </w:tc>
        <w:tc>
          <w:tcPr>
            <w:tcW w:w="1580" w:type="dxa"/>
            <w:vAlign w:val="bottom"/>
            <w:tcBorders>
              <w:top w:val="single" w:sz="8" w:color="231F20"/>
            </w:tcBorders>
          </w:tcPr>
          <w:p>
            <w:pPr>
              <w:jc w:val="right"/>
              <w:ind w:right="296"/>
              <w:spacing w:after="0"/>
              <w:rPr>
                <w:sz w:val="20"/>
                <w:szCs w:val="20"/>
                <w:color w:val="auto"/>
              </w:rPr>
            </w:pPr>
            <w:r>
              <w:rPr>
                <w:rFonts w:ascii="Calibri" w:cs="Calibri" w:eastAsia="Calibri" w:hAnsi="Calibri"/>
                <w:sz w:val="18"/>
                <w:szCs w:val="18"/>
                <w:b w:val="1"/>
                <w:bCs w:val="1"/>
                <w:color w:val="231F20"/>
              </w:rPr>
              <w:t>1,309,851</w:t>
            </w:r>
          </w:p>
        </w:tc>
      </w:tr>
      <w:tr>
        <w:trPr>
          <w:trHeight w:val="48"/>
        </w:trPr>
        <w:tc>
          <w:tcPr>
            <w:tcW w:w="5400" w:type="dxa"/>
            <w:vAlign w:val="bottom"/>
            <w:shd w:val="clear" w:color="auto" w:fill="DCDDDE"/>
          </w:tcPr>
          <w:p>
            <w:pPr>
              <w:spacing w:after="0"/>
              <w:rPr>
                <w:sz w:val="4"/>
                <w:szCs w:val="4"/>
                <w:color w:val="auto"/>
              </w:rPr>
            </w:pPr>
          </w:p>
        </w:tc>
        <w:tc>
          <w:tcPr>
            <w:tcW w:w="1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2603500</wp:posOffset>
                </wp:positionV>
                <wp:extent cx="6400800" cy="17780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74" o:spid="_x0000_s1499" style="position:absolute;margin-left:0pt;margin-top:20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2603500</wp:posOffset>
                </wp:positionV>
                <wp:extent cx="0" cy="17780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05pt" to="0.5pt,21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2609850</wp:posOffset>
                </wp:positionV>
                <wp:extent cx="640080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5pt" to="504pt,20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2603500</wp:posOffset>
                </wp:positionV>
                <wp:extent cx="0" cy="17780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05pt" to="503.5pt,21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2774950</wp:posOffset>
                </wp:positionV>
                <wp:extent cx="640080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8.5pt" to="504pt,218.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39</w:t>
      </w:r>
    </w:p>
    <w:p>
      <w:pPr>
        <w:sectPr>
          <w:pgSz w:w="12240" w:h="15840" w:orient="portrait"/>
          <w:cols w:equalWidth="0" w:num="1">
            <w:col w:w="10080"/>
          </w:cols>
          <w:pgMar w:left="1080" w:top="1440" w:right="1080" w:bottom="944" w:gutter="0" w:footer="0" w:header="0"/>
          <w:type w:val="continuous"/>
        </w:sectPr>
      </w:pPr>
    </w:p>
    <w:bookmarkStart w:id="159" w:name="page160"/>
    <w:bookmarkEnd w:id="159"/>
    <w:p>
      <w:pPr>
        <w:spacing w:after="0" w:line="15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952500</wp:posOffset>
                </wp:positionV>
                <wp:extent cx="640080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5pt" to="558pt,75pt" o:allowincell="f" strokecolor="#EF3E2A" strokeweight="3pt">
                <w10:wrap anchorx="page" anchory="page"/>
              </v:line>
            </w:pict>
          </mc:Fallback>
        </mc:AlternateContent>
      </w:r>
    </w:p>
    <w:p>
      <w:pPr>
        <w:ind w:left="100"/>
        <w:spacing w:after="0" w:line="235" w:lineRule="auto"/>
        <w:rPr>
          <w:sz w:val="20"/>
          <w:szCs w:val="20"/>
          <w:color w:val="auto"/>
        </w:rPr>
      </w:pPr>
      <w:r>
        <w:rPr>
          <w:rFonts w:ascii="Arial" w:cs="Arial" w:eastAsia="Arial" w:hAnsi="Arial"/>
          <w:sz w:val="36"/>
          <w:szCs w:val="36"/>
          <w:b w:val="1"/>
          <w:bCs w:val="1"/>
          <w:color w:val="231F20"/>
        </w:rPr>
        <w:t>Proposal 3: Ratification of Independent Registered Public Accounting Firm</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Shareholders are being asked to ratify in a non-binding vote the selection of Grant Thornton, LLP (“GT”) as our independent registered public accounting firm for the fiscal year ending December 31, 2024.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The following table sets forth the fees for services rendered by GT for the 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shd w:val="clear" w:color="auto" w:fill="EF3E2A"/>
          </w:tcPr>
          <w:p>
            <w:pPr>
              <w:spacing w:after="0"/>
              <w:rPr>
                <w:sz w:val="22"/>
                <w:szCs w:val="22"/>
                <w:color w:val="auto"/>
              </w:rPr>
            </w:pPr>
          </w:p>
        </w:tc>
        <w:tc>
          <w:tcPr>
            <w:tcW w:w="400" w:type="dxa"/>
            <w:vAlign w:val="bottom"/>
            <w:shd w:val="clear" w:color="auto" w:fill="EF3E2A"/>
          </w:tcPr>
          <w:p>
            <w:pPr>
              <w:spacing w:after="0"/>
              <w:rPr>
                <w:sz w:val="22"/>
                <w:szCs w:val="22"/>
                <w:color w:val="auto"/>
              </w:rPr>
            </w:pPr>
          </w:p>
        </w:tc>
        <w:tc>
          <w:tcPr>
            <w:tcW w:w="1000" w:type="dxa"/>
            <w:vAlign w:val="bottom"/>
            <w:shd w:val="clear" w:color="auto" w:fill="EF3E2A"/>
          </w:tcPr>
          <w:p>
            <w:pPr>
              <w:jc w:val="right"/>
              <w:spacing w:after="0"/>
              <w:rPr>
                <w:sz w:val="20"/>
                <w:szCs w:val="20"/>
                <w:color w:val="auto"/>
              </w:rPr>
            </w:pPr>
            <w:r>
              <w:rPr>
                <w:rFonts w:ascii="Arial" w:cs="Arial" w:eastAsia="Arial" w:hAnsi="Arial"/>
                <w:sz w:val="20"/>
                <w:szCs w:val="20"/>
                <w:b w:val="1"/>
                <w:bCs w:val="1"/>
                <w:color w:val="FFFFFF"/>
              </w:rPr>
              <w:t>2023</w:t>
            </w:r>
          </w:p>
        </w:tc>
        <w:tc>
          <w:tcPr>
            <w:tcW w:w="300" w:type="dxa"/>
            <w:vAlign w:val="bottom"/>
            <w:shd w:val="clear" w:color="auto" w:fill="EF3E2A"/>
          </w:tcPr>
          <w:p>
            <w:pPr>
              <w:spacing w:after="0"/>
              <w:rPr>
                <w:sz w:val="22"/>
                <w:szCs w:val="22"/>
                <w:color w:val="auto"/>
              </w:rPr>
            </w:pPr>
          </w:p>
        </w:tc>
        <w:tc>
          <w:tcPr>
            <w:tcW w:w="980" w:type="dxa"/>
            <w:vAlign w:val="bottom"/>
            <w:shd w:val="clear" w:color="auto" w:fill="EF3E2A"/>
          </w:tcPr>
          <w:p>
            <w:pPr>
              <w:jc w:val="right"/>
              <w:spacing w:after="0"/>
              <w:rPr>
                <w:sz w:val="20"/>
                <w:szCs w:val="20"/>
                <w:color w:val="auto"/>
              </w:rPr>
            </w:pPr>
            <w:r>
              <w:rPr>
                <w:rFonts w:ascii="Arial" w:cs="Arial" w:eastAsia="Arial" w:hAnsi="Arial"/>
                <w:sz w:val="20"/>
                <w:szCs w:val="20"/>
                <w:b w:val="1"/>
                <w:bCs w:val="1"/>
                <w:color w:val="FFFFFF"/>
              </w:rPr>
              <w:t>2022</w:t>
            </w:r>
          </w:p>
        </w:tc>
      </w:tr>
      <w:tr>
        <w:trPr>
          <w:trHeight w:val="342"/>
        </w:trPr>
        <w:tc>
          <w:tcPr>
            <w:tcW w:w="6600" w:type="dxa"/>
            <w:vAlign w:val="bottom"/>
            <w:shd w:val="clear" w:color="auto" w:fill="DCDDDE"/>
          </w:tcPr>
          <w:p>
            <w:pPr>
              <w:ind w:left="60"/>
              <w:spacing w:after="0"/>
              <w:rPr>
                <w:sz w:val="20"/>
                <w:szCs w:val="20"/>
                <w:color w:val="auto"/>
              </w:rPr>
            </w:pPr>
            <w:r>
              <w:rPr>
                <w:rFonts w:ascii="Calibri" w:cs="Calibri" w:eastAsia="Calibri" w:hAnsi="Calibri"/>
                <w:sz w:val="20"/>
                <w:szCs w:val="20"/>
                <w:color w:val="231F20"/>
              </w:rPr>
              <w:t>Audit Fees</w:t>
            </w:r>
            <w:r>
              <w:rPr>
                <w:rFonts w:ascii="Calibri" w:cs="Calibri" w:eastAsia="Calibri" w:hAnsi="Calibri"/>
                <w:sz w:val="26"/>
                <w:szCs w:val="26"/>
                <w:color w:val="231F20"/>
                <w:vertAlign w:val="superscript"/>
              </w:rPr>
              <w:t>(1)</w:t>
            </w:r>
          </w:p>
        </w:tc>
        <w:tc>
          <w:tcPr>
            <w:tcW w:w="4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spacing w:after="0"/>
              <w:rPr>
                <w:sz w:val="20"/>
                <w:szCs w:val="20"/>
                <w:color w:val="auto"/>
              </w:rPr>
            </w:pPr>
            <w:r>
              <w:rPr>
                <w:rFonts w:ascii="Calibri" w:cs="Calibri" w:eastAsia="Calibri" w:hAnsi="Calibri"/>
                <w:sz w:val="20"/>
                <w:szCs w:val="20"/>
                <w:color w:val="231F20"/>
              </w:rPr>
              <w:t>1,012,171</w:t>
            </w:r>
          </w:p>
        </w:tc>
        <w:tc>
          <w:tcPr>
            <w:tcW w:w="3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80" w:type="dxa"/>
            <w:vAlign w:val="bottom"/>
          </w:tcPr>
          <w:p>
            <w:pPr>
              <w:jc w:val="right"/>
              <w:spacing w:after="0"/>
              <w:rPr>
                <w:sz w:val="20"/>
                <w:szCs w:val="20"/>
                <w:color w:val="auto"/>
              </w:rPr>
            </w:pPr>
            <w:r>
              <w:rPr>
                <w:rFonts w:ascii="Calibri" w:cs="Calibri" w:eastAsia="Calibri" w:hAnsi="Calibri"/>
                <w:sz w:val="20"/>
                <w:szCs w:val="20"/>
                <w:color w:val="231F20"/>
              </w:rPr>
              <w:t>930,131</w:t>
            </w:r>
          </w:p>
        </w:tc>
      </w:tr>
      <w:tr>
        <w:trPr>
          <w:trHeight w:val="300"/>
        </w:trPr>
        <w:tc>
          <w:tcPr>
            <w:tcW w:w="6600" w:type="dxa"/>
            <w:vAlign w:val="bottom"/>
            <w:shd w:val="clear" w:color="auto" w:fill="DCDDDE"/>
          </w:tcPr>
          <w:p>
            <w:pPr>
              <w:ind w:left="60"/>
              <w:spacing w:after="0" w:line="299" w:lineRule="exact"/>
              <w:rPr>
                <w:sz w:val="20"/>
                <w:szCs w:val="20"/>
                <w:color w:val="auto"/>
              </w:rPr>
            </w:pPr>
            <w:r>
              <w:rPr>
                <w:rFonts w:ascii="Calibri" w:cs="Calibri" w:eastAsia="Calibri" w:hAnsi="Calibri"/>
                <w:sz w:val="20"/>
                <w:szCs w:val="20"/>
                <w:color w:val="231F20"/>
              </w:rPr>
              <w:t>Audit-Related Fees</w:t>
            </w:r>
            <w:r>
              <w:rPr>
                <w:rFonts w:ascii="Calibri" w:cs="Calibri" w:eastAsia="Calibri" w:hAnsi="Calibri"/>
                <w:sz w:val="26"/>
                <w:szCs w:val="26"/>
                <w:color w:val="231F20"/>
                <w:vertAlign w:val="superscript"/>
              </w:rPr>
              <w:t>(2)</w:t>
            </w:r>
          </w:p>
        </w:tc>
        <w:tc>
          <w:tcPr>
            <w:tcW w:w="400" w:type="dxa"/>
            <w:vAlign w:val="bottom"/>
          </w:tcPr>
          <w:p>
            <w:pPr>
              <w:jc w:val="right"/>
              <w:spacing w:after="0" w:line="236" w:lineRule="exact"/>
              <w:rPr>
                <w:sz w:val="20"/>
                <w:szCs w:val="20"/>
                <w:color w:val="auto"/>
              </w:rPr>
            </w:pPr>
            <w:r>
              <w:rPr>
                <w:rFonts w:ascii="Calibri" w:cs="Calibri" w:eastAsia="Calibri" w:hAnsi="Calibri"/>
                <w:sz w:val="20"/>
                <w:szCs w:val="20"/>
                <w:color w:val="231F20"/>
              </w:rPr>
              <w:t>$</w:t>
            </w:r>
          </w:p>
        </w:tc>
        <w:tc>
          <w:tcPr>
            <w:tcW w:w="1000" w:type="dxa"/>
            <w:vAlign w:val="bottom"/>
          </w:tcPr>
          <w:p>
            <w:pPr>
              <w:jc w:val="right"/>
              <w:spacing w:after="0" w:line="236" w:lineRule="exact"/>
              <w:rPr>
                <w:sz w:val="20"/>
                <w:szCs w:val="20"/>
                <w:color w:val="auto"/>
              </w:rPr>
            </w:pPr>
            <w:r>
              <w:rPr>
                <w:rFonts w:ascii="Calibri" w:cs="Calibri" w:eastAsia="Calibri" w:hAnsi="Calibri"/>
                <w:sz w:val="20"/>
                <w:szCs w:val="20"/>
                <w:color w:val="231F20"/>
              </w:rPr>
              <w:t>54,075</w:t>
            </w:r>
          </w:p>
        </w:tc>
        <w:tc>
          <w:tcPr>
            <w:tcW w:w="300" w:type="dxa"/>
            <w:vAlign w:val="bottom"/>
          </w:tcPr>
          <w:p>
            <w:pPr>
              <w:jc w:val="right"/>
              <w:spacing w:after="0" w:line="236" w:lineRule="exact"/>
              <w:rPr>
                <w:sz w:val="20"/>
                <w:szCs w:val="20"/>
                <w:color w:val="auto"/>
              </w:rPr>
            </w:pPr>
            <w:r>
              <w:rPr>
                <w:rFonts w:ascii="Calibri" w:cs="Calibri" w:eastAsia="Calibri" w:hAnsi="Calibri"/>
                <w:sz w:val="20"/>
                <w:szCs w:val="20"/>
                <w:color w:val="231F20"/>
              </w:rPr>
              <w:t>$</w:t>
            </w:r>
          </w:p>
        </w:tc>
        <w:tc>
          <w:tcPr>
            <w:tcW w:w="980" w:type="dxa"/>
            <w:vAlign w:val="bottom"/>
          </w:tcPr>
          <w:p>
            <w:pPr>
              <w:jc w:val="right"/>
              <w:spacing w:after="0" w:line="236" w:lineRule="exact"/>
              <w:rPr>
                <w:sz w:val="20"/>
                <w:szCs w:val="20"/>
                <w:color w:val="auto"/>
              </w:rPr>
            </w:pPr>
            <w:r>
              <w:rPr>
                <w:rFonts w:ascii="Calibri" w:cs="Calibri" w:eastAsia="Calibri" w:hAnsi="Calibri"/>
                <w:sz w:val="20"/>
                <w:szCs w:val="20"/>
                <w:color w:val="231F20"/>
              </w:rPr>
              <w:t>70,925</w:t>
            </w:r>
          </w:p>
        </w:tc>
      </w:tr>
      <w:tr>
        <w:trPr>
          <w:trHeight w:val="245"/>
        </w:trPr>
        <w:tc>
          <w:tcPr>
            <w:tcW w:w="6600" w:type="dxa"/>
            <w:vAlign w:val="bottom"/>
            <w:tcBorders>
              <w:bottom w:val="single" w:sz="8" w:color="231F20"/>
            </w:tcBorders>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All Other Fees</w:t>
            </w:r>
          </w:p>
        </w:tc>
        <w:tc>
          <w:tcPr>
            <w:tcW w:w="4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jc w:val="right"/>
              <w:spacing w:after="0" w:line="236" w:lineRule="exact"/>
              <w:rPr>
                <w:sz w:val="20"/>
                <w:szCs w:val="20"/>
                <w:color w:val="auto"/>
              </w:rPr>
            </w:pPr>
            <w:r>
              <w:rPr>
                <w:rFonts w:ascii="Calibri" w:cs="Calibri" w:eastAsia="Calibri" w:hAnsi="Calibri"/>
                <w:sz w:val="20"/>
                <w:szCs w:val="20"/>
                <w:color w:val="231F20"/>
              </w:rPr>
              <w:t>$</w:t>
            </w:r>
          </w:p>
        </w:tc>
        <w:tc>
          <w:tcPr>
            <w:tcW w:w="980" w:type="dxa"/>
            <w:vAlign w:val="bottom"/>
            <w:tcBorders>
              <w:bottom w:val="single" w:sz="8" w:color="231F20"/>
            </w:tcBorders>
          </w:tcPr>
          <w:p>
            <w:pPr>
              <w:jc w:val="right"/>
              <w:ind w:right="160"/>
              <w:spacing w:after="0" w:line="236" w:lineRule="exact"/>
              <w:rPr>
                <w:sz w:val="20"/>
                <w:szCs w:val="20"/>
                <w:color w:val="auto"/>
              </w:rPr>
            </w:pPr>
            <w:r>
              <w:rPr>
                <w:rFonts w:ascii="Calibri" w:cs="Calibri" w:eastAsia="Calibri" w:hAnsi="Calibri"/>
                <w:sz w:val="20"/>
                <w:szCs w:val="20"/>
                <w:color w:val="231F20"/>
              </w:rPr>
              <w:t>-</w:t>
            </w:r>
          </w:p>
        </w:tc>
      </w:tr>
      <w:tr>
        <w:trPr>
          <w:trHeight w:val="269"/>
        </w:trPr>
        <w:tc>
          <w:tcPr>
            <w:tcW w:w="6600" w:type="dxa"/>
            <w:vAlign w:val="bottom"/>
            <w:shd w:val="clear" w:color="auto" w:fill="DCDDDE"/>
          </w:tcPr>
          <w:p>
            <w:pPr>
              <w:ind w:left="60"/>
              <w:spacing w:after="0"/>
              <w:rPr>
                <w:sz w:val="20"/>
                <w:szCs w:val="20"/>
                <w:color w:val="auto"/>
              </w:rPr>
            </w:pPr>
            <w:r>
              <w:rPr>
                <w:rFonts w:ascii="Calibri" w:cs="Calibri" w:eastAsia="Calibri" w:hAnsi="Calibri"/>
                <w:sz w:val="20"/>
                <w:szCs w:val="20"/>
                <w:b w:val="1"/>
                <w:bCs w:val="1"/>
                <w:color w:val="231F20"/>
              </w:rPr>
              <w:t>Total Fees</w:t>
            </w:r>
          </w:p>
        </w:tc>
        <w:tc>
          <w:tcPr>
            <w:tcW w:w="400" w:type="dxa"/>
            <w:vAlign w:val="bottom"/>
          </w:tcPr>
          <w:p>
            <w:pPr>
              <w:jc w:val="right"/>
              <w:spacing w:after="0"/>
              <w:rPr>
                <w:sz w:val="20"/>
                <w:szCs w:val="20"/>
                <w:color w:val="auto"/>
              </w:rPr>
            </w:pPr>
            <w:r>
              <w:rPr>
                <w:rFonts w:ascii="Calibri" w:cs="Calibri" w:eastAsia="Calibri" w:hAnsi="Calibri"/>
                <w:sz w:val="20"/>
                <w:szCs w:val="20"/>
                <w:b w:val="1"/>
                <w:bCs w:val="1"/>
                <w:color w:val="231F20"/>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231F20"/>
              </w:rPr>
              <w:t>1,066,246</w:t>
            </w:r>
          </w:p>
        </w:tc>
        <w:tc>
          <w:tcPr>
            <w:tcW w:w="300" w:type="dxa"/>
            <w:vAlign w:val="bottom"/>
          </w:tcPr>
          <w:p>
            <w:pPr>
              <w:jc w:val="right"/>
              <w:spacing w:after="0"/>
              <w:rPr>
                <w:sz w:val="20"/>
                <w:szCs w:val="20"/>
                <w:color w:val="auto"/>
              </w:rPr>
            </w:pPr>
            <w:r>
              <w:rPr>
                <w:rFonts w:ascii="Calibri" w:cs="Calibri" w:eastAsia="Calibri" w:hAnsi="Calibri"/>
                <w:sz w:val="20"/>
                <w:szCs w:val="20"/>
                <w:b w:val="1"/>
                <w:bCs w:val="1"/>
                <w:color w:val="231F20"/>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231F20"/>
              </w:rPr>
              <w:t>1,001,056</w:t>
            </w:r>
          </w:p>
        </w:tc>
      </w:tr>
      <w:tr>
        <w:trPr>
          <w:trHeight w:val="24"/>
        </w:trPr>
        <w:tc>
          <w:tcPr>
            <w:tcW w:w="6600" w:type="dxa"/>
            <w:vAlign w:val="bottom"/>
            <w:shd w:val="clear" w:color="auto" w:fill="DCDDDE"/>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123825</wp:posOffset>
                </wp:positionV>
                <wp:extent cx="952500"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5pt" to="75pt,9.75pt" o:allowincell="f" strokecolor="#231F20" strokeweight="0.5pt"/>
            </w:pict>
          </mc:Fallback>
        </mc:AlternateContent>
      </w:r>
    </w:p>
    <w:p>
      <w:pPr>
        <w:spacing w:after="0" w:line="235" w:lineRule="exact"/>
        <w:rPr>
          <w:sz w:val="20"/>
          <w:szCs w:val="20"/>
          <w:color w:val="auto"/>
        </w:rPr>
      </w:pPr>
    </w:p>
    <w:p>
      <w:pPr>
        <w:jc w:val="both"/>
        <w:ind w:left="480" w:hanging="360"/>
        <w:spacing w:after="0" w:line="233" w:lineRule="auto"/>
        <w:tabs>
          <w:tab w:leader="none" w:pos="480" w:val="left"/>
        </w:tabs>
        <w:numPr>
          <w:ilvl w:val="0"/>
          <w:numId w:val="150"/>
        </w:numPr>
        <w:rPr>
          <w:rFonts w:ascii="Arial" w:cs="Arial" w:eastAsia="Arial" w:hAnsi="Arial"/>
          <w:sz w:val="23"/>
          <w:szCs w:val="23"/>
          <w:color w:val="231F20"/>
          <w:vertAlign w:val="superscript"/>
        </w:rPr>
      </w:pPr>
      <w:r>
        <w:rPr>
          <w:rFonts w:ascii="Arial" w:cs="Arial" w:eastAsia="Arial" w:hAnsi="Arial"/>
          <w:sz w:val="18"/>
          <w:szCs w:val="18"/>
          <w:color w:val="231F20"/>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spacing w:after="0" w:line="20" w:lineRule="exact"/>
        <w:rPr>
          <w:rFonts w:ascii="Arial" w:cs="Arial" w:eastAsia="Arial" w:hAnsi="Arial"/>
          <w:sz w:val="23"/>
          <w:szCs w:val="23"/>
          <w:color w:val="231F20"/>
          <w:vertAlign w:val="superscript"/>
        </w:rPr>
      </w:pPr>
    </w:p>
    <w:p>
      <w:pPr>
        <w:ind w:left="480" w:hanging="360"/>
        <w:spacing w:after="0" w:line="214" w:lineRule="auto"/>
        <w:tabs>
          <w:tab w:leader="none" w:pos="480" w:val="left"/>
        </w:tabs>
        <w:numPr>
          <w:ilvl w:val="0"/>
          <w:numId w:val="150"/>
        </w:numPr>
        <w:rPr>
          <w:rFonts w:ascii="Arial" w:cs="Arial" w:eastAsia="Arial" w:hAnsi="Arial"/>
          <w:sz w:val="23"/>
          <w:szCs w:val="23"/>
          <w:color w:val="231F20"/>
          <w:vertAlign w:val="superscript"/>
        </w:rPr>
      </w:pPr>
      <w:r>
        <w:rPr>
          <w:rFonts w:ascii="Arial" w:cs="Arial" w:eastAsia="Arial" w:hAnsi="Arial"/>
          <w:sz w:val="18"/>
          <w:szCs w:val="18"/>
          <w:color w:val="231F20"/>
        </w:rPr>
        <w:t>Audit-related fees primarily include the audit of our employee benefit plan, which are paid by the plan and not the Company, and certain property level audits.</w:t>
      </w:r>
    </w:p>
    <w:p>
      <w:pPr>
        <w:spacing w:after="0" w:line="2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122555</wp:posOffset>
                </wp:positionV>
                <wp:extent cx="0" cy="58420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65pt" to="0.25pt,55.6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640080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pt" to="504pt,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6397625</wp:posOffset>
                </wp:positionH>
                <wp:positionV relativeFrom="paragraph">
                  <wp:posOffset>122555</wp:posOffset>
                </wp:positionV>
                <wp:extent cx="0" cy="58420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75pt,9.65pt" to="503.75pt,55.6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703580</wp:posOffset>
                </wp:positionV>
                <wp:extent cx="6400800"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4pt" to="504pt,55.4pt" o:allowincell="f" strokecolor="#231F20" strokeweight="0.5pt"/>
            </w:pict>
          </mc:Fallback>
        </mc:AlternateContent>
      </w:r>
    </w:p>
    <w:p>
      <w:pPr>
        <w:spacing w:after="0" w:line="192" w:lineRule="exact"/>
        <w:rPr>
          <w:sz w:val="20"/>
          <w:szCs w:val="20"/>
          <w:color w:val="auto"/>
        </w:rPr>
      </w:pPr>
    </w:p>
    <w:p>
      <w:pPr>
        <w:jc w:val="both"/>
        <w:ind w:left="1000" w:right="160"/>
        <w:spacing w:after="0" w:line="218" w:lineRule="auto"/>
        <w:rPr>
          <w:sz w:val="20"/>
          <w:szCs w:val="20"/>
          <w:color w:val="auto"/>
        </w:rPr>
      </w:pPr>
      <w:r>
        <w:rPr>
          <w:rFonts w:ascii="Arial" w:cs="Arial" w:eastAsia="Arial" w:hAnsi="Arial"/>
          <w:sz w:val="28"/>
          <w:szCs w:val="28"/>
          <w:color w:val="231F20"/>
        </w:rPr>
        <w:t xml:space="preserve">Our Board recommends a vote </w:t>
      </w:r>
      <w:r>
        <w:rPr>
          <w:rFonts w:ascii="Arial" w:cs="Arial" w:eastAsia="Arial" w:hAnsi="Arial"/>
          <w:sz w:val="28"/>
          <w:szCs w:val="28"/>
          <w:b w:val="1"/>
          <w:bCs w:val="1"/>
          <w:color w:val="231F20"/>
        </w:rPr>
        <w:t>FOR</w:t>
      </w:r>
      <w:r>
        <w:rPr>
          <w:rFonts w:ascii="Arial" w:cs="Arial" w:eastAsia="Arial" w:hAnsi="Arial"/>
          <w:sz w:val="28"/>
          <w:szCs w:val="28"/>
          <w:color w:val="231F20"/>
        </w:rPr>
        <w:t xml:space="preserve"> the ratification of the appointment of GT as our independent registered public accounting firm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-501015</wp:posOffset>
            </wp:positionV>
            <wp:extent cx="444500" cy="415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107">
                      <a:clrChange>
                        <a:clrFrom>
                          <a:srgbClr val="000000"/>
                        </a:clrFrom>
                        <a:clrTo>
                          <a:srgbClr val="000000">
                            <a:alpha val="0"/>
                          </a:srgbClr>
                        </a:clrTo>
                      </a:clrChange>
                      <a:extLst>
                        <a:ext uri="{28A0092B-C50C-407E-A947-70E740481C1C}"/>
                      </a:extLst>
                    </a:blip>
                    <a:srcRect/>
                    <a:stretch>
                      <a:fillRect/>
                    </a:stretch>
                  </pic:blipFill>
                  <pic:spPr bwMode="auto">
                    <a:xfrm>
                      <a:off x="0" y="0"/>
                      <a:ext cx="444500" cy="4152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-501015</wp:posOffset>
            </wp:positionV>
            <wp:extent cx="444500" cy="415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444500" cy="4152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1355090</wp:posOffset>
                </wp:positionV>
                <wp:extent cx="6400800" cy="17780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87" o:spid="_x0000_s1512" style="position:absolute;margin-left:0pt;margin-top:106.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1354455</wp:posOffset>
                </wp:positionV>
                <wp:extent cx="0" cy="17780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6.65pt" to="0.5pt,120.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1360805</wp:posOffset>
                </wp:positionV>
                <wp:extent cx="6400800"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15pt" to="504pt,107.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1354455</wp:posOffset>
                </wp:positionV>
                <wp:extent cx="0" cy="17780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6.65pt" to="503.5pt,120.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1525905</wp:posOffset>
                </wp:positionV>
                <wp:extent cx="6400800" cy="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15pt" to="504pt,120.1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40</w:t>
      </w:r>
    </w:p>
    <w:p>
      <w:pPr>
        <w:sectPr>
          <w:pgSz w:w="12240" w:h="15840" w:orient="portrait"/>
          <w:cols w:equalWidth="0" w:num="1">
            <w:col w:w="10080"/>
          </w:cols>
          <w:pgMar w:left="1080" w:top="1440" w:right="1080" w:bottom="944" w:gutter="0" w:footer="0" w:header="0"/>
          <w:type w:val="continuous"/>
        </w:sectPr>
      </w:pPr>
    </w:p>
    <w:bookmarkStart w:id="160" w:name="page161"/>
    <w:bookmarkEnd w:id="160"/>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B"/>
        </w:rPr>
        <w:t>➣</w:t>
      </w:r>
      <w:r>
        <w:rPr>
          <w:rFonts w:ascii="Arial" w:cs="Arial" w:eastAsia="Arial" w:hAnsi="Arial"/>
          <w:sz w:val="20"/>
          <w:szCs w:val="20"/>
          <w:b w:val="1"/>
          <w:bCs w:val="1"/>
          <w:color w:val="231F20"/>
        </w:rPr>
        <w:t xml:space="preserve"> AUDIT COMMITTEE REPORT</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231F20"/>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color w:val="231F20"/>
        </w:rPr>
        <w:t>. In 2023, the Audit Committee met four times and each meeting included an executive</w:t>
      </w:r>
      <w:r>
        <w:rPr>
          <w:rFonts w:ascii="Arial" w:cs="Arial" w:eastAsia="Arial" w:hAnsi="Arial"/>
          <w:sz w:val="20"/>
          <w:szCs w:val="20"/>
          <w:i w:val="1"/>
          <w:iCs w:val="1"/>
          <w:color w:val="231F20"/>
        </w:rPr>
        <w:t xml:space="preserve"> </w:t>
      </w:r>
      <w:r>
        <w:rPr>
          <w:rFonts w:ascii="Arial" w:cs="Arial" w:eastAsia="Arial" w:hAnsi="Arial"/>
          <w:sz w:val="20"/>
          <w:szCs w:val="20"/>
          <w:color w:val="231F20"/>
        </w:rPr>
        <w:t>session with our independent registered public accounting firm and no members of management present.</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2023 and one meeting included an executive session with PwC with no members of GT or management present. GT is responsible for auditing the consolidated financial statements of the Company and expressing an opinion on the financial statements and the effectiveness of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231F20"/>
        </w:rPr>
        <w:t>As part of its oversight function, the Audit Committee:</w:t>
      </w:r>
    </w:p>
    <w:p>
      <w:pPr>
        <w:spacing w:after="0" w:line="218" w:lineRule="exact"/>
        <w:rPr>
          <w:sz w:val="20"/>
          <w:szCs w:val="20"/>
          <w:color w:val="auto"/>
        </w:rPr>
      </w:pPr>
    </w:p>
    <w:p>
      <w:pPr>
        <w:ind w:left="1100" w:hanging="366"/>
        <w:spacing w:after="0" w:line="245" w:lineRule="auto"/>
        <w:tabs>
          <w:tab w:leader="none" w:pos="1100" w:val="left"/>
        </w:tabs>
        <w:numPr>
          <w:ilvl w:val="0"/>
          <w:numId w:val="152"/>
        </w:numPr>
        <w:rPr>
          <w:rFonts w:ascii="Arial" w:cs="Arial" w:eastAsia="Arial" w:hAnsi="Arial"/>
          <w:sz w:val="20"/>
          <w:szCs w:val="20"/>
          <w:color w:val="231F20"/>
        </w:rPr>
      </w:pPr>
      <w:r>
        <w:rPr>
          <w:rFonts w:ascii="Arial" w:cs="Arial" w:eastAsia="Arial" w:hAnsi="Arial"/>
          <w:sz w:val="20"/>
          <w:szCs w:val="20"/>
          <w:color w:val="231F20"/>
        </w:rPr>
        <w:t>Met with management and GT and discussed the Company’s December 31, 2023 audited financial statements;</w:t>
      </w:r>
    </w:p>
    <w:p>
      <w:pPr>
        <w:spacing w:after="0" w:line="213" w:lineRule="exact"/>
        <w:rPr>
          <w:rFonts w:ascii="Arial" w:cs="Arial" w:eastAsia="Arial" w:hAnsi="Arial"/>
          <w:sz w:val="20"/>
          <w:szCs w:val="20"/>
          <w:color w:val="231F20"/>
        </w:rPr>
      </w:pPr>
    </w:p>
    <w:p>
      <w:pPr>
        <w:jc w:val="both"/>
        <w:ind w:left="1100" w:hanging="366"/>
        <w:spacing w:after="0" w:line="247" w:lineRule="auto"/>
        <w:tabs>
          <w:tab w:leader="none" w:pos="1100" w:val="left"/>
        </w:tabs>
        <w:numPr>
          <w:ilvl w:val="0"/>
          <w:numId w:val="152"/>
        </w:numPr>
        <w:rPr>
          <w:rFonts w:ascii="Arial" w:cs="Arial" w:eastAsia="Arial" w:hAnsi="Arial"/>
          <w:sz w:val="20"/>
          <w:szCs w:val="20"/>
          <w:color w:val="231F20"/>
        </w:rPr>
      </w:pPr>
      <w:r>
        <w:rPr>
          <w:rFonts w:ascii="Arial" w:cs="Arial" w:eastAsia="Arial" w:hAnsi="Arial"/>
          <w:sz w:val="20"/>
          <w:szCs w:val="20"/>
          <w:color w:val="231F20"/>
        </w:rPr>
        <w:t>Worked with a new lead audit partner at GT to oversee the audit of the Company’s financial statements beginning with fiscal year 2023. The new GT audit partner has extensive experience auditing real estate investment trusts and has never been part of the GT team auditing the Company;</w:t>
      </w:r>
    </w:p>
    <w:p>
      <w:pPr>
        <w:spacing w:after="0" w:line="212" w:lineRule="exact"/>
        <w:rPr>
          <w:rFonts w:ascii="Arial" w:cs="Arial" w:eastAsia="Arial" w:hAnsi="Arial"/>
          <w:sz w:val="20"/>
          <w:szCs w:val="20"/>
          <w:color w:val="231F20"/>
        </w:rPr>
      </w:pPr>
    </w:p>
    <w:p>
      <w:pPr>
        <w:ind w:left="1100" w:hanging="366"/>
        <w:spacing w:after="0" w:line="243" w:lineRule="auto"/>
        <w:tabs>
          <w:tab w:leader="none" w:pos="1100" w:val="left"/>
        </w:tabs>
        <w:numPr>
          <w:ilvl w:val="0"/>
          <w:numId w:val="152"/>
        </w:numPr>
        <w:rPr>
          <w:rFonts w:ascii="Arial" w:cs="Arial" w:eastAsia="Arial" w:hAnsi="Arial"/>
          <w:sz w:val="20"/>
          <w:szCs w:val="20"/>
          <w:color w:val="231F20"/>
        </w:rPr>
      </w:pPr>
      <w:r>
        <w:rPr>
          <w:rFonts w:ascii="Arial" w:cs="Arial" w:eastAsia="Arial" w:hAnsi="Arial"/>
          <w:sz w:val="20"/>
          <w:szCs w:val="20"/>
          <w:color w:val="231F20"/>
        </w:rPr>
        <w:t>Discussed with GT the matters required to be discussed by the applicable requirements of the Public Company Accounting Oversight Board (“PCAOB”) and the SEC;</w:t>
      </w:r>
    </w:p>
    <w:p>
      <w:pPr>
        <w:spacing w:after="0" w:line="217" w:lineRule="exact"/>
        <w:rPr>
          <w:rFonts w:ascii="Arial" w:cs="Arial" w:eastAsia="Arial" w:hAnsi="Arial"/>
          <w:sz w:val="20"/>
          <w:szCs w:val="20"/>
          <w:color w:val="231F20"/>
        </w:rPr>
      </w:pPr>
    </w:p>
    <w:p>
      <w:pPr>
        <w:ind w:left="1100" w:hanging="366"/>
        <w:spacing w:after="0" w:line="245" w:lineRule="auto"/>
        <w:tabs>
          <w:tab w:leader="none" w:pos="1100" w:val="left"/>
        </w:tabs>
        <w:numPr>
          <w:ilvl w:val="0"/>
          <w:numId w:val="152"/>
        </w:numPr>
        <w:rPr>
          <w:rFonts w:ascii="Arial" w:cs="Arial" w:eastAsia="Arial" w:hAnsi="Arial"/>
          <w:sz w:val="20"/>
          <w:szCs w:val="20"/>
          <w:color w:val="231F20"/>
        </w:rPr>
      </w:pPr>
      <w:r>
        <w:rPr>
          <w:rFonts w:ascii="Arial" w:cs="Arial" w:eastAsia="Arial" w:hAnsi="Arial"/>
          <w:sz w:val="20"/>
          <w:szCs w:val="20"/>
          <w:color w:val="231F20"/>
        </w:rPr>
        <w:t>Reviewed and discussed with management and GT, individually and collectively, all annual and quarterly financial statements and operating results prior to their issuance;</w:t>
      </w:r>
    </w:p>
    <w:p>
      <w:pPr>
        <w:spacing w:after="0" w:line="213" w:lineRule="exact"/>
        <w:rPr>
          <w:rFonts w:ascii="Arial" w:cs="Arial" w:eastAsia="Arial" w:hAnsi="Arial"/>
          <w:sz w:val="20"/>
          <w:szCs w:val="20"/>
          <w:color w:val="231F20"/>
        </w:rPr>
      </w:pPr>
    </w:p>
    <w:p>
      <w:pPr>
        <w:jc w:val="both"/>
        <w:ind w:left="1100" w:hanging="366"/>
        <w:spacing w:after="0" w:line="247" w:lineRule="auto"/>
        <w:tabs>
          <w:tab w:leader="none" w:pos="1100" w:val="left"/>
        </w:tabs>
        <w:numPr>
          <w:ilvl w:val="0"/>
          <w:numId w:val="152"/>
        </w:numPr>
        <w:rPr>
          <w:rFonts w:ascii="Arial" w:cs="Arial" w:eastAsia="Arial" w:hAnsi="Arial"/>
          <w:sz w:val="20"/>
          <w:szCs w:val="20"/>
          <w:color w:val="231F20"/>
        </w:rPr>
      </w:pPr>
      <w:r>
        <w:rPr>
          <w:rFonts w:ascii="Arial" w:cs="Arial" w:eastAsia="Arial" w:hAnsi="Arial"/>
          <w:sz w:val="20"/>
          <w:szCs w:val="20"/>
          <w:color w:val="231F20"/>
        </w:rPr>
        <w:t>Received the written disclosures and the letter from GT required by applicable requirements of the PCAOB regarding GT’s communications with the audit committee concerning independence, and has discussed with GT regarding its independence;</w:t>
      </w:r>
    </w:p>
    <w:p>
      <w:pPr>
        <w:spacing w:after="0" w:line="212" w:lineRule="exact"/>
        <w:rPr>
          <w:rFonts w:ascii="Arial" w:cs="Arial" w:eastAsia="Arial" w:hAnsi="Arial"/>
          <w:sz w:val="20"/>
          <w:szCs w:val="20"/>
          <w:color w:val="231F20"/>
        </w:rPr>
      </w:pPr>
    </w:p>
    <w:p>
      <w:pPr>
        <w:ind w:left="1100" w:hanging="366"/>
        <w:spacing w:after="0" w:line="245" w:lineRule="auto"/>
        <w:tabs>
          <w:tab w:leader="none" w:pos="1100" w:val="left"/>
        </w:tabs>
        <w:numPr>
          <w:ilvl w:val="0"/>
          <w:numId w:val="152"/>
        </w:numPr>
        <w:rPr>
          <w:rFonts w:ascii="Arial" w:cs="Arial" w:eastAsia="Arial" w:hAnsi="Arial"/>
          <w:sz w:val="20"/>
          <w:szCs w:val="20"/>
          <w:color w:val="231F20"/>
        </w:rPr>
      </w:pPr>
      <w:r>
        <w:rPr>
          <w:rFonts w:ascii="Arial" w:cs="Arial" w:eastAsia="Arial" w:hAnsi="Arial"/>
          <w:sz w:val="20"/>
          <w:szCs w:val="20"/>
          <w:color w:val="231F20"/>
        </w:rPr>
        <w:t>Discussed with GT matters required to be discussed pursuant to applicable audit standards, including the reasonableness of judgments and the clarity and completeness of financial disclosures;</w:t>
      </w:r>
    </w:p>
    <w:p>
      <w:pPr>
        <w:spacing w:after="0" w:line="213" w:lineRule="exact"/>
        <w:rPr>
          <w:rFonts w:ascii="Arial" w:cs="Arial" w:eastAsia="Arial" w:hAnsi="Arial"/>
          <w:sz w:val="20"/>
          <w:szCs w:val="20"/>
          <w:color w:val="231F20"/>
        </w:rPr>
      </w:pPr>
    </w:p>
    <w:p>
      <w:pPr>
        <w:ind w:left="1100" w:hanging="366"/>
        <w:spacing w:after="0" w:line="243" w:lineRule="auto"/>
        <w:tabs>
          <w:tab w:leader="none" w:pos="1100" w:val="left"/>
        </w:tabs>
        <w:numPr>
          <w:ilvl w:val="0"/>
          <w:numId w:val="152"/>
        </w:numPr>
        <w:rPr>
          <w:rFonts w:ascii="Arial" w:cs="Arial" w:eastAsia="Arial" w:hAnsi="Arial"/>
          <w:sz w:val="20"/>
          <w:szCs w:val="20"/>
          <w:color w:val="231F20"/>
        </w:rPr>
      </w:pPr>
      <w:r>
        <w:rPr>
          <w:rFonts w:ascii="Arial" w:cs="Arial" w:eastAsia="Arial" w:hAnsi="Arial"/>
          <w:sz w:val="20"/>
          <w:szCs w:val="20"/>
          <w:color w:val="231F20"/>
        </w:rPr>
        <w:t>Monitored the non-audit services provided by GT to ensure that performance of such services did not adversely impact GT’s independence; and</w:t>
      </w:r>
    </w:p>
    <w:p>
      <w:pPr>
        <w:spacing w:after="0" w:line="217" w:lineRule="exact"/>
        <w:rPr>
          <w:rFonts w:ascii="Arial" w:cs="Arial" w:eastAsia="Arial" w:hAnsi="Arial"/>
          <w:sz w:val="20"/>
          <w:szCs w:val="20"/>
          <w:color w:val="231F20"/>
        </w:rPr>
      </w:pPr>
    </w:p>
    <w:p>
      <w:pPr>
        <w:jc w:val="both"/>
        <w:ind w:left="1100" w:hanging="366"/>
        <w:spacing w:after="0" w:line="266" w:lineRule="auto"/>
        <w:tabs>
          <w:tab w:leader="none" w:pos="1100" w:val="left"/>
        </w:tabs>
        <w:numPr>
          <w:ilvl w:val="0"/>
          <w:numId w:val="152"/>
        </w:numPr>
        <w:rPr>
          <w:rFonts w:ascii="Arial" w:cs="Arial" w:eastAsia="Arial" w:hAnsi="Arial"/>
          <w:sz w:val="19"/>
          <w:szCs w:val="19"/>
          <w:color w:val="231F20"/>
        </w:rPr>
      </w:pPr>
      <w:r>
        <w:rPr>
          <w:rFonts w:ascii="Arial" w:cs="Arial" w:eastAsia="Arial" w:hAnsi="Arial"/>
          <w:sz w:val="19"/>
          <w:szCs w:val="19"/>
          <w:color w:val="231F20"/>
        </w:rPr>
        <w:t>As part of the Committee’s quarterly review of internal controls, the Committee discussed with management cybersecurity threats, cybersecurity training and ongoing areas of focus of management in protecting against cyber breaches. During those quarterly reviews in 2023, the Committee was advised that there were no breaches and that cybersecurity insurance had been procured.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114935</wp:posOffset>
                </wp:positionV>
                <wp:extent cx="6400800" cy="17780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92" o:spid="_x0000_s1517" style="position:absolute;margin-left:0pt;margin-top:9.0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114300</wp:posOffset>
                </wp:positionV>
                <wp:extent cx="0" cy="17780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pt" to="0.5pt,2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120650</wp:posOffset>
                </wp:positionV>
                <wp:extent cx="6400800" cy="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5pt" to="504pt,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114300</wp:posOffset>
                </wp:positionV>
                <wp:extent cx="0" cy="17780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pt" to="503.5pt,2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6400800" cy="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504pt,22.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29"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41</w:t>
      </w:r>
    </w:p>
    <w:p>
      <w:pPr>
        <w:sectPr>
          <w:pgSz w:w="12240" w:h="15840" w:orient="portrait"/>
          <w:cols w:equalWidth="0" w:num="1">
            <w:col w:w="10080"/>
          </w:cols>
          <w:pgMar w:left="1080" w:top="1440" w:right="1080" w:bottom="944" w:gutter="0" w:footer="0" w:header="0"/>
          <w:type w:val="continuous"/>
        </w:sectPr>
      </w:pPr>
    </w:p>
    <w:bookmarkStart w:id="161" w:name="page162"/>
    <w:bookmarkEnd w:id="161"/>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2023 for filing with the SEC.</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231F20"/>
        </w:rPr>
        <w:t>Submitted by the Audit Committee: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Gail P. Steinel, Chairperson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David W. Faeder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Elizabeth I. Holland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Anthony P. Nader,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165100</wp:posOffset>
                </wp:positionV>
                <wp:extent cx="6400800" cy="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pt" to="504pt,13pt" o:allowincell="f" strokecolor="#EF3E2A" strokeweight="3pt"/>
            </w:pict>
          </mc:Fallback>
        </mc:AlternateConten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231F20"/>
        </w:rPr>
        <w:t>Beneficial Ownership</w:t>
      </w:r>
    </w:p>
    <w:p>
      <w:pPr>
        <w:spacing w:after="0" w:line="17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OWNERSHIP OF PRINCIPAL SHAREHOLDERS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60" w:type="dxa"/>
            <w:vAlign w:val="bottom"/>
            <w:shd w:val="clear" w:color="auto" w:fill="EF3E2A"/>
          </w:tcPr>
          <w:p>
            <w:pPr>
              <w:spacing w:after="0"/>
              <w:rPr>
                <w:sz w:val="21"/>
                <w:szCs w:val="21"/>
                <w:color w:val="auto"/>
              </w:rPr>
            </w:pPr>
          </w:p>
        </w:tc>
        <w:tc>
          <w:tcPr>
            <w:tcW w:w="4360" w:type="dxa"/>
            <w:vAlign w:val="bottom"/>
            <w:shd w:val="clear" w:color="auto" w:fill="EF3E2A"/>
          </w:tcPr>
          <w:p>
            <w:pPr>
              <w:spacing w:after="0"/>
              <w:rPr>
                <w:sz w:val="21"/>
                <w:szCs w:val="21"/>
                <w:color w:val="auto"/>
              </w:rPr>
            </w:pPr>
          </w:p>
        </w:tc>
        <w:tc>
          <w:tcPr>
            <w:tcW w:w="2400" w:type="dxa"/>
            <w:vAlign w:val="bottom"/>
            <w:shd w:val="clear" w:color="auto" w:fill="EF3E2A"/>
          </w:tcPr>
          <w:p>
            <w:pPr>
              <w:jc w:val="right"/>
              <w:spacing w:after="0"/>
              <w:rPr>
                <w:sz w:val="20"/>
                <w:szCs w:val="20"/>
                <w:color w:val="auto"/>
              </w:rPr>
            </w:pPr>
            <w:r>
              <w:rPr>
                <w:rFonts w:ascii="Arial" w:cs="Arial" w:eastAsia="Arial" w:hAnsi="Arial"/>
                <w:sz w:val="20"/>
                <w:szCs w:val="20"/>
                <w:b w:val="1"/>
                <w:bCs w:val="1"/>
                <w:color w:val="FFFFFF"/>
              </w:rPr>
              <w:t>Amount and Nature of</w:t>
            </w:r>
          </w:p>
        </w:tc>
        <w:tc>
          <w:tcPr>
            <w:tcW w:w="2360" w:type="dxa"/>
            <w:vAlign w:val="bottom"/>
            <w:shd w:val="clear" w:color="auto" w:fill="EF3E2A"/>
          </w:tcPr>
          <w:p>
            <w:pPr>
              <w:jc w:val="right"/>
              <w:ind w:right="260"/>
              <w:spacing w:after="0"/>
              <w:rPr>
                <w:sz w:val="20"/>
                <w:szCs w:val="20"/>
                <w:color w:val="auto"/>
              </w:rPr>
            </w:pPr>
            <w:r>
              <w:rPr>
                <w:rFonts w:ascii="Arial" w:cs="Arial" w:eastAsia="Arial" w:hAnsi="Arial"/>
                <w:sz w:val="20"/>
                <w:szCs w:val="20"/>
                <w:b w:val="1"/>
                <w:bCs w:val="1"/>
                <w:color w:val="FFFFFF"/>
              </w:rPr>
              <w:t>Percentage of Our</w:t>
            </w:r>
          </w:p>
        </w:tc>
      </w:tr>
      <w:tr>
        <w:trPr>
          <w:trHeight w:val="248"/>
        </w:trPr>
        <w:tc>
          <w:tcPr>
            <w:tcW w:w="5320" w:type="dxa"/>
            <w:vAlign w:val="bottom"/>
            <w:gridSpan w:val="2"/>
            <w:shd w:val="clear" w:color="auto" w:fill="EF3E2A"/>
          </w:tcPr>
          <w:p>
            <w:pPr>
              <w:ind w:left="60"/>
              <w:spacing w:after="0"/>
              <w:rPr>
                <w:sz w:val="20"/>
                <w:szCs w:val="20"/>
                <w:color w:val="auto"/>
              </w:rPr>
            </w:pPr>
            <w:r>
              <w:rPr>
                <w:rFonts w:ascii="Arial" w:cs="Arial" w:eastAsia="Arial" w:hAnsi="Arial"/>
                <w:sz w:val="20"/>
                <w:szCs w:val="20"/>
                <w:b w:val="1"/>
                <w:bCs w:val="1"/>
                <w:color w:val="FFFFFF"/>
              </w:rPr>
              <w:t>Name and Address of Beneficial Owner</w:t>
            </w:r>
          </w:p>
        </w:tc>
        <w:tc>
          <w:tcPr>
            <w:tcW w:w="2400" w:type="dxa"/>
            <w:vAlign w:val="bottom"/>
            <w:shd w:val="clear" w:color="auto" w:fill="EF3E2A"/>
          </w:tcPr>
          <w:p>
            <w:pPr>
              <w:jc w:val="right"/>
              <w:ind w:right="40"/>
              <w:spacing w:after="0"/>
              <w:rPr>
                <w:sz w:val="20"/>
                <w:szCs w:val="20"/>
                <w:color w:val="auto"/>
              </w:rPr>
            </w:pPr>
            <w:r>
              <w:rPr>
                <w:rFonts w:ascii="Arial" w:cs="Arial" w:eastAsia="Arial" w:hAnsi="Arial"/>
                <w:sz w:val="20"/>
                <w:szCs w:val="20"/>
                <w:b w:val="1"/>
                <w:bCs w:val="1"/>
                <w:color w:val="FFFFFF"/>
              </w:rPr>
              <w:t>Beneficial Ownership</w:t>
            </w:r>
          </w:p>
        </w:tc>
        <w:tc>
          <w:tcPr>
            <w:tcW w:w="2360" w:type="dxa"/>
            <w:vAlign w:val="bottom"/>
            <w:shd w:val="clear" w:color="auto" w:fill="EF3E2A"/>
          </w:tcPr>
          <w:p>
            <w:pPr>
              <w:jc w:val="right"/>
              <w:ind w:right="100"/>
              <w:spacing w:after="0" w:line="247" w:lineRule="exact"/>
              <w:rPr>
                <w:sz w:val="20"/>
                <w:szCs w:val="20"/>
                <w:color w:val="auto"/>
              </w:rPr>
            </w:pPr>
            <w:r>
              <w:rPr>
                <w:rFonts w:ascii="Arial" w:cs="Arial" w:eastAsia="Arial" w:hAnsi="Arial"/>
                <w:sz w:val="20"/>
                <w:szCs w:val="20"/>
                <w:b w:val="1"/>
                <w:bCs w:val="1"/>
                <w:color w:val="FFFFFF"/>
              </w:rPr>
              <w:t>Outstanding Shares</w:t>
            </w:r>
            <w:r>
              <w:rPr>
                <w:rFonts w:ascii="Arial" w:cs="Arial" w:eastAsia="Arial" w:hAnsi="Arial"/>
                <w:sz w:val="26"/>
                <w:szCs w:val="26"/>
                <w:b w:val="1"/>
                <w:bCs w:val="1"/>
                <w:color w:val="FFFFFF"/>
                <w:vertAlign w:val="superscript"/>
              </w:rPr>
              <w:t>(1)</w:t>
            </w:r>
          </w:p>
        </w:tc>
      </w:tr>
      <w:tr>
        <w:trPr>
          <w:trHeight w:val="342"/>
        </w:trPr>
        <w:tc>
          <w:tcPr>
            <w:tcW w:w="532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The Vanguard Group, Inc.</w:t>
            </w:r>
            <w:r>
              <w:rPr>
                <w:rFonts w:ascii="Calibri" w:cs="Calibri" w:eastAsia="Calibri" w:hAnsi="Calibri"/>
                <w:sz w:val="26"/>
                <w:szCs w:val="26"/>
                <w:color w:val="231F20"/>
                <w:vertAlign w:val="superscript"/>
              </w:rPr>
              <w:t>(2)</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231F20"/>
              </w:rPr>
              <w:t>12,537,358</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231F20"/>
              </w:rPr>
              <w:t>15.1%</w:t>
            </w:r>
          </w:p>
        </w:tc>
      </w:tr>
      <w:tr>
        <w:trPr>
          <w:trHeight w:val="236"/>
        </w:trPr>
        <w:tc>
          <w:tcPr>
            <w:tcW w:w="532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100 Vanguard Blvd.</w:t>
            </w:r>
          </w:p>
        </w:tc>
        <w:tc>
          <w:tcPr>
            <w:tcW w:w="24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09"/>
        </w:trPr>
        <w:tc>
          <w:tcPr>
            <w:tcW w:w="532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Malvern, PA 19355</w:t>
            </w:r>
          </w:p>
        </w:tc>
        <w:tc>
          <w:tcPr>
            <w:tcW w:w="2400" w:type="dxa"/>
            <w:vAlign w:val="bottom"/>
            <w:tcBorders>
              <w:bottom w:val="single" w:sz="8" w:color="231F20"/>
            </w:tcBorders>
          </w:tcPr>
          <w:p>
            <w:pPr>
              <w:spacing w:after="0"/>
              <w:rPr>
                <w:sz w:val="24"/>
                <w:szCs w:val="24"/>
                <w:color w:val="auto"/>
              </w:rPr>
            </w:pPr>
          </w:p>
        </w:tc>
        <w:tc>
          <w:tcPr>
            <w:tcW w:w="2360" w:type="dxa"/>
            <w:vAlign w:val="bottom"/>
            <w:tcBorders>
              <w:bottom w:val="single" w:sz="8" w:color="231F20"/>
            </w:tcBorders>
          </w:tcPr>
          <w:p>
            <w:pPr>
              <w:spacing w:after="0"/>
              <w:rPr>
                <w:sz w:val="24"/>
                <w:szCs w:val="24"/>
                <w:color w:val="auto"/>
              </w:rPr>
            </w:pPr>
          </w:p>
        </w:tc>
      </w:tr>
      <w:tr>
        <w:trPr>
          <w:trHeight w:val="335"/>
        </w:trPr>
        <w:tc>
          <w:tcPr>
            <w:tcW w:w="532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BlackRock, Inc.</w:t>
            </w:r>
            <w:r>
              <w:rPr>
                <w:rFonts w:ascii="Calibri" w:cs="Calibri" w:eastAsia="Calibri" w:hAnsi="Calibri"/>
                <w:sz w:val="26"/>
                <w:szCs w:val="26"/>
                <w:color w:val="231F20"/>
                <w:vertAlign w:val="superscript"/>
              </w:rPr>
              <w:t>(3)</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231F20"/>
              </w:rPr>
              <w:t>8,169,558</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231F20"/>
              </w:rPr>
              <w:t>9.8%</w:t>
            </w:r>
          </w:p>
        </w:tc>
      </w:tr>
      <w:tr>
        <w:trPr>
          <w:trHeight w:val="236"/>
        </w:trPr>
        <w:tc>
          <w:tcPr>
            <w:tcW w:w="532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50 Hudson Yards</w:t>
            </w:r>
          </w:p>
        </w:tc>
        <w:tc>
          <w:tcPr>
            <w:tcW w:w="24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09"/>
        </w:trPr>
        <w:tc>
          <w:tcPr>
            <w:tcW w:w="532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New York, NY 10001</w:t>
            </w:r>
          </w:p>
        </w:tc>
        <w:tc>
          <w:tcPr>
            <w:tcW w:w="2400" w:type="dxa"/>
            <w:vAlign w:val="bottom"/>
            <w:tcBorders>
              <w:bottom w:val="single" w:sz="8" w:color="231F20"/>
            </w:tcBorders>
          </w:tcPr>
          <w:p>
            <w:pPr>
              <w:spacing w:after="0"/>
              <w:rPr>
                <w:sz w:val="24"/>
                <w:szCs w:val="24"/>
                <w:color w:val="auto"/>
              </w:rPr>
            </w:pPr>
          </w:p>
        </w:tc>
        <w:tc>
          <w:tcPr>
            <w:tcW w:w="2360" w:type="dxa"/>
            <w:vAlign w:val="bottom"/>
            <w:tcBorders>
              <w:bottom w:val="single" w:sz="8" w:color="231F20"/>
            </w:tcBorders>
          </w:tcPr>
          <w:p>
            <w:pPr>
              <w:spacing w:after="0"/>
              <w:rPr>
                <w:sz w:val="24"/>
                <w:szCs w:val="24"/>
                <w:color w:val="auto"/>
              </w:rPr>
            </w:pPr>
          </w:p>
        </w:tc>
      </w:tr>
      <w:tr>
        <w:trPr>
          <w:trHeight w:val="335"/>
        </w:trPr>
        <w:tc>
          <w:tcPr>
            <w:tcW w:w="532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Norges Bank (The Central Bank of Norway)</w:t>
            </w:r>
            <w:r>
              <w:rPr>
                <w:rFonts w:ascii="Calibri" w:cs="Calibri" w:eastAsia="Calibri" w:hAnsi="Calibri"/>
                <w:sz w:val="26"/>
                <w:szCs w:val="26"/>
                <w:color w:val="231F20"/>
                <w:vertAlign w:val="superscript"/>
              </w:rPr>
              <w:t>(4)</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231F20"/>
              </w:rPr>
              <w:t>7,213,760</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231F20"/>
              </w:rPr>
              <w:t>8.7%</w:t>
            </w:r>
          </w:p>
        </w:tc>
      </w:tr>
      <w:tr>
        <w:trPr>
          <w:trHeight w:val="236"/>
        </w:trPr>
        <w:tc>
          <w:tcPr>
            <w:tcW w:w="532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Bankplassen 2, PO Box 1179 Sentrum</w:t>
            </w:r>
          </w:p>
        </w:tc>
        <w:tc>
          <w:tcPr>
            <w:tcW w:w="24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09"/>
        </w:trPr>
        <w:tc>
          <w:tcPr>
            <w:tcW w:w="532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NO 0107 Oslo Norway</w:t>
            </w:r>
          </w:p>
        </w:tc>
        <w:tc>
          <w:tcPr>
            <w:tcW w:w="2400" w:type="dxa"/>
            <w:vAlign w:val="bottom"/>
            <w:tcBorders>
              <w:bottom w:val="single" w:sz="8" w:color="231F20"/>
            </w:tcBorders>
          </w:tcPr>
          <w:p>
            <w:pPr>
              <w:spacing w:after="0"/>
              <w:rPr>
                <w:sz w:val="24"/>
                <w:szCs w:val="24"/>
                <w:color w:val="auto"/>
              </w:rPr>
            </w:pPr>
          </w:p>
        </w:tc>
        <w:tc>
          <w:tcPr>
            <w:tcW w:w="2360" w:type="dxa"/>
            <w:vAlign w:val="bottom"/>
            <w:tcBorders>
              <w:bottom w:val="single" w:sz="8" w:color="231F20"/>
            </w:tcBorders>
          </w:tcPr>
          <w:p>
            <w:pPr>
              <w:spacing w:after="0"/>
              <w:rPr>
                <w:sz w:val="24"/>
                <w:szCs w:val="24"/>
                <w:color w:val="auto"/>
              </w:rPr>
            </w:pPr>
          </w:p>
        </w:tc>
      </w:tr>
      <w:tr>
        <w:trPr>
          <w:trHeight w:val="335"/>
        </w:trPr>
        <w:tc>
          <w:tcPr>
            <w:tcW w:w="532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State Street Corporation</w:t>
            </w:r>
            <w:r>
              <w:rPr>
                <w:rFonts w:ascii="Calibri" w:cs="Calibri" w:eastAsia="Calibri" w:hAnsi="Calibri"/>
                <w:sz w:val="26"/>
                <w:szCs w:val="26"/>
                <w:color w:val="231F20"/>
                <w:vertAlign w:val="superscript"/>
              </w:rPr>
              <w:t>(5)</w:t>
            </w:r>
          </w:p>
        </w:tc>
        <w:tc>
          <w:tcPr>
            <w:tcW w:w="2400" w:type="dxa"/>
            <w:vAlign w:val="bottom"/>
          </w:tcPr>
          <w:p>
            <w:pPr>
              <w:jc w:val="right"/>
              <w:ind w:right="600"/>
              <w:spacing w:after="0"/>
              <w:rPr>
                <w:sz w:val="20"/>
                <w:szCs w:val="20"/>
                <w:color w:val="auto"/>
              </w:rPr>
            </w:pPr>
            <w:r>
              <w:rPr>
                <w:rFonts w:ascii="Calibri" w:cs="Calibri" w:eastAsia="Calibri" w:hAnsi="Calibri"/>
                <w:sz w:val="20"/>
                <w:szCs w:val="20"/>
                <w:color w:val="231F20"/>
              </w:rPr>
              <w:t>6,880,692</w:t>
            </w:r>
          </w:p>
        </w:tc>
        <w:tc>
          <w:tcPr>
            <w:tcW w:w="2360" w:type="dxa"/>
            <w:vAlign w:val="bottom"/>
          </w:tcPr>
          <w:p>
            <w:pPr>
              <w:jc w:val="right"/>
              <w:ind w:right="800"/>
              <w:spacing w:after="0"/>
              <w:rPr>
                <w:sz w:val="20"/>
                <w:szCs w:val="20"/>
                <w:color w:val="auto"/>
              </w:rPr>
            </w:pPr>
            <w:r>
              <w:rPr>
                <w:rFonts w:ascii="Calibri" w:cs="Calibri" w:eastAsia="Calibri" w:hAnsi="Calibri"/>
                <w:sz w:val="20"/>
                <w:szCs w:val="20"/>
                <w:color w:val="231F20"/>
              </w:rPr>
              <w:t>8.3%</w:t>
            </w:r>
          </w:p>
        </w:tc>
      </w:tr>
      <w:tr>
        <w:trPr>
          <w:trHeight w:val="236"/>
        </w:trPr>
        <w:tc>
          <w:tcPr>
            <w:tcW w:w="532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State Street Financial Center, One Congress Street, Suite 1</w:t>
            </w:r>
          </w:p>
        </w:tc>
        <w:tc>
          <w:tcPr>
            <w:tcW w:w="24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09"/>
        </w:trPr>
        <w:tc>
          <w:tcPr>
            <w:tcW w:w="532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Boston, MA 02114</w:t>
            </w:r>
          </w:p>
        </w:tc>
        <w:tc>
          <w:tcPr>
            <w:tcW w:w="2400" w:type="dxa"/>
            <w:vAlign w:val="bottom"/>
            <w:tcBorders>
              <w:bottom w:val="single" w:sz="8" w:color="231F20"/>
            </w:tcBorders>
          </w:tcPr>
          <w:p>
            <w:pPr>
              <w:spacing w:after="0"/>
              <w:rPr>
                <w:sz w:val="24"/>
                <w:szCs w:val="24"/>
                <w:color w:val="auto"/>
              </w:rPr>
            </w:pPr>
          </w:p>
        </w:tc>
        <w:tc>
          <w:tcPr>
            <w:tcW w:w="2360" w:type="dxa"/>
            <w:vAlign w:val="bottom"/>
            <w:tcBorders>
              <w:bottom w:val="single" w:sz="8" w:color="231F20"/>
            </w:tcBorders>
          </w:tcPr>
          <w:p>
            <w:pPr>
              <w:spacing w:after="0"/>
              <w:rPr>
                <w:sz w:val="24"/>
                <w:szCs w:val="24"/>
                <w:color w:val="auto"/>
              </w:rPr>
            </w:pPr>
          </w:p>
        </w:tc>
      </w:tr>
      <w:tr>
        <w:trPr>
          <w:trHeight w:val="143"/>
        </w:trPr>
        <w:tc>
          <w:tcPr>
            <w:tcW w:w="960" w:type="dxa"/>
            <w:vAlign w:val="bottom"/>
            <w:tcBorders>
              <w:bottom w:val="single" w:sz="8" w:color="231F20"/>
            </w:tcBorders>
          </w:tcPr>
          <w:p>
            <w:pPr>
              <w:spacing w:after="0"/>
              <w:rPr>
                <w:sz w:val="12"/>
                <w:szCs w:val="12"/>
                <w:color w:val="auto"/>
              </w:rPr>
            </w:pPr>
          </w:p>
        </w:tc>
        <w:tc>
          <w:tcPr>
            <w:tcW w:w="4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60" w:type="dxa"/>
            <w:vAlign w:val="bottom"/>
          </w:tcPr>
          <w:p>
            <w:pPr>
              <w:spacing w:after="0"/>
              <w:rPr>
                <w:sz w:val="12"/>
                <w:szCs w:val="12"/>
                <w:color w:val="auto"/>
              </w:rPr>
            </w:pPr>
          </w:p>
        </w:tc>
      </w:tr>
    </w:tbl>
    <w:p>
      <w:pPr>
        <w:spacing w:after="0" w:line="55" w:lineRule="exact"/>
        <w:rPr>
          <w:sz w:val="20"/>
          <w:szCs w:val="20"/>
          <w:color w:val="auto"/>
        </w:rPr>
      </w:pPr>
    </w:p>
    <w:p>
      <w:pPr>
        <w:jc w:val="both"/>
        <w:ind w:left="480" w:hanging="358"/>
        <w:spacing w:after="0" w:line="226" w:lineRule="auto"/>
        <w:tabs>
          <w:tab w:leader="none" w:pos="480" w:val="left"/>
        </w:tabs>
        <w:numPr>
          <w:ilvl w:val="0"/>
          <w:numId w:val="154"/>
        </w:numPr>
        <w:rPr>
          <w:rFonts w:ascii="Arial" w:cs="Arial" w:eastAsia="Arial" w:hAnsi="Arial"/>
          <w:sz w:val="23"/>
          <w:szCs w:val="23"/>
          <w:color w:val="231F20"/>
          <w:vertAlign w:val="superscript"/>
        </w:rPr>
      </w:pPr>
      <w:r>
        <w:rPr>
          <w:rFonts w:ascii="Arial" w:cs="Arial" w:eastAsia="Arial" w:hAnsi="Arial"/>
          <w:sz w:val="18"/>
          <w:szCs w:val="18"/>
          <w:color w:val="231F20"/>
        </w:rPr>
        <w:t>The percentage of outstanding shares is calculated by taking the number of shares stated in the Schedule 13G or 13G/A, as applicable, filed with the SEC divided by 82,944,318, the total number of shares outstanding on March 13, 2024.</w:t>
      </w:r>
    </w:p>
    <w:p>
      <w:pPr>
        <w:spacing w:after="0" w:line="21" w:lineRule="exact"/>
        <w:rPr>
          <w:rFonts w:ascii="Arial" w:cs="Arial" w:eastAsia="Arial" w:hAnsi="Arial"/>
          <w:sz w:val="23"/>
          <w:szCs w:val="23"/>
          <w:color w:val="231F20"/>
          <w:vertAlign w:val="superscript"/>
        </w:rPr>
      </w:pPr>
    </w:p>
    <w:p>
      <w:pPr>
        <w:jc w:val="both"/>
        <w:ind w:left="480" w:hanging="358"/>
        <w:spacing w:after="0" w:line="226" w:lineRule="auto"/>
        <w:tabs>
          <w:tab w:leader="none" w:pos="480" w:val="left"/>
        </w:tabs>
        <w:numPr>
          <w:ilvl w:val="0"/>
          <w:numId w:val="154"/>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a Schedule 13G/A filed with the SEC on February 13, 2024 by The Vanguard Group which states that The Vanguard Group, an investment advisor, has shared voting power over 145,649 shares, sole dispositive power over 12,144,222 shares and shared dispositive power over 393,136 shares.</w:t>
      </w:r>
    </w:p>
    <w:p>
      <w:pPr>
        <w:spacing w:after="0" w:line="21" w:lineRule="exact"/>
        <w:rPr>
          <w:rFonts w:ascii="Arial" w:cs="Arial" w:eastAsia="Arial" w:hAnsi="Arial"/>
          <w:sz w:val="23"/>
          <w:szCs w:val="23"/>
          <w:color w:val="231F20"/>
          <w:vertAlign w:val="superscript"/>
        </w:rPr>
      </w:pPr>
    </w:p>
    <w:p>
      <w:pPr>
        <w:jc w:val="both"/>
        <w:ind w:left="480" w:hanging="358"/>
        <w:spacing w:after="0" w:line="226" w:lineRule="auto"/>
        <w:tabs>
          <w:tab w:leader="none" w:pos="480" w:val="left"/>
        </w:tabs>
        <w:numPr>
          <w:ilvl w:val="0"/>
          <w:numId w:val="154"/>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a Schedule 13G/A filed with the SEC on January 24, 2024 by BlackRock, Inc., which states that BlackRock, Inc., a parent holding company, has sole voting power over 7,437,327 shares and sole dispositive power over 8,169,558 shares.</w:t>
      </w:r>
    </w:p>
    <w:p>
      <w:pPr>
        <w:spacing w:after="0" w:line="21" w:lineRule="exact"/>
        <w:rPr>
          <w:rFonts w:ascii="Arial" w:cs="Arial" w:eastAsia="Arial" w:hAnsi="Arial"/>
          <w:sz w:val="23"/>
          <w:szCs w:val="23"/>
          <w:color w:val="231F20"/>
          <w:vertAlign w:val="superscript"/>
        </w:rPr>
      </w:pPr>
    </w:p>
    <w:p>
      <w:pPr>
        <w:jc w:val="both"/>
        <w:ind w:left="480" w:hanging="358"/>
        <w:spacing w:after="0" w:line="226" w:lineRule="auto"/>
        <w:tabs>
          <w:tab w:leader="none" w:pos="480" w:val="left"/>
        </w:tabs>
        <w:numPr>
          <w:ilvl w:val="0"/>
          <w:numId w:val="154"/>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a Schedule 13G/A filed with the SEC on February 13, 2024 by Norges Bank (The Central Bank of Norway) which states that Norges Bank (The Central Bank of Norway) has sole voting power and sole dispositive power over 7,213,760 shares.</w:t>
      </w:r>
    </w:p>
    <w:p>
      <w:pPr>
        <w:spacing w:after="0" w:line="21" w:lineRule="exact"/>
        <w:rPr>
          <w:rFonts w:ascii="Arial" w:cs="Arial" w:eastAsia="Arial" w:hAnsi="Arial"/>
          <w:sz w:val="23"/>
          <w:szCs w:val="23"/>
          <w:color w:val="231F20"/>
          <w:vertAlign w:val="superscript"/>
        </w:rPr>
      </w:pPr>
    </w:p>
    <w:p>
      <w:pPr>
        <w:jc w:val="both"/>
        <w:ind w:left="480" w:hanging="358"/>
        <w:spacing w:after="0" w:line="226" w:lineRule="auto"/>
        <w:tabs>
          <w:tab w:leader="none" w:pos="480" w:val="left"/>
        </w:tabs>
        <w:numPr>
          <w:ilvl w:val="0"/>
          <w:numId w:val="154"/>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a Schedule 13G/A filed with the SEC on January 29, 2024 by State Street Corporation, which states that State Street Corporation, a parent holding company, has shared voting power over 4,901,817 shares and shared dispositive power over 6,867,903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772160</wp:posOffset>
                </wp:positionV>
                <wp:extent cx="6400800" cy="17780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498" o:spid="_x0000_s1523" style="position:absolute;margin-left:0pt;margin-top:60.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772160</wp:posOffset>
                </wp:positionV>
                <wp:extent cx="0" cy="17780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60.8pt" to="0.5pt,74.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778510</wp:posOffset>
                </wp:positionV>
                <wp:extent cx="6400800"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3pt" to="504pt,61.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772160</wp:posOffset>
                </wp:positionV>
                <wp:extent cx="0" cy="17780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60.8pt" to="503.5pt,74.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943610</wp:posOffset>
                </wp:positionV>
                <wp:extent cx="640080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3pt" to="504pt,74.3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42</w:t>
      </w:r>
    </w:p>
    <w:p>
      <w:pPr>
        <w:sectPr>
          <w:pgSz w:w="12240" w:h="15840" w:orient="portrait"/>
          <w:cols w:equalWidth="0" w:num="1">
            <w:col w:w="10080"/>
          </w:cols>
          <w:pgMar w:left="1080" w:top="1440" w:right="1080" w:bottom="944" w:gutter="0" w:footer="0" w:header="0"/>
          <w:type w:val="continuous"/>
        </w:sectPr>
      </w:pPr>
    </w:p>
    <w:bookmarkStart w:id="162" w:name="page163"/>
    <w:bookmarkEnd w:id="162"/>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OWNERSHIP OF TRUSTEES AND EXECUTIVE OFFICERS</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table below reflects beneficial ownership of our Trustees and NEOs as of March 13, 2024 determined in accordance with Rule 13d-3 of the Securities Exchange Act of 1934, as amended. Unless noted in the footnotes following the table, each Trustee and NEO has sole voting and investment power as to all shares listed.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shd w:val="clear" w:color="auto" w:fill="EF3E2A"/>
          </w:tcPr>
          <w:p>
            <w:pPr>
              <w:spacing w:after="0"/>
              <w:rPr>
                <w:sz w:val="19"/>
                <w:szCs w:val="19"/>
                <w:color w:val="auto"/>
              </w:rPr>
            </w:pPr>
          </w:p>
        </w:tc>
        <w:tc>
          <w:tcPr>
            <w:tcW w:w="980" w:type="dxa"/>
            <w:vAlign w:val="bottom"/>
            <w:shd w:val="clear" w:color="auto" w:fill="EF3E2A"/>
          </w:tcPr>
          <w:p>
            <w:pPr>
              <w:spacing w:after="0"/>
              <w:rPr>
                <w:sz w:val="19"/>
                <w:szCs w:val="19"/>
                <w:color w:val="auto"/>
              </w:rPr>
            </w:pPr>
          </w:p>
        </w:tc>
        <w:tc>
          <w:tcPr>
            <w:tcW w:w="1080" w:type="dxa"/>
            <w:vAlign w:val="bottom"/>
            <w:shd w:val="clear" w:color="auto" w:fill="EF3E2A"/>
          </w:tcPr>
          <w:p>
            <w:pPr>
              <w:spacing w:after="0"/>
              <w:rPr>
                <w:sz w:val="19"/>
                <w:szCs w:val="19"/>
                <w:color w:val="auto"/>
              </w:rPr>
            </w:pPr>
          </w:p>
        </w:tc>
        <w:tc>
          <w:tcPr>
            <w:tcW w:w="1320" w:type="dxa"/>
            <w:vAlign w:val="bottom"/>
            <w:shd w:val="clear" w:color="auto" w:fill="EF3E2A"/>
          </w:tcPr>
          <w:p>
            <w:pPr>
              <w:spacing w:after="0"/>
              <w:rPr>
                <w:sz w:val="19"/>
                <w:szCs w:val="19"/>
                <w:color w:val="auto"/>
              </w:rPr>
            </w:pPr>
          </w:p>
        </w:tc>
        <w:tc>
          <w:tcPr>
            <w:tcW w:w="142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w w:val="96"/>
              </w:rPr>
              <w:t>Percentage of</w:t>
            </w:r>
          </w:p>
        </w:tc>
        <w:tc>
          <w:tcPr>
            <w:tcW w:w="0" w:type="dxa"/>
            <w:vAlign w:val="bottom"/>
          </w:tcPr>
          <w:p>
            <w:pPr>
              <w:spacing w:after="0"/>
              <w:rPr>
                <w:sz w:val="1"/>
                <w:szCs w:val="1"/>
                <w:color w:val="auto"/>
              </w:rPr>
            </w:pPr>
          </w:p>
        </w:tc>
      </w:tr>
      <w:tr>
        <w:trPr>
          <w:trHeight w:val="195"/>
        </w:trPr>
        <w:tc>
          <w:tcPr>
            <w:tcW w:w="5280" w:type="dxa"/>
            <w:vAlign w:val="bottom"/>
            <w:shd w:val="clear" w:color="auto" w:fill="EF3E2A"/>
          </w:tcPr>
          <w:p>
            <w:pPr>
              <w:spacing w:after="0"/>
              <w:rPr>
                <w:sz w:val="16"/>
                <w:szCs w:val="16"/>
                <w:color w:val="auto"/>
              </w:rPr>
            </w:pPr>
          </w:p>
        </w:tc>
        <w:tc>
          <w:tcPr>
            <w:tcW w:w="980" w:type="dxa"/>
            <w:vAlign w:val="bottom"/>
            <w:shd w:val="clear" w:color="auto" w:fill="EF3E2A"/>
          </w:tcPr>
          <w:p>
            <w:pPr>
              <w:spacing w:after="0"/>
              <w:rPr>
                <w:sz w:val="16"/>
                <w:szCs w:val="16"/>
                <w:color w:val="auto"/>
              </w:rPr>
            </w:pPr>
          </w:p>
        </w:tc>
        <w:tc>
          <w:tcPr>
            <w:tcW w:w="108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Unvested</w:t>
            </w:r>
          </w:p>
        </w:tc>
        <w:tc>
          <w:tcPr>
            <w:tcW w:w="132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Total Shares</w:t>
            </w:r>
          </w:p>
        </w:tc>
        <w:tc>
          <w:tcPr>
            <w:tcW w:w="1420" w:type="dxa"/>
            <w:vAlign w:val="bottom"/>
            <w:shd w:val="clear" w:color="auto" w:fill="EF3E2A"/>
          </w:tcPr>
          <w:p>
            <w:pPr>
              <w:jc w:val="center"/>
              <w:spacing w:after="0" w:line="195" w:lineRule="exact"/>
              <w:rPr>
                <w:sz w:val="20"/>
                <w:szCs w:val="20"/>
                <w:color w:val="auto"/>
              </w:rPr>
            </w:pPr>
            <w:r>
              <w:rPr>
                <w:rFonts w:ascii="Arial" w:cs="Arial" w:eastAsia="Arial" w:hAnsi="Arial"/>
                <w:sz w:val="20"/>
                <w:szCs w:val="20"/>
                <w:b w:val="1"/>
                <w:bCs w:val="1"/>
                <w:color w:val="FFFFFF"/>
                <w:w w:val="98"/>
              </w:rPr>
              <w:t>Outstanding</w:t>
            </w:r>
          </w:p>
        </w:tc>
        <w:tc>
          <w:tcPr>
            <w:tcW w:w="0" w:type="dxa"/>
            <w:vAlign w:val="bottom"/>
          </w:tcPr>
          <w:p>
            <w:pPr>
              <w:spacing w:after="0"/>
              <w:rPr>
                <w:sz w:val="1"/>
                <w:szCs w:val="1"/>
                <w:color w:val="auto"/>
              </w:rPr>
            </w:pPr>
          </w:p>
        </w:tc>
      </w:tr>
      <w:tr>
        <w:trPr>
          <w:trHeight w:val="195"/>
        </w:trPr>
        <w:tc>
          <w:tcPr>
            <w:tcW w:w="5280" w:type="dxa"/>
            <w:vAlign w:val="bottom"/>
            <w:shd w:val="clear" w:color="auto" w:fill="EF3E2A"/>
          </w:tcPr>
          <w:p>
            <w:pPr>
              <w:spacing w:after="0"/>
              <w:rPr>
                <w:sz w:val="16"/>
                <w:szCs w:val="16"/>
                <w:color w:val="auto"/>
              </w:rPr>
            </w:pPr>
          </w:p>
        </w:tc>
        <w:tc>
          <w:tcPr>
            <w:tcW w:w="980" w:type="dxa"/>
            <w:vAlign w:val="bottom"/>
            <w:shd w:val="clear" w:color="auto" w:fill="EF3E2A"/>
          </w:tcPr>
          <w:p>
            <w:pPr>
              <w:spacing w:after="0"/>
              <w:rPr>
                <w:sz w:val="16"/>
                <w:szCs w:val="16"/>
                <w:color w:val="auto"/>
              </w:rPr>
            </w:pPr>
          </w:p>
        </w:tc>
        <w:tc>
          <w:tcPr>
            <w:tcW w:w="108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Restricted</w:t>
            </w:r>
          </w:p>
        </w:tc>
        <w:tc>
          <w:tcPr>
            <w:tcW w:w="132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Beneficially</w:t>
            </w:r>
          </w:p>
        </w:tc>
        <w:tc>
          <w:tcPr>
            <w:tcW w:w="1420" w:type="dxa"/>
            <w:vAlign w:val="bottom"/>
            <w:shd w:val="clear" w:color="auto" w:fill="EF3E2A"/>
          </w:tcPr>
          <w:p>
            <w:pPr>
              <w:jc w:val="center"/>
              <w:spacing w:after="0" w:line="195" w:lineRule="exact"/>
              <w:rPr>
                <w:sz w:val="20"/>
                <w:szCs w:val="20"/>
                <w:color w:val="auto"/>
              </w:rPr>
            </w:pPr>
            <w:r>
              <w:rPr>
                <w:rFonts w:ascii="Arial" w:cs="Arial" w:eastAsia="Arial" w:hAnsi="Arial"/>
                <w:sz w:val="20"/>
                <w:szCs w:val="20"/>
                <w:b w:val="1"/>
                <w:bCs w:val="1"/>
                <w:color w:val="FFFFFF"/>
                <w:w w:val="95"/>
              </w:rPr>
              <w:t>Shares</w:t>
            </w:r>
          </w:p>
        </w:tc>
        <w:tc>
          <w:tcPr>
            <w:tcW w:w="0" w:type="dxa"/>
            <w:vAlign w:val="bottom"/>
          </w:tcPr>
          <w:p>
            <w:pPr>
              <w:spacing w:after="0"/>
              <w:rPr>
                <w:sz w:val="1"/>
                <w:szCs w:val="1"/>
                <w:color w:val="auto"/>
              </w:rPr>
            </w:pPr>
          </w:p>
        </w:tc>
      </w:tr>
      <w:tr>
        <w:trPr>
          <w:trHeight w:val="242"/>
        </w:trPr>
        <w:tc>
          <w:tcPr>
            <w:tcW w:w="5280" w:type="dxa"/>
            <w:vAlign w:val="bottom"/>
            <w:shd w:val="clear" w:color="auto" w:fill="EF3E2A"/>
          </w:tcPr>
          <w:p>
            <w:pPr>
              <w:ind w:left="60"/>
              <w:spacing w:after="0" w:line="242" w:lineRule="exact"/>
              <w:rPr>
                <w:sz w:val="20"/>
                <w:szCs w:val="20"/>
                <w:color w:val="auto"/>
              </w:rPr>
            </w:pPr>
            <w:r>
              <w:rPr>
                <w:rFonts w:ascii="Arial" w:cs="Arial" w:eastAsia="Arial" w:hAnsi="Arial"/>
                <w:sz w:val="20"/>
                <w:szCs w:val="20"/>
                <w:b w:val="1"/>
                <w:bCs w:val="1"/>
                <w:color w:val="FFFFFF"/>
              </w:rPr>
              <w:t>Name and Address of Beneficial Owner</w:t>
            </w:r>
            <w:r>
              <w:rPr>
                <w:rFonts w:ascii="Arial" w:cs="Arial" w:eastAsia="Arial" w:hAnsi="Arial"/>
                <w:sz w:val="25"/>
                <w:szCs w:val="25"/>
                <w:b w:val="1"/>
                <w:bCs w:val="1"/>
                <w:color w:val="FFFFFF"/>
                <w:vertAlign w:val="superscript"/>
              </w:rPr>
              <w:t>(1)</w:t>
            </w:r>
          </w:p>
        </w:tc>
        <w:tc>
          <w:tcPr>
            <w:tcW w:w="980" w:type="dxa"/>
            <w:vAlign w:val="bottom"/>
            <w:shd w:val="clear" w:color="auto" w:fill="EF3E2A"/>
          </w:tcPr>
          <w:p>
            <w:pPr>
              <w:jc w:val="right"/>
              <w:spacing w:after="0" w:line="222" w:lineRule="exact"/>
              <w:rPr>
                <w:sz w:val="20"/>
                <w:szCs w:val="20"/>
                <w:color w:val="auto"/>
              </w:rPr>
            </w:pPr>
            <w:r>
              <w:rPr>
                <w:rFonts w:ascii="Arial" w:cs="Arial" w:eastAsia="Arial" w:hAnsi="Arial"/>
                <w:sz w:val="20"/>
                <w:szCs w:val="20"/>
                <w:b w:val="1"/>
                <w:bCs w:val="1"/>
                <w:color w:val="FFFFFF"/>
              </w:rPr>
              <w:t>Common</w:t>
            </w:r>
          </w:p>
        </w:tc>
        <w:tc>
          <w:tcPr>
            <w:tcW w:w="1080" w:type="dxa"/>
            <w:vAlign w:val="bottom"/>
            <w:shd w:val="clear" w:color="auto" w:fill="EF3E2A"/>
          </w:tcPr>
          <w:p>
            <w:pPr>
              <w:jc w:val="right"/>
              <w:spacing w:after="0" w:line="222" w:lineRule="exact"/>
              <w:rPr>
                <w:sz w:val="20"/>
                <w:szCs w:val="20"/>
                <w:color w:val="auto"/>
              </w:rPr>
            </w:pPr>
            <w:r>
              <w:rPr>
                <w:rFonts w:ascii="Arial" w:cs="Arial" w:eastAsia="Arial" w:hAnsi="Arial"/>
                <w:sz w:val="20"/>
                <w:szCs w:val="20"/>
                <w:b w:val="1"/>
                <w:bCs w:val="1"/>
                <w:color w:val="FFFFFF"/>
              </w:rPr>
              <w:t>Shares</w:t>
            </w:r>
          </w:p>
        </w:tc>
        <w:tc>
          <w:tcPr>
            <w:tcW w:w="1320" w:type="dxa"/>
            <w:vAlign w:val="bottom"/>
            <w:shd w:val="clear" w:color="auto" w:fill="EF3E2A"/>
          </w:tcPr>
          <w:p>
            <w:pPr>
              <w:jc w:val="right"/>
              <w:spacing w:after="0" w:line="222" w:lineRule="exact"/>
              <w:rPr>
                <w:sz w:val="20"/>
                <w:szCs w:val="20"/>
                <w:color w:val="auto"/>
              </w:rPr>
            </w:pPr>
            <w:r>
              <w:rPr>
                <w:rFonts w:ascii="Arial" w:cs="Arial" w:eastAsia="Arial" w:hAnsi="Arial"/>
                <w:sz w:val="20"/>
                <w:szCs w:val="20"/>
                <w:b w:val="1"/>
                <w:bCs w:val="1"/>
                <w:color w:val="FFFFFF"/>
              </w:rPr>
              <w:t>Owned</w:t>
            </w:r>
          </w:p>
        </w:tc>
        <w:tc>
          <w:tcPr>
            <w:tcW w:w="1420" w:type="dxa"/>
            <w:vAlign w:val="bottom"/>
            <w:shd w:val="clear" w:color="auto" w:fill="EF3E2A"/>
          </w:tcPr>
          <w:p>
            <w:pPr>
              <w:jc w:val="center"/>
              <w:spacing w:after="0" w:line="242" w:lineRule="exact"/>
              <w:rPr>
                <w:sz w:val="20"/>
                <w:szCs w:val="20"/>
                <w:color w:val="auto"/>
              </w:rPr>
            </w:pPr>
            <w:r>
              <w:rPr>
                <w:rFonts w:ascii="Arial" w:cs="Arial" w:eastAsia="Arial" w:hAnsi="Arial"/>
                <w:sz w:val="20"/>
                <w:szCs w:val="20"/>
                <w:b w:val="1"/>
                <w:bCs w:val="1"/>
                <w:color w:val="FFFFFF"/>
                <w:w w:val="91"/>
              </w:rPr>
              <w:t>Owned</w:t>
            </w:r>
            <w:r>
              <w:rPr>
                <w:rFonts w:ascii="Arial" w:cs="Arial" w:eastAsia="Arial" w:hAnsi="Arial"/>
                <w:sz w:val="25"/>
                <w:szCs w:val="25"/>
                <w:b w:val="1"/>
                <w:bCs w:val="1"/>
                <w:color w:val="FFFFFF"/>
                <w:w w:val="91"/>
                <w:vertAlign w:val="superscript"/>
              </w:rPr>
              <w:t>(2)</w:t>
            </w:r>
          </w:p>
        </w:tc>
        <w:tc>
          <w:tcPr>
            <w:tcW w:w="0" w:type="dxa"/>
            <w:vAlign w:val="bottom"/>
          </w:tcPr>
          <w:p>
            <w:pPr>
              <w:spacing w:after="0"/>
              <w:rPr>
                <w:sz w:val="1"/>
                <w:szCs w:val="1"/>
                <w:color w:val="auto"/>
              </w:rPr>
            </w:pPr>
          </w:p>
        </w:tc>
      </w:tr>
      <w:tr>
        <w:trPr>
          <w:trHeight w:val="275"/>
        </w:trPr>
        <w:tc>
          <w:tcPr>
            <w:tcW w:w="5280" w:type="dxa"/>
            <w:vAlign w:val="bottom"/>
          </w:tcPr>
          <w:p>
            <w:pPr>
              <w:ind w:left="60"/>
              <w:spacing w:after="0"/>
              <w:rPr>
                <w:sz w:val="20"/>
                <w:szCs w:val="20"/>
                <w:color w:val="auto"/>
              </w:rPr>
            </w:pPr>
            <w:r>
              <w:rPr>
                <w:rFonts w:ascii="Arial" w:cs="Arial" w:eastAsia="Arial" w:hAnsi="Arial"/>
                <w:sz w:val="20"/>
                <w:szCs w:val="20"/>
                <w:color w:val="231F20"/>
              </w:rPr>
              <w:t>Dawn M. Becker</w:t>
            </w:r>
          </w:p>
        </w:tc>
        <w:tc>
          <w:tcPr>
            <w:tcW w:w="980" w:type="dxa"/>
            <w:vAlign w:val="bottom"/>
          </w:tcPr>
          <w:p>
            <w:pPr>
              <w:jc w:val="right"/>
              <w:spacing w:after="0"/>
              <w:rPr>
                <w:sz w:val="20"/>
                <w:szCs w:val="20"/>
                <w:color w:val="auto"/>
              </w:rPr>
            </w:pPr>
            <w:r>
              <w:rPr>
                <w:rFonts w:ascii="Arial" w:cs="Arial" w:eastAsia="Arial" w:hAnsi="Arial"/>
                <w:sz w:val="20"/>
                <w:szCs w:val="20"/>
                <w:color w:val="231F20"/>
              </w:rPr>
              <w:t>150,718</w:t>
            </w:r>
          </w:p>
        </w:tc>
        <w:tc>
          <w:tcPr>
            <w:tcW w:w="1080" w:type="dxa"/>
            <w:vAlign w:val="bottom"/>
          </w:tcPr>
          <w:p>
            <w:pPr>
              <w:jc w:val="right"/>
              <w:spacing w:after="0"/>
              <w:rPr>
                <w:sz w:val="20"/>
                <w:szCs w:val="20"/>
                <w:color w:val="auto"/>
              </w:rPr>
            </w:pPr>
            <w:r>
              <w:rPr>
                <w:rFonts w:ascii="Arial" w:cs="Arial" w:eastAsia="Arial" w:hAnsi="Arial"/>
                <w:sz w:val="20"/>
                <w:szCs w:val="20"/>
                <w:color w:val="231F20"/>
              </w:rPr>
              <w:t>21,807</w:t>
            </w:r>
          </w:p>
        </w:tc>
        <w:tc>
          <w:tcPr>
            <w:tcW w:w="1320" w:type="dxa"/>
            <w:vAlign w:val="bottom"/>
          </w:tcPr>
          <w:p>
            <w:pPr>
              <w:jc w:val="right"/>
              <w:spacing w:after="0"/>
              <w:rPr>
                <w:sz w:val="20"/>
                <w:szCs w:val="20"/>
                <w:color w:val="auto"/>
              </w:rPr>
            </w:pPr>
            <w:r>
              <w:rPr>
                <w:rFonts w:ascii="Arial" w:cs="Arial" w:eastAsia="Arial" w:hAnsi="Arial"/>
                <w:sz w:val="20"/>
                <w:szCs w:val="20"/>
                <w:color w:val="231F20"/>
              </w:rPr>
              <w:t>172,525</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Jeffrey S. Berkes</w:t>
            </w:r>
          </w:p>
        </w:tc>
        <w:tc>
          <w:tcPr>
            <w:tcW w:w="980" w:type="dxa"/>
            <w:vAlign w:val="bottom"/>
          </w:tcPr>
          <w:p>
            <w:pPr>
              <w:jc w:val="right"/>
              <w:spacing w:after="0"/>
              <w:rPr>
                <w:sz w:val="20"/>
                <w:szCs w:val="20"/>
                <w:color w:val="auto"/>
              </w:rPr>
            </w:pPr>
            <w:r>
              <w:rPr>
                <w:rFonts w:ascii="Arial" w:cs="Arial" w:eastAsia="Arial" w:hAnsi="Arial"/>
                <w:sz w:val="20"/>
                <w:szCs w:val="20"/>
                <w:color w:val="231F20"/>
              </w:rPr>
              <w:t>43,130</w:t>
            </w:r>
          </w:p>
        </w:tc>
        <w:tc>
          <w:tcPr>
            <w:tcW w:w="1080" w:type="dxa"/>
            <w:vAlign w:val="bottom"/>
          </w:tcPr>
          <w:p>
            <w:pPr>
              <w:jc w:val="right"/>
              <w:spacing w:after="0"/>
              <w:rPr>
                <w:sz w:val="20"/>
                <w:szCs w:val="20"/>
                <w:color w:val="auto"/>
              </w:rPr>
            </w:pPr>
            <w:r>
              <w:rPr>
                <w:rFonts w:ascii="Arial" w:cs="Arial" w:eastAsia="Arial" w:hAnsi="Arial"/>
                <w:sz w:val="20"/>
                <w:szCs w:val="20"/>
                <w:color w:val="231F20"/>
              </w:rPr>
              <w:t>28,291</w:t>
            </w:r>
          </w:p>
        </w:tc>
        <w:tc>
          <w:tcPr>
            <w:tcW w:w="1320" w:type="dxa"/>
            <w:vAlign w:val="bottom"/>
          </w:tcPr>
          <w:p>
            <w:pPr>
              <w:jc w:val="right"/>
              <w:spacing w:after="0"/>
              <w:rPr>
                <w:sz w:val="20"/>
                <w:szCs w:val="20"/>
                <w:color w:val="auto"/>
              </w:rPr>
            </w:pPr>
            <w:r>
              <w:rPr>
                <w:rFonts w:ascii="Arial" w:cs="Arial" w:eastAsia="Arial" w:hAnsi="Arial"/>
                <w:sz w:val="20"/>
                <w:szCs w:val="20"/>
                <w:color w:val="231F20"/>
              </w:rPr>
              <w:t>71,421</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David W. Faeder</w:t>
            </w:r>
          </w:p>
        </w:tc>
        <w:tc>
          <w:tcPr>
            <w:tcW w:w="980" w:type="dxa"/>
            <w:vAlign w:val="bottom"/>
          </w:tcPr>
          <w:p>
            <w:pPr>
              <w:jc w:val="right"/>
              <w:spacing w:after="0"/>
              <w:rPr>
                <w:sz w:val="20"/>
                <w:szCs w:val="20"/>
                <w:color w:val="auto"/>
              </w:rPr>
            </w:pPr>
            <w:r>
              <w:rPr>
                <w:rFonts w:ascii="Arial" w:cs="Arial" w:eastAsia="Arial" w:hAnsi="Arial"/>
                <w:sz w:val="20"/>
                <w:szCs w:val="20"/>
                <w:color w:val="231F20"/>
              </w:rPr>
              <w:t>25,642</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25,642</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Daniel Guglielmone</w:t>
            </w:r>
          </w:p>
        </w:tc>
        <w:tc>
          <w:tcPr>
            <w:tcW w:w="980" w:type="dxa"/>
            <w:vAlign w:val="bottom"/>
          </w:tcPr>
          <w:p>
            <w:pPr>
              <w:jc w:val="right"/>
              <w:spacing w:after="0"/>
              <w:rPr>
                <w:sz w:val="20"/>
                <w:szCs w:val="20"/>
                <w:color w:val="auto"/>
              </w:rPr>
            </w:pPr>
            <w:r>
              <w:rPr>
                <w:rFonts w:ascii="Arial" w:cs="Arial" w:eastAsia="Arial" w:hAnsi="Arial"/>
                <w:sz w:val="20"/>
                <w:szCs w:val="20"/>
                <w:color w:val="231F20"/>
              </w:rPr>
              <w:t>32,102</w:t>
            </w:r>
          </w:p>
        </w:tc>
        <w:tc>
          <w:tcPr>
            <w:tcW w:w="1080" w:type="dxa"/>
            <w:vAlign w:val="bottom"/>
          </w:tcPr>
          <w:p>
            <w:pPr>
              <w:jc w:val="right"/>
              <w:spacing w:after="0"/>
              <w:rPr>
                <w:sz w:val="20"/>
                <w:szCs w:val="20"/>
                <w:color w:val="auto"/>
              </w:rPr>
            </w:pPr>
            <w:r>
              <w:rPr>
                <w:rFonts w:ascii="Arial" w:cs="Arial" w:eastAsia="Arial" w:hAnsi="Arial"/>
                <w:sz w:val="20"/>
                <w:szCs w:val="20"/>
                <w:color w:val="231F20"/>
              </w:rPr>
              <w:t>23,952</w:t>
            </w:r>
          </w:p>
        </w:tc>
        <w:tc>
          <w:tcPr>
            <w:tcW w:w="1320" w:type="dxa"/>
            <w:vAlign w:val="bottom"/>
          </w:tcPr>
          <w:p>
            <w:pPr>
              <w:jc w:val="right"/>
              <w:spacing w:after="0"/>
              <w:rPr>
                <w:sz w:val="20"/>
                <w:szCs w:val="20"/>
                <w:color w:val="auto"/>
              </w:rPr>
            </w:pPr>
            <w:r>
              <w:rPr>
                <w:rFonts w:ascii="Arial" w:cs="Arial" w:eastAsia="Arial" w:hAnsi="Arial"/>
                <w:sz w:val="20"/>
                <w:szCs w:val="20"/>
                <w:color w:val="231F20"/>
              </w:rPr>
              <w:t>56,054</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Elizabeth I. Holland</w:t>
            </w:r>
          </w:p>
        </w:tc>
        <w:tc>
          <w:tcPr>
            <w:tcW w:w="980" w:type="dxa"/>
            <w:vAlign w:val="bottom"/>
          </w:tcPr>
          <w:p>
            <w:pPr>
              <w:jc w:val="right"/>
              <w:spacing w:after="0"/>
              <w:rPr>
                <w:sz w:val="20"/>
                <w:szCs w:val="20"/>
                <w:color w:val="auto"/>
              </w:rPr>
            </w:pPr>
            <w:r>
              <w:rPr>
                <w:rFonts w:ascii="Arial" w:cs="Arial" w:eastAsia="Arial" w:hAnsi="Arial"/>
                <w:sz w:val="20"/>
                <w:szCs w:val="20"/>
                <w:color w:val="231F20"/>
              </w:rPr>
              <w:t>7,538</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7,538</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Nicole Y. Lamb-Hale</w:t>
            </w:r>
          </w:p>
        </w:tc>
        <w:tc>
          <w:tcPr>
            <w:tcW w:w="980" w:type="dxa"/>
            <w:vAlign w:val="bottom"/>
          </w:tcPr>
          <w:p>
            <w:pPr>
              <w:jc w:val="right"/>
              <w:spacing w:after="0"/>
              <w:rPr>
                <w:sz w:val="20"/>
                <w:szCs w:val="20"/>
                <w:color w:val="auto"/>
              </w:rPr>
            </w:pPr>
            <w:r>
              <w:rPr>
                <w:rFonts w:ascii="Arial" w:cs="Arial" w:eastAsia="Arial" w:hAnsi="Arial"/>
                <w:sz w:val="20"/>
                <w:szCs w:val="20"/>
                <w:color w:val="231F20"/>
              </w:rPr>
              <w:t>3,702</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3,702</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Thomas A. McEachin</w:t>
            </w:r>
          </w:p>
        </w:tc>
        <w:tc>
          <w:tcPr>
            <w:tcW w:w="980" w:type="dxa"/>
            <w:vAlign w:val="bottom"/>
          </w:tcPr>
          <w:p>
            <w:pPr>
              <w:jc w:val="right"/>
              <w:spacing w:after="0"/>
              <w:rPr>
                <w:sz w:val="20"/>
                <w:szCs w:val="20"/>
                <w:color w:val="auto"/>
              </w:rPr>
            </w:pPr>
            <w:r>
              <w:rPr>
                <w:rFonts w:ascii="Arial" w:cs="Arial" w:eastAsia="Arial" w:hAnsi="Arial"/>
                <w:sz w:val="20"/>
                <w:szCs w:val="20"/>
                <w:color w:val="231F20"/>
              </w:rPr>
              <w:t>1,463</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1,463</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Anthony P. Nader, III</w:t>
            </w:r>
          </w:p>
        </w:tc>
        <w:tc>
          <w:tcPr>
            <w:tcW w:w="980" w:type="dxa"/>
            <w:vAlign w:val="bottom"/>
          </w:tcPr>
          <w:p>
            <w:pPr>
              <w:jc w:val="right"/>
              <w:spacing w:after="0"/>
              <w:rPr>
                <w:sz w:val="20"/>
                <w:szCs w:val="20"/>
                <w:color w:val="auto"/>
              </w:rPr>
            </w:pPr>
            <w:r>
              <w:rPr>
                <w:rFonts w:ascii="Arial" w:cs="Arial" w:eastAsia="Arial" w:hAnsi="Arial"/>
                <w:sz w:val="20"/>
                <w:szCs w:val="20"/>
                <w:color w:val="231F20"/>
              </w:rPr>
              <w:t>3,702</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3,702</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Gail P. Steinel</w:t>
            </w:r>
          </w:p>
        </w:tc>
        <w:tc>
          <w:tcPr>
            <w:tcW w:w="980" w:type="dxa"/>
            <w:vAlign w:val="bottom"/>
          </w:tcPr>
          <w:p>
            <w:pPr>
              <w:jc w:val="right"/>
              <w:spacing w:after="0"/>
              <w:rPr>
                <w:sz w:val="20"/>
                <w:szCs w:val="20"/>
                <w:color w:val="auto"/>
              </w:rPr>
            </w:pPr>
            <w:r>
              <w:rPr>
                <w:rFonts w:ascii="Arial" w:cs="Arial" w:eastAsia="Arial" w:hAnsi="Arial"/>
                <w:sz w:val="20"/>
                <w:szCs w:val="20"/>
                <w:color w:val="231F20"/>
              </w:rPr>
              <w:t>15,606</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15,606</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313"/>
        </w:trPr>
        <w:tc>
          <w:tcPr>
            <w:tcW w:w="5280" w:type="dxa"/>
            <w:vAlign w:val="bottom"/>
          </w:tcPr>
          <w:p>
            <w:pPr>
              <w:ind w:left="60"/>
              <w:spacing w:after="0"/>
              <w:rPr>
                <w:sz w:val="20"/>
                <w:szCs w:val="20"/>
                <w:color w:val="auto"/>
              </w:rPr>
            </w:pPr>
            <w:r>
              <w:rPr>
                <w:rFonts w:ascii="Arial" w:cs="Arial" w:eastAsia="Arial" w:hAnsi="Arial"/>
                <w:sz w:val="20"/>
                <w:szCs w:val="20"/>
                <w:color w:val="231F20"/>
              </w:rPr>
              <w:t>Donald C. Wood</w:t>
            </w:r>
            <w:r>
              <w:rPr>
                <w:rFonts w:ascii="Arial" w:cs="Arial" w:eastAsia="Arial" w:hAnsi="Arial"/>
                <w:sz w:val="25"/>
                <w:szCs w:val="25"/>
                <w:color w:val="231F20"/>
                <w:vertAlign w:val="superscript"/>
              </w:rPr>
              <w:t>(3)</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416,713</w:t>
            </w: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124,780</w:t>
            </w: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541,493</w:t>
            </w:r>
          </w:p>
        </w:tc>
        <w:tc>
          <w:tcPr>
            <w:tcW w:w="1420" w:type="dxa"/>
            <w:vAlign w:val="bottom"/>
            <w:tcBorders>
              <w:bottom w:val="single" w:sz="8" w:color="231F20"/>
            </w:tcBorders>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7"/>
        </w:trPr>
        <w:tc>
          <w:tcPr>
            <w:tcW w:w="5280" w:type="dxa"/>
            <w:vAlign w:val="bottom"/>
          </w:tcPr>
          <w:p>
            <w:pPr>
              <w:ind w:left="60"/>
              <w:spacing w:after="0"/>
              <w:rPr>
                <w:sz w:val="20"/>
                <w:szCs w:val="20"/>
                <w:color w:val="auto"/>
              </w:rPr>
            </w:pPr>
            <w:r>
              <w:rPr>
                <w:rFonts w:ascii="Arial" w:cs="Arial" w:eastAsia="Arial" w:hAnsi="Arial"/>
                <w:sz w:val="20"/>
                <w:szCs w:val="20"/>
                <w:color w:val="231F20"/>
              </w:rPr>
              <w:t>Trustees, trustee nominees and executive officers as a</w:t>
            </w: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231F20"/>
              </w:rPr>
              <w:t>700,316</w:t>
            </w: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231F20"/>
              </w:rPr>
              <w:t>198,830</w:t>
            </w:r>
          </w:p>
        </w:tc>
        <w:tc>
          <w:tcPr>
            <w:tcW w:w="1320" w:type="dxa"/>
            <w:vAlign w:val="bottom"/>
            <w:vMerge w:val="restart"/>
          </w:tcPr>
          <w:p>
            <w:pPr>
              <w:jc w:val="right"/>
              <w:spacing w:after="0"/>
              <w:rPr>
                <w:sz w:val="20"/>
                <w:szCs w:val="20"/>
                <w:color w:val="auto"/>
              </w:rPr>
            </w:pPr>
            <w:r>
              <w:rPr>
                <w:rFonts w:ascii="Arial" w:cs="Arial" w:eastAsia="Arial" w:hAnsi="Arial"/>
                <w:sz w:val="20"/>
                <w:szCs w:val="20"/>
                <w:b w:val="1"/>
                <w:bCs w:val="1"/>
                <w:color w:val="231F20"/>
              </w:rPr>
              <w:t>899,146</w:t>
            </w:r>
          </w:p>
        </w:tc>
        <w:tc>
          <w:tcPr>
            <w:tcW w:w="1420" w:type="dxa"/>
            <w:vAlign w:val="bottom"/>
            <w:vMerge w:val="restart"/>
          </w:tcPr>
          <w:p>
            <w:pPr>
              <w:jc w:val="right"/>
              <w:ind w:right="303"/>
              <w:spacing w:after="0"/>
              <w:rPr>
                <w:sz w:val="20"/>
                <w:szCs w:val="20"/>
                <w:color w:val="auto"/>
              </w:rPr>
            </w:pPr>
            <w:r>
              <w:rPr>
                <w:rFonts w:ascii="Arial" w:cs="Arial" w:eastAsia="Arial" w:hAnsi="Arial"/>
                <w:sz w:val="20"/>
                <w:szCs w:val="20"/>
                <w:b w:val="1"/>
                <w:bCs w:val="1"/>
                <w:color w:val="231F20"/>
              </w:rPr>
              <w:t>1.1%</w:t>
            </w:r>
          </w:p>
        </w:tc>
        <w:tc>
          <w:tcPr>
            <w:tcW w:w="0" w:type="dxa"/>
            <w:vAlign w:val="bottom"/>
          </w:tcPr>
          <w:p>
            <w:pPr>
              <w:spacing w:after="0"/>
              <w:rPr>
                <w:sz w:val="1"/>
                <w:szCs w:val="1"/>
                <w:color w:val="auto"/>
              </w:rPr>
            </w:pPr>
          </w:p>
        </w:tc>
      </w:tr>
      <w:tr>
        <w:trPr>
          <w:trHeight w:val="55"/>
        </w:trPr>
        <w:tc>
          <w:tcPr>
            <w:tcW w:w="5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-2082165</wp:posOffset>
                </wp:positionV>
                <wp:extent cx="3320415" cy="2209165"/>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0415" cy="2209165"/>
                        </a:xfrm>
                        <a:prstGeom prst="rect">
                          <a:avLst/>
                        </a:prstGeom>
                        <a:solidFill>
                          <a:srgbClr val="DCDDDE"/>
                        </a:solidFill>
                      </wps:spPr>
                      <wps:bodyPr/>
                    </wps:wsp>
                  </a:graphicData>
                </a:graphic>
              </wp:anchor>
            </w:drawing>
          </mc:Choice>
          <mc:Fallback>
            <w:pict>
              <v:rect id="Shape 503" o:spid="_x0000_s1528" style="position:absolute;margin-left:0pt;margin-top:-163.9499pt;width:261.45pt;height:17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ind w:left="60"/>
        <w:spacing w:after="0" w:line="187" w:lineRule="auto"/>
        <w:rPr>
          <w:sz w:val="20"/>
          <w:szCs w:val="20"/>
          <w:color w:val="auto"/>
        </w:rPr>
      </w:pPr>
      <w:r>
        <w:rPr>
          <w:rFonts w:ascii="Arial" w:cs="Arial" w:eastAsia="Arial" w:hAnsi="Arial"/>
          <w:sz w:val="20"/>
          <w:szCs w:val="20"/>
          <w:color w:val="231F20"/>
        </w:rPr>
        <w:t>group (10 individuals)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3347085</wp:posOffset>
                </wp:positionH>
                <wp:positionV relativeFrom="paragraph">
                  <wp:posOffset>12700</wp:posOffset>
                </wp:positionV>
                <wp:extent cx="622300" cy="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55pt,1pt" to="312.55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3971925</wp:posOffset>
                </wp:positionH>
                <wp:positionV relativeFrom="paragraph">
                  <wp:posOffset>12700</wp:posOffset>
                </wp:positionV>
                <wp:extent cx="690880" cy="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75pt,1pt" to="367.15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12700</wp:posOffset>
                </wp:positionV>
                <wp:extent cx="828040" cy="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pt" to="432.55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5495925</wp:posOffset>
                </wp:positionH>
                <wp:positionV relativeFrom="paragraph">
                  <wp:posOffset>12700</wp:posOffset>
                </wp:positionV>
                <wp:extent cx="903605"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360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75pt,1pt" to="503.9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952500"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75pt,10.75pt" o:allowincell="f" strokecolor="#231F20" strokeweight="0.5pt"/>
            </w:pict>
          </mc:Fallback>
        </mc:AlternateContent>
      </w:r>
    </w:p>
    <w:p>
      <w:pPr>
        <w:spacing w:after="0" w:line="249" w:lineRule="exact"/>
        <w:rPr>
          <w:sz w:val="20"/>
          <w:szCs w:val="20"/>
          <w:color w:val="auto"/>
        </w:rPr>
      </w:pPr>
    </w:p>
    <w:p>
      <w:pPr>
        <w:ind w:left="480" w:hanging="358"/>
        <w:spacing w:after="0"/>
        <w:tabs>
          <w:tab w:leader="none" w:pos="480" w:val="left"/>
        </w:tabs>
        <w:numPr>
          <w:ilvl w:val="0"/>
          <w:numId w:val="156"/>
        </w:numPr>
        <w:rPr>
          <w:rFonts w:ascii="Arial" w:cs="Arial" w:eastAsia="Arial" w:hAnsi="Arial"/>
          <w:sz w:val="18"/>
          <w:szCs w:val="18"/>
          <w:color w:val="231F20"/>
        </w:rPr>
      </w:pPr>
      <w:r>
        <w:rPr>
          <w:rFonts w:ascii="Arial" w:cs="Arial" w:eastAsia="Arial" w:hAnsi="Arial"/>
          <w:sz w:val="18"/>
          <w:szCs w:val="18"/>
          <w:color w:val="231F20"/>
        </w:rPr>
        <w:t>Less than 1%</w:t>
      </w:r>
    </w:p>
    <w:p>
      <w:pPr>
        <w:ind w:left="480" w:hanging="358"/>
        <w:spacing w:after="0" w:line="199" w:lineRule="auto"/>
        <w:tabs>
          <w:tab w:leader="none" w:pos="480" w:val="left"/>
        </w:tabs>
        <w:numPr>
          <w:ilvl w:val="0"/>
          <w:numId w:val="157"/>
        </w:numPr>
        <w:rPr>
          <w:rFonts w:ascii="Arial" w:cs="Arial" w:eastAsia="Arial" w:hAnsi="Arial"/>
          <w:sz w:val="23"/>
          <w:szCs w:val="23"/>
          <w:color w:val="231F20"/>
          <w:vertAlign w:val="superscript"/>
        </w:rPr>
      </w:pPr>
      <w:r>
        <w:rPr>
          <w:rFonts w:ascii="Arial" w:cs="Arial" w:eastAsia="Arial" w:hAnsi="Arial"/>
          <w:sz w:val="18"/>
          <w:szCs w:val="18"/>
          <w:color w:val="231F20"/>
        </w:rPr>
        <w:t>The address for each of the named individuals is 909 Rose Avenue, Suite 200, North Bethesda, Maryland 20852.</w:t>
      </w:r>
    </w:p>
    <w:p>
      <w:pPr>
        <w:spacing w:after="0" w:line="55" w:lineRule="exact"/>
        <w:rPr>
          <w:rFonts w:ascii="Arial" w:cs="Arial" w:eastAsia="Arial" w:hAnsi="Arial"/>
          <w:sz w:val="23"/>
          <w:szCs w:val="23"/>
          <w:color w:val="231F20"/>
          <w:vertAlign w:val="superscript"/>
        </w:rPr>
      </w:pPr>
    </w:p>
    <w:p>
      <w:pPr>
        <w:ind w:left="480" w:hanging="358"/>
        <w:spacing w:after="0" w:line="195" w:lineRule="auto"/>
        <w:tabs>
          <w:tab w:leader="none" w:pos="480" w:val="left"/>
        </w:tabs>
        <w:numPr>
          <w:ilvl w:val="0"/>
          <w:numId w:val="157"/>
        </w:numPr>
        <w:rPr>
          <w:rFonts w:ascii="Arial" w:cs="Arial" w:eastAsia="Arial" w:hAnsi="Arial"/>
          <w:sz w:val="23"/>
          <w:szCs w:val="23"/>
          <w:color w:val="231F20"/>
          <w:vertAlign w:val="superscript"/>
        </w:rPr>
      </w:pPr>
      <w:r>
        <w:rPr>
          <w:rFonts w:ascii="Arial" w:cs="Arial" w:eastAsia="Arial" w:hAnsi="Arial"/>
          <w:sz w:val="18"/>
          <w:szCs w:val="18"/>
          <w:color w:val="231F20"/>
        </w:rPr>
        <w:t>The percentage of outstanding shares owned is calculated by taking the number of shares reflected in the column titled “Total Shares Beneficially Owned” divided by 82,944,318, the total number of shares outstanding on March 13, 2024.</w:t>
      </w:r>
    </w:p>
    <w:p>
      <w:pPr>
        <w:spacing w:after="0" w:line="20" w:lineRule="exact"/>
        <w:rPr>
          <w:rFonts w:ascii="Arial" w:cs="Arial" w:eastAsia="Arial" w:hAnsi="Arial"/>
          <w:sz w:val="23"/>
          <w:szCs w:val="23"/>
          <w:color w:val="231F20"/>
          <w:vertAlign w:val="superscript"/>
        </w:rPr>
      </w:pPr>
    </w:p>
    <w:p>
      <w:pPr>
        <w:jc w:val="both"/>
        <w:ind w:left="480" w:hanging="358"/>
        <w:spacing w:after="0" w:line="226" w:lineRule="auto"/>
        <w:tabs>
          <w:tab w:leader="none" w:pos="480" w:val="left"/>
        </w:tabs>
        <w:numPr>
          <w:ilvl w:val="0"/>
          <w:numId w:val="157"/>
        </w:numPr>
        <w:rPr>
          <w:rFonts w:ascii="Arial" w:cs="Arial" w:eastAsia="Arial" w:hAnsi="Arial"/>
          <w:sz w:val="23"/>
          <w:szCs w:val="23"/>
          <w:color w:val="231F20"/>
          <w:vertAlign w:val="superscript"/>
        </w:rPr>
      </w:pPr>
      <w:r>
        <w:rPr>
          <w:rFonts w:ascii="Arial" w:cs="Arial" w:eastAsia="Arial" w:hAnsi="Arial"/>
          <w:sz w:val="18"/>
          <w:szCs w:val="18"/>
          <w:color w:val="231F20"/>
        </w:rPr>
        <w:t>Includes 53,879 shares owned by Stacey Wood Revocable Trust, 189,259 shares owned by Donald C. Wood Revocable Trust, 36,929 shares owned by Great Falls Trust, 46,500 shares owned by Wood Descendants Trust and 60,000 shares owned by IJKR II, LLC.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168910</wp:posOffset>
                </wp:positionV>
                <wp:extent cx="6400800" cy="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pt" to="504pt,13.3pt" o:allowincell="f" strokecolor="#EF3E2A" strokeweight="3pt"/>
            </w:pict>
          </mc:Fallback>
        </mc:AlternateConten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231F20"/>
        </w:rPr>
        <w:t>Information about the Annual Meeting</w:t>
      </w:r>
    </w:p>
    <w:p>
      <w:pPr>
        <w:spacing w:after="0" w:line="18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NOTICE OF ELECTRONIC AVAILABILITY OF PROXY MATERIALS</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We are furnishing proxy materials including this proxy statement and our 2023 Annual Report to Shareholders, including our Annual Report on Form 10-K for the year ended December 31, 2023 (“Annual Report”), to each shareholder by providing access to such documents on the Internet. On or about March 22, 2024,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20"/>
          <w:szCs w:val="20"/>
          <w:i w:val="1"/>
          <w:iCs w:val="1"/>
          <w:u w:val="single" w:color="auto"/>
          <w:color w:val="231F20"/>
        </w:rPr>
        <w:t>IR@federalrealty.com</w:t>
      </w:r>
      <w:r>
        <w:rPr>
          <w:rFonts w:ascii="Arial" w:cs="Arial" w:eastAsia="Arial" w:hAnsi="Arial"/>
          <w:sz w:val="20"/>
          <w:szCs w:val="20"/>
          <w:i w:val="1"/>
          <w:iCs w:val="1"/>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906145</wp:posOffset>
                </wp:positionV>
                <wp:extent cx="6400800" cy="17780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10" o:spid="_x0000_s1535" style="position:absolute;margin-left:0pt;margin-top:71.3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906145</wp:posOffset>
                </wp:positionV>
                <wp:extent cx="0" cy="17780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1.35pt" to="0.5pt,85.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912495</wp:posOffset>
                </wp:positionV>
                <wp:extent cx="6400800"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85pt" to="504pt,71.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906145</wp:posOffset>
                </wp:positionV>
                <wp:extent cx="0" cy="17780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71.35pt" to="503.5pt,85.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1077595</wp:posOffset>
                </wp:positionV>
                <wp:extent cx="64008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85pt" to="504pt,84.8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43</w:t>
      </w:r>
    </w:p>
    <w:p>
      <w:pPr>
        <w:sectPr>
          <w:pgSz w:w="12240" w:h="15840" w:orient="portrait"/>
          <w:cols w:equalWidth="0" w:num="1">
            <w:col w:w="10080"/>
          </w:cols>
          <w:pgMar w:left="1080" w:top="1440" w:right="1080" w:bottom="944" w:gutter="0" w:footer="0" w:header="0"/>
          <w:type w:val="continuous"/>
        </w:sectPr>
      </w:pPr>
    </w:p>
    <w:bookmarkStart w:id="163" w:name="page164"/>
    <w:bookmarkEnd w:id="163"/>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WHY YOU ARE RECEIVING THESE MATERIALS</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You are receiving these materials because you owned our shares as of March 13, 2024, the record date established by our Board of Trustees for our Annual Meeting. Everyone who owned our shares as of this date, whether directly as a registered shareholder or indirectly through a bank, broker or other nominee, is entitled to vote at the Annual Meeting. We had 82,944,318 shares outstanding on March 13, 2024. Each share outstanding on the record date is entitled to one vote. A majority of the shares entitled to vote at the Annual Meeting must be present in person or by proxy for us to proceed with the Annual Meeting.</w:t>
      </w:r>
    </w:p>
    <w:p>
      <w:pPr>
        <w:spacing w:after="0" w:line="16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ACCESSING MATERIALS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Shareholders can access this Proxy Statement, our Annual Report and our other filings with the SEC on the Investors page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i w:val="1"/>
          <w:iCs w:val="1"/>
          <w:color w:val="231F20"/>
        </w:rPr>
        <w:t>.</w:t>
      </w:r>
      <w:r>
        <w:rPr>
          <w:rFonts w:ascii="Arial" w:cs="Arial" w:eastAsia="Arial" w:hAnsi="Arial"/>
          <w:sz w:val="20"/>
          <w:szCs w:val="20"/>
          <w:color w:val="231F20"/>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In the future, if you wish to receive paper copies of our proxy materials, without charge, and are a registered shareholder, you may do so by written request addressed to Equiniti Trust Company,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6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HOW TO VOTE</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If you own your shares directly with our transfer agent, Equiniti Trust Company, LLC (successor to American Stock Transfer and Trust Company) (“Equiniti”),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147320</wp:posOffset>
            </wp:positionV>
            <wp:extent cx="461010" cy="4610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109">
                      <a:extLst>
                        <a:ext uri="{28A0092B-C50C-407E-A947-70E740481C1C}"/>
                      </a:extLst>
                    </a:blip>
                    <a:srcRect/>
                    <a:stretch>
                      <a:fillRect/>
                    </a:stretch>
                  </pic:blipFill>
                  <pic:spPr bwMode="auto">
                    <a:xfrm>
                      <a:off x="0" y="0"/>
                      <a:ext cx="461010" cy="46101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83820</wp:posOffset>
            </wp:positionV>
            <wp:extent cx="306070" cy="525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110">
                      <a:extLst>
                        <a:ext uri="{28A0092B-C50C-407E-A947-70E740481C1C}"/>
                      </a:extLst>
                    </a:blip>
                    <a:srcRect/>
                    <a:stretch>
                      <a:fillRect/>
                    </a:stretch>
                  </pic:blipFill>
                  <pic:spPr bwMode="auto">
                    <a:xfrm>
                      <a:off x="0" y="0"/>
                      <a:ext cx="306070" cy="525145"/>
                    </a:xfrm>
                    <a:prstGeom prst="rect">
                      <a:avLst/>
                    </a:prstGeom>
                    <a:noFill/>
                  </pic:spPr>
                </pic:pic>
              </a:graphicData>
            </a:graphic>
          </wp:anchor>
        </w:drawing>
        <w:drawing>
          <wp:anchor simplePos="0" relativeHeight="251657728" behindDoc="1" locked="0" layoutInCell="0" allowOverlap="1">
            <wp:simplePos x="0" y="0"/>
            <wp:positionH relativeFrom="column">
              <wp:posOffset>4923790</wp:posOffset>
            </wp:positionH>
            <wp:positionV relativeFrom="paragraph">
              <wp:posOffset>147320</wp:posOffset>
            </wp:positionV>
            <wp:extent cx="453390" cy="4610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111">
                      <a:extLst>
                        <a:ext uri="{28A0092B-C50C-407E-A947-70E740481C1C}"/>
                      </a:extLst>
                    </a:blip>
                    <a:srcRect/>
                    <a:stretch>
                      <a:fillRect/>
                    </a:stretch>
                  </pic:blipFill>
                  <pic:spPr bwMode="auto">
                    <a:xfrm>
                      <a:off x="0" y="0"/>
                      <a:ext cx="453390" cy="46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80" w:type="dxa"/>
        <w:tblCellMar>
          <w:top w:w="0" w:type="dxa"/>
          <w:left w:w="0" w:type="dxa"/>
          <w:bottom w:w="0" w:type="dxa"/>
          <w:right w:w="0" w:type="dxa"/>
        </w:tblCellMar>
      </w:tblPr>
      <w:tr>
        <w:trPr>
          <w:trHeight w:val="244"/>
        </w:trPr>
        <w:tc>
          <w:tcPr>
            <w:tcW w:w="2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231F20"/>
              </w:rPr>
              <w:t>By Internet</w:t>
            </w:r>
          </w:p>
        </w:tc>
        <w:tc>
          <w:tcPr>
            <w:tcW w:w="3100" w:type="dxa"/>
            <w:vAlign w:val="bottom"/>
          </w:tcPr>
          <w:p>
            <w:pPr>
              <w:jc w:val="center"/>
              <w:spacing w:after="0"/>
              <w:rPr>
                <w:sz w:val="20"/>
                <w:szCs w:val="20"/>
                <w:color w:val="auto"/>
              </w:rPr>
            </w:pPr>
            <w:r>
              <w:rPr>
                <w:rFonts w:ascii="Arial" w:cs="Arial" w:eastAsia="Arial" w:hAnsi="Arial"/>
                <w:sz w:val="17"/>
                <w:szCs w:val="17"/>
                <w:b w:val="1"/>
                <w:bCs w:val="1"/>
                <w:color w:val="231F20"/>
              </w:rPr>
              <w:t>By Telephone</w:t>
            </w:r>
          </w:p>
        </w:tc>
        <w:tc>
          <w:tcPr>
            <w:tcW w:w="2820" w:type="dxa"/>
            <w:vAlign w:val="bottom"/>
          </w:tcPr>
          <w:p>
            <w:pPr>
              <w:jc w:val="center"/>
              <w:ind w:left="156"/>
              <w:spacing w:after="0"/>
              <w:rPr>
                <w:sz w:val="20"/>
                <w:szCs w:val="20"/>
                <w:color w:val="auto"/>
              </w:rPr>
            </w:pPr>
            <w:r>
              <w:rPr>
                <w:rFonts w:ascii="Arial" w:cs="Arial" w:eastAsia="Arial" w:hAnsi="Arial"/>
                <w:sz w:val="17"/>
                <w:szCs w:val="17"/>
                <w:b w:val="1"/>
                <w:bCs w:val="1"/>
                <w:color w:val="231F20"/>
              </w:rPr>
              <w:t>By Mail</w:t>
            </w:r>
          </w:p>
        </w:tc>
      </w:tr>
      <w:tr>
        <w:trPr>
          <w:trHeight w:val="181"/>
        </w:trPr>
        <w:tc>
          <w:tcPr>
            <w:tcW w:w="2800" w:type="dxa"/>
            <w:vAlign w:val="bottom"/>
            <w:gridSpan w:val="2"/>
          </w:tcPr>
          <w:p>
            <w:pPr>
              <w:jc w:val="center"/>
              <w:ind w:right="260"/>
              <w:spacing w:after="0" w:line="181" w:lineRule="exact"/>
              <w:rPr>
                <w:sz w:val="20"/>
                <w:szCs w:val="20"/>
                <w:color w:val="auto"/>
              </w:rPr>
            </w:pPr>
            <w:r>
              <w:rPr>
                <w:rFonts w:ascii="Arial" w:cs="Arial" w:eastAsia="Arial" w:hAnsi="Arial"/>
                <w:sz w:val="16"/>
                <w:szCs w:val="16"/>
                <w:color w:val="231F20"/>
              </w:rPr>
              <w:t>www.voteproxy.com, available 24/7</w:t>
            </w:r>
          </w:p>
        </w:tc>
        <w:tc>
          <w:tcPr>
            <w:tcW w:w="3100" w:type="dxa"/>
            <w:vAlign w:val="bottom"/>
          </w:tcPr>
          <w:p>
            <w:pPr>
              <w:jc w:val="center"/>
              <w:spacing w:after="0" w:line="181" w:lineRule="exact"/>
              <w:rPr>
                <w:sz w:val="20"/>
                <w:szCs w:val="20"/>
                <w:color w:val="auto"/>
              </w:rPr>
            </w:pPr>
            <w:r>
              <w:rPr>
                <w:rFonts w:ascii="Arial" w:cs="Arial" w:eastAsia="Arial" w:hAnsi="Arial"/>
                <w:sz w:val="16"/>
                <w:szCs w:val="16"/>
                <w:color w:val="231F20"/>
              </w:rPr>
              <w:t>Call 1-800-776-9437, available 24/7</w:t>
            </w:r>
          </w:p>
        </w:tc>
        <w:tc>
          <w:tcPr>
            <w:tcW w:w="2820" w:type="dxa"/>
            <w:vAlign w:val="bottom"/>
          </w:tcPr>
          <w:p>
            <w:pPr>
              <w:jc w:val="center"/>
              <w:ind w:left="156"/>
              <w:spacing w:after="0" w:line="181" w:lineRule="exact"/>
              <w:rPr>
                <w:sz w:val="20"/>
                <w:szCs w:val="20"/>
                <w:color w:val="auto"/>
              </w:rPr>
            </w:pPr>
            <w:r>
              <w:rPr>
                <w:rFonts w:ascii="Arial" w:cs="Arial" w:eastAsia="Arial" w:hAnsi="Arial"/>
                <w:sz w:val="16"/>
                <w:szCs w:val="16"/>
                <w:color w:val="231F20"/>
              </w:rPr>
              <w:t>Mark, sign and date your proxy card</w:t>
            </w:r>
          </w:p>
        </w:tc>
      </w:tr>
      <w:tr>
        <w:trPr>
          <w:trHeight w:val="20"/>
        </w:trPr>
        <w:tc>
          <w:tcPr>
            <w:tcW w:w="1440" w:type="dxa"/>
            <w:vAlign w:val="bottom"/>
            <w:shd w:val="clear" w:color="auto" w:fill="231F2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or 2, that organization will inform the inspector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231775</wp:posOffset>
                </wp:positionV>
                <wp:extent cx="6400800" cy="17780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18" o:spid="_x0000_s1543" style="position:absolute;margin-left:0pt;margin-top:18.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231140</wp:posOffset>
                </wp:positionV>
                <wp:extent cx="0" cy="17780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8.2pt" to="0.5pt,32.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237490</wp:posOffset>
                </wp:positionV>
                <wp:extent cx="6400800" cy="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7pt" to="504pt,18.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231140</wp:posOffset>
                </wp:positionV>
                <wp:extent cx="0" cy="17780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8.2pt" to="503.5pt,32.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402590</wp:posOffset>
                </wp:positionV>
                <wp:extent cx="6400800"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7pt" to="504pt,31.7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13"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44</w:t>
      </w:r>
    </w:p>
    <w:p>
      <w:pPr>
        <w:sectPr>
          <w:pgSz w:w="12240" w:h="15840" w:orient="portrait"/>
          <w:cols w:equalWidth="0" w:num="1">
            <w:col w:w="10080"/>
          </w:cols>
          <w:pgMar w:left="1080" w:top="1440" w:right="1080" w:bottom="944" w:gutter="0" w:footer="0" w:header="0"/>
          <w:type w:val="continuous"/>
        </w:sectPr>
      </w:pPr>
    </w:p>
    <w:bookmarkStart w:id="164" w:name="page165"/>
    <w:bookmarkEnd w:id="164"/>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3, your bank, brokerage firm, broker-dealer or nominee will generally be able to vote on Proposal 3 as he, she or it determines.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You are urged to vote either by telephone (1-800-PROXIES or 1-800-776-9437) or on the Internet (</w:t>
      </w:r>
      <w:r>
        <w:rPr>
          <w:rFonts w:ascii="Arial" w:cs="Arial" w:eastAsia="Arial" w:hAnsi="Arial"/>
          <w:sz w:val="20"/>
          <w:szCs w:val="20"/>
          <w:u w:val="single" w:color="auto"/>
          <w:color w:val="231F20"/>
        </w:rPr>
        <w:t>www.voteproxy.com</w:t>
      </w:r>
      <w:r>
        <w:rPr>
          <w:rFonts w:ascii="Arial" w:cs="Arial" w:eastAsia="Arial" w:hAnsi="Arial"/>
          <w:sz w:val="20"/>
          <w:szCs w:val="20"/>
          <w:color w:val="231F20"/>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HOW TO PARTICIPATE IN THE ANNUAL MEETING</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You will be able to join our Annual Meeting as either a shareholder or a guest. All registered shareholders and shareholders that own shares in “street name” will be able to ask questions and vote their shares at the meeting by following the instructions below. Guests will be permitted to join the meeting but will not be permitted to ask questions.</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 xml:space="preserve">You can access the Annual Meeting by joining through this link: </w:t>
      </w:r>
      <w:r>
        <w:rPr>
          <w:rFonts w:ascii="Arial" w:cs="Arial" w:eastAsia="Arial" w:hAnsi="Arial"/>
          <w:sz w:val="20"/>
          <w:szCs w:val="20"/>
          <w:i w:val="1"/>
          <w:iCs w:val="1"/>
          <w:u w:val="single" w:color="auto"/>
          <w:color w:val="231F20"/>
        </w:rPr>
        <w:t>https://web.lumiagm.com/202329683</w:t>
      </w:r>
      <w:r>
        <w:rPr>
          <w:rFonts w:ascii="Arial" w:cs="Arial" w:eastAsia="Arial" w:hAnsi="Arial"/>
          <w:sz w:val="20"/>
          <w:szCs w:val="20"/>
          <w:i w:val="1"/>
          <w:iCs w:val="1"/>
          <w:color w:val="231F20"/>
        </w:rPr>
        <w:t>.</w:t>
      </w:r>
      <w:r>
        <w:rPr>
          <w:rFonts w:ascii="Arial" w:cs="Arial" w:eastAsia="Arial" w:hAnsi="Arial"/>
          <w:sz w:val="20"/>
          <w:szCs w:val="20"/>
          <w:color w:val="231F20"/>
        </w:rPr>
        <w:t xml:space="preserve"> If you are a registered shareholder owning shares directly in your name and you would like to be able to ask a question or vote at the Annual Meeting, you should click on “I have a control number”, enter the control number found on your proxy card or Notice you previously received, and enter the password “</w:t>
      </w:r>
      <w:r>
        <w:rPr>
          <w:rFonts w:ascii="Arial" w:cs="Arial" w:eastAsia="Arial" w:hAnsi="Arial"/>
          <w:sz w:val="20"/>
          <w:szCs w:val="20"/>
          <w:i w:val="1"/>
          <w:iCs w:val="1"/>
          <w:color w:val="231F20"/>
        </w:rPr>
        <w:t>federal2024</w:t>
      </w:r>
      <w:r>
        <w:rPr>
          <w:rFonts w:ascii="Arial" w:cs="Arial" w:eastAsia="Arial" w:hAnsi="Arial"/>
          <w:sz w:val="20"/>
          <w:szCs w:val="20"/>
          <w:color w:val="231F20"/>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Equiniti: (1) by email to proxy@equinity.com; (2) by facsimile to 718-765-8730; or (3) by mail to Equiniti, Attn: Proxy Tabulation Department, 55 Challenger Road, Suite 200B, 2</w:t>
      </w:r>
      <w:r>
        <w:rPr>
          <w:rFonts w:ascii="Arial" w:cs="Arial" w:eastAsia="Arial" w:hAnsi="Arial"/>
          <w:sz w:val="26"/>
          <w:szCs w:val="26"/>
          <w:color w:val="231F20"/>
          <w:vertAlign w:val="superscript"/>
        </w:rPr>
        <w:t>nd</w:t>
      </w:r>
      <w:r>
        <w:rPr>
          <w:rFonts w:ascii="Arial" w:cs="Arial" w:eastAsia="Arial" w:hAnsi="Arial"/>
          <w:sz w:val="20"/>
          <w:szCs w:val="20"/>
          <w:color w:val="231F20"/>
        </w:rPr>
        <w:t xml:space="preserve"> Floor, Ridgefield Park, New Jersey 07660. Requests for registration must be labeled as “Legal Proxy” and must be received by Equiniti no later than 5:00 p.m. local time on April 24, 2024. You will receive a confirmation of your registration by email from Equiniti after they receive your registration materials. The email will also include a control number so that you can ask a question or vote at the Annual Meeting by clicking on “I have a control number”. Shareholders who hold shares in “street name” will not be able to vote their shares or ask questions without first completing this registration process. Once you are in the meeting, you can vote your shares by clicking on the Proxy Voting Site link on the screen to submit your ballot. You may also continue to vote using the instructions provided in the Proxy Materials until the Annual Meeting concludes.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1, 2024,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20"/>
          <w:szCs w:val="20"/>
          <w:i w:val="1"/>
          <w:iCs w:val="1"/>
          <w:u w:val="single" w:color="auto"/>
          <w:color w:val="231F20"/>
        </w:rPr>
        <w:t>https://go.lumiglobal.com/faq</w:t>
      </w:r>
      <w:r>
        <w:rPr>
          <w:rFonts w:ascii="Arial" w:cs="Arial" w:eastAsia="Arial" w:hAnsi="Arial"/>
          <w:sz w:val="20"/>
          <w:szCs w:val="20"/>
          <w:color w:val="231F20"/>
        </w:rPr>
        <w:t xml:space="preserve"> or call 352-803-0587.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846455</wp:posOffset>
                </wp:positionV>
                <wp:extent cx="6400800" cy="17780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23" o:spid="_x0000_s1548" style="position:absolute;margin-left:0pt;margin-top:66.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845820</wp:posOffset>
                </wp:positionV>
                <wp:extent cx="0" cy="17780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66.6pt" to="0.5pt,80.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852170</wp:posOffset>
                </wp:positionV>
                <wp:extent cx="6400800"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1pt" to="504pt,67.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845820</wp:posOffset>
                </wp:positionV>
                <wp:extent cx="0" cy="17780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66.6pt" to="503.5pt,80.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1017270</wp:posOffset>
                </wp:positionV>
                <wp:extent cx="6400800"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1pt" to="504pt,80.1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45</w:t>
      </w:r>
    </w:p>
    <w:p>
      <w:pPr>
        <w:sectPr>
          <w:pgSz w:w="12240" w:h="15840" w:orient="portrait"/>
          <w:cols w:equalWidth="0" w:num="1">
            <w:col w:w="10080"/>
          </w:cols>
          <w:pgMar w:left="1080" w:top="1440" w:right="1080" w:bottom="944" w:gutter="0" w:footer="0" w:header="0"/>
          <w:type w:val="continuous"/>
        </w:sectPr>
      </w:pPr>
    </w:p>
    <w:bookmarkStart w:id="165" w:name="page166"/>
    <w:bookmarkEnd w:id="165"/>
    <w:p>
      <w:pPr>
        <w:spacing w:after="0" w:line="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ELIMINATING DUPLICATIVE PROXY MATERIALS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20"/>
          <w:szCs w:val="20"/>
          <w:i w:val="1"/>
          <w:iCs w:val="1"/>
          <w:u w:val="single" w:color="auto"/>
          <w:color w:val="231F20"/>
        </w:rPr>
        <w:t>IR@federalrealty.com</w:t>
      </w:r>
      <w:r>
        <w:rPr>
          <w:rFonts w:ascii="Arial" w:cs="Arial" w:eastAsia="Arial" w:hAnsi="Arial"/>
          <w:sz w:val="20"/>
          <w:szCs w:val="20"/>
          <w:i w:val="1"/>
          <w:iCs w:val="1"/>
          <w:color w:val="231F20"/>
        </w:rPr>
        <w:t>.</w:t>
      </w:r>
    </w:p>
    <w:p>
      <w:pPr>
        <w:spacing w:after="0" w:line="16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SOLICITATION OF PROXIES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 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6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SHAREHOLDER PROPOSALS FOR THE 2025 ANNUAL MEETING</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This solicitation is made by the Company on behalf of the Board. Proposals of shareholders intended to be presented at the 2025 Annual Meeting of Shareholders or nominations for persons for election to the Board of Trustees, must be delivered to us at 909 Rose Avenue, Suite 200, North Bethesda, Maryland 20852, Attention: Corporate Secretary and received by us no later than November 22, 2024 and no earlier than October 23, 2024, unless the date of the 2025 Annual Meeting of Shareholders is changed by more than 30 days from the date of the 2024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2025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General Counsel &amp; Secretary, 909 Rose Avenue, Suite 200, North Bethesda, Maryland 20852.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2190750</wp:posOffset>
                </wp:positionV>
                <wp:extent cx="6400800" cy="17780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28" o:spid="_x0000_s1553" style="position:absolute;margin-left:0pt;margin-top:17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2190750</wp:posOffset>
                </wp:positionV>
                <wp:extent cx="0" cy="17780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72.5pt" to="0.5pt,18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2197100</wp:posOffset>
                </wp:positionV>
                <wp:extent cx="6400800"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3pt" to="504pt,17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2190750</wp:posOffset>
                </wp:positionV>
                <wp:extent cx="0" cy="17780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72.5pt" to="503.5pt,18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2362200</wp:posOffset>
                </wp:positionV>
                <wp:extent cx="640080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6pt" to="504pt,186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46</w:t>
      </w:r>
    </w:p>
    <w:p>
      <w:pPr>
        <w:sectPr>
          <w:pgSz w:w="12240" w:h="15840" w:orient="portrait"/>
          <w:cols w:equalWidth="0" w:num="1">
            <w:col w:w="10080"/>
          </w:cols>
          <w:pgMar w:left="1080" w:top="1440" w:right="1080" w:bottom="944" w:gutter="0" w:footer="0" w:header="0"/>
          <w:type w:val="continuous"/>
        </w:sectPr>
      </w:pPr>
    </w:p>
    <w:bookmarkStart w:id="166" w:name="page167"/>
    <w:bookmarkEnd w:id="166"/>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2, 2025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243"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13335</wp:posOffset>
            </wp:positionV>
            <wp:extent cx="1074420" cy="3168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112">
                      <a:extLst>
                        <a:ext uri="{28A0092B-C50C-407E-A947-70E740481C1C}"/>
                      </a:extLst>
                    </a:blip>
                    <a:srcRect/>
                    <a:stretch>
                      <a:fillRect/>
                    </a:stretch>
                  </pic:blipFill>
                  <pic:spPr bwMode="auto">
                    <a:xfrm>
                      <a:off x="0" y="0"/>
                      <a:ext cx="1074420" cy="31686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Dawn M. Becker</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231F20"/>
        </w:rPr>
        <w:t>Executive Vice President—General</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231F20"/>
        </w:rPr>
        <w:t>Counsel and Secretary</w:t>
      </w:r>
    </w:p>
    <w:p>
      <w:pPr>
        <w:spacing w:after="0" w:line="250"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Federal Realty Investment Trust</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909 Rose Avenue, Suite 200</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North Bethesda, Maryland 20852</w:t>
      </w:r>
    </w:p>
    <w:p>
      <w:pPr>
        <w:spacing w:after="0" w:line="210"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b w:val="1"/>
          <w:bCs w:val="1"/>
          <w:color w:val="231F20"/>
        </w:rPr>
        <w:t>YOUR PROXY IS IMPORTANT REGARDLESS OF THE NUMBER OF SHARES YOU OWN. PLEASE SUBMIT IT TODAY.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4780915</wp:posOffset>
                </wp:positionV>
                <wp:extent cx="6400800" cy="17780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34" o:spid="_x0000_s1559" style="position:absolute;margin-left:0pt;margin-top:376.4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4780280</wp:posOffset>
                </wp:positionV>
                <wp:extent cx="0" cy="17780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76.4pt" to="0.5pt,39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4786630</wp:posOffset>
                </wp:positionV>
                <wp:extent cx="6400800"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6.9pt" to="504pt,376.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4780280</wp:posOffset>
                </wp:positionV>
                <wp:extent cx="0" cy="17780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76.4pt" to="503.5pt,39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4951730</wp:posOffset>
                </wp:positionV>
                <wp:extent cx="6400800"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9.9pt" to="504pt,389.9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tab/>
        <w:t>47</w:t>
      </w:r>
    </w:p>
    <w:p>
      <w:pPr>
        <w:sectPr>
          <w:pgSz w:w="12240" w:h="15840" w:orient="portrait"/>
          <w:cols w:equalWidth="0" w:num="1">
            <w:col w:w="10080"/>
          </w:cols>
          <w:pgMar w:left="1080" w:top="1440" w:right="1080" w:bottom="944" w:gutter="0" w:footer="0" w:header="0"/>
          <w:type w:val="continuous"/>
        </w:sectPr>
      </w:pPr>
    </w:p>
    <w:bookmarkStart w:id="167" w:name="page168"/>
    <w:bookmarkEnd w:id="167"/>
    <w:p>
      <w:pPr>
        <w:spacing w:after="0"/>
        <w:tabs>
          <w:tab w:leader="none" w:pos="8060" w:val="left"/>
          <w:tab w:leader="none" w:pos="9800" w:val="left"/>
        </w:tabs>
        <w:rPr>
          <w:sz w:val="20"/>
          <w:szCs w:val="20"/>
          <w:color w:val="auto"/>
        </w:rPr>
      </w:pPr>
    </w:p>
    <w:p>
      <w:pPr>
        <w:sectPr>
          <w:pgSz w:w="12240" w:h="15840" w:orient="portrait"/>
          <w:cols w:equalWidth="1" w:num="1" w:space="0"/>
          <w:pgMar w:left="1440" w:top="1440" w:right="1440" w:bottom="875" w:gutter="0" w:footer="0" w:header="0"/>
        </w:sectPr>
      </w:pPr>
    </w:p>
    <w:bookmarkStart w:id="168" w:name="page169"/>
    <w:bookmarkEnd w:id="168"/>
    <w:p>
      <w:pPr>
        <w:spacing w:after="0" w:line="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Appendix 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Reconciliation of Non-GAAP Financial Measures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231F20"/>
        </w:rPr>
        <w:t>Funds from Operations:</w:t>
      </w:r>
    </w:p>
    <w:p>
      <w:pPr>
        <w:spacing w:after="0" w:line="73"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231F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57" w:lineRule="exact"/>
        <w:rPr>
          <w:sz w:val="20"/>
          <w:szCs w:val="20"/>
          <w:color w:val="auto"/>
        </w:rPr>
      </w:pPr>
    </w:p>
    <w:p>
      <w:pPr>
        <w:ind w:left="800" w:hanging="300"/>
        <w:spacing w:after="0" w:line="226" w:lineRule="auto"/>
        <w:tabs>
          <w:tab w:leader="none" w:pos="800" w:val="left"/>
        </w:tabs>
        <w:numPr>
          <w:ilvl w:val="0"/>
          <w:numId w:val="166"/>
        </w:numPr>
        <w:rPr>
          <w:rFonts w:ascii="Arial" w:cs="Arial" w:eastAsia="Arial" w:hAnsi="Arial"/>
          <w:sz w:val="20"/>
          <w:szCs w:val="20"/>
          <w:color w:val="231F20"/>
        </w:rPr>
      </w:pPr>
      <w:r>
        <w:rPr>
          <w:rFonts w:ascii="Arial" w:cs="Arial" w:eastAsia="Arial" w:hAnsi="Arial"/>
          <w:sz w:val="20"/>
          <w:szCs w:val="20"/>
          <w:color w:val="231F20"/>
        </w:rPr>
        <w:t>does not represent cash flows from operating activities in accordance with GAAP (which, unlike FFO, generally reflects all cash effects of transactions and other events in the determination of net income);</w:t>
      </w:r>
    </w:p>
    <w:p>
      <w:pPr>
        <w:spacing w:after="0" w:line="44" w:lineRule="exact"/>
        <w:rPr>
          <w:rFonts w:ascii="Arial" w:cs="Arial" w:eastAsia="Arial" w:hAnsi="Arial"/>
          <w:sz w:val="20"/>
          <w:szCs w:val="20"/>
          <w:color w:val="231F20"/>
        </w:rPr>
      </w:pPr>
    </w:p>
    <w:p>
      <w:pPr>
        <w:ind w:left="800" w:hanging="300"/>
        <w:spacing w:after="0"/>
        <w:tabs>
          <w:tab w:leader="none" w:pos="800" w:val="left"/>
        </w:tabs>
        <w:numPr>
          <w:ilvl w:val="0"/>
          <w:numId w:val="166"/>
        </w:numPr>
        <w:rPr>
          <w:rFonts w:ascii="Arial" w:cs="Arial" w:eastAsia="Arial" w:hAnsi="Arial"/>
          <w:sz w:val="20"/>
          <w:szCs w:val="20"/>
          <w:color w:val="231F20"/>
        </w:rPr>
      </w:pPr>
      <w:r>
        <w:rPr>
          <w:rFonts w:ascii="Arial" w:cs="Arial" w:eastAsia="Arial" w:hAnsi="Arial"/>
          <w:sz w:val="20"/>
          <w:szCs w:val="20"/>
          <w:color w:val="231F20"/>
        </w:rPr>
        <w:t>should not be considered an alternative to net income as an indication of our performance; and</w:t>
      </w:r>
    </w:p>
    <w:p>
      <w:pPr>
        <w:spacing w:after="0" w:line="50" w:lineRule="exact"/>
        <w:rPr>
          <w:rFonts w:ascii="Arial" w:cs="Arial" w:eastAsia="Arial" w:hAnsi="Arial"/>
          <w:sz w:val="20"/>
          <w:szCs w:val="20"/>
          <w:color w:val="231F20"/>
        </w:rPr>
      </w:pPr>
    </w:p>
    <w:p>
      <w:pPr>
        <w:ind w:left="800" w:hanging="300"/>
        <w:spacing w:after="0" w:line="227" w:lineRule="auto"/>
        <w:tabs>
          <w:tab w:leader="none" w:pos="800" w:val="left"/>
        </w:tabs>
        <w:numPr>
          <w:ilvl w:val="0"/>
          <w:numId w:val="166"/>
        </w:numPr>
        <w:rPr>
          <w:rFonts w:ascii="Arial" w:cs="Arial" w:eastAsia="Arial" w:hAnsi="Arial"/>
          <w:sz w:val="20"/>
          <w:szCs w:val="20"/>
          <w:color w:val="231F20"/>
        </w:rPr>
      </w:pPr>
      <w:r>
        <w:rPr>
          <w:rFonts w:ascii="Arial" w:cs="Arial" w:eastAsia="Arial" w:hAnsi="Arial"/>
          <w:sz w:val="20"/>
          <w:szCs w:val="20"/>
          <w:color w:val="231F20"/>
        </w:rPr>
        <w:t>is not necessarily indicative of cash flow as a measure of liquidity or ability to fund cash needs, including the payment of dividends.</w:t>
      </w:r>
    </w:p>
    <w:p>
      <w:pPr>
        <w:spacing w:after="0" w:line="114"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231F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18"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231F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 The reconciliation of net income to FFO available for common shareholders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0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ind w:right="110"/>
              <w:spacing w:after="0"/>
              <w:rPr>
                <w:sz w:val="20"/>
                <w:szCs w:val="20"/>
                <w:color w:val="auto"/>
              </w:rPr>
            </w:pPr>
            <w:r>
              <w:rPr>
                <w:rFonts w:ascii="Arial" w:cs="Arial" w:eastAsia="Arial" w:hAnsi="Arial"/>
                <w:sz w:val="18"/>
                <w:szCs w:val="18"/>
                <w:color w:val="231F20"/>
              </w:rPr>
              <w:t>2023</w:t>
            </w:r>
          </w:p>
        </w:tc>
        <w:tc>
          <w:tcPr>
            <w:tcW w:w="2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ind w:right="90"/>
              <w:spacing w:after="0"/>
              <w:rPr>
                <w:sz w:val="20"/>
                <w:szCs w:val="20"/>
                <w:color w:val="auto"/>
              </w:rPr>
            </w:pPr>
            <w:r>
              <w:rPr>
                <w:rFonts w:ascii="Arial" w:cs="Arial" w:eastAsia="Arial" w:hAnsi="Arial"/>
                <w:sz w:val="18"/>
                <w:szCs w:val="18"/>
                <w:color w:val="231F20"/>
              </w:rPr>
              <w:t>2022</w:t>
            </w:r>
          </w:p>
        </w:tc>
        <w:tc>
          <w:tcPr>
            <w:tcW w:w="4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ind w:right="110"/>
              <w:spacing w:after="0"/>
              <w:rPr>
                <w:sz w:val="20"/>
                <w:szCs w:val="20"/>
                <w:color w:val="auto"/>
              </w:rPr>
            </w:pPr>
            <w:r>
              <w:rPr>
                <w:rFonts w:ascii="Arial" w:cs="Arial" w:eastAsia="Arial" w:hAnsi="Arial"/>
                <w:sz w:val="18"/>
                <w:szCs w:val="18"/>
                <w:color w:val="231F20"/>
              </w:rPr>
              <w:t>2021</w:t>
            </w:r>
          </w:p>
        </w:tc>
        <w:tc>
          <w:tcPr>
            <w:tcW w:w="20" w:type="dxa"/>
            <w:vAlign w:val="bottom"/>
          </w:tcPr>
          <w:p>
            <w:pPr>
              <w:spacing w:after="0"/>
              <w:rPr>
                <w:sz w:val="19"/>
                <w:szCs w:val="19"/>
                <w:color w:val="auto"/>
              </w:rPr>
            </w:pPr>
          </w:p>
        </w:tc>
      </w:tr>
      <w:tr>
        <w:trPr>
          <w:trHeight w:val="192"/>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9"/>
          </w:tcPr>
          <w:p>
            <w:pPr>
              <w:ind w:left="20"/>
              <w:spacing w:after="0" w:line="189" w:lineRule="exact"/>
              <w:rPr>
                <w:sz w:val="20"/>
                <w:szCs w:val="20"/>
                <w:color w:val="auto"/>
              </w:rPr>
            </w:pPr>
            <w:r>
              <w:rPr>
                <w:rFonts w:ascii="Arial" w:cs="Arial" w:eastAsia="Arial" w:hAnsi="Arial"/>
                <w:sz w:val="17"/>
                <w:szCs w:val="17"/>
                <w:color w:val="231F20"/>
              </w:rPr>
              <w:t>(in thousands, except per share data)</w:t>
            </w:r>
          </w:p>
        </w:tc>
      </w:tr>
      <w:tr>
        <w:trPr>
          <w:trHeight w:val="232"/>
        </w:trPr>
        <w:tc>
          <w:tcPr>
            <w:tcW w:w="7000" w:type="dxa"/>
            <w:vAlign w:val="bottom"/>
            <w:shd w:val="clear" w:color="auto" w:fill="E8E7E4"/>
          </w:tcPr>
          <w:p>
            <w:pPr>
              <w:spacing w:after="0"/>
              <w:rPr>
                <w:sz w:val="20"/>
                <w:szCs w:val="20"/>
                <w:color w:val="auto"/>
              </w:rPr>
            </w:pPr>
            <w:r>
              <w:rPr>
                <w:rFonts w:ascii="Arial" w:cs="Arial" w:eastAsia="Arial" w:hAnsi="Arial"/>
                <w:sz w:val="18"/>
                <w:szCs w:val="18"/>
                <w:color w:val="231F20"/>
              </w:rPr>
              <w:t>Net income</w:t>
            </w:r>
          </w:p>
        </w:tc>
        <w:tc>
          <w:tcPr>
            <w:tcW w:w="340" w:type="dxa"/>
            <w:vAlign w:val="bottom"/>
            <w:gridSpan w:val="2"/>
            <w:shd w:val="clear" w:color="auto" w:fill="E8E7E4"/>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247,217</w:t>
            </w:r>
          </w:p>
        </w:tc>
        <w:tc>
          <w:tcPr>
            <w:tcW w:w="3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395,661</w:t>
            </w:r>
          </w:p>
        </w:tc>
        <w:tc>
          <w:tcPr>
            <w:tcW w:w="28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269,081</w:t>
            </w:r>
          </w:p>
        </w:tc>
        <w:tc>
          <w:tcPr>
            <w:tcW w:w="20" w:type="dxa"/>
            <w:vAlign w:val="bottom"/>
            <w:shd w:val="clear" w:color="auto" w:fill="E8E7E4"/>
          </w:tcPr>
          <w:p>
            <w:pPr>
              <w:spacing w:after="0"/>
              <w:rPr>
                <w:sz w:val="20"/>
                <w:szCs w:val="20"/>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8"/>
                <w:szCs w:val="18"/>
                <w:color w:val="231F20"/>
              </w:rPr>
              <w:t>Net income attributable to noncontrolling interests</w:t>
            </w:r>
          </w:p>
        </w:tc>
        <w:tc>
          <w:tcPr>
            <w:tcW w:w="340" w:type="dxa"/>
            <w:vAlign w:val="bottom"/>
            <w:gridSpan w:val="2"/>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5"/>
              </w:rPr>
              <w:t>(10,232)</w:t>
            </w:r>
          </w:p>
        </w:tc>
        <w:tc>
          <w:tcPr>
            <w:tcW w:w="34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5"/>
              </w:rPr>
              <w:t>(10,170)</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(7,583)</w:t>
            </w:r>
          </w:p>
        </w:tc>
        <w:tc>
          <w:tcPr>
            <w:tcW w:w="20" w:type="dxa"/>
            <w:vAlign w:val="bottom"/>
          </w:tcPr>
          <w:p>
            <w:pPr>
              <w:spacing w:after="0"/>
              <w:rPr>
                <w:sz w:val="19"/>
                <w:szCs w:val="19"/>
                <w:color w:val="auto"/>
              </w:rPr>
            </w:pPr>
          </w:p>
        </w:tc>
      </w:tr>
      <w:tr>
        <w:trPr>
          <w:trHeight w:val="231"/>
        </w:trPr>
        <w:tc>
          <w:tcPr>
            <w:tcW w:w="7000" w:type="dxa"/>
            <w:vAlign w:val="bottom"/>
            <w:shd w:val="clear" w:color="auto" w:fill="E8E7E4"/>
          </w:tcPr>
          <w:p>
            <w:pPr>
              <w:spacing w:after="0"/>
              <w:rPr>
                <w:sz w:val="20"/>
                <w:szCs w:val="20"/>
                <w:color w:val="auto"/>
              </w:rPr>
            </w:pPr>
            <w:r>
              <w:rPr>
                <w:rFonts w:ascii="Arial" w:cs="Arial" w:eastAsia="Arial" w:hAnsi="Arial"/>
                <w:sz w:val="18"/>
                <w:szCs w:val="18"/>
                <w:color w:val="231F20"/>
              </w:rPr>
              <w:t>Gain on deconsolidation of a VIE</w:t>
            </w:r>
          </w:p>
        </w:tc>
        <w:tc>
          <w:tcPr>
            <w:tcW w:w="340" w:type="dxa"/>
            <w:vAlign w:val="bottom"/>
            <w:gridSpan w:val="2"/>
            <w:shd w:val="clear" w:color="auto" w:fill="E8E7E4"/>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5"/>
              </w:rPr>
              <w:t>(70,374)</w:t>
            </w:r>
          </w:p>
        </w:tc>
        <w:tc>
          <w:tcPr>
            <w:tcW w:w="28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20" w:type="dxa"/>
            <w:vAlign w:val="bottom"/>
            <w:shd w:val="clear" w:color="auto" w:fill="E8E7E4"/>
          </w:tcPr>
          <w:p>
            <w:pPr>
              <w:spacing w:after="0"/>
              <w:rPr>
                <w:sz w:val="20"/>
                <w:szCs w:val="20"/>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8"/>
                <w:szCs w:val="18"/>
                <w:color w:val="231F20"/>
              </w:rPr>
              <w:t>Gain on sale of real estate and change in control of interests, net</w:t>
            </w:r>
          </w:p>
        </w:tc>
        <w:tc>
          <w:tcPr>
            <w:tcW w:w="340" w:type="dxa"/>
            <w:vAlign w:val="bottom"/>
            <w:gridSpan w:val="2"/>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(9,881)</w:t>
            </w:r>
          </w:p>
        </w:tc>
        <w:tc>
          <w:tcPr>
            <w:tcW w:w="34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5"/>
              </w:rPr>
              <w:t>(93,483)</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w w:val="98"/>
              </w:rPr>
              <w:t>(89,892)</w:t>
            </w:r>
          </w:p>
        </w:tc>
        <w:tc>
          <w:tcPr>
            <w:tcW w:w="20" w:type="dxa"/>
            <w:vAlign w:val="bottom"/>
          </w:tcPr>
          <w:p>
            <w:pPr>
              <w:spacing w:after="0"/>
              <w:rPr>
                <w:sz w:val="19"/>
                <w:szCs w:val="19"/>
                <w:color w:val="auto"/>
              </w:rPr>
            </w:pPr>
          </w:p>
        </w:tc>
      </w:tr>
      <w:tr>
        <w:trPr>
          <w:trHeight w:val="231"/>
        </w:trPr>
        <w:tc>
          <w:tcPr>
            <w:tcW w:w="7000" w:type="dxa"/>
            <w:vAlign w:val="bottom"/>
            <w:shd w:val="clear" w:color="auto" w:fill="E8E7E4"/>
          </w:tcPr>
          <w:p>
            <w:pPr>
              <w:spacing w:after="0"/>
              <w:rPr>
                <w:sz w:val="20"/>
                <w:szCs w:val="20"/>
                <w:color w:val="auto"/>
              </w:rPr>
            </w:pPr>
            <w:r>
              <w:rPr>
                <w:rFonts w:ascii="Arial" w:cs="Arial" w:eastAsia="Arial" w:hAnsi="Arial"/>
                <w:sz w:val="18"/>
                <w:szCs w:val="18"/>
                <w:color w:val="231F20"/>
              </w:rPr>
              <w:t>Depreciation and amortization of real estate assets</w:t>
            </w:r>
          </w:p>
        </w:tc>
        <w:tc>
          <w:tcPr>
            <w:tcW w:w="340" w:type="dxa"/>
            <w:vAlign w:val="bottom"/>
            <w:gridSpan w:val="2"/>
            <w:shd w:val="clear" w:color="auto" w:fill="E8E7E4"/>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285,689</w:t>
            </w:r>
          </w:p>
        </w:tc>
        <w:tc>
          <w:tcPr>
            <w:tcW w:w="3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266,741</w:t>
            </w:r>
          </w:p>
        </w:tc>
        <w:tc>
          <w:tcPr>
            <w:tcW w:w="28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243,711</w:t>
            </w:r>
          </w:p>
        </w:tc>
        <w:tc>
          <w:tcPr>
            <w:tcW w:w="20" w:type="dxa"/>
            <w:vAlign w:val="bottom"/>
            <w:shd w:val="clear" w:color="auto" w:fill="E8E7E4"/>
          </w:tcPr>
          <w:p>
            <w:pPr>
              <w:spacing w:after="0"/>
              <w:rPr>
                <w:sz w:val="20"/>
                <w:szCs w:val="20"/>
                <w:color w:val="auto"/>
              </w:rPr>
            </w:pPr>
          </w:p>
        </w:tc>
      </w:tr>
      <w:tr>
        <w:trPr>
          <w:trHeight w:val="225"/>
        </w:trPr>
        <w:tc>
          <w:tcPr>
            <w:tcW w:w="7000" w:type="dxa"/>
            <w:vAlign w:val="bottom"/>
          </w:tcPr>
          <w:p>
            <w:pPr>
              <w:spacing w:after="0"/>
              <w:rPr>
                <w:sz w:val="20"/>
                <w:szCs w:val="20"/>
                <w:color w:val="auto"/>
              </w:rPr>
            </w:pPr>
            <w:r>
              <w:rPr>
                <w:rFonts w:ascii="Arial" w:cs="Arial" w:eastAsia="Arial" w:hAnsi="Arial"/>
                <w:sz w:val="18"/>
                <w:szCs w:val="18"/>
                <w:color w:val="231F20"/>
              </w:rPr>
              <w:t>Amortization of initial direct costs of leases</w:t>
            </w:r>
          </w:p>
        </w:tc>
        <w:tc>
          <w:tcPr>
            <w:tcW w:w="340" w:type="dxa"/>
            <w:vAlign w:val="bottom"/>
            <w:gridSpan w:val="2"/>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31,208</w:t>
            </w:r>
          </w:p>
        </w:tc>
        <w:tc>
          <w:tcPr>
            <w:tcW w:w="34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27,268</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26,051</w:t>
            </w:r>
          </w:p>
        </w:tc>
        <w:tc>
          <w:tcPr>
            <w:tcW w:w="20" w:type="dxa"/>
            <w:vAlign w:val="bottom"/>
          </w:tcPr>
          <w:p>
            <w:pPr>
              <w:spacing w:after="0"/>
              <w:rPr>
                <w:sz w:val="19"/>
                <w:szCs w:val="19"/>
                <w:color w:val="auto"/>
              </w:rPr>
            </w:pPr>
          </w:p>
        </w:tc>
      </w:tr>
      <w:tr>
        <w:trPr>
          <w:trHeight w:val="74"/>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231F20"/>
            </w:tcBorders>
          </w:tcPr>
          <w:p>
            <w:pPr>
              <w:spacing w:after="0"/>
              <w:rPr>
                <w:sz w:val="6"/>
                <w:szCs w:val="6"/>
                <w:color w:val="auto"/>
              </w:rPr>
            </w:pPr>
          </w:p>
        </w:tc>
        <w:tc>
          <w:tcPr>
            <w:tcW w:w="66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c>
          <w:tcPr>
            <w:tcW w:w="340" w:type="dxa"/>
            <w:vAlign w:val="bottom"/>
            <w:tcBorders>
              <w:bottom w:val="single" w:sz="8" w:color="231F20"/>
            </w:tcBorders>
          </w:tcPr>
          <w:p>
            <w:pPr>
              <w:spacing w:after="0"/>
              <w:rPr>
                <w:sz w:val="6"/>
                <w:szCs w:val="6"/>
                <w:color w:val="auto"/>
              </w:rPr>
            </w:pPr>
          </w:p>
        </w:tc>
        <w:tc>
          <w:tcPr>
            <w:tcW w:w="640" w:type="dxa"/>
            <w:vAlign w:val="bottom"/>
            <w:tcBorders>
              <w:bottom w:val="single" w:sz="8" w:color="231F20"/>
            </w:tcBorders>
          </w:tcPr>
          <w:p>
            <w:pPr>
              <w:spacing w:after="0"/>
              <w:rPr>
                <w:sz w:val="6"/>
                <w:szCs w:val="6"/>
                <w:color w:val="auto"/>
              </w:rPr>
            </w:pPr>
          </w:p>
        </w:tc>
        <w:tc>
          <w:tcPr>
            <w:tcW w:w="40" w:type="dxa"/>
            <w:vAlign w:val="bottom"/>
            <w:tcBorders>
              <w:bottom w:val="single" w:sz="8" w:color="231F20"/>
            </w:tcBorders>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19"/>
        </w:trPr>
        <w:tc>
          <w:tcPr>
            <w:tcW w:w="7000" w:type="dxa"/>
            <w:vAlign w:val="bottom"/>
            <w:shd w:val="clear" w:color="auto" w:fill="E8E7E4"/>
          </w:tcPr>
          <w:p>
            <w:pPr>
              <w:ind w:left="180"/>
              <w:spacing w:after="0"/>
              <w:rPr>
                <w:sz w:val="20"/>
                <w:szCs w:val="20"/>
                <w:color w:val="auto"/>
              </w:rPr>
            </w:pPr>
            <w:r>
              <w:rPr>
                <w:rFonts w:ascii="Arial" w:cs="Arial" w:eastAsia="Arial" w:hAnsi="Arial"/>
                <w:sz w:val="18"/>
                <w:szCs w:val="18"/>
                <w:color w:val="231F20"/>
              </w:rPr>
              <w:t>Funds from operations</w:t>
            </w:r>
          </w:p>
        </w:tc>
        <w:tc>
          <w:tcPr>
            <w:tcW w:w="340" w:type="dxa"/>
            <w:vAlign w:val="bottom"/>
            <w:gridSpan w:val="2"/>
            <w:shd w:val="clear" w:color="auto" w:fill="E8E7E4"/>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544,001</w:t>
            </w:r>
          </w:p>
        </w:tc>
        <w:tc>
          <w:tcPr>
            <w:tcW w:w="3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515,643</w:t>
            </w:r>
          </w:p>
        </w:tc>
        <w:tc>
          <w:tcPr>
            <w:tcW w:w="28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441,368</w:t>
            </w:r>
          </w:p>
        </w:tc>
        <w:tc>
          <w:tcPr>
            <w:tcW w:w="20" w:type="dxa"/>
            <w:vAlign w:val="bottom"/>
            <w:shd w:val="clear" w:color="auto" w:fill="E8E7E4"/>
          </w:tcPr>
          <w:p>
            <w:pPr>
              <w:spacing w:after="0"/>
              <w:rPr>
                <w:sz w:val="19"/>
                <w:szCs w:val="19"/>
                <w:color w:val="auto"/>
              </w:rPr>
            </w:pPr>
          </w:p>
        </w:tc>
      </w:tr>
      <w:tr>
        <w:trPr>
          <w:trHeight w:val="229"/>
        </w:trPr>
        <w:tc>
          <w:tcPr>
            <w:tcW w:w="7000" w:type="dxa"/>
            <w:vAlign w:val="bottom"/>
          </w:tcPr>
          <w:p>
            <w:pPr>
              <w:spacing w:after="0" w:line="229" w:lineRule="exact"/>
              <w:rPr>
                <w:sz w:val="20"/>
                <w:szCs w:val="20"/>
                <w:color w:val="auto"/>
              </w:rPr>
            </w:pPr>
            <w:r>
              <w:rPr>
                <w:rFonts w:ascii="Arial" w:cs="Arial" w:eastAsia="Arial" w:hAnsi="Arial"/>
                <w:sz w:val="18"/>
                <w:szCs w:val="18"/>
                <w:color w:val="231F20"/>
              </w:rPr>
              <w:t>Dividends on preferred shares</w:t>
            </w:r>
            <w:r>
              <w:rPr>
                <w:rFonts w:ascii="Arial" w:cs="Arial" w:eastAsia="Arial" w:hAnsi="Arial"/>
                <w:sz w:val="23"/>
                <w:szCs w:val="23"/>
                <w:color w:val="231F20"/>
                <w:vertAlign w:val="superscript"/>
              </w:rPr>
              <w:t>(1)</w:t>
            </w:r>
          </w:p>
        </w:tc>
        <w:tc>
          <w:tcPr>
            <w:tcW w:w="340" w:type="dxa"/>
            <w:vAlign w:val="bottom"/>
            <w:gridSpan w:val="2"/>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(7,500)</w:t>
            </w:r>
          </w:p>
        </w:tc>
        <w:tc>
          <w:tcPr>
            <w:tcW w:w="34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(7,500)</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(8,042)</w:t>
            </w:r>
          </w:p>
        </w:tc>
        <w:tc>
          <w:tcPr>
            <w:tcW w:w="20" w:type="dxa"/>
            <w:vAlign w:val="bottom"/>
          </w:tcPr>
          <w:p>
            <w:pPr>
              <w:spacing w:after="0"/>
              <w:rPr>
                <w:sz w:val="19"/>
                <w:szCs w:val="19"/>
                <w:color w:val="auto"/>
              </w:rPr>
            </w:pPr>
          </w:p>
        </w:tc>
      </w:tr>
      <w:tr>
        <w:trPr>
          <w:trHeight w:val="229"/>
        </w:trPr>
        <w:tc>
          <w:tcPr>
            <w:tcW w:w="7000" w:type="dxa"/>
            <w:vAlign w:val="bottom"/>
            <w:shd w:val="clear" w:color="auto" w:fill="E8E7E4"/>
          </w:tcPr>
          <w:p>
            <w:pPr>
              <w:spacing w:after="0"/>
              <w:rPr>
                <w:sz w:val="20"/>
                <w:szCs w:val="20"/>
                <w:color w:val="auto"/>
              </w:rPr>
            </w:pPr>
            <w:r>
              <w:rPr>
                <w:rFonts w:ascii="Arial" w:cs="Arial" w:eastAsia="Arial" w:hAnsi="Arial"/>
                <w:sz w:val="18"/>
                <w:szCs w:val="18"/>
                <w:color w:val="231F20"/>
              </w:rPr>
              <w:t>Income attributable to downREIT operating partnership units</w:t>
            </w:r>
          </w:p>
        </w:tc>
        <w:tc>
          <w:tcPr>
            <w:tcW w:w="340" w:type="dxa"/>
            <w:vAlign w:val="bottom"/>
            <w:gridSpan w:val="2"/>
            <w:shd w:val="clear" w:color="auto" w:fill="E8E7E4"/>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rPr>
              <w:t>2,767</w:t>
            </w:r>
          </w:p>
        </w:tc>
        <w:tc>
          <w:tcPr>
            <w:tcW w:w="3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rPr>
              <w:t>2,810</w:t>
            </w:r>
          </w:p>
        </w:tc>
        <w:tc>
          <w:tcPr>
            <w:tcW w:w="28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2,998</w:t>
            </w:r>
          </w:p>
        </w:tc>
        <w:tc>
          <w:tcPr>
            <w:tcW w:w="20" w:type="dxa"/>
            <w:vAlign w:val="bottom"/>
            <w:shd w:val="clear" w:color="auto" w:fill="E8E7E4"/>
          </w:tcPr>
          <w:p>
            <w:pPr>
              <w:spacing w:after="0"/>
              <w:rPr>
                <w:sz w:val="19"/>
                <w:szCs w:val="19"/>
                <w:color w:val="auto"/>
              </w:rPr>
            </w:pPr>
          </w:p>
        </w:tc>
      </w:tr>
      <w:tr>
        <w:trPr>
          <w:trHeight w:val="225"/>
        </w:trPr>
        <w:tc>
          <w:tcPr>
            <w:tcW w:w="7000" w:type="dxa"/>
            <w:vAlign w:val="bottom"/>
          </w:tcPr>
          <w:p>
            <w:pPr>
              <w:spacing w:after="0"/>
              <w:rPr>
                <w:sz w:val="20"/>
                <w:szCs w:val="20"/>
                <w:color w:val="auto"/>
              </w:rPr>
            </w:pPr>
            <w:r>
              <w:rPr>
                <w:rFonts w:ascii="Arial" w:cs="Arial" w:eastAsia="Arial" w:hAnsi="Arial"/>
                <w:sz w:val="18"/>
                <w:szCs w:val="18"/>
                <w:color w:val="231F20"/>
              </w:rPr>
              <w:t>Income attributable to unvested shares</w:t>
            </w:r>
          </w:p>
        </w:tc>
        <w:tc>
          <w:tcPr>
            <w:tcW w:w="340" w:type="dxa"/>
            <w:vAlign w:val="bottom"/>
            <w:gridSpan w:val="2"/>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(1,955)</w:t>
            </w:r>
          </w:p>
        </w:tc>
        <w:tc>
          <w:tcPr>
            <w:tcW w:w="34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(1,797)</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(1,581)</w:t>
            </w:r>
          </w:p>
        </w:tc>
        <w:tc>
          <w:tcPr>
            <w:tcW w:w="20" w:type="dxa"/>
            <w:vAlign w:val="bottom"/>
          </w:tcPr>
          <w:p>
            <w:pPr>
              <w:spacing w:after="0"/>
              <w:rPr>
                <w:sz w:val="19"/>
                <w:szCs w:val="19"/>
                <w:color w:val="auto"/>
              </w:rPr>
            </w:pPr>
          </w:p>
        </w:tc>
      </w:tr>
      <w:tr>
        <w:trPr>
          <w:trHeight w:val="74"/>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231F20"/>
            </w:tcBorders>
          </w:tcPr>
          <w:p>
            <w:pPr>
              <w:spacing w:after="0"/>
              <w:rPr>
                <w:sz w:val="6"/>
                <w:szCs w:val="6"/>
                <w:color w:val="auto"/>
              </w:rPr>
            </w:pPr>
          </w:p>
        </w:tc>
        <w:tc>
          <w:tcPr>
            <w:tcW w:w="66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c>
          <w:tcPr>
            <w:tcW w:w="340" w:type="dxa"/>
            <w:vAlign w:val="bottom"/>
            <w:tcBorders>
              <w:bottom w:val="single" w:sz="8" w:color="231F20"/>
            </w:tcBorders>
          </w:tcPr>
          <w:p>
            <w:pPr>
              <w:spacing w:after="0"/>
              <w:rPr>
                <w:sz w:val="6"/>
                <w:szCs w:val="6"/>
                <w:color w:val="auto"/>
              </w:rPr>
            </w:pPr>
          </w:p>
        </w:tc>
        <w:tc>
          <w:tcPr>
            <w:tcW w:w="640" w:type="dxa"/>
            <w:vAlign w:val="bottom"/>
            <w:tcBorders>
              <w:bottom w:val="single" w:sz="8" w:color="231F20"/>
            </w:tcBorders>
          </w:tcPr>
          <w:p>
            <w:pPr>
              <w:spacing w:after="0"/>
              <w:rPr>
                <w:sz w:val="6"/>
                <w:szCs w:val="6"/>
                <w:color w:val="auto"/>
              </w:rPr>
            </w:pPr>
          </w:p>
        </w:tc>
        <w:tc>
          <w:tcPr>
            <w:tcW w:w="40" w:type="dxa"/>
            <w:vAlign w:val="bottom"/>
            <w:tcBorders>
              <w:bottom w:val="single" w:sz="8" w:color="231F20"/>
            </w:tcBorders>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19"/>
        </w:trPr>
        <w:tc>
          <w:tcPr>
            <w:tcW w:w="7000" w:type="dxa"/>
            <w:vAlign w:val="bottom"/>
            <w:shd w:val="clear" w:color="auto" w:fill="E8E7E4"/>
          </w:tcPr>
          <w:p>
            <w:pPr>
              <w:ind w:left="180"/>
              <w:spacing w:after="0"/>
              <w:rPr>
                <w:sz w:val="20"/>
                <w:szCs w:val="20"/>
                <w:color w:val="auto"/>
              </w:rPr>
            </w:pPr>
            <w:r>
              <w:rPr>
                <w:rFonts w:ascii="Arial" w:cs="Arial" w:eastAsia="Arial" w:hAnsi="Arial"/>
                <w:sz w:val="18"/>
                <w:szCs w:val="18"/>
                <w:color w:val="231F20"/>
              </w:rPr>
              <w:t>Funds from operations available for common shareholders</w:t>
            </w:r>
          </w:p>
        </w:tc>
        <w:tc>
          <w:tcPr>
            <w:tcW w:w="340" w:type="dxa"/>
            <w:vAlign w:val="bottom"/>
            <w:gridSpan w:val="2"/>
            <w:shd w:val="clear" w:color="auto" w:fill="E8E7E4"/>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537,313</w:t>
            </w:r>
          </w:p>
        </w:tc>
        <w:tc>
          <w:tcPr>
            <w:tcW w:w="3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w w:val="98"/>
              </w:rPr>
              <w:t>509,156</w:t>
            </w:r>
          </w:p>
        </w:tc>
        <w:tc>
          <w:tcPr>
            <w:tcW w:w="28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434,743</w:t>
            </w:r>
          </w:p>
        </w:tc>
        <w:tc>
          <w:tcPr>
            <w:tcW w:w="20" w:type="dxa"/>
            <w:vAlign w:val="bottom"/>
            <w:shd w:val="clear" w:color="auto" w:fill="E8E7E4"/>
          </w:tcPr>
          <w:p>
            <w:pPr>
              <w:spacing w:after="0"/>
              <w:rPr>
                <w:sz w:val="19"/>
                <w:szCs w:val="19"/>
                <w:color w:val="auto"/>
              </w:rPr>
            </w:pPr>
          </w:p>
        </w:tc>
      </w:tr>
      <w:tr>
        <w:trPr>
          <w:trHeight w:val="70"/>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gridSpan w:val="2"/>
          </w:tcPr>
          <w:p>
            <w:pPr>
              <w:spacing w:after="0"/>
              <w:rPr>
                <w:sz w:val="6"/>
                <w:szCs w:val="6"/>
                <w:color w:val="auto"/>
              </w:rPr>
            </w:pPr>
          </w:p>
        </w:tc>
        <w:tc>
          <w:tcPr>
            <w:tcW w:w="34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gridSpan w:val="2"/>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gridSpan w:val="2"/>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gridSpan w:val="2"/>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r>
      <w:tr>
        <w:trPr>
          <w:trHeight w:val="286"/>
        </w:trPr>
        <w:tc>
          <w:tcPr>
            <w:tcW w:w="7000" w:type="dxa"/>
            <w:vAlign w:val="bottom"/>
          </w:tcPr>
          <w:p>
            <w:pPr>
              <w:spacing w:after="0"/>
              <w:rPr>
                <w:sz w:val="20"/>
                <w:szCs w:val="20"/>
                <w:color w:val="auto"/>
              </w:rPr>
            </w:pPr>
            <w:r>
              <w:rPr>
                <w:rFonts w:ascii="Arial" w:cs="Arial" w:eastAsia="Arial" w:hAnsi="Arial"/>
                <w:sz w:val="18"/>
                <w:szCs w:val="18"/>
                <w:color w:val="231F20"/>
              </w:rPr>
              <w:t>Weighted average number of common shares, diluted</w:t>
            </w:r>
            <w:r>
              <w:rPr>
                <w:rFonts w:ascii="Arial" w:cs="Arial" w:eastAsia="Arial" w:hAnsi="Arial"/>
                <w:sz w:val="23"/>
                <w:szCs w:val="23"/>
                <w:color w:val="231F20"/>
                <w:vertAlign w:val="superscript"/>
              </w:rPr>
              <w:t>(1)(2)</w:t>
            </w:r>
          </w:p>
        </w:tc>
        <w:tc>
          <w:tcPr>
            <w:tcW w:w="20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gridSpan w:val="2"/>
          </w:tcPr>
          <w:p>
            <w:pPr>
              <w:jc w:val="right"/>
              <w:ind w:right="20"/>
              <w:spacing w:after="0"/>
              <w:rPr>
                <w:sz w:val="20"/>
                <w:szCs w:val="20"/>
                <w:color w:val="auto"/>
              </w:rPr>
            </w:pPr>
            <w:r>
              <w:rPr>
                <w:rFonts w:ascii="Arial" w:cs="Arial" w:eastAsia="Arial" w:hAnsi="Arial"/>
                <w:sz w:val="18"/>
                <w:szCs w:val="18"/>
                <w:color w:val="231F20"/>
              </w:rPr>
              <w:t>82,044</w:t>
            </w:r>
          </w:p>
        </w:tc>
        <w:tc>
          <w:tcPr>
            <w:tcW w:w="3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gridSpan w:val="2"/>
          </w:tcPr>
          <w:p>
            <w:pPr>
              <w:jc w:val="right"/>
              <w:ind w:right="20"/>
              <w:spacing w:after="0"/>
              <w:rPr>
                <w:sz w:val="20"/>
                <w:szCs w:val="20"/>
                <w:color w:val="auto"/>
              </w:rPr>
            </w:pPr>
            <w:r>
              <w:rPr>
                <w:rFonts w:ascii="Arial" w:cs="Arial" w:eastAsia="Arial" w:hAnsi="Arial"/>
                <w:sz w:val="18"/>
                <w:szCs w:val="18"/>
                <w:color w:val="231F20"/>
              </w:rPr>
              <w:t>80,603</w:t>
            </w:r>
          </w:p>
        </w:tc>
        <w:tc>
          <w:tcPr>
            <w:tcW w:w="28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Arial" w:cs="Arial" w:eastAsia="Arial" w:hAnsi="Arial"/>
                <w:sz w:val="18"/>
                <w:szCs w:val="18"/>
                <w:color w:val="231F20"/>
              </w:rPr>
              <w:t>78,072</w:t>
            </w:r>
          </w:p>
        </w:tc>
        <w:tc>
          <w:tcPr>
            <w:tcW w:w="20" w:type="dxa"/>
            <w:vAlign w:val="bottom"/>
            <w:tcBorders>
              <w:bottom w:val="single" w:sz="8" w:color="231F20"/>
            </w:tcBorders>
          </w:tcPr>
          <w:p>
            <w:pPr>
              <w:spacing w:after="0"/>
              <w:rPr>
                <w:sz w:val="24"/>
                <w:szCs w:val="24"/>
                <w:color w:val="auto"/>
              </w:rPr>
            </w:pPr>
          </w:p>
        </w:tc>
      </w:tr>
      <w:tr>
        <w:trPr>
          <w:trHeight w:val="23"/>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r>
      <w:tr>
        <w:trPr>
          <w:trHeight w:val="219"/>
        </w:trPr>
        <w:tc>
          <w:tcPr>
            <w:tcW w:w="7000" w:type="dxa"/>
            <w:vAlign w:val="bottom"/>
            <w:shd w:val="clear" w:color="auto" w:fill="E8E7E4"/>
          </w:tcPr>
          <w:p>
            <w:pPr>
              <w:spacing w:after="0"/>
              <w:rPr>
                <w:sz w:val="20"/>
                <w:szCs w:val="20"/>
                <w:color w:val="auto"/>
              </w:rPr>
            </w:pPr>
            <w:r>
              <w:rPr>
                <w:rFonts w:ascii="Arial" w:cs="Arial" w:eastAsia="Arial" w:hAnsi="Arial"/>
                <w:sz w:val="18"/>
                <w:szCs w:val="18"/>
                <w:color w:val="231F20"/>
              </w:rPr>
              <w:t>Funds from operations available for common shareholders, per diluted share</w:t>
            </w:r>
          </w:p>
        </w:tc>
        <w:tc>
          <w:tcPr>
            <w:tcW w:w="340" w:type="dxa"/>
            <w:vAlign w:val="bottom"/>
            <w:gridSpan w:val="2"/>
            <w:shd w:val="clear" w:color="auto" w:fill="E8E7E4"/>
          </w:tcPr>
          <w:p>
            <w:pPr>
              <w:ind w:left="240"/>
              <w:spacing w:after="0"/>
              <w:rPr>
                <w:sz w:val="20"/>
                <w:szCs w:val="20"/>
                <w:color w:val="auto"/>
              </w:rPr>
            </w:pPr>
            <w:r>
              <w:rPr>
                <w:rFonts w:ascii="Arial" w:cs="Arial" w:eastAsia="Arial" w:hAnsi="Arial"/>
                <w:sz w:val="18"/>
                <w:szCs w:val="18"/>
                <w:color w:val="231F20"/>
                <w:w w:val="79"/>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rPr>
              <w:t>6.55</w:t>
            </w:r>
          </w:p>
        </w:tc>
        <w:tc>
          <w:tcPr>
            <w:tcW w:w="3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4"/>
          </w:tcPr>
          <w:p>
            <w:pPr>
              <w:jc w:val="right"/>
              <w:ind w:right="20"/>
              <w:spacing w:after="0"/>
              <w:rPr>
                <w:sz w:val="20"/>
                <w:szCs w:val="20"/>
                <w:color w:val="auto"/>
              </w:rPr>
            </w:pPr>
            <w:r>
              <w:rPr>
                <w:rFonts w:ascii="Arial" w:cs="Arial" w:eastAsia="Arial" w:hAnsi="Arial"/>
                <w:sz w:val="18"/>
                <w:szCs w:val="18"/>
                <w:color w:val="231F20"/>
              </w:rPr>
              <w:t>6.32</w:t>
            </w:r>
          </w:p>
        </w:tc>
        <w:tc>
          <w:tcPr>
            <w:tcW w:w="28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4"/>
          </w:tcPr>
          <w:p>
            <w:pPr>
              <w:jc w:val="right"/>
              <w:spacing w:after="0"/>
              <w:rPr>
                <w:sz w:val="20"/>
                <w:szCs w:val="20"/>
                <w:color w:val="auto"/>
              </w:rPr>
            </w:pPr>
            <w:r>
              <w:rPr>
                <w:rFonts w:ascii="Arial" w:cs="Arial" w:eastAsia="Arial" w:hAnsi="Arial"/>
                <w:sz w:val="18"/>
                <w:szCs w:val="18"/>
                <w:color w:val="231F20"/>
              </w:rPr>
              <w:t>5.57</w:t>
            </w:r>
          </w:p>
        </w:tc>
        <w:tc>
          <w:tcPr>
            <w:tcW w:w="20" w:type="dxa"/>
            <w:vAlign w:val="bottom"/>
            <w:shd w:val="clear" w:color="auto" w:fill="E8E7E4"/>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09600"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48pt,7.75pt" o:allowincell="f" strokecolor="#231F20" strokeweight="0.5pt"/>
            </w:pict>
          </mc:Fallback>
        </mc:AlternateContent>
      </w:r>
    </w:p>
    <w:p>
      <w:pPr>
        <w:spacing w:after="0" w:line="179" w:lineRule="exact"/>
        <w:rPr>
          <w:sz w:val="20"/>
          <w:szCs w:val="20"/>
          <w:color w:val="auto"/>
        </w:rPr>
      </w:pPr>
    </w:p>
    <w:p>
      <w:pPr>
        <w:jc w:val="both"/>
        <w:ind w:left="360" w:hanging="360"/>
        <w:spacing w:after="0" w:line="215" w:lineRule="auto"/>
        <w:tabs>
          <w:tab w:leader="none" w:pos="360" w:val="left"/>
        </w:tabs>
        <w:numPr>
          <w:ilvl w:val="0"/>
          <w:numId w:val="167"/>
        </w:numPr>
        <w:rPr>
          <w:rFonts w:ascii="Arial" w:cs="Arial" w:eastAsia="Arial" w:hAnsi="Arial"/>
          <w:sz w:val="23"/>
          <w:szCs w:val="23"/>
          <w:color w:val="231F20"/>
          <w:vertAlign w:val="superscript"/>
        </w:rPr>
      </w:pPr>
      <w:r>
        <w:rPr>
          <w:rFonts w:ascii="Arial" w:cs="Arial" w:eastAsia="Arial" w:hAnsi="Arial"/>
          <w:sz w:val="18"/>
          <w:szCs w:val="18"/>
          <w:color w:val="231F20"/>
        </w:rPr>
        <w:t>For the years ended December 31, 2023 and 2022, dividends on our Series 1 preferred stock were not deducted in the calculation of FFO available to common shareholders, as the related shares were dilutive and included in “weighted average number of common shares, diluted.”</w:t>
      </w:r>
    </w:p>
    <w:p>
      <w:pPr>
        <w:spacing w:after="0" w:line="4" w:lineRule="exact"/>
        <w:rPr>
          <w:rFonts w:ascii="Arial" w:cs="Arial" w:eastAsia="Arial" w:hAnsi="Arial"/>
          <w:sz w:val="23"/>
          <w:szCs w:val="23"/>
          <w:color w:val="231F20"/>
          <w:vertAlign w:val="superscript"/>
        </w:rPr>
      </w:pPr>
    </w:p>
    <w:p>
      <w:pPr>
        <w:jc w:val="both"/>
        <w:ind w:left="360" w:hanging="360"/>
        <w:spacing w:after="0" w:line="220" w:lineRule="auto"/>
        <w:tabs>
          <w:tab w:leader="none" w:pos="360" w:val="left"/>
        </w:tabs>
        <w:numPr>
          <w:ilvl w:val="0"/>
          <w:numId w:val="167"/>
        </w:numPr>
        <w:rPr>
          <w:rFonts w:ascii="Arial" w:cs="Arial" w:eastAsia="Arial" w:hAnsi="Arial"/>
          <w:sz w:val="23"/>
          <w:szCs w:val="23"/>
          <w:color w:val="231F20"/>
          <w:vertAlign w:val="superscript"/>
        </w:rPr>
      </w:pPr>
      <w:r>
        <w:rPr>
          <w:rFonts w:ascii="Arial" w:cs="Arial" w:eastAsia="Arial" w:hAnsi="Arial"/>
          <w:sz w:val="18"/>
          <w:szCs w:val="18"/>
          <w:color w:val="231F20"/>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2023 and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133985</wp:posOffset>
                </wp:positionV>
                <wp:extent cx="6400800" cy="17780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4"/>
                        </a:solidFill>
                      </wps:spPr>
                      <wps:bodyPr/>
                    </wps:wsp>
                  </a:graphicData>
                </a:graphic>
              </wp:anchor>
            </w:drawing>
          </mc:Choice>
          <mc:Fallback>
            <w:pict>
              <v:rect id="Shape 540" o:spid="_x0000_s1565" style="position:absolute;margin-left:0pt;margin-top:10.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4"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133985</wp:posOffset>
                </wp:positionV>
                <wp:extent cx="0" cy="17780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55pt" to="0.5pt,24.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6400800" cy="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5pt" to="504pt,11.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133985</wp:posOffset>
                </wp:positionV>
                <wp:extent cx="0" cy="17780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55pt" to="503.5pt,24.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305435</wp:posOffset>
                </wp:positionV>
                <wp:extent cx="6400800" cy="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05pt" to="504pt,24.05pt" o:allowincell="f" strokecolor="#231F20" strokeweight="1pt"/>
            </w:pict>
          </mc:Fallback>
        </mc:AlternateContent>
      </w:r>
    </w:p>
    <w:p>
      <w:pPr>
        <w:sectPr>
          <w:pgSz w:w="12240" w:h="15840" w:orient="portrait"/>
          <w:cols w:equalWidth="0" w:num="1">
            <w:col w:w="10080"/>
          </w:cols>
          <w:pgMar w:left="1080" w:top="1440" w:right="1080" w:bottom="944" w:gutter="0" w:footer="0" w:header="0"/>
        </w:sectPr>
      </w:pPr>
    </w:p>
    <w:p>
      <w:pPr>
        <w:spacing w:after="0" w:line="259" w:lineRule="exact"/>
        <w:rPr>
          <w:sz w:val="20"/>
          <w:szCs w:val="20"/>
          <w:color w:val="auto"/>
        </w:rPr>
      </w:pPr>
    </w:p>
    <w:p>
      <w:pPr>
        <w:ind w:left="6640"/>
        <w:spacing w:after="0"/>
        <w:tabs>
          <w:tab w:leader="none" w:pos="8000" w:val="left"/>
          <w:tab w:leader="none" w:pos="974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2024 Proxy Statement</w:t>
      </w:r>
      <w:r>
        <w:rPr>
          <w:sz w:val="20"/>
          <w:szCs w:val="20"/>
          <w:color w:val="auto"/>
        </w:rPr>
        <w:tab/>
      </w:r>
      <w:r>
        <w:rPr>
          <w:rFonts w:ascii="Arial" w:cs="Arial" w:eastAsia="Arial" w:hAnsi="Arial"/>
          <w:sz w:val="15"/>
          <w:szCs w:val="15"/>
          <w:color w:val="231F20"/>
        </w:rPr>
        <w:t>A-1</w:t>
      </w:r>
    </w:p>
    <w:p>
      <w:pPr>
        <w:sectPr>
          <w:pgSz w:w="12240" w:h="15840" w:orient="portrait"/>
          <w:cols w:equalWidth="0" w:num="1">
            <w:col w:w="10080"/>
          </w:cols>
          <w:pgMar w:left="1080" w:top="1440" w:right="1080" w:bottom="944" w:gutter="0" w:footer="0" w:header="0"/>
          <w:type w:val="continuous"/>
        </w:sectPr>
      </w:pPr>
    </w:p>
    <w:bookmarkStart w:id="169" w:name="page170"/>
    <w:bookmarkEnd w:id="169"/>
    <w:p>
      <w:pPr>
        <w:spacing w:after="0"/>
        <w:tabs>
          <w:tab w:leader="none" w:pos="8000" w:val="left"/>
          <w:tab w:leader="none" w:pos="9740" w:val="left"/>
        </w:tabs>
        <w:rPr>
          <w:sz w:val="20"/>
          <w:szCs w:val="20"/>
          <w:color w:val="auto"/>
        </w:rPr>
      </w:pPr>
    </w:p>
    <w:p>
      <w:pPr>
        <w:sectPr>
          <w:pgSz w:w="12240" w:h="15840" w:orient="portrait"/>
          <w:cols w:equalWidth="1" w:num="1" w:space="0"/>
          <w:pgMar w:left="1440" w:top="1440" w:right="1440" w:bottom="875" w:gutter="0" w:footer="0" w:header="0"/>
        </w:sectPr>
      </w:pPr>
    </w:p>
    <w:bookmarkStart w:id="170" w:name="page171"/>
    <w:bookmarkEnd w:id="170"/>
    <w:p>
      <w:pPr>
        <w:spacing w:after="0" w:line="130" w:lineRule="exact"/>
        <w:rPr>
          <w:sz w:val="20"/>
          <w:szCs w:val="20"/>
          <w:color w:val="auto"/>
        </w:rPr>
      </w:pPr>
    </w:p>
    <w:p>
      <w:pPr>
        <w:ind w:left="120" w:right="3840"/>
        <w:spacing w:after="0" w:line="233" w:lineRule="auto"/>
        <w:rPr>
          <w:sz w:val="20"/>
          <w:szCs w:val="20"/>
          <w:color w:val="auto"/>
        </w:rPr>
      </w:pPr>
      <w:r>
        <w:rPr>
          <w:rFonts w:ascii="Georgia Pro" w:cs="Georgia Pro" w:eastAsia="Georgia Pro" w:hAnsi="Georgia Pro"/>
          <w:sz w:val="99"/>
          <w:szCs w:val="99"/>
          <w:color w:val="262626"/>
        </w:rPr>
        <w:t>Corporate Information</w:t>
      </w:r>
    </w:p>
    <w:p>
      <w:pPr>
        <w:sectPr>
          <w:pgSz w:w="12240" w:h="15840" w:orient="portrait"/>
          <w:cols w:equalWidth="0" w:num="1">
            <w:col w:w="9360"/>
          </w:cols>
          <w:pgMar w:left="1440" w:top="1440" w:right="1440" w:bottom="971" w:gutter="0" w:footer="0" w:header="0"/>
        </w:sectPr>
      </w:pPr>
    </w:p>
    <w:p>
      <w:pPr>
        <w:spacing w:after="0" w:line="200" w:lineRule="exact"/>
        <w:rPr>
          <w:sz w:val="20"/>
          <w:szCs w:val="20"/>
          <w:color w:val="auto"/>
        </w:rPr>
      </w:pPr>
    </w:p>
    <w:p>
      <w:pPr>
        <w:spacing w:after="0" w:line="357" w:lineRule="exact"/>
        <w:rPr>
          <w:sz w:val="20"/>
          <w:szCs w:val="20"/>
          <w:color w:val="auto"/>
        </w:rPr>
      </w:pPr>
    </w:p>
    <w:p>
      <w:pPr>
        <w:ind w:left="120"/>
        <w:spacing w:after="0"/>
        <w:tabs>
          <w:tab w:leader="none" w:pos="1700" w:val="left"/>
        </w:tabs>
        <w:rPr>
          <w:sz w:val="20"/>
          <w:szCs w:val="20"/>
          <w:color w:val="auto"/>
        </w:rPr>
      </w:pPr>
      <w:r>
        <w:rPr>
          <w:rFonts w:ascii="Lucida Sans" w:cs="Lucida Sans" w:eastAsia="Lucida Sans" w:hAnsi="Lucida Sans"/>
          <w:sz w:val="16"/>
          <w:szCs w:val="16"/>
          <w:b w:val="1"/>
          <w:bCs w:val="1"/>
          <w:color w:val="EF3E2A"/>
        </w:rPr>
        <w:t>C O R P O R A T E</w:t>
        <w:tab/>
        <w:t>O F F I C E</w:t>
      </w:r>
    </w:p>
    <w:p>
      <w:pPr>
        <w:spacing w:after="0" w:line="151"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909 Rose Avenue, Suite 200</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North Bethesda, MD 20852</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301.998.8100</w:t>
      </w:r>
    </w:p>
    <w:p>
      <w:pPr>
        <w:spacing w:after="0" w:line="392" w:lineRule="exact"/>
        <w:rPr>
          <w:sz w:val="20"/>
          <w:szCs w:val="20"/>
          <w:color w:val="auto"/>
        </w:rPr>
      </w:pPr>
    </w:p>
    <w:p>
      <w:pPr>
        <w:ind w:left="120"/>
        <w:spacing w:after="0"/>
        <w:tabs>
          <w:tab w:leader="none" w:pos="1700" w:val="left"/>
        </w:tabs>
        <w:rPr>
          <w:sz w:val="20"/>
          <w:szCs w:val="20"/>
          <w:color w:val="auto"/>
        </w:rPr>
      </w:pPr>
      <w:r>
        <w:rPr>
          <w:rFonts w:ascii="Lucida Sans" w:cs="Lucida Sans" w:eastAsia="Lucida Sans" w:hAnsi="Lucida Sans"/>
          <w:sz w:val="16"/>
          <w:szCs w:val="16"/>
          <w:b w:val="1"/>
          <w:bCs w:val="1"/>
          <w:color w:val="EF3E2A"/>
        </w:rPr>
        <w:t>C O R P O R A T E</w:t>
        <w:tab/>
        <w:t>C O U N S E L</w:t>
      </w:r>
    </w:p>
    <w:p>
      <w:pPr>
        <w:spacing w:after="0" w:line="151" w:lineRule="exact"/>
        <w:rPr>
          <w:sz w:val="20"/>
          <w:szCs w:val="20"/>
          <w:color w:val="auto"/>
        </w:rPr>
      </w:pPr>
    </w:p>
    <w:p>
      <w:pPr>
        <w:ind w:left="120" w:right="1480"/>
        <w:spacing w:after="0" w:line="281" w:lineRule="auto"/>
        <w:rPr>
          <w:sz w:val="20"/>
          <w:szCs w:val="20"/>
          <w:color w:val="auto"/>
        </w:rPr>
      </w:pPr>
      <w:r>
        <w:rPr>
          <w:rFonts w:ascii="Lucida Sans" w:cs="Lucida Sans" w:eastAsia="Lucida Sans" w:hAnsi="Lucida Sans"/>
          <w:sz w:val="16"/>
          <w:szCs w:val="16"/>
          <w:color w:val="262626"/>
        </w:rPr>
        <w:t>Pillsbury Winthrop Shaw Pittman LLP Washington, DC</w:t>
      </w:r>
    </w:p>
    <w:p>
      <w:pPr>
        <w:spacing w:after="0" w:line="361" w:lineRule="exact"/>
        <w:rPr>
          <w:sz w:val="20"/>
          <w:szCs w:val="20"/>
          <w:color w:val="auto"/>
        </w:rPr>
      </w:pPr>
    </w:p>
    <w:p>
      <w:pPr>
        <w:ind w:left="120" w:right="940"/>
        <w:spacing w:after="0" w:line="278" w:lineRule="auto"/>
        <w:rPr>
          <w:sz w:val="20"/>
          <w:szCs w:val="20"/>
          <w:color w:val="auto"/>
        </w:rPr>
      </w:pPr>
      <w:r>
        <w:rPr>
          <w:rFonts w:ascii="Lucida Sans" w:cs="Lucida Sans" w:eastAsia="Lucida Sans" w:hAnsi="Lucida Sans"/>
          <w:sz w:val="16"/>
          <w:szCs w:val="16"/>
          <w:b w:val="1"/>
          <w:bCs w:val="1"/>
          <w:color w:val="EF3E2A"/>
        </w:rPr>
        <w:t>I N D E P E N D E N T R E G I S T E R E D P U B L I C A C C O U N T I N G F I R M</w:t>
      </w:r>
    </w:p>
    <w:p>
      <w:pPr>
        <w:spacing w:after="0" w:line="121"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Grant Thornton LLP</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New York, NY</w:t>
      </w:r>
    </w:p>
    <w:p>
      <w:pPr>
        <w:spacing w:after="0" w:line="392" w:lineRule="exact"/>
        <w:rPr>
          <w:sz w:val="20"/>
          <w:szCs w:val="20"/>
          <w:color w:val="auto"/>
        </w:rPr>
      </w:pPr>
    </w:p>
    <w:p>
      <w:pPr>
        <w:ind w:left="120"/>
        <w:spacing w:after="0"/>
        <w:tabs>
          <w:tab w:leader="none" w:pos="1480" w:val="left"/>
          <w:tab w:leader="none" w:pos="2420" w:val="left"/>
          <w:tab w:leader="none" w:pos="3040" w:val="left"/>
        </w:tabs>
        <w:rPr>
          <w:sz w:val="20"/>
          <w:szCs w:val="20"/>
          <w:color w:val="auto"/>
        </w:rPr>
      </w:pPr>
      <w:r>
        <w:rPr>
          <w:rFonts w:ascii="Lucida Sans" w:cs="Lucida Sans" w:eastAsia="Lucida Sans" w:hAnsi="Lucida Sans"/>
          <w:sz w:val="16"/>
          <w:szCs w:val="16"/>
          <w:b w:val="1"/>
          <w:bCs w:val="1"/>
          <w:color w:val="EF3E2A"/>
        </w:rPr>
        <w:t>T R A N S F E R</w:t>
        <w:tab/>
        <w:t>A G E N T</w:t>
        <w:tab/>
        <w:t>A N D</w:t>
        <w:tab/>
        <w:t>R E G I S T R A R</w:t>
      </w:r>
    </w:p>
    <w:p>
      <w:pPr>
        <w:spacing w:after="0" w:line="151"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Equiniti Trust Company, LLC (successor to</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American Stock Transfer and Trust Company)</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55 Challenger Road, Suite 200B, 2</w:t>
      </w:r>
      <w:r>
        <w:rPr>
          <w:rFonts w:ascii="Lucida Sans" w:cs="Lucida Sans" w:eastAsia="Lucida Sans" w:hAnsi="Lucida Sans"/>
          <w:sz w:val="20"/>
          <w:szCs w:val="20"/>
          <w:color w:val="262626"/>
          <w:vertAlign w:val="superscript"/>
        </w:rPr>
        <w:t>nd</w:t>
      </w:r>
      <w:r>
        <w:rPr>
          <w:rFonts w:ascii="Lucida Sans" w:cs="Lucida Sans" w:eastAsia="Lucida Sans" w:hAnsi="Lucida Sans"/>
          <w:sz w:val="16"/>
          <w:szCs w:val="16"/>
          <w:color w:val="262626"/>
        </w:rPr>
        <w:t xml:space="preserve"> Floor</w:t>
      </w:r>
    </w:p>
    <w:p>
      <w:pPr>
        <w:ind w:left="120"/>
        <w:spacing w:after="0" w:line="221" w:lineRule="auto"/>
        <w:rPr>
          <w:sz w:val="20"/>
          <w:szCs w:val="20"/>
          <w:color w:val="auto"/>
        </w:rPr>
      </w:pPr>
      <w:r>
        <w:rPr>
          <w:rFonts w:ascii="Lucida Sans" w:cs="Lucida Sans" w:eastAsia="Lucida Sans" w:hAnsi="Lucida Sans"/>
          <w:sz w:val="16"/>
          <w:szCs w:val="16"/>
          <w:color w:val="262626"/>
        </w:rPr>
        <w:t>Ridgefield Park, New Jersey 07660</w:t>
      </w:r>
    </w:p>
    <w:p>
      <w:pPr>
        <w:spacing w:after="0" w:line="31"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718.921.8124</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800.937.5449</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www.astfinancial.com</w:t>
      </w:r>
    </w:p>
    <w:p>
      <w:pPr>
        <w:spacing w:after="0" w:line="392" w:lineRule="exact"/>
        <w:rPr>
          <w:sz w:val="20"/>
          <w:szCs w:val="20"/>
          <w:color w:val="auto"/>
        </w:rPr>
      </w:pPr>
    </w:p>
    <w:p>
      <w:pPr>
        <w:ind w:left="120"/>
        <w:spacing w:after="0"/>
        <w:tabs>
          <w:tab w:leader="none" w:pos="1300" w:val="left"/>
          <w:tab w:leader="none" w:pos="2240" w:val="left"/>
        </w:tabs>
        <w:rPr>
          <w:sz w:val="20"/>
          <w:szCs w:val="20"/>
          <w:color w:val="auto"/>
        </w:rPr>
      </w:pPr>
      <w:r>
        <w:rPr>
          <w:rFonts w:ascii="Lucida Sans" w:cs="Lucida Sans" w:eastAsia="Lucida Sans" w:hAnsi="Lucida Sans"/>
          <w:sz w:val="16"/>
          <w:szCs w:val="16"/>
          <w:b w:val="1"/>
          <w:bCs w:val="1"/>
          <w:color w:val="EF3E2A"/>
        </w:rPr>
        <w:t>C O M M O N</w:t>
        <w:tab/>
        <w:t>S T O C K</w:t>
        <w:tab/>
        <w:t>L I S T I N G</w:t>
      </w:r>
    </w:p>
    <w:p>
      <w:pPr>
        <w:spacing w:after="0" w:line="151"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New York Stock Exchange</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Symbol: FRT</w:t>
      </w:r>
    </w:p>
    <w:p>
      <w:pPr>
        <w:spacing w:after="0" w:line="39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b w:val="1"/>
          <w:bCs w:val="1"/>
          <w:color w:val="EF3E2A"/>
        </w:rPr>
        <w:t>M E M B E R S H I P S</w:t>
      </w:r>
    </w:p>
    <w:p>
      <w:pPr>
        <w:spacing w:after="0" w:line="151"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International Council of Shopping Centers</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National Association of Real Estate Investment Trusts</w:t>
      </w:r>
    </w:p>
    <w:p>
      <w:pPr>
        <w:spacing w:after="0" w:line="32" w:lineRule="exact"/>
        <w:rPr>
          <w:sz w:val="20"/>
          <w:szCs w:val="20"/>
          <w:color w:val="auto"/>
        </w:rPr>
      </w:pPr>
    </w:p>
    <w:p>
      <w:pPr>
        <w:ind w:left="120"/>
        <w:spacing w:after="0"/>
        <w:rPr>
          <w:sz w:val="20"/>
          <w:szCs w:val="20"/>
          <w:color w:val="auto"/>
        </w:rPr>
      </w:pPr>
      <w:r>
        <w:rPr>
          <w:rFonts w:ascii="Lucida Sans" w:cs="Lucida Sans" w:eastAsia="Lucida Sans" w:hAnsi="Lucida Sans"/>
          <w:sz w:val="16"/>
          <w:szCs w:val="16"/>
          <w:color w:val="262626"/>
        </w:rPr>
        <w:t>Urban Land Institute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1100" w:val="left"/>
        </w:tabs>
        <w:rPr>
          <w:sz w:val="20"/>
          <w:szCs w:val="20"/>
          <w:color w:val="auto"/>
        </w:rPr>
      </w:pPr>
      <w:r>
        <w:rPr>
          <w:rFonts w:ascii="Lucida Sans" w:cs="Lucida Sans" w:eastAsia="Lucida Sans" w:hAnsi="Lucida Sans"/>
          <w:sz w:val="16"/>
          <w:szCs w:val="16"/>
          <w:b w:val="1"/>
          <w:bCs w:val="1"/>
          <w:color w:val="EF3E2A"/>
        </w:rPr>
        <w:t>A N N U A L</w:t>
        <w:tab/>
        <w:t>M E E T I N G</w:t>
      </w:r>
    </w:p>
    <w:p>
      <w:pPr>
        <w:spacing w:after="0" w:line="151" w:lineRule="exact"/>
        <w:rPr>
          <w:sz w:val="20"/>
          <w:szCs w:val="20"/>
          <w:color w:val="auto"/>
        </w:rPr>
      </w:pPr>
    </w:p>
    <w:p>
      <w:pPr>
        <w:ind w:right="340"/>
        <w:spacing w:after="0" w:line="280" w:lineRule="auto"/>
        <w:rPr>
          <w:sz w:val="20"/>
          <w:szCs w:val="20"/>
          <w:color w:val="auto"/>
        </w:rPr>
      </w:pPr>
      <w:r>
        <w:rPr>
          <w:rFonts w:ascii="Lucida Sans" w:cs="Lucida Sans" w:eastAsia="Lucida Sans" w:hAnsi="Lucida Sans"/>
          <w:sz w:val="16"/>
          <w:szCs w:val="16"/>
          <w:color w:val="262626"/>
        </w:rPr>
        <w:t>Federal Realty Investment Trust will hold its Annual Shareholder Meeting virtually at 9:00 a.m. on May 1, 2024.</w:t>
      </w:r>
    </w:p>
    <w:p>
      <w:pPr>
        <w:spacing w:after="0" w:line="361" w:lineRule="exact"/>
        <w:rPr>
          <w:sz w:val="20"/>
          <w:szCs w:val="20"/>
          <w:color w:val="auto"/>
        </w:rPr>
      </w:pPr>
    </w:p>
    <w:p>
      <w:pPr>
        <w:spacing w:after="0"/>
        <w:tabs>
          <w:tab w:leader="none" w:pos="1580" w:val="left"/>
        </w:tabs>
        <w:rPr>
          <w:sz w:val="20"/>
          <w:szCs w:val="20"/>
          <w:color w:val="auto"/>
        </w:rPr>
      </w:pPr>
      <w:r>
        <w:rPr>
          <w:rFonts w:ascii="Lucida Sans" w:cs="Lucida Sans" w:eastAsia="Lucida Sans" w:hAnsi="Lucida Sans"/>
          <w:sz w:val="16"/>
          <w:szCs w:val="16"/>
          <w:b w:val="1"/>
          <w:bCs w:val="1"/>
          <w:color w:val="EF3E2A"/>
        </w:rPr>
        <w:t>C O R P O R A T E</w:t>
        <w:tab/>
        <w:t>G O V E R N A N C E</w:t>
      </w:r>
    </w:p>
    <w:p>
      <w:pPr>
        <w:spacing w:after="0" w:line="151" w:lineRule="exact"/>
        <w:rPr>
          <w:sz w:val="20"/>
          <w:szCs w:val="20"/>
          <w:color w:val="auto"/>
        </w:rPr>
      </w:pPr>
    </w:p>
    <w:p>
      <w:pPr>
        <w:ind w:right="200"/>
        <w:spacing w:after="0" w:line="280" w:lineRule="auto"/>
        <w:rPr>
          <w:sz w:val="20"/>
          <w:szCs w:val="20"/>
          <w:color w:val="auto"/>
        </w:rPr>
      </w:pPr>
      <w:r>
        <w:rPr>
          <w:rFonts w:ascii="Lucida Sans" w:cs="Lucida Sans" w:eastAsia="Lucida Sans" w:hAnsi="Lucida Sans"/>
          <w:sz w:val="16"/>
          <w:szCs w:val="16"/>
          <w:color w:val="262626"/>
        </w:rPr>
        <w:t>The Trust’s Corporate Governance Guidelines and the charters for the Audit Committee, the Compensation and Human Capital Management Committee and the Nominating and Corporate Governance Committee are available in the Investors section of our website at www.federalrealty.com.</w:t>
      </w:r>
    </w:p>
    <w:p>
      <w:pPr>
        <w:spacing w:after="0" w:line="363" w:lineRule="exact"/>
        <w:rPr>
          <w:sz w:val="20"/>
          <w:szCs w:val="20"/>
          <w:color w:val="auto"/>
        </w:rPr>
      </w:pPr>
    </w:p>
    <w:p>
      <w:pPr>
        <w:ind w:right="540"/>
        <w:spacing w:after="0" w:line="278" w:lineRule="auto"/>
        <w:rPr>
          <w:sz w:val="20"/>
          <w:szCs w:val="20"/>
          <w:color w:val="auto"/>
        </w:rPr>
      </w:pPr>
      <w:r>
        <w:rPr>
          <w:rFonts w:ascii="Lucida Sans" w:cs="Lucida Sans" w:eastAsia="Lucida Sans" w:hAnsi="Lucida Sans"/>
          <w:sz w:val="16"/>
          <w:szCs w:val="16"/>
          <w:b w:val="1"/>
          <w:bCs w:val="1"/>
          <w:color w:val="EF3E2A"/>
        </w:rPr>
        <w:t>A U T O M A T I C C A S H I N V E S T M E N T A N D D I R E C T D E P O S I T</w:t>
      </w:r>
    </w:p>
    <w:p>
      <w:pPr>
        <w:spacing w:after="0" w:line="121" w:lineRule="exact"/>
        <w:rPr>
          <w:sz w:val="20"/>
          <w:szCs w:val="20"/>
          <w:color w:val="auto"/>
        </w:rPr>
      </w:pPr>
    </w:p>
    <w:p>
      <w:pPr>
        <w:ind w:right="140"/>
        <w:spacing w:after="0" w:line="270" w:lineRule="auto"/>
        <w:rPr>
          <w:sz w:val="20"/>
          <w:szCs w:val="20"/>
          <w:color w:val="auto"/>
        </w:rPr>
      </w:pPr>
      <w:r>
        <w:rPr>
          <w:rFonts w:ascii="Lucida Sans" w:cs="Lucida Sans" w:eastAsia="Lucida Sans" w:hAnsi="Lucida Sans"/>
          <w:sz w:val="16"/>
          <w:szCs w:val="16"/>
          <w:color w:val="262626"/>
        </w:rPr>
        <w:t>Federal Realty offers automatic cash investment, the option to automatically withdraw funds from a checking/savings or other bank account to purchase additional shares of FRT on the 1</w:t>
      </w:r>
      <w:r>
        <w:rPr>
          <w:rFonts w:ascii="Lucida Sans" w:cs="Lucida Sans" w:eastAsia="Lucida Sans" w:hAnsi="Lucida Sans"/>
          <w:sz w:val="20"/>
          <w:szCs w:val="20"/>
          <w:color w:val="262626"/>
          <w:vertAlign w:val="superscript"/>
        </w:rPr>
        <w:t>st</w:t>
      </w:r>
      <w:r>
        <w:rPr>
          <w:rFonts w:ascii="Lucida Sans" w:cs="Lucida Sans" w:eastAsia="Lucida Sans" w:hAnsi="Lucida Sans"/>
          <w:sz w:val="16"/>
          <w:szCs w:val="16"/>
          <w:color w:val="262626"/>
        </w:rPr>
        <w:t xml:space="preserve"> and 15</w:t>
      </w:r>
      <w:r>
        <w:rPr>
          <w:rFonts w:ascii="Lucida Sans" w:cs="Lucida Sans" w:eastAsia="Lucida Sans" w:hAnsi="Lucida Sans"/>
          <w:sz w:val="20"/>
          <w:szCs w:val="20"/>
          <w:color w:val="262626"/>
          <w:vertAlign w:val="superscript"/>
        </w:rPr>
        <w:t>th</w:t>
      </w:r>
      <w:r>
        <w:rPr>
          <w:rFonts w:ascii="Lucida Sans" w:cs="Lucida Sans" w:eastAsia="Lucida Sans" w:hAnsi="Lucida Sans"/>
          <w:sz w:val="16"/>
          <w:szCs w:val="16"/>
          <w:color w:val="262626"/>
        </w:rPr>
        <w:t xml:space="preserve"> of each month. Federal Realty also offers shareholders the option to directly deposit their dividends. To sign up for automatic cash investment or direct deposit, please call 800.937.5449 or visit www.equiniti.com.</w:t>
      </w:r>
    </w:p>
    <w:p>
      <w:pPr>
        <w:spacing w:after="0" w:line="372" w:lineRule="exact"/>
        <w:rPr>
          <w:sz w:val="20"/>
          <w:szCs w:val="20"/>
          <w:color w:val="auto"/>
        </w:rPr>
      </w:pPr>
    </w:p>
    <w:p>
      <w:pPr>
        <w:spacing w:after="0"/>
        <w:tabs>
          <w:tab w:leader="none" w:pos="1340" w:val="left"/>
        </w:tabs>
        <w:rPr>
          <w:sz w:val="20"/>
          <w:szCs w:val="20"/>
          <w:color w:val="auto"/>
        </w:rPr>
      </w:pPr>
      <w:r>
        <w:rPr>
          <w:rFonts w:ascii="Lucida Sans" w:cs="Lucida Sans" w:eastAsia="Lucida Sans" w:hAnsi="Lucida Sans"/>
          <w:sz w:val="16"/>
          <w:szCs w:val="16"/>
          <w:b w:val="1"/>
          <w:bCs w:val="1"/>
          <w:color w:val="EF3E2A"/>
        </w:rPr>
        <w:t>I N T E R N E T</w:t>
        <w:tab/>
        <w:t>|</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b w:val="1"/>
          <w:bCs w:val="1"/>
          <w:color w:val="EF3E2A"/>
        </w:rPr>
        <w:t>W W W . F E D E R A L R E A L T Y . C O M</w:t>
      </w:r>
    </w:p>
    <w:p>
      <w:pPr>
        <w:spacing w:after="0" w:line="151" w:lineRule="exact"/>
        <w:rPr>
          <w:sz w:val="20"/>
          <w:szCs w:val="20"/>
          <w:color w:val="auto"/>
        </w:rPr>
      </w:pPr>
    </w:p>
    <w:p>
      <w:pPr>
        <w:ind w:right="240"/>
        <w:spacing w:after="0" w:line="280" w:lineRule="auto"/>
        <w:rPr>
          <w:sz w:val="20"/>
          <w:szCs w:val="20"/>
          <w:color w:val="auto"/>
        </w:rPr>
      </w:pPr>
      <w:r>
        <w:rPr>
          <w:rFonts w:ascii="Lucida Sans" w:cs="Lucida Sans" w:eastAsia="Lucida Sans" w:hAnsi="Lucida Sans"/>
          <w:sz w:val="16"/>
          <w:szCs w:val="16"/>
          <w:color w:val="262626"/>
        </w:rPr>
        <w:t>Visitors to the site can search for and download Securities and Exchange Commission filings, review Federal Realty’s Dividend Reinvestment Plan, obtain current stock quotes, read recent press releases, and see a listing of our properties and the properties’ respective websites. Printed materials and email news alerts can also be requested.</w:t>
      </w:r>
    </w:p>
    <w:p>
      <w:pPr>
        <w:spacing w:after="0" w:line="362" w:lineRule="exact"/>
        <w:rPr>
          <w:sz w:val="20"/>
          <w:szCs w:val="20"/>
          <w:color w:val="auto"/>
        </w:rPr>
      </w:pPr>
    </w:p>
    <w:p>
      <w:pPr>
        <w:spacing w:after="0"/>
        <w:tabs>
          <w:tab w:leader="none" w:pos="1340" w:val="left"/>
          <w:tab w:leader="none" w:pos="2840" w:val="left"/>
        </w:tabs>
        <w:rPr>
          <w:sz w:val="20"/>
          <w:szCs w:val="20"/>
          <w:color w:val="auto"/>
        </w:rPr>
      </w:pPr>
      <w:r>
        <w:rPr>
          <w:rFonts w:ascii="Lucida Sans" w:cs="Lucida Sans" w:eastAsia="Lucida Sans" w:hAnsi="Lucida Sans"/>
          <w:sz w:val="16"/>
          <w:szCs w:val="16"/>
          <w:b w:val="1"/>
          <w:bCs w:val="1"/>
          <w:color w:val="EF3E2A"/>
        </w:rPr>
        <w:t>I N V E S T O R</w:t>
        <w:tab/>
        <w:t>R E L A T I O N S</w:t>
        <w:tab/>
        <w:t>C O N T A C T</w:t>
      </w:r>
    </w:p>
    <w:p>
      <w:pPr>
        <w:spacing w:after="0" w:line="151" w:lineRule="exact"/>
        <w:rPr>
          <w:sz w:val="20"/>
          <w:szCs w:val="20"/>
          <w:color w:val="auto"/>
        </w:rPr>
      </w:pPr>
    </w:p>
    <w:p>
      <w:pPr>
        <w:ind w:right="380"/>
        <w:spacing w:after="0" w:line="280" w:lineRule="auto"/>
        <w:rPr>
          <w:sz w:val="20"/>
          <w:szCs w:val="20"/>
          <w:color w:val="auto"/>
        </w:rPr>
      </w:pPr>
      <w:r>
        <w:rPr>
          <w:rFonts w:ascii="Lucida Sans" w:cs="Lucida Sans" w:eastAsia="Lucida Sans" w:hAnsi="Lucida Sans"/>
          <w:sz w:val="16"/>
          <w:szCs w:val="16"/>
          <w:color w:val="262626"/>
        </w:rPr>
        <w:t>You may communicate directly with Federal Realty’s Investor Relations department via telephone at 800.658.8980 or by email at IR@federalrealty.com.</w:t>
      </w:r>
    </w:p>
    <w:p>
      <w:pPr>
        <w:spacing w:after="0" w:line="200" w:lineRule="exact"/>
        <w:rPr>
          <w:sz w:val="20"/>
          <w:szCs w:val="20"/>
          <w:color w:val="auto"/>
        </w:rPr>
      </w:pPr>
    </w:p>
    <w:p>
      <w:pPr>
        <w:sectPr>
          <w:pgSz w:w="12240" w:h="15840" w:orient="portrait"/>
          <w:cols w:equalWidth="0" w:num="2">
            <w:col w:w="4420" w:space="500"/>
            <w:col w:w="4440"/>
          </w:cols>
          <w:pgMar w:left="1440" w:top="1440" w:right="1440" w:bottom="971" w:gutter="0" w:footer="0" w:header="0"/>
          <w:type w:val="continuous"/>
        </w:sectPr>
      </w:pPr>
    </w:p>
    <w:p>
      <w:pPr>
        <w:spacing w:after="0" w:line="107" w:lineRule="exact"/>
        <w:rPr>
          <w:sz w:val="20"/>
          <w:szCs w:val="20"/>
          <w:color w:val="auto"/>
        </w:rPr>
      </w:pPr>
    </w:p>
    <w:p>
      <w:pPr>
        <w:ind w:left="5180"/>
        <w:spacing w:after="0"/>
        <w:tabs>
          <w:tab w:leader="none" w:pos="6120" w:val="left"/>
          <w:tab w:leader="none" w:pos="6960" w:val="left"/>
          <w:tab w:leader="none" w:pos="7140" w:val="left"/>
          <w:tab w:leader="none" w:pos="804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tab/>
        <w:t xml:space="preserve">R E P O R T </w:t>
      </w:r>
      <w:r>
        <w:rPr>
          <w:rFonts w:ascii="Georgia Pro" w:cs="Georgia Pro" w:eastAsia="Georgia Pro" w:hAnsi="Georgia Pro"/>
          <w:sz w:val="14"/>
          <w:szCs w:val="14"/>
          <w:b w:val="1"/>
          <w:bCs w:val="1"/>
          <w:color w:val="F15638"/>
        </w:rPr>
        <w:t>2023</w:t>
      </w:r>
    </w:p>
    <w:p>
      <w:pPr>
        <w:sectPr>
          <w:pgSz w:w="12240" w:h="15840" w:orient="portrait"/>
          <w:cols w:equalWidth="0" w:num="1">
            <w:col w:w="9360"/>
          </w:cols>
          <w:pgMar w:left="1440" w:top="1440" w:right="1440" w:bottom="971" w:gutter="0" w:footer="0" w:header="0"/>
          <w:type w:val="continuous"/>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Georgia Pro" w:cs="Georgia Pro" w:eastAsia="Georgia Pro" w:hAnsi="Georgia Pro"/>
          <w:sz w:val="40"/>
          <w:szCs w:val="40"/>
          <w:color w:val="E8E7E5"/>
        </w:rPr>
        <w:t>Corporate</w:t>
      </w:r>
    </w:p>
    <w:p>
      <w:pPr>
        <w:ind w:left="120"/>
        <w:spacing w:after="0" w:line="213" w:lineRule="auto"/>
        <w:rPr>
          <w:sz w:val="20"/>
          <w:szCs w:val="20"/>
          <w:color w:val="auto"/>
        </w:rPr>
      </w:pPr>
      <w:r>
        <w:rPr>
          <w:rFonts w:ascii="Georgia Pro" w:cs="Georgia Pro" w:eastAsia="Georgia Pro" w:hAnsi="Georgia Pro"/>
          <w:sz w:val="40"/>
          <w:szCs w:val="40"/>
          <w:color w:val="E8E7E5"/>
        </w:rPr>
        <w:t>Headquarters</w:t>
      </w:r>
    </w:p>
    <w:p>
      <w:pPr>
        <w:spacing w:after="0" w:line="14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909 Rose Avenue</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Suite 200</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North Bethesda, MD 20852</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301.998.8100</w:t>
      </w:r>
    </w:p>
    <w:p>
      <w:pPr>
        <w:spacing w:after="0" w:line="229" w:lineRule="exact"/>
        <w:rPr>
          <w:sz w:val="20"/>
          <w:szCs w:val="20"/>
          <w:color w:val="auto"/>
        </w:rPr>
      </w:pPr>
    </w:p>
    <w:p>
      <w:pPr>
        <w:ind w:left="120"/>
        <w:spacing w:after="0"/>
        <w:rPr>
          <w:sz w:val="20"/>
          <w:szCs w:val="20"/>
          <w:color w:val="auto"/>
        </w:rPr>
      </w:pPr>
      <w:r>
        <w:rPr>
          <w:rFonts w:ascii="Georgia Pro" w:cs="Georgia Pro" w:eastAsia="Georgia Pro" w:hAnsi="Georgia Pro"/>
          <w:sz w:val="39"/>
          <w:szCs w:val="39"/>
          <w:color w:val="E8E7E5"/>
        </w:rPr>
        <w:t>Regional Offices</w:t>
      </w:r>
    </w:p>
    <w:p>
      <w:pPr>
        <w:spacing w:after="0" w:line="162"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b w:val="1"/>
          <w:bCs w:val="1"/>
          <w:color w:val="EF3E2A"/>
        </w:rPr>
        <w:t>B O S T O N</w:t>
      </w:r>
    </w:p>
    <w:p>
      <w:pPr>
        <w:spacing w:after="0" w:line="197"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455 Grand Union Boulevard</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Suite 600</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Somerville MA 02145</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617.684.1500</w:t>
      </w:r>
    </w:p>
    <w:p>
      <w:pPr>
        <w:spacing w:after="0" w:line="265" w:lineRule="exact"/>
        <w:rPr>
          <w:sz w:val="20"/>
          <w:szCs w:val="20"/>
          <w:color w:val="auto"/>
        </w:rPr>
      </w:pPr>
    </w:p>
    <w:p>
      <w:pPr>
        <w:ind w:left="120"/>
        <w:spacing w:after="0"/>
        <w:tabs>
          <w:tab w:leader="none" w:pos="760" w:val="left"/>
        </w:tabs>
        <w:rPr>
          <w:sz w:val="20"/>
          <w:szCs w:val="20"/>
          <w:color w:val="auto"/>
        </w:rPr>
      </w:pPr>
      <w:r>
        <w:rPr>
          <w:rFonts w:ascii="Lucida Sans" w:cs="Lucida Sans" w:eastAsia="Lucida Sans" w:hAnsi="Lucida Sans"/>
          <w:sz w:val="18"/>
          <w:szCs w:val="18"/>
          <w:b w:val="1"/>
          <w:bCs w:val="1"/>
          <w:color w:val="EF3E2A"/>
        </w:rPr>
        <w:t>L O S</w:t>
        <w:tab/>
        <w:t>A N G E L E S</w:t>
      </w:r>
    </w:p>
    <w:p>
      <w:pPr>
        <w:spacing w:after="0" w:line="197"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830 Pacific Coast Highway</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Suite 204</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El Segundo, CA 90245</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310.414.5280</w:t>
      </w:r>
    </w:p>
    <w:p>
      <w:pPr>
        <w:spacing w:after="0" w:line="265"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b w:val="1"/>
          <w:bCs w:val="1"/>
          <w:color w:val="EF3E2A"/>
        </w:rPr>
        <w:t>P H I L A D E L P H I A</w:t>
      </w:r>
    </w:p>
    <w:p>
      <w:pPr>
        <w:spacing w:after="0" w:line="197"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50 E Wynnewood Road</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Suite 200</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Wynnewood, PA 19096</w:t>
      </w:r>
    </w:p>
    <w:p>
      <w:pPr>
        <w:spacing w:after="0" w:line="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610.896.5870</w:t>
      </w:r>
    </w:p>
    <w:p>
      <w:pPr>
        <w:spacing w:after="0" w:line="265" w:lineRule="exact"/>
        <w:rPr>
          <w:sz w:val="20"/>
          <w:szCs w:val="20"/>
          <w:color w:val="auto"/>
        </w:rPr>
      </w:pPr>
    </w:p>
    <w:p>
      <w:pPr>
        <w:ind w:left="120"/>
        <w:spacing w:after="0"/>
        <w:tabs>
          <w:tab w:leader="none" w:pos="760" w:val="left"/>
        </w:tabs>
        <w:rPr>
          <w:sz w:val="20"/>
          <w:szCs w:val="20"/>
          <w:color w:val="auto"/>
        </w:rPr>
      </w:pPr>
      <w:r>
        <w:rPr>
          <w:rFonts w:ascii="Lucida Sans" w:cs="Lucida Sans" w:eastAsia="Lucida Sans" w:hAnsi="Lucida Sans"/>
          <w:sz w:val="18"/>
          <w:szCs w:val="18"/>
          <w:b w:val="1"/>
          <w:bCs w:val="1"/>
          <w:color w:val="EF3E2A"/>
        </w:rPr>
        <w:t>S A N</w:t>
        <w:tab/>
        <w:t>J O S E</w:t>
      </w:r>
    </w:p>
    <w:p>
      <w:pPr>
        <w:spacing w:after="0" w:line="197"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356 Santana Row</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Suite 1005</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San Jose, CA 95128</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408.551.4600</w:t>
      </w:r>
    </w:p>
    <w:p>
      <w:pPr>
        <w:spacing w:after="0" w:line="265"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b w:val="1"/>
          <w:bCs w:val="1"/>
          <w:color w:val="EF3E2A"/>
        </w:rPr>
        <w:t>T Y S O N S</w:t>
      </w:r>
    </w:p>
    <w:p>
      <w:pPr>
        <w:spacing w:after="0" w:line="197"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7930 Jones Branch Drive</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Suite 350</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McLean, VA 22102</w:t>
      </w:r>
    </w:p>
    <w:p>
      <w:pPr>
        <w:spacing w:after="0" w:line="28" w:lineRule="exact"/>
        <w:rPr>
          <w:sz w:val="20"/>
          <w:szCs w:val="20"/>
          <w:color w:val="auto"/>
        </w:rPr>
      </w:pPr>
    </w:p>
    <w:p>
      <w:pPr>
        <w:ind w:left="120"/>
        <w:spacing w:after="0"/>
        <w:rPr>
          <w:sz w:val="20"/>
          <w:szCs w:val="20"/>
          <w:color w:val="auto"/>
        </w:rPr>
      </w:pPr>
      <w:r>
        <w:rPr>
          <w:rFonts w:ascii="Lucida Sans" w:cs="Lucida Sans" w:eastAsia="Lucida Sans" w:hAnsi="Lucida Sans"/>
          <w:sz w:val="18"/>
          <w:szCs w:val="18"/>
          <w:color w:val="E8E7E5"/>
        </w:rPr>
        <w:t>703.776.9679</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20000001" w:csb1="00000000"/>
  </w:font>
  <w:font w:name="Georgia Pro">
    <w:panose1 w:val="02040502050405020303"/>
    <w:charset w:val="00"/>
    <w:family w:val="roman"/>
    <w:pitch w:val="variable"/>
    <w:sig w:usb0="80000287" w:usb1="00000043" w:usb2="00000000" w:usb3="00000000" w:csb0="200000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bullet"/>
      <w:start w:val="1"/>
    </w:lvl>
  </w:abstractNum>
  <w:abstractNum w:abstractNumId="1">
    <w:nsid w:val="7FB7E0AA"/>
    <w:multiLevelType w:val="hybridMultilevel"/>
    <w:lvl w:ilvl="0">
      <w:lvlJc w:val="left"/>
      <w:lvlText w:val="2"/>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lvl w:ilvl="1">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1)"/>
      <w:numFmt w:val="decimal"/>
      <w:start w:val="1"/>
    </w:lvl>
  </w:abstractNum>
  <w:abstractNum w:abstractNumId="30">
    <w:nsid w:val="7672BD23"/>
    <w:multiLevelType w:val="hybridMultilevel"/>
    <w:lvl w:ilvl="0">
      <w:lvlJc w:val="left"/>
      <w:lvlText w:val="(%1)"/>
      <w:numFmt w:val="decimal"/>
      <w:start w:val="9"/>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1)"/>
      <w:numFmt w:val="decimal"/>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1)"/>
      <w:numFmt w:val="decimal"/>
      <w:start w:val="1"/>
    </w:lvl>
  </w:abstractNum>
  <w:abstractNum w:abstractNumId="46">
    <w:nsid w:val="1D545C4D"/>
    <w:multiLevelType w:val="hybridMultilevel"/>
    <w:lvl w:ilvl="0">
      <w:lvlJc w:val="left"/>
      <w:lvlText w:val="(%1)"/>
      <w:numFmt w:val="lowerLetter"/>
      <w:start w:val="1"/>
    </w:lvl>
  </w:abstractNum>
  <w:abstractNum w:abstractNumId="47">
    <w:nsid w:val="59ADEA3D"/>
    <w:multiLevelType w:val="hybridMultilevel"/>
    <w:lvl w:ilvl="0">
      <w:lvlJc w:val="left"/>
      <w:lvlText w:val="(%1)"/>
      <w:numFmt w:val="decimal"/>
      <w:start w:val="1"/>
    </w:lvl>
  </w:abstractNum>
  <w:abstractNum w:abstractNumId="48">
    <w:nsid w:val="288F1A34"/>
    <w:multiLevelType w:val="hybridMultilevel"/>
    <w:lvl w:ilvl="0">
      <w:lvlJc w:val="left"/>
      <w:lvlText w:val="(%1)"/>
      <w:numFmt w:val="decimal"/>
      <w:start w:val="6"/>
    </w:lvl>
  </w:abstractNum>
  <w:abstractNum w:abstractNumId="49">
    <w:nsid w:val="2A155DBC"/>
    <w:multiLevelType w:val="hybridMultilevel"/>
    <w:lvl w:ilvl="0">
      <w:lvlJc w:val="left"/>
      <w:lvlText w:val="(%1)"/>
      <w:numFmt w:val="decimal"/>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1)"/>
      <w:numFmt w:val="decimal"/>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
      <w:numFmt w:val="bullet"/>
      <w:start w:val="1"/>
    </w:lvl>
  </w:abstractNum>
  <w:abstractNum w:abstractNumId="54">
    <w:nsid w:val="53584BCB"/>
    <w:multiLevelType w:val="hybridMultilevel"/>
    <w:lvl w:ilvl="0">
      <w:lvlJc w:val="left"/>
      <w:lvlText w:val="%1"/>
      <w:numFmt w:val="decimal"/>
      <w:start w:val="10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
      <w:numFmt w:val="bullet"/>
      <w:start w:val="1"/>
    </w:lvl>
  </w:abstractNum>
  <w:abstractNum w:abstractNumId="58">
    <w:nsid w:val="45E6D486"/>
    <w:multiLevelType w:val="hybridMultilevel"/>
    <w:lvl w:ilvl="0">
      <w:lvlJc w:val="left"/>
      <w:lvlText w:val="•"/>
      <w:numFmt w:val="bullet"/>
      <w:start w:val="1"/>
    </w:lvl>
    <w:lvl w:ilvl="1">
      <w:lvlJc w:val="left"/>
      <w:lvlText w:val="◦"/>
      <w:numFmt w:val="bullet"/>
      <w:start w:val="1"/>
    </w:lvl>
  </w:abstractNum>
  <w:abstractNum w:abstractNumId="59">
    <w:nsid w:val="5C10FE21"/>
    <w:multiLevelType w:val="hybridMultilevel"/>
    <w:lvl w:ilvl="0">
      <w:lvlJc w:val="left"/>
      <w:lvlText w:val="•"/>
      <w:numFmt w:val="bullet"/>
      <w:start w:val="1"/>
    </w:lvl>
  </w:abstractNum>
  <w:abstractNum w:abstractNumId="60">
    <w:nsid w:val="E7FFA2B"/>
    <w:multiLevelType w:val="hybridMultilevel"/>
    <w:lvl w:ilvl="0">
      <w:lvlJc w:val="left"/>
      <w:lvlText w:val="•"/>
      <w:numFmt w:val="bullet"/>
      <w:start w:val="1"/>
    </w:lvl>
    <w:lvl w:ilvl="1">
      <w:lvlJc w:val="left"/>
      <w:lvlText w:val="◦"/>
      <w:numFmt w:val="bullet"/>
      <w:start w:val="1"/>
    </w:lvl>
  </w:abstractNum>
  <w:abstractNum w:abstractNumId="61">
    <w:nsid w:val="3C5991AA"/>
    <w:multiLevelType w:val="hybridMultilevel"/>
    <w:lvl w:ilvl="0">
      <w:lvlJc w:val="left"/>
      <w:lvlText w:val="(%1)"/>
      <w:numFmt w:val="decimal"/>
      <w:start w:val="1"/>
    </w:lvl>
  </w:abstractNum>
  <w:abstractNum w:abstractNumId="62">
    <w:nsid w:val="4BD8591A"/>
    <w:multiLevelType w:val="hybridMultilevel"/>
    <w:lvl w:ilvl="0">
      <w:lvlJc w:val="left"/>
      <w:lvlText w:val="(%1)"/>
      <w:numFmt w:val="decimal"/>
      <w:start w:val="1"/>
    </w:lvl>
  </w:abstractNum>
  <w:abstractNum w:abstractNumId="63">
    <w:nsid w:val="78DF6A55"/>
    <w:multiLevelType w:val="hybridMultilevel"/>
    <w:lvl w:ilvl="0">
      <w:lvlJc w:val="left"/>
      <w:lvlText w:val="(%1)"/>
      <w:numFmt w:val="decimal"/>
      <w:start w:val="1"/>
    </w:lvl>
  </w:abstractNum>
  <w:abstractNum w:abstractNumId="64">
    <w:nsid w:val="39B7AAA2"/>
    <w:multiLevelType w:val="hybridMultilevel"/>
    <w:lvl w:ilvl="0">
      <w:lvlJc w:val="left"/>
      <w:lvlText w:val="(%1)"/>
      <w:numFmt w:val="decimal"/>
      <w:start w:val="6"/>
    </w:lvl>
  </w:abstractNum>
  <w:abstractNum w:abstractNumId="65">
    <w:nsid w:val="2B0D8DBE"/>
    <w:multiLevelType w:val="hybridMultilevel"/>
    <w:lvl w:ilvl="0">
      <w:lvlJc w:val="left"/>
      <w:lvlText w:val="(%1)"/>
      <w:numFmt w:val="decimal"/>
      <w:start w:val="1"/>
    </w:lvl>
  </w:abstractNum>
  <w:abstractNum w:abstractNumId="66">
    <w:nsid w:val="6C80EC70"/>
    <w:multiLevelType w:val="hybridMultilevel"/>
    <w:lvl w:ilvl="0">
      <w:lvlJc w:val="left"/>
      <w:lvlText w:val="%1."/>
      <w:numFmt w:val="decimal"/>
      <w:start w:val="1"/>
    </w:lvl>
  </w:abstractNum>
  <w:abstractNum w:abstractNumId="67">
    <w:nsid w:val="379E21B5"/>
    <w:multiLevelType w:val="hybridMultilevel"/>
    <w:lvl w:ilvl="0">
      <w:lvlJc w:val="left"/>
      <w:lvlText w:val="%1."/>
      <w:numFmt w:val="decimal"/>
      <w:start w:val="2"/>
    </w:lvl>
  </w:abstractNum>
  <w:abstractNum w:abstractNumId="68">
    <w:nsid w:val="69E373"/>
    <w:multiLevelType w:val="hybridMultilevel"/>
    <w:lvl w:ilvl="0">
      <w:lvlJc w:val="left"/>
      <w:lvlText w:val="•"/>
      <w:numFmt w:val="bullet"/>
      <w:start w:val="1"/>
    </w:lvl>
  </w:abstractNum>
  <w:abstractNum w:abstractNumId="69">
    <w:nsid w:val="2C27173B"/>
    <w:multiLevelType w:val="hybridMultilevel"/>
    <w:lvl w:ilvl="0">
      <w:lvlJc w:val="left"/>
      <w:lvlText w:val="(%1)"/>
      <w:numFmt w:val="decimal"/>
      <w:start w:val="1"/>
    </w:lvl>
  </w:abstractNum>
  <w:abstractNum w:abstractNumId="70">
    <w:nsid w:val="4C9B0904"/>
    <w:multiLevelType w:val="hybridMultilevel"/>
    <w:lvl w:ilvl="0">
      <w:lvlJc w:val="left"/>
      <w:lvlText w:val=" "/>
      <w:numFmt w:val="bullet"/>
      <w:start w:val="1"/>
    </w:lvl>
  </w:abstractNum>
  <w:abstractNum w:abstractNumId="71">
    <w:nsid w:val="6AA7B75C"/>
    <w:multiLevelType w:val="hybridMultilevel"/>
    <w:lvl w:ilvl="0">
      <w:lvlJc w:val="left"/>
      <w:lvlText w:val="*"/>
      <w:numFmt w:val="bullet"/>
      <w:start w:val="1"/>
    </w:lvl>
  </w:abstractNum>
  <w:abstractNum w:abstractNumId="72">
    <w:nsid w:val="1DF029D3"/>
    <w:multiLevelType w:val="hybridMultilevel"/>
    <w:lvl w:ilvl="0">
      <w:lvlJc w:val="left"/>
      <w:lvlText w:val=" "/>
      <w:numFmt w:val="bullet"/>
      <w:start w:val="1"/>
    </w:lvl>
  </w:abstractNum>
  <w:abstractNum w:abstractNumId="73">
    <w:nsid w:val="5675FF36"/>
    <w:multiLevelType w:val="hybridMultilevel"/>
    <w:lvl w:ilvl="0">
      <w:lvlJc w:val="left"/>
      <w:lvlText w:val=" "/>
      <w:numFmt w:val="bullet"/>
      <w:start w:val="1"/>
    </w:lvl>
  </w:abstractNum>
  <w:abstractNum w:abstractNumId="74">
    <w:nsid w:val="3DD15094"/>
    <w:multiLevelType w:val="hybridMultilevel"/>
    <w:lvl w:ilvl="0">
      <w:lvlJc w:val="left"/>
      <w:lvlText w:val="±"/>
      <w:numFmt w:val="bullet"/>
      <w:start w:val="1"/>
    </w:lvl>
  </w:abstractNum>
  <w:abstractNum w:abstractNumId="75">
    <w:nsid w:val="3DB012B3"/>
    <w:multiLevelType w:val="hybridMultilevel"/>
    <w:lvl w:ilvl="0">
      <w:lvlJc w:val="left"/>
      <w:lvlText w:val=" "/>
      <w:numFmt w:val="bullet"/>
      <w:start w:val="1"/>
    </w:lvl>
  </w:abstractNum>
  <w:abstractNum w:abstractNumId="76">
    <w:nsid w:val="2708C9AF"/>
    <w:multiLevelType w:val="hybridMultilevel"/>
    <w:lvl w:ilvl="0">
      <w:lvlJc w:val="left"/>
      <w:lvlText w:val=" "/>
      <w:numFmt w:val="bullet"/>
      <w:start w:val="1"/>
    </w:lvl>
  </w:abstractNum>
  <w:abstractNum w:abstractNumId="77">
    <w:nsid w:val="5B25ACE2"/>
    <w:multiLevelType w:val="hybridMultilevel"/>
    <w:lvl w:ilvl="0">
      <w:lvlJc w:val="left"/>
      <w:lvlText w:val=" "/>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
      <w:numFmt w:val="bullet"/>
      <w:start w:val="1"/>
    </w:lvl>
  </w:abstractNum>
  <w:abstractNum w:abstractNumId="80">
    <w:nsid w:val="53B0A9E"/>
    <w:multiLevelType w:val="hybridMultilevel"/>
    <w:lvl w:ilvl="0">
      <w:lvlJc w:val="left"/>
      <w:lvlText w:val=" "/>
      <w:numFmt w:val="bullet"/>
      <w:start w:val="1"/>
    </w:lvl>
  </w:abstractNum>
  <w:abstractNum w:abstractNumId="81">
    <w:nsid w:val="34FD6B4F"/>
    <w:multiLevelType w:val="hybridMultilevel"/>
    <w:lvl w:ilvl="0">
      <w:lvlJc w:val="left"/>
      <w:lvlText w:val=" "/>
      <w:numFmt w:val="bullet"/>
      <w:start w:val="1"/>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 "/>
      <w:numFmt w:val="bullet"/>
      <w:start w:val="1"/>
    </w:lvl>
  </w:abstractNum>
  <w:abstractNum w:abstractNumId="84">
    <w:nsid w:val="519E3149"/>
    <w:multiLevelType w:val="hybridMultilevel"/>
    <w:lvl w:ilvl="0">
      <w:lvlJc w:val="left"/>
      <w:lvlText w:val=" "/>
      <w:numFmt w:val="bullet"/>
      <w:start w:val="1"/>
    </w:lvl>
  </w:abstractNum>
  <w:abstractNum w:abstractNumId="85">
    <w:nsid w:val="2C6E4AFD"/>
    <w:multiLevelType w:val="hybridMultilevel"/>
    <w:lvl w:ilvl="0">
      <w:lvlJc w:val="left"/>
      <w:lvlText w:val=" "/>
      <w:numFmt w:val="bullet"/>
      <w:start w:val="1"/>
    </w:lvl>
  </w:abstractNum>
  <w:abstractNum w:abstractNumId="86">
    <w:nsid w:val="17A1B582"/>
    <w:multiLevelType w:val="hybridMultilevel"/>
    <w:lvl w:ilvl="0">
      <w:lvlJc w:val="left"/>
      <w:lvlText w:val=" "/>
      <w:numFmt w:val="bullet"/>
      <w:start w:val="1"/>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
      <w:numFmt w:val="bullet"/>
      <w:start w:val="1"/>
    </w:lvl>
  </w:abstractNum>
  <w:abstractNum w:abstractNumId="90">
    <w:nsid w:val="2A082C70"/>
    <w:multiLevelType w:val="hybridMultilevel"/>
    <w:lvl w:ilvl="0">
      <w:lvlJc w:val="left"/>
      <w:lvlText w:val=" "/>
      <w:numFmt w:val="bullet"/>
      <w:start w:val="1"/>
    </w:lvl>
    <w:lvl w:ilvl="1">
      <w:lvlJc w:val="left"/>
      <w:lvlText w:val="•"/>
      <w:numFmt w:val="bullet"/>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
      <w:numFmt w:val="bullet"/>
      <w:start w:val="1"/>
    </w:lvl>
  </w:abstractNum>
  <w:abstractNum w:abstractNumId="93">
    <w:nsid w:val="75E0858A"/>
    <w:multiLevelType w:val="hybridMultilevel"/>
    <w:lvl w:ilvl="0">
      <w:lvlJc w:val="left"/>
      <w:lvlText w:val=" "/>
      <w:numFmt w:val="bullet"/>
      <w:start w:val="1"/>
    </w:lvl>
  </w:abstractNum>
  <w:abstractNum w:abstractNumId="94">
    <w:nsid w:val="57A61A29"/>
    <w:multiLevelType w:val="hybridMultilevel"/>
    <w:lvl w:ilvl="0">
      <w:lvlJc w:val="left"/>
      <w:lvlText w:val=" "/>
      <w:numFmt w:val="bullet"/>
      <w:start w:val="1"/>
    </w:lvl>
  </w:abstractNum>
  <w:abstractNum w:abstractNumId="95">
    <w:nsid w:val="5399C654"/>
    <w:multiLevelType w:val="hybridMultilevel"/>
    <w:lvl w:ilvl="0">
      <w:lvlJc w:val="left"/>
      <w:lvlText w:val=" "/>
      <w:numFmt w:val="bullet"/>
      <w:start w:val="1"/>
    </w:lvl>
  </w:abstractNum>
  <w:abstractNum w:abstractNumId="96">
    <w:nsid w:val="20EE1348"/>
    <w:multiLevelType w:val="hybridMultilevel"/>
    <w:lvl w:ilvl="0">
      <w:lvlJc w:val="left"/>
      <w:lvlText w:val=" "/>
      <w:numFmt w:val="bullet"/>
      <w:start w:val="1"/>
    </w:lvl>
  </w:abstractNum>
  <w:abstractNum w:abstractNumId="97">
    <w:nsid w:val="4427069A"/>
    <w:multiLevelType w:val="hybridMultilevel"/>
    <w:lvl w:ilvl="0">
      <w:lvlJc w:val="left"/>
      <w:lvlText w:val=" "/>
      <w:numFmt w:val="bullet"/>
      <w:start w:val="1"/>
    </w:lvl>
  </w:abstractNum>
  <w:abstractNum w:abstractNumId="98">
    <w:nsid w:val="B37E80A"/>
    <w:multiLevelType w:val="hybridMultilevel"/>
    <w:lvl w:ilvl="0">
      <w:lvlJc w:val="left"/>
      <w:lvlText w:val=" "/>
      <w:numFmt w:val="bullet"/>
      <w:start w:val="1"/>
    </w:lvl>
  </w:abstractNum>
  <w:abstractNum w:abstractNumId="99">
    <w:nsid w:val="2157F6BC"/>
    <w:multiLevelType w:val="hybridMultilevel"/>
    <w:lvl w:ilvl="0">
      <w:lvlJc w:val="left"/>
      <w:lvlText w:val=" "/>
      <w:numFmt w:val="bullet"/>
      <w:start w:val="1"/>
    </w:lvl>
  </w:abstractNum>
  <w:abstractNum w:abstractNumId="100">
    <w:nsid w:val="704E1DD5"/>
    <w:multiLevelType w:val="hybridMultilevel"/>
    <w:lvl w:ilvl="0">
      <w:lvlJc w:val="left"/>
      <w:lvlText w:val=" "/>
      <w:numFmt w:val="bullet"/>
      <w:start w:val="1"/>
    </w:lvl>
  </w:abstractNum>
  <w:abstractNum w:abstractNumId="101">
    <w:nsid w:val="57D2F10E"/>
    <w:multiLevelType w:val="hybridMultilevel"/>
    <w:lvl w:ilvl="0">
      <w:lvlJc w:val="left"/>
      <w:lvlText w:val=" "/>
      <w:numFmt w:val="bullet"/>
      <w:start w:val="1"/>
    </w:lvl>
  </w:abstractNum>
  <w:abstractNum w:abstractNumId="102">
    <w:nsid w:val="BFFAE18"/>
    <w:multiLevelType w:val="hybridMultilevel"/>
    <w:lvl w:ilvl="0">
      <w:lvlJc w:val="left"/>
      <w:lvlText w:val="(%1)"/>
      <w:numFmt w:val="decimal"/>
      <w:start w:val="1"/>
    </w:lvl>
  </w:abstractNum>
  <w:abstractNum w:abstractNumId="103">
    <w:nsid w:val="E3E47A8"/>
    <w:multiLevelType w:val="hybridMultilevel"/>
    <w:lvl w:ilvl="0">
      <w:lvlJc w:val="left"/>
      <w:lvlText w:val=" "/>
      <w:numFmt w:val="bullet"/>
      <w:start w:val="1"/>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 "/>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 "/>
      <w:numFmt w:val="bullet"/>
      <w:start w:val="1"/>
    </w:lvl>
  </w:abstractNum>
  <w:abstractNum w:abstractNumId="108">
    <w:nsid w:val="24F6AB8E"/>
    <w:multiLevelType w:val="hybridMultilevel"/>
    <w:lvl w:ilvl="0">
      <w:lvlJc w:val="left"/>
      <w:lvlText w:val=" "/>
      <w:numFmt w:val="bullet"/>
      <w:start w:val="1"/>
    </w:lvl>
  </w:abstractNum>
  <w:abstractNum w:abstractNumId="109">
    <w:nsid w:val="634C574C"/>
    <w:multiLevelType w:val="hybridMultilevel"/>
    <w:lvl w:ilvl="0">
      <w:lvlJc w:val="left"/>
      <w:lvlText w:val=" "/>
      <w:numFmt w:val="bullet"/>
      <w:start w:val="1"/>
    </w:lvl>
  </w:abstractNum>
  <w:abstractNum w:abstractNumId="110">
    <w:nsid w:val="24E99DD7"/>
    <w:multiLevelType w:val="hybridMultilevel"/>
    <w:lvl w:ilvl="0">
      <w:lvlJc w:val="left"/>
      <w:lvlText w:val=" "/>
      <w:numFmt w:val="bullet"/>
      <w:start w:val="1"/>
    </w:lvl>
  </w:abstractNum>
  <w:abstractNum w:abstractNumId="111">
    <w:nsid w:val="2A31B62D"/>
    <w:multiLevelType w:val="hybridMultilevel"/>
    <w:lvl w:ilvl="0">
      <w:lvlJc w:val="left"/>
      <w:lvlText w:val=" "/>
      <w:numFmt w:val="bullet"/>
      <w:start w:val="1"/>
    </w:lvl>
  </w:abstractNum>
  <w:abstractNum w:abstractNumId="112">
    <w:nsid w:val="1849C29B"/>
    <w:multiLevelType w:val="hybridMultilevel"/>
    <w:lvl w:ilvl="0">
      <w:lvlJc w:val="left"/>
      <w:lvlText w:val=" "/>
      <w:numFmt w:val="bullet"/>
      <w:start w:val="1"/>
    </w:lvl>
  </w:abstractNum>
  <w:abstractNum w:abstractNumId="113">
    <w:nsid w:val="7DFF9D09"/>
    <w:multiLevelType w:val="hybridMultilevel"/>
    <w:lvl w:ilvl="0">
      <w:lvlJc w:val="left"/>
      <w:lvlText w:val=" "/>
      <w:numFmt w:val="bullet"/>
      <w:start w:val="1"/>
    </w:lvl>
  </w:abstractNum>
  <w:abstractNum w:abstractNumId="114">
    <w:nsid w:val="754342"/>
    <w:multiLevelType w:val="hybridMultilevel"/>
    <w:lvl w:ilvl="0">
      <w:lvlJc w:val="left"/>
      <w:lvlText w:val=" "/>
      <w:numFmt w:val="bullet"/>
      <w:start w:val="1"/>
    </w:lvl>
  </w:abstractNum>
  <w:abstractNum w:abstractNumId="115">
    <w:nsid w:val="69E7F3E5"/>
    <w:multiLevelType w:val="hybridMultilevel"/>
    <w:lvl w:ilvl="0">
      <w:lvlJc w:val="left"/>
      <w:lvlText w:val=" "/>
      <w:numFmt w:val="bullet"/>
      <w:start w:val="1"/>
    </w:lvl>
  </w:abstractNum>
  <w:abstractNum w:abstractNumId="116">
    <w:nsid w:val="2A6DE806"/>
    <w:multiLevelType w:val="hybridMultilevel"/>
    <w:lvl w:ilvl="0">
      <w:lvlJc w:val="left"/>
      <w:lvlText w:val=" "/>
      <w:numFmt w:val="bullet"/>
      <w:start w:val="1"/>
    </w:lvl>
  </w:abstractNum>
  <w:abstractNum w:abstractNumId="117">
    <w:nsid w:val="1816F8C4"/>
    <w:multiLevelType w:val="hybridMultilevel"/>
    <w:lvl w:ilvl="0">
      <w:lvlJc w:val="left"/>
      <w:lvlText w:val=" "/>
      <w:numFmt w:val="bullet"/>
      <w:start w:val="1"/>
    </w:lvl>
  </w:abstractNum>
  <w:abstractNum w:abstractNumId="118">
    <w:nsid w:val="37DF2233"/>
    <w:multiLevelType w:val="hybridMultilevel"/>
    <w:lvl w:ilvl="0">
      <w:lvlJc w:val="left"/>
      <w:lvlText w:val=" "/>
      <w:numFmt w:val="bullet"/>
      <w:start w:val="1"/>
    </w:lvl>
  </w:abstractNum>
  <w:abstractNum w:abstractNumId="119">
    <w:nsid w:val="7AB49DAF"/>
    <w:multiLevelType w:val="hybridMultilevel"/>
    <w:lvl w:ilvl="0">
      <w:lvlJc w:val="left"/>
      <w:lvlText w:val=" "/>
      <w:numFmt w:val="bullet"/>
      <w:start w:val="1"/>
    </w:lvl>
  </w:abstractNum>
  <w:abstractNum w:abstractNumId="120">
    <w:nsid w:val="759F82CD"/>
    <w:multiLevelType w:val="hybridMultilevel"/>
    <w:lvl w:ilvl="0">
      <w:lvlJc w:val="left"/>
      <w:lvlText w:val=" "/>
      <w:numFmt w:val="bullet"/>
      <w:start w:val="1"/>
    </w:lvl>
  </w:abstractNum>
  <w:abstractNum w:abstractNumId="121">
    <w:nsid w:val="61E74EA3"/>
    <w:multiLevelType w:val="hybridMultilevel"/>
    <w:lvl w:ilvl="0">
      <w:lvlJc w:val="left"/>
      <w:lvlText w:val=" "/>
      <w:numFmt w:val="bullet"/>
      <w:start w:val="1"/>
    </w:lvl>
  </w:abstractNum>
  <w:abstractNum w:abstractNumId="122">
    <w:nsid w:val="597B4D84"/>
    <w:multiLevelType w:val="hybridMultilevel"/>
    <w:lvl w:ilvl="0">
      <w:lvlJc w:val="left"/>
      <w:lvlText w:val=" "/>
      <w:numFmt w:val="bullet"/>
      <w:start w:val="1"/>
    </w:lvl>
  </w:abstractNum>
  <w:abstractNum w:abstractNumId="123">
    <w:nsid w:val="F819E7F"/>
    <w:multiLevelType w:val="hybridMultilevel"/>
    <w:lvl w:ilvl="0">
      <w:lvlJc w:val="left"/>
      <w:lvlText w:val=" "/>
      <w:numFmt w:val="bullet"/>
      <w:start w:val="1"/>
    </w:lvl>
  </w:abstractNum>
  <w:abstractNum w:abstractNumId="124">
    <w:nsid w:val="57C7D42D"/>
    <w:multiLevelType w:val="hybridMultilevel"/>
    <w:lvl w:ilvl="0">
      <w:lvlJc w:val="left"/>
      <w:lvlText w:val=" "/>
      <w:numFmt w:val="bullet"/>
      <w:start w:val="1"/>
    </w:lvl>
  </w:abstractNum>
  <w:abstractNum w:abstractNumId="125">
    <w:nsid w:val="312167AD"/>
    <w:multiLevelType w:val="hybridMultilevel"/>
    <w:lvl w:ilvl="0">
      <w:lvlJc w:val="left"/>
      <w:lvlText w:val=" "/>
      <w:numFmt w:val="bullet"/>
      <w:start w:val="1"/>
    </w:lvl>
  </w:abstractNum>
  <w:abstractNum w:abstractNumId="126">
    <w:nsid w:val="631B64D4"/>
    <w:multiLevelType w:val="hybridMultilevel"/>
    <w:lvl w:ilvl="0">
      <w:lvlJc w:val="left"/>
      <w:lvlText w:val=" "/>
      <w:numFmt w:val="bullet"/>
      <w:start w:val="1"/>
    </w:lvl>
  </w:abstractNum>
  <w:abstractNum w:abstractNumId="127">
    <w:nsid w:val="78B5E776"/>
    <w:multiLevelType w:val="hybridMultilevel"/>
    <w:lvl w:ilvl="0">
      <w:lvlJc w:val="left"/>
      <w:lvlText w:val=" "/>
      <w:numFmt w:val="bullet"/>
      <w:start w:val="1"/>
    </w:lvl>
  </w:abstractNum>
  <w:abstractNum w:abstractNumId="128">
    <w:nsid w:val="75486E47"/>
    <w:multiLevelType w:val="hybridMultilevel"/>
    <w:lvl w:ilvl="0">
      <w:lvlJc w:val="left"/>
      <w:lvlText w:val=" "/>
      <w:numFmt w:val="bullet"/>
      <w:start w:val="1"/>
    </w:lvl>
  </w:abstractNum>
  <w:abstractNum w:abstractNumId="129">
    <w:nsid w:val="6E534CDE"/>
    <w:multiLevelType w:val="hybridMultilevel"/>
    <w:lvl w:ilvl="0">
      <w:lvlJc w:val="left"/>
      <w:lvlText w:val="(%1)"/>
      <w:numFmt w:val="decimal"/>
      <w:start w:val="1"/>
    </w:lvl>
    <w:lvl w:ilvl="1">
      <w:lvlJc w:val="left"/>
      <w:lvlText w:val="(%2)"/>
      <w:numFmt w:val="lowerLetter"/>
      <w:start w:val="2"/>
    </w:lvl>
  </w:abstractNum>
  <w:abstractNum w:abstractNumId="130">
    <w:nsid w:val="1A0DDE32"/>
    <w:multiLevelType w:val="hybridMultilevel"/>
    <w:lvl w:ilvl="0">
      <w:lvlJc w:val="left"/>
      <w:lvlText w:val=" "/>
      <w:numFmt w:val="bullet"/>
      <w:start w:val="1"/>
    </w:lvl>
  </w:abstractNum>
  <w:abstractNum w:abstractNumId="131">
    <w:nsid w:val="65968C1C"/>
    <w:multiLevelType w:val="hybridMultilevel"/>
    <w:lvl w:ilvl="0">
      <w:lvlJc w:val="left"/>
      <w:lvlText w:val="(%1)"/>
      <w:numFmt w:val="decimal"/>
      <w:start w:val="1"/>
    </w:lvl>
  </w:abstractNum>
  <w:abstractNum w:abstractNumId="132">
    <w:nsid w:val="46263DEC"/>
    <w:multiLevelType w:val="hybridMultilevel"/>
    <w:lvl w:ilvl="0">
      <w:lvlJc w:val="left"/>
      <w:lvlText w:val=" "/>
      <w:numFmt w:val="bullet"/>
      <w:start w:val="1"/>
    </w:lvl>
  </w:abstractNum>
  <w:abstractNum w:abstractNumId="133">
    <w:nsid w:val="260D8C4A"/>
    <w:multiLevelType w:val="hybridMultilevel"/>
    <w:lvl w:ilvl="0">
      <w:lvlJc w:val="left"/>
      <w:lvlText w:val="(%1)"/>
      <w:numFmt w:val="decimal"/>
      <w:start w:val="1"/>
    </w:lvl>
  </w:abstractNum>
  <w:abstractNum w:abstractNumId="134">
    <w:nsid w:val="73D4D3C4"/>
    <w:multiLevelType w:val="hybridMultilevel"/>
    <w:lvl w:ilvl="0">
      <w:lvlJc w:val="left"/>
      <w:lvlText w:val=" "/>
      <w:numFmt w:val="bullet"/>
      <w:start w:val="1"/>
    </w:lvl>
  </w:abstractNum>
  <w:abstractNum w:abstractNumId="135">
    <w:nsid w:val="746F2E30"/>
    <w:multiLevelType w:val="hybridMultilevel"/>
    <w:lvl w:ilvl="0">
      <w:lvlJc w:val="left"/>
      <w:lvlText w:val="(%1)"/>
      <w:numFmt w:val="decimal"/>
      <w:start w:val="1"/>
    </w:lvl>
  </w:abstractNum>
  <w:abstractNum w:abstractNumId="136">
    <w:nsid w:val="6FDE8AF6"/>
    <w:multiLevelType w:val="hybridMultilevel"/>
    <w:lvl w:ilvl="0">
      <w:lvlJc w:val="left"/>
      <w:lvlText w:val=" "/>
      <w:numFmt w:val="bullet"/>
      <w:start w:val="1"/>
    </w:lvl>
  </w:abstractNum>
  <w:abstractNum w:abstractNumId="137">
    <w:nsid w:val="3FC32E20"/>
    <w:multiLevelType w:val="hybridMultilevel"/>
    <w:lvl w:ilvl="0">
      <w:lvlJc w:val="left"/>
      <w:lvlText w:val=" "/>
      <w:numFmt w:val="bullet"/>
      <w:start w:val="1"/>
    </w:lvl>
    <w:lvl w:ilvl="1">
      <w:lvlJc w:val="left"/>
      <w:lvlText w:val="(%2)"/>
      <w:numFmt w:val="decimal"/>
      <w:start w:val="1"/>
    </w:lvl>
  </w:abstractNum>
  <w:abstractNum w:abstractNumId="138">
    <w:nsid w:val="49C0E823"/>
    <w:multiLevelType w:val="hybridMultilevel"/>
    <w:lvl w:ilvl="0">
      <w:lvlJc w:val="left"/>
      <w:lvlText w:val="(%1)"/>
      <w:numFmt w:val="decimal"/>
      <w:start w:val="1"/>
    </w:lvl>
  </w:abstractNum>
  <w:abstractNum w:abstractNumId="139">
    <w:nsid w:val="14D53685"/>
    <w:multiLevelType w:val="hybridMultilevel"/>
    <w:lvl w:ilvl="0">
      <w:lvlJc w:val="left"/>
      <w:lvlText w:val="(%1)"/>
      <w:numFmt w:val="decimal"/>
      <w:start w:val="2"/>
    </w:lvl>
  </w:abstractNum>
  <w:abstractNum w:abstractNumId="140">
    <w:nsid w:val="230F856C"/>
    <w:multiLevelType w:val="hybridMultilevel"/>
    <w:lvl w:ilvl="0">
      <w:lvlJc w:val="left"/>
      <w:lvlText w:val=" "/>
      <w:numFmt w:val="bullet"/>
      <w:start w:val="1"/>
    </w:lvl>
  </w:abstractNum>
  <w:abstractNum w:abstractNumId="141">
    <w:nsid w:val="6EAA85FB"/>
    <w:multiLevelType w:val="hybridMultilevel"/>
    <w:lvl w:ilvl="0">
      <w:lvlJc w:val="left"/>
      <w:lvlText w:val=" "/>
      <w:numFmt w:val="bullet"/>
      <w:start w:val="1"/>
    </w:lvl>
  </w:abstractNum>
  <w:abstractNum w:abstractNumId="142">
    <w:nsid w:val="3F06ECB2"/>
    <w:multiLevelType w:val="hybridMultilevel"/>
    <w:lvl w:ilvl="0">
      <w:lvlJc w:val="left"/>
      <w:lvlText w:val="(%1)"/>
      <w:numFmt w:val="decimal"/>
      <w:start w:val="1"/>
    </w:lvl>
  </w:abstractNum>
  <w:abstractNum w:abstractNumId="143">
    <w:nsid w:val="3B594807"/>
    <w:multiLevelType w:val="hybridMultilevel"/>
    <w:lvl w:ilvl="0">
      <w:lvlJc w:val="left"/>
      <w:lvlText w:val="(%1)"/>
      <w:numFmt w:val="decimal"/>
      <w:start w:val="2"/>
    </w:lvl>
  </w:abstractNum>
  <w:abstractNum w:abstractNumId="144">
    <w:nsid w:val="6CAA2304"/>
    <w:multiLevelType w:val="hybridMultilevel"/>
    <w:lvl w:ilvl="0">
      <w:lvlJc w:val="left"/>
      <w:lvlText w:val="(%1)"/>
      <w:numFmt w:val="decimal"/>
      <w:start w:val="3"/>
    </w:lvl>
  </w:abstractNum>
  <w:abstractNum w:abstractNumId="145">
    <w:nsid w:val="3F7C2FF4"/>
    <w:multiLevelType w:val="hybridMultilevel"/>
    <w:lvl w:ilvl="0">
      <w:lvlJc w:val="left"/>
      <w:lvlText w:val="*"/>
      <w:numFmt w:val="bullet"/>
      <w:start w:val="1"/>
    </w:lvl>
  </w:abstractNum>
  <w:abstractNum w:abstractNumId="146">
    <w:nsid w:val="25413BEC"/>
    <w:multiLevelType w:val="hybridMultilevel"/>
    <w:lvl w:ilvl="0">
      <w:lvlJc w:val="left"/>
      <w:lvlText w:val="*"/>
      <w:numFmt w:val="bullet"/>
      <w:start w:val="1"/>
    </w:lvl>
  </w:abstractNum>
  <w:abstractNum w:abstractNumId="147">
    <w:nsid w:val="17180B0B"/>
    <w:multiLevelType w:val="hybridMultilevel"/>
    <w:lvl w:ilvl="0">
      <w:lvlJc w:val="left"/>
      <w:lvlText w:val="•"/>
      <w:numFmt w:val="bullet"/>
      <w:start w:val="1"/>
    </w:lvl>
  </w:abstractNum>
  <w:abstractNum w:abstractNumId="148">
    <w:nsid w:val="579328B9"/>
    <w:multiLevelType w:val="hybridMultilevel"/>
    <w:lvl w:ilvl="0">
      <w:lvlJc w:val="left"/>
      <w:lvlText w:val=" "/>
      <w:numFmt w:val="bullet"/>
      <w:start w:val="1"/>
    </w:lvl>
  </w:abstractNum>
  <w:abstractNum w:abstractNumId="149">
    <w:nsid w:val="5D205E20"/>
    <w:multiLevelType w:val="hybridMultilevel"/>
    <w:lvl w:ilvl="0">
      <w:lvlJc w:val="left"/>
      <w:lvlText w:val="(%1)"/>
      <w:numFmt w:val="decimal"/>
      <w:start w:val="1"/>
    </w:lvl>
  </w:abstractNum>
  <w:abstractNum w:abstractNumId="150">
    <w:nsid w:val="11CCA8BA"/>
    <w:multiLevelType w:val="hybridMultilevel"/>
    <w:lvl w:ilvl="0">
      <w:lvlJc w:val="left"/>
      <w:lvlText w:val=" "/>
      <w:numFmt w:val="bullet"/>
      <w:start w:val="1"/>
    </w:lvl>
  </w:abstractNum>
  <w:abstractNum w:abstractNumId="151">
    <w:nsid w:val="4D32AB86"/>
    <w:multiLevelType w:val="hybridMultilevel"/>
    <w:lvl w:ilvl="0">
      <w:lvlJc w:val="left"/>
      <w:lvlText w:val="•"/>
      <w:numFmt w:val="bullet"/>
      <w:start w:val="1"/>
    </w:lvl>
  </w:abstractNum>
  <w:abstractNum w:abstractNumId="152">
    <w:nsid w:val="3F07ACC3"/>
    <w:multiLevelType w:val="hybridMultilevel"/>
    <w:lvl w:ilvl="0">
      <w:lvlJc w:val="left"/>
      <w:lvlText w:val=" "/>
      <w:numFmt w:val="bullet"/>
      <w:start w:val="1"/>
    </w:lvl>
  </w:abstractNum>
  <w:abstractNum w:abstractNumId="153">
    <w:nsid w:val="6B47F63E"/>
    <w:multiLevelType w:val="hybridMultilevel"/>
    <w:lvl w:ilvl="0">
      <w:lvlJc w:val="left"/>
      <w:lvlText w:val="(%1)"/>
      <w:numFmt w:val="decimal"/>
      <w:start w:val="1"/>
    </w:lvl>
  </w:abstractNum>
  <w:abstractNum w:abstractNumId="154">
    <w:nsid w:val="5CB44A05"/>
    <w:multiLevelType w:val="hybridMultilevel"/>
    <w:lvl w:ilvl="0">
      <w:lvlJc w:val="left"/>
      <w:lvlText w:val=" "/>
      <w:numFmt w:val="bullet"/>
      <w:start w:val="1"/>
    </w:lvl>
  </w:abstractNum>
  <w:abstractNum w:abstractNumId="155">
    <w:nsid w:val="16CF80F1"/>
    <w:multiLevelType w:val="hybridMultilevel"/>
    <w:lvl w:ilvl="0">
      <w:lvlJc w:val="left"/>
      <w:lvlText w:val="*"/>
      <w:numFmt w:val="bullet"/>
      <w:start w:val="1"/>
    </w:lvl>
  </w:abstractNum>
  <w:abstractNum w:abstractNumId="156">
    <w:nsid w:val="1C695DEC"/>
    <w:multiLevelType w:val="hybridMultilevel"/>
    <w:lvl w:ilvl="0">
      <w:lvlJc w:val="left"/>
      <w:lvlText w:val="(%1)"/>
      <w:numFmt w:val="decimal"/>
      <w:start w:val="1"/>
    </w:lvl>
  </w:abstractNum>
  <w:abstractNum w:abstractNumId="157">
    <w:nsid w:val="3FCFAED9"/>
    <w:multiLevelType w:val="hybridMultilevel"/>
    <w:lvl w:ilvl="0">
      <w:lvlJc w:val="left"/>
      <w:lvlText w:val=" "/>
      <w:numFmt w:val="bullet"/>
      <w:start w:val="1"/>
    </w:lvl>
  </w:abstractNum>
  <w:abstractNum w:abstractNumId="158">
    <w:nsid w:val="F856867"/>
    <w:multiLevelType w:val="hybridMultilevel"/>
    <w:lvl w:ilvl="0">
      <w:lvlJc w:val="left"/>
      <w:lvlText w:val=" "/>
      <w:numFmt w:val="bullet"/>
      <w:start w:val="1"/>
    </w:lvl>
  </w:abstractNum>
  <w:abstractNum w:abstractNumId="159">
    <w:nsid w:val="11B1CC33"/>
    <w:multiLevelType w:val="hybridMultilevel"/>
    <w:lvl w:ilvl="0">
      <w:lvlJc w:val="left"/>
      <w:lvlText w:val=" "/>
      <w:numFmt w:val="bullet"/>
      <w:start w:val="1"/>
    </w:lvl>
  </w:abstractNum>
  <w:abstractNum w:abstractNumId="160">
    <w:nsid w:val="2E22FBB7"/>
    <w:multiLevelType w:val="hybridMultilevel"/>
    <w:lvl w:ilvl="0">
      <w:lvlJc w:val="left"/>
      <w:lvlText w:val=" "/>
      <w:numFmt w:val="bullet"/>
      <w:start w:val="1"/>
    </w:lvl>
  </w:abstractNum>
  <w:abstractNum w:abstractNumId="161">
    <w:nsid w:val="29934699"/>
    <w:multiLevelType w:val="hybridMultilevel"/>
    <w:lvl w:ilvl="0">
      <w:lvlJc w:val="left"/>
      <w:lvlText w:val=" "/>
      <w:numFmt w:val="bullet"/>
      <w:start w:val="1"/>
    </w:lvl>
  </w:abstractNum>
  <w:abstractNum w:abstractNumId="162">
    <w:nsid w:val="77485850"/>
    <w:multiLevelType w:val="hybridMultilevel"/>
    <w:lvl w:ilvl="0">
      <w:lvlJc w:val="left"/>
      <w:lvlText w:val=" "/>
      <w:numFmt w:val="bullet"/>
      <w:start w:val="1"/>
    </w:lvl>
  </w:abstractNum>
  <w:abstractNum w:abstractNumId="163">
    <w:nsid w:val="744939A3"/>
    <w:multiLevelType w:val="hybridMultilevel"/>
    <w:lvl w:ilvl="0">
      <w:lvlJc w:val="left"/>
      <w:lvlText w:val=" "/>
      <w:numFmt w:val="bullet"/>
      <w:start w:val="1"/>
    </w:lvl>
  </w:abstractNum>
  <w:abstractNum w:abstractNumId="164">
    <w:nsid w:val="4FA0D2E3"/>
    <w:multiLevelType w:val="hybridMultilevel"/>
    <w:lvl w:ilvl="0">
      <w:lvlJc w:val="left"/>
      <w:lvlText w:val=" "/>
      <w:numFmt w:val="bullet"/>
      <w:start w:val="1"/>
    </w:lvl>
  </w:abstractNum>
  <w:abstractNum w:abstractNumId="165">
    <w:nsid w:val="6B1D2C14"/>
    <w:multiLevelType w:val="hybridMultilevel"/>
    <w:lvl w:ilvl="0">
      <w:lvlJc w:val="left"/>
      <w:lvlText w:val="•"/>
      <w:numFmt w:val="bullet"/>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2024-03-22T07:28:34Z</dcterms:created>
  <dcterms:modified xsi:type="dcterms:W3CDTF">2024-03-22T07:28:34Z</dcterms:modified>
</cp:coreProperties>
</file>