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WASHINGTON, D.C. 20549</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41275</wp:posOffset>
            </wp:positionV>
            <wp:extent cx="1895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-232410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3" w:lineRule="exact"/>
        <w:rPr>
          <w:sz w:val="24"/>
          <w:szCs w:val="24"/>
          <w:color w:val="auto"/>
        </w:rPr>
      </w:pPr>
    </w:p>
    <w:p>
      <w:pPr>
        <w:ind w:left="720" w:right="5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THE SECTION 13 OR 15(D) OF THE SECURITIES EXCHANGE ACT OF 1934</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September 30, 2015</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157"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9" w:lineRule="exact"/>
        <w:rPr>
          <w:sz w:val="24"/>
          <w:szCs w:val="24"/>
          <w:color w:val="auto"/>
        </w:rPr>
      </w:pPr>
    </w:p>
    <w:p>
      <w:pPr>
        <w:ind w:left="3680"/>
        <w:spacing w:after="0"/>
        <w:tabs>
          <w:tab w:leader="none" w:pos="692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8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Commission file number: 1-07533</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FEDERAL REALTY INVESTMENT TRUST</w:t>
      </w:r>
    </w:p>
    <w:p>
      <w:pPr>
        <w:spacing w:after="0" w:line="7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Declaration of Trust)</w:t>
      </w:r>
    </w:p>
    <w:p>
      <w:pPr>
        <w:spacing w:after="0" w:line="248" w:lineRule="exact"/>
        <w:rPr>
          <w:sz w:val="24"/>
          <w:szCs w:val="24"/>
          <w:color w:val="auto"/>
        </w:rPr>
      </w:pPr>
    </w:p>
    <w:tbl>
      <w:tblPr>
        <w:tblLayout w:type="fixed"/>
        <w:tblInd w:w="620" w:type="dxa"/>
        <w:tblCellMar>
          <w:top w:w="0" w:type="dxa"/>
          <w:left w:w="0" w:type="dxa"/>
          <w:bottom w:w="0" w:type="dxa"/>
          <w:right w:w="0" w:type="dxa"/>
        </w:tblCellMar>
      </w:tblPr>
      <w:tr>
        <w:trPr>
          <w:trHeight w:val="256"/>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5"/>
              </w:rPr>
              <w:t>Maryland</w:t>
            </w:r>
          </w:p>
        </w:tc>
        <w:tc>
          <w:tcPr>
            <w:tcW w:w="2340" w:type="dxa"/>
            <w:vAlign w:val="bottom"/>
          </w:tcPr>
          <w:p>
            <w:pPr>
              <w:jc w:val="right"/>
              <w:ind w:right="610"/>
              <w:spacing w:after="0"/>
              <w:rPr>
                <w:sz w:val="20"/>
                <w:szCs w:val="20"/>
                <w:color w:val="auto"/>
              </w:rPr>
            </w:pPr>
            <w:r>
              <w:rPr>
                <w:rFonts w:ascii="Arial" w:cs="Arial" w:eastAsia="Arial" w:hAnsi="Arial"/>
                <w:sz w:val="20"/>
                <w:szCs w:val="20"/>
                <w:b w:val="1"/>
                <w:bCs w:val="1"/>
                <w:color w:val="auto"/>
              </w:rPr>
              <w:t>52-0782497</w:t>
            </w:r>
          </w:p>
        </w:tc>
      </w:tr>
      <w:tr>
        <w:trPr>
          <w:trHeight w:val="247"/>
        </w:trPr>
        <w:tc>
          <w:tcPr>
            <w:tcW w:w="6780" w:type="dxa"/>
            <w:vAlign w:val="bottom"/>
          </w:tcPr>
          <w:p>
            <w:pPr>
              <w:jc w:val="center"/>
              <w:ind w:right="2653"/>
              <w:spacing w:after="0"/>
              <w:rPr>
                <w:sz w:val="20"/>
                <w:szCs w:val="20"/>
                <w:color w:val="auto"/>
              </w:rPr>
            </w:pPr>
            <w:r>
              <w:rPr>
                <w:rFonts w:ascii="Arial" w:cs="Arial" w:eastAsia="Arial" w:hAnsi="Arial"/>
                <w:sz w:val="16"/>
                <w:szCs w:val="16"/>
                <w:b w:val="1"/>
                <w:bCs w:val="1"/>
                <w:color w:val="auto"/>
                <w:w w:val="93"/>
              </w:rPr>
              <w:t>(State of Organization)</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(IRS Employer Identification No.)</w:t>
            </w:r>
          </w:p>
        </w:tc>
      </w:tr>
      <w:tr>
        <w:trPr>
          <w:trHeight w:val="523"/>
        </w:trPr>
        <w:tc>
          <w:tcPr>
            <w:tcW w:w="6780" w:type="dxa"/>
            <w:vAlign w:val="bottom"/>
          </w:tcPr>
          <w:p>
            <w:pPr>
              <w:jc w:val="center"/>
              <w:ind w:right="2653"/>
              <w:spacing w:after="0"/>
              <w:rPr>
                <w:sz w:val="20"/>
                <w:szCs w:val="20"/>
                <w:color w:val="auto"/>
              </w:rPr>
            </w:pPr>
            <w:r>
              <w:rPr>
                <w:rFonts w:ascii="Arial" w:cs="Arial" w:eastAsia="Arial" w:hAnsi="Arial"/>
                <w:sz w:val="20"/>
                <w:szCs w:val="20"/>
                <w:b w:val="1"/>
                <w:bCs w:val="1"/>
                <w:color w:val="auto"/>
                <w:w w:val="90"/>
              </w:rPr>
              <w:t>1626 East Jefferson Street, Rockville, Maryland</w:t>
            </w:r>
          </w:p>
        </w:tc>
        <w:tc>
          <w:tcPr>
            <w:tcW w:w="2340" w:type="dxa"/>
            <w:vAlign w:val="bottom"/>
          </w:tcPr>
          <w:p>
            <w:pPr>
              <w:jc w:val="right"/>
              <w:ind w:right="830"/>
              <w:spacing w:after="0"/>
              <w:rPr>
                <w:sz w:val="20"/>
                <w:szCs w:val="20"/>
                <w:color w:val="auto"/>
              </w:rPr>
            </w:pPr>
            <w:r>
              <w:rPr>
                <w:rFonts w:ascii="Arial" w:cs="Arial" w:eastAsia="Arial" w:hAnsi="Arial"/>
                <w:sz w:val="20"/>
                <w:szCs w:val="20"/>
                <w:b w:val="1"/>
                <w:bCs w:val="1"/>
                <w:color w:val="auto"/>
              </w:rPr>
              <w:t>20852</w:t>
            </w:r>
          </w:p>
        </w:tc>
      </w:tr>
      <w:tr>
        <w:trPr>
          <w:trHeight w:val="247"/>
        </w:trPr>
        <w:tc>
          <w:tcPr>
            <w:tcW w:w="6780" w:type="dxa"/>
            <w:vAlign w:val="bottom"/>
          </w:tcPr>
          <w:p>
            <w:pPr>
              <w:jc w:val="center"/>
              <w:ind w:right="2673"/>
              <w:spacing w:after="0"/>
              <w:rPr>
                <w:sz w:val="20"/>
                <w:szCs w:val="20"/>
                <w:color w:val="auto"/>
              </w:rPr>
            </w:pPr>
            <w:r>
              <w:rPr>
                <w:rFonts w:ascii="Arial" w:cs="Arial" w:eastAsia="Arial" w:hAnsi="Arial"/>
                <w:sz w:val="16"/>
                <w:szCs w:val="16"/>
                <w:b w:val="1"/>
                <w:bCs w:val="1"/>
                <w:color w:val="auto"/>
                <w:w w:val="91"/>
              </w:rPr>
              <w:t>(Address of Principal Executive Offices)</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3"/>
              </w:rPr>
              <w:t>(Zip Code)</w:t>
            </w:r>
          </w:p>
        </w:tc>
      </w:tr>
      <w:tr>
        <w:trPr>
          <w:trHeight w:val="330"/>
        </w:trPr>
        <w:tc>
          <w:tcPr>
            <w:tcW w:w="6780" w:type="dxa"/>
            <w:vAlign w:val="bottom"/>
          </w:tcPr>
          <w:p>
            <w:pPr>
              <w:jc w:val="right"/>
              <w:ind w:right="1033"/>
              <w:spacing w:after="0"/>
              <w:rPr>
                <w:sz w:val="20"/>
                <w:szCs w:val="20"/>
                <w:color w:val="auto"/>
              </w:rPr>
            </w:pPr>
            <w:r>
              <w:rPr>
                <w:rFonts w:ascii="Arial" w:cs="Arial" w:eastAsia="Arial" w:hAnsi="Arial"/>
                <w:sz w:val="18"/>
                <w:szCs w:val="18"/>
                <w:b w:val="1"/>
                <w:bCs w:val="1"/>
                <w:color w:val="auto"/>
              </w:rPr>
              <w:t>(301) 998-8100</w:t>
            </w:r>
          </w:p>
        </w:tc>
        <w:tc>
          <w:tcPr>
            <w:tcW w:w="2340" w:type="dxa"/>
            <w:vAlign w:val="bottom"/>
          </w:tcPr>
          <w:p>
            <w:pPr>
              <w:spacing w:after="0"/>
              <w:rPr>
                <w:sz w:val="24"/>
                <w:szCs w:val="24"/>
                <w:color w:val="auto"/>
              </w:rPr>
            </w:pPr>
          </w:p>
        </w:tc>
      </w:tr>
      <w:tr>
        <w:trPr>
          <w:trHeight w:val="204"/>
        </w:trPr>
        <w:tc>
          <w:tcPr>
            <w:tcW w:w="6780" w:type="dxa"/>
            <w:vAlign w:val="bottom"/>
          </w:tcPr>
          <w:p>
            <w:pPr>
              <w:jc w:val="center"/>
              <w:ind w:left="3273"/>
              <w:spacing w:after="0"/>
              <w:rPr>
                <w:sz w:val="20"/>
                <w:szCs w:val="20"/>
                <w:color w:val="auto"/>
              </w:rPr>
            </w:pPr>
            <w:r>
              <w:rPr>
                <w:rFonts w:ascii="Arial" w:cs="Arial" w:eastAsia="Arial" w:hAnsi="Arial"/>
                <w:sz w:val="14"/>
                <w:szCs w:val="14"/>
                <w:b w:val="1"/>
                <w:bCs w:val="1"/>
                <w:color w:val="auto"/>
                <w:w w:val="92"/>
              </w:rPr>
              <w:t>(Registrant’s Telephone Number, Including Area Code)</w:t>
            </w:r>
          </w:p>
        </w:tc>
        <w:tc>
          <w:tcPr>
            <w:tcW w:w="2340" w:type="dxa"/>
            <w:vAlign w:val="bottom"/>
          </w:tcPr>
          <w:p>
            <w:pPr>
              <w:spacing w:after="0"/>
              <w:rPr>
                <w:sz w:val="17"/>
                <w:szCs w:val="17"/>
                <w:color w:val="auto"/>
              </w:rPr>
            </w:pPr>
          </w:p>
        </w:tc>
      </w:tr>
    </w:tbl>
    <w:p>
      <w:pPr>
        <w:spacing w:after="0" w:line="14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ind w:right="38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4" w:right="239" w:bottom="1440" w:gutter="0" w:footer="0" w:header="0"/>
        </w:sectPr>
      </w:pPr>
    </w:p>
    <w:p>
      <w:pPr>
        <w:spacing w:after="0" w:line="70"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11" w:lineRule="exact"/>
        <w:rPr>
          <w:sz w:val="24"/>
          <w:szCs w:val="24"/>
          <w:color w:val="auto"/>
        </w:rPr>
      </w:pPr>
    </w:p>
    <w:p>
      <w:pPr>
        <w:sectPr>
          <w:pgSz w:w="11900" w:h="16838" w:orient="portrait"/>
          <w:cols w:equalWidth="0" w:num="4">
            <w:col w:w="1740" w:space="70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97" w:lineRule="exact"/>
        <w:rPr>
          <w:sz w:val="24"/>
          <w:szCs w:val="24"/>
          <w:color w:val="auto"/>
        </w:rPr>
      </w:pPr>
    </w:p>
    <w:p>
      <w:pPr>
        <w:sectPr>
          <w:pgSz w:w="11900" w:h="16838" w:orient="portrait"/>
          <w:cols w:equalWidth="0" w:num="4">
            <w:col w:w="1720" w:space="720"/>
            <w:col w:w="3960" w:space="720"/>
            <w:col w:w="3260" w:space="720"/>
            <w:col w:w="320"/>
          </w:cols>
          <w:pgMar w:left="240" w:top="234"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Yes</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88" w:lineRule="exact"/>
        <w:rPr>
          <w:sz w:val="24"/>
          <w:szCs w:val="24"/>
          <w:color w:val="auto"/>
        </w:rPr>
      </w:pPr>
    </w:p>
    <w:p>
      <w:pPr>
        <w:sectPr>
          <w:pgSz w:w="11900" w:h="16838" w:orient="portrait"/>
          <w:cols w:equalWidth="0" w:num="3">
            <w:col w:w="8240" w:space="240"/>
            <w:col w:w="500" w:space="180"/>
            <w:col w:w="2260"/>
          </w:cols>
          <w:pgMar w:left="240" w:top="23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Registrant’s common shares outstanding on October 30, 2015 was 69,423,577.</w:t>
      </w:r>
    </w:p>
    <w:p>
      <w:pPr>
        <w:sectPr>
          <w:pgSz w:w="11900" w:h="16838" w:orient="portrait"/>
          <w:cols w:equalWidth="0" w:num="1">
            <w:col w:w="11420"/>
          </w:cols>
          <w:pgMar w:left="240" w:top="23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1220" w:type="dxa"/>
            <w:vAlign w:val="bottom"/>
            <w:gridSpan w:val="3"/>
          </w:tcPr>
          <w:p>
            <w:pPr>
              <w:spacing w:after="0"/>
              <w:rPr>
                <w:sz w:val="20"/>
                <w:szCs w:val="20"/>
                <w:color w:val="auto"/>
              </w:rPr>
            </w:pPr>
            <w:r>
              <w:rPr>
                <w:rFonts w:ascii="Arial" w:cs="Arial" w:eastAsia="Arial" w:hAnsi="Arial"/>
                <w:sz w:val="16"/>
                <w:szCs w:val="16"/>
                <w:b w:val="1"/>
                <w:bCs w:val="1"/>
                <w:color w:val="0000EE"/>
              </w:rPr>
              <w:t>Table of Contents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66"/>
        </w:trPr>
        <w:tc>
          <w:tcPr>
            <w:tcW w:w="8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rPr>
              <w:t>FEDERAL REALTY INVESTMENT TRUST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2"/>
        </w:trPr>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0" w:type="dxa"/>
            <w:vAlign w:val="bottom"/>
          </w:tcPr>
          <w:p>
            <w:pPr>
              <w:jc w:val="center"/>
              <w:ind w:right="930"/>
              <w:spacing w:after="0"/>
              <w:rPr>
                <w:sz w:val="20"/>
                <w:szCs w:val="20"/>
                <w:color w:val="auto"/>
              </w:rPr>
            </w:pPr>
            <w:r>
              <w:rPr>
                <w:rFonts w:ascii="Arial" w:cs="Arial" w:eastAsia="Arial" w:hAnsi="Arial"/>
                <w:sz w:val="18"/>
                <w:szCs w:val="18"/>
                <w:b w:val="1"/>
                <w:bCs w:val="1"/>
                <w:color w:val="auto"/>
                <w:w w:val="99"/>
              </w:rPr>
              <w:t>QUARTERLY REPORT ON FORM 10-Q</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0" w:type="dxa"/>
            <w:vAlign w:val="bottom"/>
          </w:tcPr>
          <w:p>
            <w:pPr>
              <w:jc w:val="center"/>
              <w:ind w:right="910"/>
              <w:spacing w:after="0"/>
              <w:rPr>
                <w:sz w:val="20"/>
                <w:szCs w:val="20"/>
                <w:color w:val="auto"/>
              </w:rPr>
            </w:pPr>
            <w:r>
              <w:rPr>
                <w:rFonts w:ascii="Arial" w:cs="Arial" w:eastAsia="Arial" w:hAnsi="Arial"/>
                <w:sz w:val="18"/>
                <w:szCs w:val="18"/>
                <w:b w:val="1"/>
                <w:bCs w:val="1"/>
                <w:color w:val="auto"/>
                <w:w w:val="97"/>
              </w:rPr>
              <w:t>QUARTER ENDED SEPTEMBER 30, 2015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0" w:type="dxa"/>
            <w:vAlign w:val="bottom"/>
          </w:tcPr>
          <w:p>
            <w:pPr>
              <w:jc w:val="center"/>
              <w:ind w:right="910"/>
              <w:spacing w:after="0"/>
              <w:rPr>
                <w:sz w:val="20"/>
                <w:szCs w:val="20"/>
                <w:color w:val="auto"/>
              </w:rPr>
            </w:pPr>
            <w:r>
              <w:rPr>
                <w:rFonts w:ascii="Arial" w:cs="Arial" w:eastAsia="Arial" w:hAnsi="Arial"/>
                <w:sz w:val="18"/>
                <w:szCs w:val="18"/>
                <w:b w:val="1"/>
                <w:bCs w:val="1"/>
                <w:color w:val="auto"/>
                <w:w w:val="98"/>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08"/>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PART I. FINANCIAL INFORMATION</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
              <w:r>
                <w:rPr>
                  <w:rFonts w:ascii="Arial" w:cs="Arial" w:eastAsia="Arial" w:hAnsi="Arial"/>
                  <w:sz w:val="18"/>
                  <w:szCs w:val="18"/>
                  <w:color w:val="0000EE"/>
                  <w:w w:val="79"/>
                </w:rPr>
                <w:t>3</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Financial Statements</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Balance Sheets as of September 30, 2015 (unaudited) and December 31, 2014</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4</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w w:val="97"/>
              </w:rPr>
              <w:t>Consolidated Statements of Comprehensive Income (unaudited) for the three and nine months ended September 30, 2015 and 2014</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5</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Statement of Shareholders' Equity (unaudited) for the nine months ended September 30, 2015</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Consolidated Statements of Cash Flows (unaudited) for the nine months ended September 30, 2015 and 2014</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r>
      <w:tr>
        <w:trPr>
          <w:trHeight w:val="250"/>
        </w:trPr>
        <w:tc>
          <w:tcPr>
            <w:tcW w:w="820" w:type="dxa"/>
            <w:vAlign w:val="bottom"/>
          </w:tcPr>
          <w:p>
            <w:pPr>
              <w:spacing w:after="0"/>
              <w:rPr>
                <w:sz w:val="21"/>
                <w:szCs w:val="21"/>
                <w:color w:val="auto"/>
              </w:rPr>
            </w:pP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Notes to Consolidated Financial Statements (unaudited)</w:t>
            </w: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8</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15</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Controls and Procedures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Legal Proceedings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1A.</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Risk Factors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1">
              <w:r>
                <w:rPr>
                  <w:rFonts w:ascii="Arial" w:cs="Arial" w:eastAsia="Arial" w:hAnsi="Arial"/>
                  <w:sz w:val="18"/>
                  <w:szCs w:val="18"/>
                  <w:color w:val="0000EE"/>
                  <w:w w:val="79"/>
                </w:rPr>
                <w:t>31</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2.</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3.</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4.</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5.</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50"/>
        </w:trPr>
        <w:tc>
          <w:tcPr>
            <w:tcW w:w="820" w:type="dxa"/>
            <w:vAlign w:val="bottom"/>
          </w:tcPr>
          <w:p>
            <w:pPr>
              <w:ind w:left="40"/>
              <w:spacing w:after="0"/>
              <w:rPr>
                <w:sz w:val="20"/>
                <w:szCs w:val="20"/>
                <w:color w:val="auto"/>
              </w:rPr>
            </w:pPr>
            <w:r>
              <w:rPr>
                <w:rFonts w:ascii="Arial" w:cs="Arial" w:eastAsia="Arial" w:hAnsi="Arial"/>
                <w:sz w:val="18"/>
                <w:szCs w:val="18"/>
                <w:color w:val="auto"/>
              </w:rPr>
              <w:t>Item 6.</w:t>
            </w:r>
          </w:p>
        </w:tc>
        <w:tc>
          <w:tcPr>
            <w:tcW w:w="10400" w:type="dxa"/>
            <w:vAlign w:val="bottom"/>
            <w:gridSpan w:val="2"/>
          </w:tcPr>
          <w:p>
            <w:pPr>
              <w:ind w:left="140"/>
              <w:spacing w:after="0"/>
              <w:rPr>
                <w:sz w:val="20"/>
                <w:szCs w:val="20"/>
                <w:color w:val="auto"/>
              </w:rPr>
            </w:pPr>
            <w:r>
              <w:rPr>
                <w:rFonts w:ascii="Arial" w:cs="Arial" w:eastAsia="Arial" w:hAnsi="Arial"/>
                <w:sz w:val="18"/>
                <w:szCs w:val="18"/>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574"/>
        </w:trPr>
        <w:tc>
          <w:tcPr>
            <w:tcW w:w="11220" w:type="dxa"/>
            <w:vAlign w:val="bottom"/>
            <w:gridSpan w:val="3"/>
          </w:tcPr>
          <w:p>
            <w:pPr>
              <w:ind w:left="40"/>
              <w:spacing w:after="0"/>
              <w:rPr>
                <w:sz w:val="20"/>
                <w:szCs w:val="20"/>
                <w:color w:val="auto"/>
              </w:rPr>
            </w:pPr>
            <w:r>
              <w:rPr>
                <w:rFonts w:ascii="Arial" w:cs="Arial" w:eastAsia="Arial" w:hAnsi="Arial"/>
                <w:sz w:val="18"/>
                <w:szCs w:val="18"/>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33</w:t>
              </w:r>
            </w:hyperlink>
          </w:p>
        </w:tc>
      </w:tr>
      <w:tr>
        <w:trPr>
          <w:trHeight w:val="939"/>
        </w:trPr>
        <w:tc>
          <w:tcPr>
            <w:tcW w:w="820" w:type="dxa"/>
            <w:vAlign w:val="bottom"/>
          </w:tcPr>
          <w:p>
            <w:pPr>
              <w:spacing w:after="0"/>
              <w:rPr>
                <w:sz w:val="24"/>
                <w:szCs w:val="24"/>
                <w:color w:val="auto"/>
              </w:rPr>
            </w:pPr>
          </w:p>
        </w:tc>
        <w:tc>
          <w:tcPr>
            <w:tcW w:w="10400" w:type="dxa"/>
            <w:vAlign w:val="bottom"/>
            <w:gridSpan w:val="2"/>
          </w:tcPr>
          <w:p>
            <w:pPr>
              <w:jc w:val="center"/>
              <w:ind w:right="53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9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following balance sheet as of December 31, 2014, which has been derived from audited financial statements, and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Federal Realty Investment Trust (the "Trust") believes that the disclosures made are adequate to make the information not misleading. It is suggested that these financial statements be read in conjunction with the financial statements and notes thereto included in the Trust’s latest Annual Report on Form 10-K. In the opinion of management, all adjustments (consisting of normal, recurring adjustments) necessary for a fair presentation for the periods presented have been included. The results of operations for the three and nine months ended September 30, 2015 are not necessarily indicative of the results that may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26" w:right="29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60" w:type="dxa"/>
            <w:vAlign w:val="bottom"/>
            <w:gridSpan w:val="4"/>
          </w:tcPr>
          <w:p>
            <w:pPr>
              <w:jc w:val="right"/>
              <w:ind w:right="231"/>
              <w:spacing w:after="0" w:line="153" w:lineRule="exact"/>
              <w:rPr>
                <w:sz w:val="20"/>
                <w:szCs w:val="20"/>
                <w:color w:val="auto"/>
              </w:rPr>
            </w:pPr>
            <w:r>
              <w:rPr>
                <w:rFonts w:ascii="Arial" w:cs="Arial" w:eastAsia="Arial" w:hAnsi="Arial"/>
                <w:sz w:val="14"/>
                <w:szCs w:val="14"/>
                <w:b w:val="1"/>
                <w:bCs w:val="1"/>
                <w:color w:val="auto"/>
                <w:w w:val="96"/>
              </w:rPr>
              <w:t>(In thousands, except share and per</w:t>
            </w:r>
          </w:p>
        </w:tc>
        <w:tc>
          <w:tcPr>
            <w:tcW w:w="0" w:type="dxa"/>
            <w:vAlign w:val="bottom"/>
          </w:tcPr>
          <w:p>
            <w:pPr>
              <w:spacing w:after="0"/>
              <w:rPr>
                <w:sz w:val="1"/>
                <w:szCs w:val="1"/>
                <w:color w:val="auto"/>
              </w:rPr>
            </w:pPr>
          </w:p>
        </w:tc>
      </w:tr>
      <w:tr>
        <w:trPr>
          <w:trHeight w:val="186"/>
        </w:trPr>
        <w:tc>
          <w:tcPr>
            <w:tcW w:w="8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jc w:val="right"/>
              <w:ind w:right="971"/>
              <w:spacing w:after="0"/>
              <w:rPr>
                <w:sz w:val="20"/>
                <w:szCs w:val="20"/>
                <w:color w:val="auto"/>
              </w:rPr>
            </w:pPr>
            <w:r>
              <w:rPr>
                <w:rFonts w:ascii="Arial" w:cs="Arial" w:eastAsia="Arial" w:hAnsi="Arial"/>
                <w:sz w:val="14"/>
                <w:szCs w:val="14"/>
                <w:b w:val="1"/>
                <w:bCs w:val="1"/>
                <w:color w:val="auto"/>
              </w:rPr>
              <w:t>share data)</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w w:val="99"/>
              </w:rPr>
              <w:t>Operating (including $365,318 and $282,303 of consolidated variable interest entities, respectively)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5,423,981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5,128,757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Construction-in-progress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492,865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480,241</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5,916,846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5,608,998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3"/>
              </w:rPr>
              <w:t>Less accumulated depreciation and amortization (including $32,566 and $26,618 of consolidated variable</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entities, respectively)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(1,546,176)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(1,467,050)</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real estate</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4,370,670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4,141,948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47,951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and notes receivable, net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112,267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93,291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notes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50,988</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41,329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37,457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188,503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160,167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Debt issuance costs, net of accumulated amortization of $10,453 and $11,441, respectively</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16,920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15,068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4,783,803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4,546,870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60" w:type="dxa"/>
            <w:vAlign w:val="bottom"/>
            <w:gridSpan w:val="2"/>
          </w:tcPr>
          <w:p>
            <w:pPr>
              <w:ind w:left="720"/>
              <w:spacing w:after="0"/>
              <w:rPr>
                <w:sz w:val="20"/>
                <w:szCs w:val="20"/>
                <w:color w:val="auto"/>
              </w:rPr>
            </w:pPr>
            <w:r>
              <w:rPr>
                <w:rFonts w:ascii="Arial" w:cs="Arial" w:eastAsia="Arial" w:hAnsi="Arial"/>
                <w:sz w:val="18"/>
                <w:szCs w:val="18"/>
                <w:color w:val="auto"/>
                <w:w w:val="91"/>
              </w:rPr>
              <w:t>Mortgages payable (including $178,811 and $187,632 of consolidated variable interest entities, respectively) $</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426,871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563,698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71,647</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Notes payable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290,207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290,519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Senior notes and debentures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1,744,120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1,483,813</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154,763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145,685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66,296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60,620</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Security deposits payable</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15,872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14,115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115,300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105,164</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2,885,056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2,735,261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Redeemable noncontrolling interests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121,172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119,053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89"/>
              </w:rPr>
              <w:t>Preferred shares, authorized 15,000,000 shares, $.01 par: 5.417% Series 1 Cumulative Convertible Preferred</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18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0"/>
              </w:rPr>
              <w:t>Common shares of beneficial interest, $.01 par, 100,000,000 shares authorized, 69,448,874 and 68,605,783</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2,389,344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2,281,223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(727,203)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(683,991)</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1,665,704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1,604,401</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111,871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88,155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1,777,575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1,692,556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4,783,803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4,546,870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ectPr>
          <w:pgSz w:w="11900" w:h="16838" w:orient="portrait"/>
          <w:cols w:equalWidth="0" w:num="1">
            <w:col w:w="11420"/>
          </w:cols>
          <w:pgMar w:left="240" w:top="1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6"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5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320" w:type="dxa"/>
            <w:vAlign w:val="bottom"/>
          </w:tcPr>
          <w:p>
            <w:pPr>
              <w:ind w:left="40"/>
              <w:spacing w:after="0"/>
              <w:rPr>
                <w:sz w:val="20"/>
                <w:szCs w:val="20"/>
                <w:color w:val="auto"/>
              </w:rPr>
            </w:pPr>
            <w:r>
              <w:rPr>
                <w:rFonts w:ascii="Arial" w:cs="Arial" w:eastAsia="Arial" w:hAnsi="Arial"/>
                <w:sz w:val="18"/>
                <w:szCs w:val="18"/>
                <w:color w:val="auto"/>
              </w:rPr>
              <w:t>REVENUE</w:t>
            </w: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 income</w:t>
            </w:r>
          </w:p>
        </w:tc>
        <w:tc>
          <w:tcPr>
            <w:tcW w:w="148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181,562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166,112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538,612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494,688</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Other property income</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9,364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11,347</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interest income</w:t>
            </w:r>
          </w:p>
        </w:tc>
        <w:tc>
          <w:tcPr>
            <w:tcW w:w="1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1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185,252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170,938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551,505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509,713</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Rental expenses</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34,439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31,908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108,501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100,443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taxes</w:t>
            </w: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21,804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58,238</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9,374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8,374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27,526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24,202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43,718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42,660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128,373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127,403</w:t>
            </w:r>
          </w:p>
        </w:tc>
        <w:tc>
          <w:tcPr>
            <w:tcW w:w="0" w:type="dxa"/>
            <w:vAlign w:val="bottom"/>
          </w:tcPr>
          <w:p>
            <w:pPr>
              <w:spacing w:after="0"/>
              <w:rPr>
                <w:sz w:val="1"/>
                <w:szCs w:val="1"/>
                <w:color w:val="auto"/>
              </w:rPr>
            </w:pPr>
          </w:p>
        </w:tc>
      </w:tr>
      <w:tr>
        <w:trPr>
          <w:trHeight w:val="237"/>
        </w:trPr>
        <w:tc>
          <w:tcPr>
            <w:tcW w:w="53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109,335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103,316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327,265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310,286</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75,917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67,622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224,240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199,427</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Other interest income</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(69,772)</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(19,072)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real estate partnerships</w:t>
            </w:r>
          </w:p>
        </w:tc>
        <w:tc>
          <w:tcPr>
            <w:tcW w:w="1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54,550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44,648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136,917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130,609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w:t>
            </w:r>
          </w:p>
        </w:tc>
        <w:tc>
          <w:tcPr>
            <w:tcW w:w="1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54,550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49,049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148,426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135,010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1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1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52,447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47,075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142,265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129,373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on preferred shares</w:t>
            </w:r>
          </w:p>
        </w:tc>
        <w:tc>
          <w:tcPr>
            <w:tcW w:w="1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1200" w:type="dxa"/>
            <w:vAlign w:val="bottom"/>
          </w:tcPr>
          <w:p>
            <w:pPr>
              <w:spacing w:after="0"/>
              <w:rPr>
                <w:sz w:val="20"/>
                <w:szCs w:val="20"/>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52,311</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46,939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141,859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128,967</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BASIC</w:t>
            </w:r>
          </w:p>
        </w:tc>
        <w:tc>
          <w:tcPr>
            <w:tcW w:w="1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Continuing operations</w:t>
            </w:r>
          </w:p>
        </w:tc>
        <w:tc>
          <w:tcPr>
            <w:tcW w:w="148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sale of real estate</w:t>
            </w:r>
          </w:p>
        </w:tc>
        <w:tc>
          <w:tcPr>
            <w:tcW w:w="1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7"/>
        </w:trPr>
        <w:tc>
          <w:tcPr>
            <w:tcW w:w="5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number of common shares, basic</w:t>
            </w: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69,006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67,559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67,095</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1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Continuing operations</w:t>
            </w:r>
          </w:p>
        </w:tc>
        <w:tc>
          <w:tcPr>
            <w:tcW w:w="148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Gain on sale of real estate</w:t>
            </w: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Weighted average number of common shares, diluted</w:t>
            </w:r>
          </w:p>
        </w:tc>
        <w:tc>
          <w:tcPr>
            <w:tcW w:w="1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2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69,181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67,732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68,821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67,261</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5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48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52,329</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51,349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144,811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134,667</w:t>
            </w:r>
          </w:p>
        </w:tc>
        <w:tc>
          <w:tcPr>
            <w:tcW w:w="0" w:type="dxa"/>
            <w:vAlign w:val="bottom"/>
          </w:tcPr>
          <w:p>
            <w:pPr>
              <w:spacing w:after="0"/>
              <w:rPr>
                <w:sz w:val="1"/>
                <w:szCs w:val="1"/>
                <w:color w:val="auto"/>
              </w:rPr>
            </w:pPr>
          </w:p>
        </w:tc>
      </w:tr>
      <w:tr>
        <w:trPr>
          <w:trHeight w:val="67"/>
        </w:trPr>
        <w:tc>
          <w:tcPr>
            <w:tcW w:w="532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COMPREHENSIVE INCOME ATTRIBUTABLE TO THE TRUST</w:t>
            </w:r>
          </w:p>
        </w:tc>
        <w:tc>
          <w:tcPr>
            <w:tcW w:w="1480" w:type="dxa"/>
            <w:vAlign w:val="bottom"/>
            <w:gridSpan w:val="2"/>
          </w:tcPr>
          <w:p>
            <w:pPr>
              <w:jc w:val="right"/>
              <w:ind w:right="76"/>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50,226</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49,375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138,650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129,030</w:t>
            </w:r>
          </w:p>
        </w:tc>
        <w:tc>
          <w:tcPr>
            <w:tcW w:w="0" w:type="dxa"/>
            <w:vAlign w:val="bottom"/>
          </w:tcPr>
          <w:p>
            <w:pPr>
              <w:spacing w:after="0"/>
              <w:rPr>
                <w:sz w:val="1"/>
                <w:szCs w:val="1"/>
                <w:color w:val="auto"/>
              </w:rPr>
            </w:pPr>
          </w:p>
        </w:tc>
      </w:tr>
      <w:tr>
        <w:trPr>
          <w:trHeight w:val="27"/>
        </w:trPr>
        <w:tc>
          <w:tcPr>
            <w:tcW w:w="6520" w:type="dxa"/>
            <w:vAlign w:val="bottom"/>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40" w:type="dxa"/>
            <w:vAlign w:val="bottom"/>
            <w:gridSpan w:val="8"/>
          </w:tcPr>
          <w:p>
            <w:pPr>
              <w:jc w:val="center"/>
              <w:ind w:left="2290"/>
              <w:spacing w:after="0"/>
              <w:rPr>
                <w:sz w:val="20"/>
                <w:szCs w:val="20"/>
                <w:color w:val="auto"/>
              </w:rPr>
            </w:pPr>
            <w:r>
              <w:rPr>
                <w:rFonts w:ascii="Arial" w:cs="Arial" w:eastAsia="Arial" w:hAnsi="Arial"/>
                <w:sz w:val="18"/>
                <w:szCs w:val="18"/>
                <w:color w:val="auto"/>
                <w:w w:val="89"/>
              </w:rPr>
              <w:t>The accompanying notes are an integral part of these consolidated statements.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320" w:type="dxa"/>
            <w:vAlign w:val="bottom"/>
          </w:tcPr>
          <w:p>
            <w:pPr>
              <w:spacing w:after="0"/>
              <w:rPr>
                <w:sz w:val="24"/>
                <w:szCs w:val="24"/>
                <w:color w:val="auto"/>
              </w:rPr>
            </w:pPr>
          </w:p>
        </w:tc>
        <w:tc>
          <w:tcPr>
            <w:tcW w:w="1200" w:type="dxa"/>
            <w:vAlign w:val="bottom"/>
          </w:tcPr>
          <w:p>
            <w:pPr>
              <w:jc w:val="right"/>
              <w:ind w:right="67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Nine Months Ended September 30, 2015</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w w:val="99"/>
              </w:rPr>
              <w:t>Shareholders’ Equity of the Trust</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860" w:type="dxa"/>
            <w:vAlign w:val="bottom"/>
          </w:tcPr>
          <w:p>
            <w:pPr>
              <w:spacing w:after="0"/>
              <w:rPr>
                <w:sz w:val="13"/>
                <w:szCs w:val="13"/>
                <w:color w:val="auto"/>
              </w:rPr>
            </w:pPr>
          </w:p>
        </w:tc>
        <w:tc>
          <w:tcPr>
            <w:tcW w:w="1560" w:type="dxa"/>
            <w:vAlign w:val="bottom"/>
            <w:gridSpan w:val="4"/>
            <w:vMerge w:val="restart"/>
          </w:tcPr>
          <w:p>
            <w:pPr>
              <w:jc w:val="right"/>
              <w:ind w:right="179"/>
              <w:spacing w:after="0"/>
              <w:rPr>
                <w:sz w:val="20"/>
                <w:szCs w:val="20"/>
                <w:color w:val="auto"/>
              </w:rPr>
            </w:pPr>
            <w:r>
              <w:rPr>
                <w:rFonts w:ascii="Arial" w:cs="Arial" w:eastAsia="Arial" w:hAnsi="Arial"/>
                <w:sz w:val="14"/>
                <w:szCs w:val="14"/>
                <w:b w:val="1"/>
                <w:bCs w:val="1"/>
                <w:color w:val="auto"/>
              </w:rPr>
              <w:t>Preferred Shares</w:t>
            </w:r>
          </w:p>
        </w:tc>
        <w:tc>
          <w:tcPr>
            <w:tcW w:w="100" w:type="dxa"/>
            <w:vAlign w:val="bottom"/>
            <w:vMerge w:val="restart"/>
          </w:tcPr>
          <w:p>
            <w:pPr>
              <w:spacing w:after="0"/>
              <w:rPr>
                <w:sz w:val="13"/>
                <w:szCs w:val="13"/>
                <w:color w:val="auto"/>
              </w:rPr>
            </w:pPr>
          </w:p>
        </w:tc>
        <w:tc>
          <w:tcPr>
            <w:tcW w:w="1560" w:type="dxa"/>
            <w:vAlign w:val="bottom"/>
            <w:gridSpan w:val="4"/>
            <w:vMerge w:val="restart"/>
          </w:tcPr>
          <w:p>
            <w:pPr>
              <w:jc w:val="right"/>
              <w:ind w:right="139"/>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10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56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Dividends in</w:t>
            </w:r>
          </w:p>
        </w:tc>
        <w:tc>
          <w:tcPr>
            <w:tcW w:w="200" w:type="dxa"/>
            <w:vAlign w:val="bottom"/>
          </w:tcPr>
          <w:p>
            <w:pPr>
              <w:spacing w:after="0"/>
              <w:rPr>
                <w:sz w:val="13"/>
                <w:szCs w:val="13"/>
                <w:color w:val="auto"/>
              </w:rPr>
            </w:pPr>
          </w:p>
        </w:tc>
        <w:tc>
          <w:tcPr>
            <w:tcW w:w="9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Paid-in</w:t>
            </w:r>
          </w:p>
        </w:tc>
        <w:tc>
          <w:tcPr>
            <w:tcW w:w="100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Excess of Net</w:t>
            </w:r>
          </w:p>
        </w:tc>
        <w:tc>
          <w:tcPr>
            <w:tcW w:w="110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0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Noncontrolling</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Shareholders'</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gridSpan w:val="7"/>
          </w:tcPr>
          <w:p>
            <w:pPr>
              <w:spacing w:after="0"/>
              <w:rPr>
                <w:sz w:val="20"/>
                <w:szCs w:val="20"/>
                <w:color w:val="auto"/>
              </w:rPr>
            </w:pPr>
            <w:r>
              <w:rPr>
                <w:rFonts w:ascii="Arial" w:cs="Arial" w:eastAsia="Arial" w:hAnsi="Arial"/>
                <w:sz w:val="14"/>
                <w:szCs w:val="14"/>
                <w:b w:val="1"/>
                <w:bCs w:val="1"/>
                <w:color w:val="auto"/>
                <w:w w:val="96"/>
              </w:rPr>
              <w:t>(In thousands, except share data)</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2014</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399,896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68,605,783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687</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$2,281,223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(683,991)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88,155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$ 1,692,556</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w w:val="95"/>
              </w:rPr>
              <w:t>Net income, excluding $2,622 attributable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to redeemable noncontrolling 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142,265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3,539</w:t>
            </w:r>
          </w:p>
        </w:tc>
        <w:tc>
          <w:tcPr>
            <w:tcW w:w="100" w:type="dxa"/>
            <w:vAlign w:val="bottom"/>
          </w:tcPr>
          <w:p>
            <w:pPr>
              <w:spacing w:after="0"/>
              <w:rPr>
                <w:sz w:val="17"/>
                <w:szCs w:val="17"/>
                <w:color w:val="auto"/>
              </w:rPr>
            </w:pP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145,804</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loss - change in</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value of interest rate swaps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(3,615)</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Dividends declared to common</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(185,071)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(185,071)</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declared to preferred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shareholders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rPr>
              <w:t>Distributions declared to noncontrolling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(4,043)</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(4,043)</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Common shares issued</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750,503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99,565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99,573</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20,739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23"/>
              <w:spacing w:after="0"/>
              <w:rPr>
                <w:sz w:val="20"/>
                <w:szCs w:val="20"/>
                <w:color w:val="auto"/>
              </w:rPr>
            </w:pPr>
            <w:r>
              <w:rPr>
                <w:rFonts w:ascii="Arial" w:cs="Arial" w:eastAsia="Arial" w:hAnsi="Arial"/>
                <w:sz w:val="16"/>
                <w:szCs w:val="16"/>
                <w:color w:val="auto"/>
              </w:rPr>
              <w:t>1,318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1,318</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Shares issued under dividend reinvestment</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12,423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1,717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1,717</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w w:val="90"/>
              </w:rPr>
              <w:t>Share-based compensation expense, net of</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forfeitures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54,978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40" w:type="dxa"/>
            <w:vAlign w:val="bottom"/>
            <w:gridSpan w:val="3"/>
          </w:tcPr>
          <w:p>
            <w:pPr>
              <w:jc w:val="right"/>
              <w:ind w:right="23"/>
              <w:spacing w:after="0"/>
              <w:rPr>
                <w:sz w:val="20"/>
                <w:szCs w:val="20"/>
                <w:color w:val="auto"/>
              </w:rPr>
            </w:pPr>
            <w:r>
              <w:rPr>
                <w:rFonts w:ascii="Arial" w:cs="Arial" w:eastAsia="Arial" w:hAnsi="Arial"/>
                <w:sz w:val="16"/>
                <w:szCs w:val="16"/>
                <w:color w:val="auto"/>
              </w:rPr>
              <w:t>9,450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1"/>
              <w:spacing w:after="0"/>
              <w:rPr>
                <w:sz w:val="20"/>
                <w:szCs w:val="20"/>
                <w:color w:val="auto"/>
              </w:rPr>
            </w:pPr>
            <w:r>
              <w:rPr>
                <w:rFonts w:ascii="Arial" w:cs="Arial" w:eastAsia="Arial" w:hAnsi="Arial"/>
                <w:sz w:val="16"/>
                <w:szCs w:val="16"/>
                <w:color w:val="auto"/>
              </w:rPr>
              <w:t>9,451</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withheld for employee taxes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(5,082)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(5,082)</w:t>
            </w:r>
          </w:p>
        </w:tc>
        <w:tc>
          <w:tcPr>
            <w:tcW w:w="0" w:type="dxa"/>
            <w:vAlign w:val="bottom"/>
          </w:tcPr>
          <w:p>
            <w:pPr>
              <w:spacing w:after="0"/>
              <w:rPr>
                <w:sz w:val="1"/>
                <w:szCs w:val="1"/>
                <w:color w:val="auto"/>
              </w:rPr>
            </w:pPr>
          </w:p>
        </w:tc>
      </w:tr>
      <w:tr>
        <w:trPr>
          <w:trHeight w:val="237"/>
        </w:trPr>
        <w:tc>
          <w:tcPr>
            <w:tcW w:w="2860" w:type="dxa"/>
            <w:vAlign w:val="bottom"/>
          </w:tcPr>
          <w:p>
            <w:pPr>
              <w:ind w:left="40"/>
              <w:spacing w:after="0"/>
              <w:rPr>
                <w:sz w:val="20"/>
                <w:szCs w:val="20"/>
                <w:color w:val="auto"/>
              </w:rPr>
            </w:pPr>
            <w:r>
              <w:rPr>
                <w:rFonts w:ascii="Arial" w:cs="Arial" w:eastAsia="Arial" w:hAnsi="Arial"/>
                <w:sz w:val="16"/>
                <w:szCs w:val="16"/>
                <w:color w:val="auto"/>
                <w:w w:val="99"/>
              </w:rPr>
              <w:t>Conversion and redemption of OP units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39,611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23"/>
              <w:spacing w:after="0"/>
              <w:rPr>
                <w:sz w:val="20"/>
                <w:szCs w:val="20"/>
                <w:color w:val="auto"/>
              </w:rPr>
            </w:pPr>
            <w:r>
              <w:rPr>
                <w:rFonts w:ascii="Arial" w:cs="Arial" w:eastAsia="Arial" w:hAnsi="Arial"/>
                <w:sz w:val="16"/>
                <w:szCs w:val="16"/>
                <w:color w:val="auto"/>
              </w:rPr>
              <w:t>4,072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(4,223)</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33"/>
        </w:trPr>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Contributions from noncontrolling</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28,443</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28,443</w:t>
            </w:r>
          </w:p>
        </w:tc>
        <w:tc>
          <w:tcPr>
            <w:tcW w:w="0" w:type="dxa"/>
            <w:vAlign w:val="bottom"/>
          </w:tcPr>
          <w:p>
            <w:pPr>
              <w:spacing w:after="0"/>
              <w:rPr>
                <w:sz w:val="1"/>
                <w:szCs w:val="1"/>
                <w:color w:val="auto"/>
              </w:rPr>
            </w:pPr>
          </w:p>
        </w:tc>
      </w:tr>
      <w:tr>
        <w:trPr>
          <w:trHeight w:val="220"/>
        </w:trPr>
        <w:tc>
          <w:tcPr>
            <w:tcW w:w="2860" w:type="dxa"/>
            <w:vAlign w:val="bottom"/>
          </w:tcPr>
          <w:p>
            <w:pPr>
              <w:ind w:left="40"/>
              <w:spacing w:after="0"/>
              <w:rPr>
                <w:sz w:val="20"/>
                <w:szCs w:val="20"/>
                <w:color w:val="auto"/>
              </w:rPr>
            </w:pPr>
            <w:r>
              <w:rPr>
                <w:rFonts w:ascii="Arial" w:cs="Arial" w:eastAsia="Arial" w:hAnsi="Arial"/>
                <w:sz w:val="16"/>
                <w:szCs w:val="16"/>
                <w:color w:val="auto"/>
                <w:w w:val="96"/>
              </w:rPr>
              <w:t>Adjustment to redeemable noncontrolling</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60" w:type="dxa"/>
            <w:vAlign w:val="bottom"/>
          </w:tcPr>
          <w:p>
            <w:pPr>
              <w:ind w:left="40"/>
              <w:spacing w:after="0"/>
              <w:rPr>
                <w:sz w:val="20"/>
                <w:szCs w:val="20"/>
                <w:color w:val="auto"/>
              </w:rPr>
            </w:pPr>
            <w:r>
              <w:rPr>
                <w:rFonts w:ascii="Arial" w:cs="Arial" w:eastAsia="Arial" w:hAnsi="Arial"/>
                <w:sz w:val="16"/>
                <w:szCs w:val="16"/>
                <w:color w:val="auto"/>
              </w:rPr>
              <w:t>interests</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spacing w:after="0"/>
              <w:rPr>
                <w:sz w:val="20"/>
                <w:szCs w:val="20"/>
                <w:color w:val="auto"/>
              </w:rPr>
            </w:pPr>
            <w:r>
              <w:rPr>
                <w:rFonts w:ascii="Arial" w:cs="Arial" w:eastAsia="Arial" w:hAnsi="Arial"/>
                <w:sz w:val="16"/>
                <w:szCs w:val="16"/>
                <w:color w:val="auto"/>
              </w:rPr>
              <w:t>(2,919)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(2,919)</w:t>
            </w:r>
          </w:p>
        </w:tc>
        <w:tc>
          <w:tcPr>
            <w:tcW w:w="0" w:type="dxa"/>
            <w:vAlign w:val="bottom"/>
          </w:tcPr>
          <w:p>
            <w:pPr>
              <w:spacing w:after="0"/>
              <w:rPr>
                <w:sz w:val="1"/>
                <w:szCs w:val="1"/>
                <w:color w:val="auto"/>
              </w:rPr>
            </w:pPr>
          </w:p>
        </w:tc>
      </w:tr>
      <w:tr>
        <w:trPr>
          <w:trHeight w:val="33"/>
        </w:trPr>
        <w:tc>
          <w:tcPr>
            <w:tcW w:w="28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SEPTEMBER 30, 2015</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399,896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9,997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69,448,874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040" w:type="dxa"/>
            <w:vAlign w:val="bottom"/>
            <w:tcBorders>
              <w:bottom w:val="single" w:sz="8" w:color="CCEEFF"/>
            </w:tcBorders>
            <w:gridSpan w:val="3"/>
            <w:shd w:val="clear" w:color="auto" w:fill="CCEEFF"/>
          </w:tcPr>
          <w:p>
            <w:pPr>
              <w:jc w:val="right"/>
              <w:ind w:right="23"/>
              <w:spacing w:after="0"/>
              <w:rPr>
                <w:sz w:val="20"/>
                <w:szCs w:val="20"/>
                <w:color w:val="auto"/>
              </w:rPr>
            </w:pPr>
            <w:r>
              <w:rPr>
                <w:rFonts w:ascii="Arial" w:cs="Arial" w:eastAsia="Arial" w:hAnsi="Arial"/>
                <w:sz w:val="16"/>
                <w:szCs w:val="16"/>
                <w:color w:val="auto"/>
              </w:rPr>
              <w:t>$2,389,344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(727,203)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111,871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$ 1,777,575</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consolidated statements.</w:t>
      </w: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126"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190"/>
        </w:trPr>
        <w:tc>
          <w:tcPr>
            <w:tcW w:w="8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148,426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135,010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128,373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127,403</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Gain on sale of real estate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(4,401)</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Early extinguishment of debt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Income from real estate partnerships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(909)</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Increase in 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(16,114)</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Increase in prepaid expenses and other assets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(7,537)</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(Decrease) increase in accounts payable and accrued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4,884</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Increase in security deposits and other liabilities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2,564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1,364</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261,150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241,846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Capital expenditures - development and redevelopment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(176,856)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(236,780)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 other</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Proceeds from sale of real estate</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45,821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10,406</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Distribution from real estate partnership in excess of earnings</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221</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Leasing costs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(15,327)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of mortgage and other notes receivable, net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10,693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4,575</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(286,479)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(280,924)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borrowings under revolving credit facility, net of costs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Issuance of senior notes, net of costs</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456,192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Redemption and retirement of 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(219,228)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Repayment of mortgages, capital leases and notes and other payables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(161,901)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(29,304)</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shares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154,250</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Dividends paid to common and preferred shareholders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(178,413)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(156,312)</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and redemptions of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(5,566)</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(9,758)</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(25,932)</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(65,010)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47,951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88,927</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12,864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23,917</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6"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2015</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Federal Realty Investment Trust (the “Trust”) is an equity real estate investment trust (“REIT”) specializing in the ownership, management, and redevelopment of retail and mixed-use properties. Our properties are located primarily in densely populated and affluent communities in strategically selected metropolitan markets in the Mid-Atlantic and Northeast regions of the United States, and California. As of September 30, 2015, we owned or had a majority interest in community and neighborhood shopping centers and mixed-use properties which are operated as 90 predominantly retail real estate projects.</w:t>
      </w:r>
    </w:p>
    <w:p>
      <w:pPr>
        <w:spacing w:after="0" w:line="10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operate in a manner intended to enable us to qualify as a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taxable income have been and are generally expected to be immaterial. We are obligated to pay state taxes, generally consisting of franchise or gross receipts taxes in certain states. Such state taxes also have not been 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consolidated financial statements include the accounts of the Trust, its corporate subsidiaries, and all entities in which the Trust has a controlling interest or has been determined to be the primary beneficiary of a variable interest entity (“VIE”). The equity interests of other investors are reflected as noncontrolling interests or redeemable noncontrolling interests. All significant intercompany transactions and balances are eliminated in consolidation. We account for our interests in joint ventures, which we do not control, using the equity method of accounting.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February 2015, the FASB issued ASU 2015-02, "Amendments to the Consolidation Analysis." ASU 2015-02 modifies the evaluation of whether limited partnerships and similar legal entities are variable or voting interest entities, eliminates the presumption that the general partner should consolidate a limited partnership, modifies the consolidation analysis for reporting entities that are involved in variable interest entities, particularly those that have fee arrangements and related party relationships, and provides a scope exception from consolidation guidance for reporting entities with interests in legal entities that operate as registered money market funds. ASU 2015-02 is effective for us in the first quarter of 2016, and we are currently assessing the impact on our consolidated financial statements.</w:t>
      </w:r>
    </w:p>
    <w:p>
      <w:pPr>
        <w:spacing w:after="0" w:line="5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April 2015, the FASB issued ASU 2015-03, "Simplifying the Presentation of Debt Issuance Costs." ASU 2015-03 requires debt issuance costs related to a debt liability be presented in the balance sheet as a direct deduction from the carrying amount of the debt liability, rather than classified as an asset. Recognition and measurement of debt issuance costs are not affected. Subsequently, in August 2015, the FASB issued ASU 2015-15, "Presentation and Subsequent Measurement of Debt Issuance Costs Associated with Line-of-Credit Arrangements," which allows an entity to present the costs related to securing a line-of- credit arrangement as an asset, regardless of whether there are any outstanding borrowings. ASU 2015-03 and ASU 2015-15 are effective for us in the first quarter of 2016 and are not expected to have a significant impact on our consolidated financial statements.</w:t>
      </w:r>
    </w:p>
    <w:p>
      <w:pPr>
        <w:spacing w:after="0" w:line="3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August 2015, the FASB issued ASU 2015-14, which defers the effective date of ASU 2014-09, "Revenue from Contracts with Customers," which will now be effective for us in the first quarter of 2018. We are currently assessing the impact of this standard to our consolidated financial statements.</w:t>
      </w:r>
    </w:p>
    <w:p>
      <w:pPr>
        <w:spacing w:after="0" w:line="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September 2015, the FASB issued ASU 2015-16, "Simplifying the Accounting for Measurement-Period Adjustments." ASU 2015-16 requires that, if the initial accounting for the business combination is incomplete as of the end of the reporting period in which the acquisition occurs, the acquirer records provisional amounts based on information available at the acquisition date.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6" w:right="25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acquirer would then adjust these amounts in the current period, as it obtains more information about facts and circumstances that existed as of the acquisition date. Under the current guidance, an acquirer must revise comparative information on the income statement and balance sheet for any prior periods affected. ASU 2015-16 is effective for us in the first quarter of 2016, and is not expected to have a significant impact on our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0" w:lineRule="exact"/>
        <w:rPr>
          <w:sz w:val="20"/>
          <w:szCs w:val="20"/>
          <w:color w:val="auto"/>
        </w:rPr>
      </w:pPr>
    </w:p>
    <w:p>
      <w:pPr>
        <w:spacing w:after="0" w:line="219"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Nine Months Ended</w:t>
      </w:r>
    </w:p>
    <w:p>
      <w:pPr>
        <w:spacing w:after="0" w:line="42"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23495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auto"/>
              </w:rPr>
              <w:t>SUPPLEMENTAL DISCLOSURES: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 costs incurred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83,485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85,740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Interest capitalized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(14,139)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2"/>
                <w:szCs w:val="22"/>
                <w:color w:val="auto"/>
              </w:rPr>
            </w:pPr>
          </w:p>
        </w:tc>
        <w:tc>
          <w:tcPr>
            <w:tcW w:w="85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69,346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Cash paid for interest, net of amounts capitalized (1)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vMerge w:val="continue"/>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91,319</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69,112</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5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Cash paid for income taxes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NON-CASH INVESTING AND FINANCING TRANSACTIONS: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5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Mortgage loans assumed with acquisition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68,282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DownREIT operating partnership units issued with acquisition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7,742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65,348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Mortgage loan refinanced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Repayment of note payable with public funding/related construction-in-progress offset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Shares issued under dividend reinvestment plan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 2015 includes $19.2 million related to early extinguishment of debt.</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8580" w:type="dxa"/>
            <w:vAlign w:val="bottom"/>
            <w:gridSpan w:val="2"/>
          </w:tcPr>
          <w:p>
            <w:pPr>
              <w:spacing w:after="0"/>
              <w:rPr>
                <w:sz w:val="20"/>
                <w:szCs w:val="20"/>
                <w:color w:val="auto"/>
              </w:rPr>
            </w:pPr>
            <w:r>
              <w:rPr>
                <w:rFonts w:ascii="Arial" w:cs="Arial" w:eastAsia="Arial" w:hAnsi="Arial"/>
                <w:sz w:val="18"/>
                <w:szCs w:val="18"/>
                <w:color w:val="auto"/>
              </w:rPr>
              <w:t>See Note 3 for additional disclosures relating to the San Antonio Center acquisition.</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3—REAL ESTATE</w:t>
      </w:r>
    </w:p>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January 2015, we acquired a controlling interest in San Antonio Center, a 376,000 square foot shopping center in Mountain View, California based on a total value of $62.2 million. Our effective interest approximates 80% and was funded by the assumption of our share of $18.7 million of mortgage debt, 58,000 downREIT operating partnership units, and $27 million of cash. A portion of the land is controlled under a long-term ground lease. Approximately $8.1 million of assets acquired were allocated to lease intangibles and included within other assets. Approximately $19.1 million was allocated to lease intangibles primarily related to "below market leases," and is included within other liabilities. Additionally, $16.3 million was allocated to noncontrolling interests. We incurred $1.8 million of acquisition costs, of which $1.1 million were incurred in 2015 and included in "general and administrative expense" for the nine months ended September 30, 2015.</w:t>
      </w:r>
    </w:p>
    <w:p>
      <w:pPr>
        <w:spacing w:after="0" w:line="54"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On February 25, 2015, we acquired the interest of one of the noncontrolling interest holders in The Grove at Shrewsbury for $8.8 million. As this noncontrolling interest was mandatorily redeemable, it was classified as a liability and was included in "other liabilities and deferred credits" on the accompanying December 31, 2014 consolidated balance sheet.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April 24, 2015, we sold our Houston Street property in San Antonio, Texas for a sales price of $46.1 million, resulting in a gain of $11.5 million.</w:t>
      </w:r>
    </w:p>
    <w:p>
      <w:pPr>
        <w:spacing w:after="0" w:line="10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On May 4, 2015, we acquired CocoWalk, a 198,000 square foot retail property located in the Coconut Grove neighborhood of Miami, Florida for $87.5 million. The acquisition was completed through a newly formed entity ("CocoWalk LLC") for which we own a preferred interest and an 80% common interest. Approximately $1.5 million and $4.3 million of net assets acquired were allocated to other assets for "above market leases," and other liabilities for "below market leases," respectively. Additionally, approximately $6.9 million was allocated to noncontrolling interests. On July 1, 2015, we acquired partial interests in seven buildings in the Coconut Grove neighborhood of Miami, Florida for $5.8 million through our CocoWalk LLC entity. In total, we incurred $1.0 million in acquisition costs which are included in "general and administrative expenses" for the nine months ended September 30, 2015.</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6"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20"/>
        <w:spacing w:after="0" w:line="334" w:lineRule="auto"/>
        <w:rPr>
          <w:sz w:val="20"/>
          <w:szCs w:val="20"/>
          <w:color w:val="auto"/>
        </w:rPr>
      </w:pPr>
      <w:r>
        <w:rPr>
          <w:rFonts w:ascii="Arial" w:cs="Arial" w:eastAsia="Arial" w:hAnsi="Arial"/>
          <w:sz w:val="16"/>
          <w:szCs w:val="16"/>
          <w:color w:val="auto"/>
        </w:rPr>
        <w:t>CocoWalk LLC is a variable interest entity for which we are the primary beneficiary, and consequently, the entity is consolidated in our financial statements effective May 4, 2015. As of September 30, 2015 net real estate assets related to CocoWalk LLC included in our consolidated balance sheet are $95.1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July 8, 2015 we acquired a parcel of land adjacent to our Pike 7 Plaza property for $5.0 million.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4—REAL ESTATE PARTNERSHIPS</w:t>
      </w:r>
    </w:p>
    <w:p>
      <w:pPr>
        <w:spacing w:after="0" w:line="9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September 30, 2015, the Partnership owned six retail real estate properties. We are the manager of the Partnership and its properties, earning fees for acquisitions, dispositions, management, leasing, and financing. Intercompany profit generated from fees is eliminated in consolidation. We also have the opportunity to receive performance-based earnings through our Partnership interest. Accounting policies for the Partnership are similar to accounting policies followed by the Trust. The Partnership is subject to a buy-sell provision which is customary for real estate joint venture agreements and the industry. Either partner may initiate this provision at any time, which could result in either the sale of our interest or the use of available cash or borrowings to acquire Clarion’s interest.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960" w:type="dxa"/>
            <w:vAlign w:val="bottom"/>
            <w:gridSpan w:val="6"/>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66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80" w:type="dxa"/>
            <w:vAlign w:val="bottom"/>
            <w:gridSpan w:val="5"/>
          </w:tcPr>
          <w:p>
            <w:pPr>
              <w:ind w:left="50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Revenue</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4,125</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13,142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13,921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8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1,306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4,677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4,658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1,290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3,111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11,276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before gain on sale of real estate</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8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14,507</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15,862</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17,152</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share of net income from real estate partnership</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Our share of gain on sale of real estate</w:t>
            </w:r>
          </w:p>
        </w:tc>
        <w:tc>
          <w:tcPr>
            <w:tcW w:w="86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4,401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118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4"/>
          </w:tcPr>
          <w:p>
            <w:pPr>
              <w:jc w:val="right"/>
              <w:ind w:right="87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Real estate, net</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146,715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149,203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6,191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157,847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157,413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Mortgages payable</w:t>
            </w: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34,385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34,385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Partners’ capital</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120,597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119,355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and partners’ capital</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157,847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157,413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Our share of unconsolidated debt</w:t>
            </w: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10,316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10,316</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860" w:type="dxa"/>
            <w:vAlign w:val="bottom"/>
            <w:tcBorders>
              <w:bottom w:val="single" w:sz="8" w:color="CCEEFF"/>
            </w:tcBorders>
          </w:tcPr>
          <w:p>
            <w:pPr>
              <w:spacing w:after="0"/>
              <w:rPr>
                <w:sz w:val="5"/>
                <w:szCs w:val="5"/>
                <w:color w:val="auto"/>
              </w:rPr>
            </w:pPr>
          </w:p>
        </w:tc>
        <w:tc>
          <w:tcPr>
            <w:tcW w:w="5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CCEEFF"/>
            </w:tcBorders>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Our investment in real estate partnership</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32,367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6"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5—DEBT</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the acquisition of San Antonio Center in January 2015, we assumed a mortgage loan with a face amount of $18.7 million and a fair value of $19.3 million. The mortgage loan bears interest at 5.27% and matures on January 1, 2016.</w:t>
      </w:r>
    </w:p>
    <w:p>
      <w:pPr>
        <w:spacing w:after="0" w:line="3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March 16, 2015, we issued $200.0 million aggregate principal amount of 4.50% senior unsecured notes due December 1, 2044. The notes were offered at 105.38% of the principal amount with a yield to maturity of 4.18%. The notes have the same terms and are of the same series as the $250.0 million senior notes issued on November 14, 2014. Our net proceeds from the March note offering after issuance premium, underwriting fees and other costs were $208.6 million. The proceeds were used on April 11, 2015 to repay our $200.0 million 6.20% notes prior to the original maturity date of January 15, 2017. The redemption price of $222.2 million included a make-whole premium of $19.2 million and accrued but unpaid interest of $3.0 million. The make-whole premium is included in "early extinguishment of debt" in the nine months ended September 30, 2015.</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On August 3, 2015 we repaid the following mortgage loans, which had a weighted average interest rate of 7.9%, at par prior to their maturity date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1,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ind w:right="192"/>
              <w:spacing w:after="0"/>
              <w:rPr>
                <w:sz w:val="20"/>
                <w:szCs w:val="20"/>
                <w:color w:val="auto"/>
              </w:rPr>
            </w:pPr>
            <w:r>
              <w:rPr>
                <w:rFonts w:ascii="Arial" w:cs="Arial" w:eastAsia="Arial" w:hAnsi="Arial"/>
                <w:sz w:val="16"/>
                <w:szCs w:val="16"/>
                <w:b w:val="1"/>
                <w:bCs w:val="1"/>
                <w:color w:val="auto"/>
                <w:w w:val="95"/>
              </w:rPr>
              <w:t>Principal Payoff Amount</w:t>
            </w:r>
          </w:p>
        </w:tc>
      </w:tr>
      <w:tr>
        <w:trPr>
          <w:trHeight w:val="33"/>
        </w:trPr>
        <w:tc>
          <w:tcPr>
            <w:tcW w:w="9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7"/>
        </w:trPr>
        <w:tc>
          <w:tcPr>
            <w:tcW w:w="9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ind w:right="632"/>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9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Barracks Road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Brick Plaza</w:t>
            </w:r>
          </w:p>
        </w:tc>
        <w:tc>
          <w:tcPr>
            <w:tcW w:w="200" w:type="dxa"/>
            <w:vAlign w:val="bottom"/>
          </w:tcPr>
          <w:p>
            <w:pPr>
              <w:spacing w:after="0"/>
              <w:rPr>
                <w:sz w:val="21"/>
                <w:szCs w:val="21"/>
                <w:color w:val="auto"/>
              </w:rPr>
            </w:pPr>
          </w:p>
        </w:tc>
        <w:tc>
          <w:tcPr>
            <w:tcW w:w="2080" w:type="dxa"/>
            <w:vAlign w:val="bottom"/>
          </w:tcPr>
          <w:p>
            <w:pPr>
              <w:jc w:val="right"/>
              <w:ind w:right="12"/>
              <w:spacing w:after="0"/>
              <w:rPr>
                <w:sz w:val="20"/>
                <w:szCs w:val="20"/>
                <w:color w:val="auto"/>
              </w:rPr>
            </w:pPr>
            <w:r>
              <w:rPr>
                <w:rFonts w:ascii="Arial" w:cs="Arial" w:eastAsia="Arial" w:hAnsi="Arial"/>
                <w:sz w:val="18"/>
                <w:szCs w:val="18"/>
                <w:color w:val="auto"/>
              </w:rPr>
              <w:t>25.9</w:t>
            </w:r>
          </w:p>
        </w:tc>
      </w:tr>
      <w:tr>
        <w:trPr>
          <w:trHeight w:val="27"/>
        </w:trPr>
        <w:tc>
          <w:tcPr>
            <w:tcW w:w="9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Wynnewood</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Lawrence Park</w:t>
            </w:r>
          </w:p>
        </w:tc>
        <w:tc>
          <w:tcPr>
            <w:tcW w:w="200" w:type="dxa"/>
            <w:vAlign w:val="bottom"/>
          </w:tcPr>
          <w:p>
            <w:pPr>
              <w:spacing w:after="0"/>
              <w:rPr>
                <w:sz w:val="21"/>
                <w:szCs w:val="21"/>
                <w:color w:val="auto"/>
              </w:rPr>
            </w:pPr>
          </w:p>
        </w:tc>
        <w:tc>
          <w:tcPr>
            <w:tcW w:w="2080" w:type="dxa"/>
            <w:vAlign w:val="bottom"/>
          </w:tcPr>
          <w:p>
            <w:pPr>
              <w:jc w:val="right"/>
              <w:ind w:right="12"/>
              <w:spacing w:after="0"/>
              <w:rPr>
                <w:sz w:val="20"/>
                <w:szCs w:val="20"/>
                <w:color w:val="auto"/>
              </w:rPr>
            </w:pPr>
            <w:r>
              <w:rPr>
                <w:rFonts w:ascii="Arial" w:cs="Arial" w:eastAsia="Arial" w:hAnsi="Arial"/>
                <w:sz w:val="18"/>
                <w:szCs w:val="18"/>
                <w:color w:val="auto"/>
              </w:rPr>
              <w:t>25.0</w:t>
            </w:r>
          </w:p>
        </w:tc>
      </w:tr>
      <w:tr>
        <w:trPr>
          <w:trHeight w:val="27"/>
        </w:trPr>
        <w:tc>
          <w:tcPr>
            <w:tcW w:w="9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Wildwood</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Hauppauge</w:t>
            </w:r>
          </w:p>
        </w:tc>
        <w:tc>
          <w:tcPr>
            <w:tcW w:w="200" w:type="dxa"/>
            <w:vAlign w:val="bottom"/>
          </w:tcPr>
          <w:p>
            <w:pPr>
              <w:spacing w:after="0"/>
              <w:rPr>
                <w:sz w:val="21"/>
                <w:szCs w:val="21"/>
                <w:color w:val="auto"/>
              </w:rPr>
            </w:pPr>
          </w:p>
        </w:tc>
        <w:tc>
          <w:tcPr>
            <w:tcW w:w="2080" w:type="dxa"/>
            <w:vAlign w:val="bottom"/>
          </w:tcPr>
          <w:p>
            <w:pPr>
              <w:jc w:val="right"/>
              <w:ind w:right="12"/>
              <w:spacing w:after="0"/>
              <w:rPr>
                <w:sz w:val="20"/>
                <w:szCs w:val="20"/>
                <w:color w:val="auto"/>
              </w:rPr>
            </w:pPr>
            <w:r>
              <w:rPr>
                <w:rFonts w:ascii="Arial" w:cs="Arial" w:eastAsia="Arial" w:hAnsi="Arial"/>
                <w:sz w:val="18"/>
                <w:szCs w:val="18"/>
                <w:color w:val="auto"/>
              </w:rPr>
              <w:t>13.3</w:t>
            </w:r>
          </w:p>
        </w:tc>
      </w:tr>
      <w:tr>
        <w:trPr>
          <w:trHeight w:val="27"/>
        </w:trPr>
        <w:tc>
          <w:tcPr>
            <w:tcW w:w="9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7"/>
        </w:trPr>
        <w:tc>
          <w:tcPr>
            <w:tcW w:w="91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147.0</w:t>
            </w:r>
          </w:p>
        </w:tc>
      </w:tr>
      <w:tr>
        <w:trPr>
          <w:trHeight w:val="27"/>
        </w:trPr>
        <w:tc>
          <w:tcPr>
            <w:tcW w:w="9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September 28, 2015, we issued $250.0 million of fixed rate senior notes that mature on January 15, 2021 and bear interest at 2.55%. The net proceeds from this note offering after issuance discounts, underwriting fees, and other costs were approximately $247.5 million.</w:t>
      </w:r>
    </w:p>
    <w:p>
      <w:pPr>
        <w:spacing w:after="0" w:line="7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During 2015, the maximum amount of borrowings outstanding under our $600.0 million revolving credit facility was $324.0 million and the weighted average interest rate, before amortization of debt fees, was 1.1%. During the three and nine months ended September 30, 2015, the weighted average borrowings outstanding were $219.2 million and $126.4 million, respectively. At September 30, 2015, there was no outstanding balance. Our revolving credit facility, term loan and certain notes require us to comply with various financial covenants, including the maintenance of minimum shareholders’ equity and debt coverage ratios and a maximum ratio of debt to net worth. As of September 30, 2015, we were in compliance with all debt covenants.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6—FAIR VALUE OF FINANCIAL INSTRUMENTS</w:t>
      </w:r>
    </w:p>
    <w:p>
      <w:pPr>
        <w:spacing w:after="0" w:line="9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(Level 1) were used to estimate the fair value of our marketable senior notes and debentures and discounted cash flow analysis (Level 2)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36"/>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3"/>
                <w:szCs w:val="13"/>
                <w:color w:val="auto"/>
              </w:rPr>
            </w:pPr>
          </w:p>
        </w:tc>
        <w:tc>
          <w:tcPr>
            <w:tcW w:w="98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w w:val="93"/>
              </w:rPr>
              <w:t>Carrying</w:t>
            </w:r>
          </w:p>
        </w:tc>
        <w:tc>
          <w:tcPr>
            <w:tcW w:w="3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Mortgages and notes payable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717,078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725,895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854,217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880,866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Senior notes and debentures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41"/>
              <w:spacing w:after="0"/>
              <w:rPr>
                <w:sz w:val="20"/>
                <w:szCs w:val="20"/>
                <w:color w:val="auto"/>
              </w:rPr>
            </w:pPr>
            <w:r>
              <w:rPr>
                <w:rFonts w:ascii="Arial" w:cs="Arial" w:eastAsia="Arial" w:hAnsi="Arial"/>
                <w:sz w:val="18"/>
                <w:szCs w:val="18"/>
                <w:color w:val="auto"/>
              </w:rPr>
              <w:t>1,744,120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1,786,460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color w:val="auto"/>
              </w:rPr>
              <w:t>1,483,813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1,579,868</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As of September 30, 2015, we have two interest rate swap agreements with a notional amount of $275.0 million that are measured at fair value on a recurring basis. The interest rate swap agreements fix the variable portion of our $275.0 million term loan at 1.72% through November 1, 2018, and effectively fix the rate of the term loan at 2.62%. We assess effectiveness of our cash flow hedges both at inception and on an ongoing basis. The effective portion of changes in fair value of the interest rate swaps associated with our cash flow hedges is recorded in accumulated other comprehensive loss and is subsequently</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reclassified into interest expense as interest is incurred on the related variable rate debt. Within the next 12 months, we expect to reclassify an estimated $3.7 million as an increase to interest expense.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When ineffectiveness exists, the ineffective portion of changes in fair value of the interest rate swaps associated with our cash flow hedges is recognized in earnings in the period affected. Hedge ineffectiveness has not impacted earnings as of September 30, 2015, and we do not anticipate it will have a significant effect in the future.</w:t>
      </w:r>
    </w:p>
    <w:p>
      <w:pPr>
        <w:spacing w:after="0" w:line="20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fair values of the interest rate swap agreements are based on the estimated amounts we would receive or pay to terminate the contracts at the reporting date and are determined using interest rate pricing models and interest rate related observable inputs. The fair value of our swaps at September 30, 2015 was a liability of $7.1 million and is included in "accounts payable and accrued expenses" on our consolidated balance sheet. For the three and nine months ended September 30, 2015, the change in valuation on our interest rate swaps resulted in a $2.2 million and $3.6 million increase in our derivative liability, respectively, (including $1.1 million and $3.2 million, respectively, reclassified from other comprehensive loss to interest expense). The change in valuation on our interest rate swaps is included in "accumulated other comprehensive loss."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financial liabilities that are measured at fair value on a recurring basis, by level within the fair value hierarchy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 2015</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December 31, 2014</w:t>
            </w: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3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4"/>
          </w:tcPr>
          <w:p>
            <w:pPr>
              <w:ind w:left="28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7,130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7,130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3,515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3,515</w:t>
            </w:r>
          </w:p>
        </w:tc>
      </w:tr>
      <w:tr>
        <w:trPr>
          <w:trHeight w:val="27"/>
        </w:trPr>
        <w:tc>
          <w:tcPr>
            <w:tcW w:w="3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9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1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are currently a party to various legal proceedings. We accrue a liability for litigation if an unfavorable outcome is probable and the amount of loss can be reasonably estimated. If an unfavorable outcome is probable and a reasonable estimate of the loss is a range, we accrue the best estimate within the range; however, if no amount within the range is a better estimate than any other amount, the minimum within the range is accrued. Legal fees related to litigation are expensed as incurred.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certain partnership agreements, the partners have the right to exchange their operating partnership units for cash or the same number of our common shares, at our option. A total of 934,405 downREIT operating partnership units are outstanding which have a total fair value of $127.5 million, based on our closing stock price on September 30,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8—SHAREHOLDERS’ EQUITY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4"/>
                <w:szCs w:val="14"/>
                <w:b w:val="1"/>
                <w:bCs w:val="1"/>
                <w:color w:val="auto"/>
                <w:w w:val="96"/>
              </w:rPr>
              <w:t>Nine Months Ended September 30,</w:t>
            </w:r>
          </w:p>
        </w:tc>
        <w:tc>
          <w:tcPr>
            <w:tcW w:w="7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2015</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2014</w:t>
            </w:r>
          </w:p>
        </w:tc>
        <w:tc>
          <w:tcPr>
            <w:tcW w:w="700" w:type="dxa"/>
            <w:vAlign w:val="bottom"/>
            <w:tcBorders>
              <w:bottom w:val="single" w:sz="8" w:color="auto"/>
            </w:tcBorders>
          </w:tcPr>
          <w:p>
            <w:pPr>
              <w:spacing w:after="0"/>
              <w:rPr>
                <w:sz w:val="22"/>
                <w:szCs w:val="22"/>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Declared</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Paid</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2.340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5.417% Series 1 Cumulative Convertible Preferred shares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1.016</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1.016</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1.016</w:t>
            </w:r>
          </w:p>
        </w:tc>
      </w:tr>
    </w:tbl>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May 11, 2015, we replaced our existing at the market (“ATM”) equity program with a new ATM equity program in which we may from time to time offer and sell common shares having an aggregate offering price of up to $300.0 million. We intend to use the net proceeds to fund potential acquisition opportunities, fund our development and redevelopment pipeline, repay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6"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amounts outstanding under our revolving credit facility and/or for general corporate purposes. For the three months ended September 30, 2015, we issued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323,273 common shares at a weighted average price per share of $134.35 for net cash proceeds of $42.9 million and paid $0.4 million in commissions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less than $0.1 million in additional offering expenses related to the sale of these common shares. For the nine months ended September 30, 2015, we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750,407 common shares at a weighted average price per share of $134.21 for net cash proceeds of $99.6 million and paid $1.0 million in commissions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$0.1 million in additional offering expenses related to the sales of these common shares. As of September 30, 2015, we had the capacity to issue up to $199.3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in common shares under our ATM equity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9—COMPONENTS OF RENTAL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6"/>
                <w:szCs w:val="16"/>
                <w:color w:val="auto"/>
              </w:rPr>
            </w:pPr>
          </w:p>
        </w:tc>
        <w:tc>
          <w:tcPr>
            <w:tcW w:w="2620" w:type="dxa"/>
            <w:vAlign w:val="bottom"/>
            <w:gridSpan w:val="4"/>
          </w:tcPr>
          <w:p>
            <w:pPr>
              <w:jc w:val="center"/>
              <w:ind w:right="93"/>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638"/>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80" w:type="dxa"/>
            <w:vAlign w:val="bottom"/>
            <w:gridSpan w:val="5"/>
          </w:tcPr>
          <w:p>
            <w:pPr>
              <w:ind w:left="50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127,564</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118,412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377,565</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351,317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10,752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31,693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25,994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w:t>
            </w:r>
          </w:p>
        </w:tc>
        <w:tc>
          <w:tcPr>
            <w:tcW w:w="32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36,272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32,842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110,694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102,459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3,374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8,641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6,531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3,600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8"/>
              <w:spacing w:after="0"/>
              <w:rPr>
                <w:sz w:val="20"/>
                <w:szCs w:val="20"/>
                <w:color w:val="auto"/>
              </w:rPr>
            </w:pPr>
            <w:r>
              <w:rPr>
                <w:rFonts w:ascii="Arial" w:cs="Arial" w:eastAsia="Arial" w:hAnsi="Arial"/>
                <w:sz w:val="18"/>
                <w:szCs w:val="18"/>
                <w:color w:val="auto"/>
              </w:rPr>
              <w:t>10,019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8,387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181,562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166,112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538,612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494,688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Minimum rents include the following: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24"/>
                <w:szCs w:val="24"/>
                <w:color w:val="auto"/>
              </w:rPr>
            </w:pPr>
          </w:p>
        </w:tc>
        <w:tc>
          <w:tcPr>
            <w:tcW w:w="2620" w:type="dxa"/>
            <w:vAlign w:val="bottom"/>
            <w:gridSpan w:val="4"/>
          </w:tcPr>
          <w:p>
            <w:pPr>
              <w:jc w:val="center"/>
              <w:ind w:right="93"/>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518"/>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638"/>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gridSpan w:val="3"/>
          </w:tcPr>
          <w:p>
            <w:pPr>
              <w:jc w:val="center"/>
              <w:ind w:left="518"/>
              <w:spacing w:after="0"/>
              <w:rPr>
                <w:sz w:val="20"/>
                <w:szCs w:val="20"/>
                <w:color w:val="auto"/>
              </w:rPr>
            </w:pPr>
            <w:r>
              <w:rPr>
                <w:rFonts w:ascii="Arial" w:cs="Arial" w:eastAsia="Arial" w:hAnsi="Arial"/>
                <w:sz w:val="14"/>
                <w:szCs w:val="14"/>
                <w:b w:val="1"/>
                <w:bCs w:val="1"/>
                <w:color w:val="auto"/>
                <w:w w:val="96"/>
              </w:rPr>
              <w:t>(In millions)</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Straight-line rents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above market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below market leases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10—SHARE-BASED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34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Grants of shares and options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2,870</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4"/>
              </w:rPr>
              <w:t>3,107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9,451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9,735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Capitalized share-based compensation</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(945)</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2,658</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4"/>
              </w:rPr>
              <w:t>2,747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8,791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8,790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11—EARNINGS PER SHARE</w:t>
      </w:r>
    </w:p>
    <w:p>
      <w:pPr>
        <w:spacing w:after="0" w:line="94"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have calculated earnings per share (“EPS”) under the two-class method. The two-class method is an earnings allocation methodology whereby EPS for each class of common stock and participating securities is calculated according to dividends declared and participation rights in undistributed earnings. For the three months ended September 30, 2015 and 2014, we had 0.2 million and 0.3 million weighted average unvested shares outstanding, respectively, which are considered participating securities. For the nine months ended September 30, 2015 and 2014 we had 0.3 million weighted average unvested shares outstanding, which are considered participating securities. Therefore, we have allocated our earnings for basic and diluted EPS</w:t>
      </w:r>
    </w:p>
    <w:p>
      <w:pPr>
        <w:sectPr>
          <w:pgSz w:w="11900" w:h="16838" w:orient="portrait"/>
          <w:cols w:equalWidth="0" w:num="1">
            <w:col w:w="11420"/>
          </w:cols>
          <w:pgMar w:left="240" w:top="126"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6"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between common shares and unvested shares; the portion of earnings allocated to the unvested shares is reflected as “earnings allocated to unvested shares” in the reconciliation below.</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dilutive EPS calculation, dilutive stock options were calculated using the treasury stock method consistent with prior periods. There were no anti-dilutive stock options for the nine months ended September 30, 2015 and 2014. The conversions of downREIT operating partnership units and 5.417% Series 1 Cumulative Convertible Preferred Shares are anti-dilutive for all periods presented and accordingly, have been excluded from the weighted average common shares used to compute diluted EPS.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6"/>
                <w:szCs w:val="16"/>
                <w:color w:val="auto"/>
              </w:rPr>
            </w:pPr>
          </w:p>
        </w:tc>
        <w:tc>
          <w:tcPr>
            <w:tcW w:w="21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6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left="393"/>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54,550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44,648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136,917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130,609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Preferred share dividends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Earnings allocated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Income from continuing operations available for common shareholders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52,090</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42,274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129,712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2"/>
              </w:rPr>
              <w:t>123,827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Net income available for common shareholders, basic and diluted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52,090</w:t>
            </w:r>
          </w:p>
        </w:tc>
        <w:tc>
          <w:tcPr>
            <w:tcW w:w="100" w:type="dxa"/>
            <w:vAlign w:val="bottom"/>
          </w:tcPr>
          <w:p>
            <w:pPr>
              <w:spacing w:after="0"/>
              <w:rPr>
                <w:sz w:val="20"/>
                <w:szCs w:val="20"/>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46,675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141,221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2"/>
              </w:rPr>
              <w:t>128,228</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69,006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67,559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68,637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67,095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Stock options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69,181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67,732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68,821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67,261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Income from continuing operations attributable to the Trust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52,447</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42,674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130,756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124,972</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9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On October 1, 2015, we acquired an 85% interest in The Shops at Sunset Place, a 515,000 square foot mixed-use property located in South Miami, Florida based on a gross value of $110.2 million. The transaction includes the assumption of an existing $70.8 million mortgage with an interest rate of 5.6% and a maturity date of September 1, 2020.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November 2, 2015 we repaid the $18.1 million mortgage loan on San Antonio Center at par, prior to its original maturity date of January 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6"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2014 filed with the Securities and Exchange Commission (the “SEC”) on February 10, 2015.</w:t>
      </w:r>
    </w:p>
    <w:p>
      <w:pPr>
        <w:spacing w:after="0" w:line="12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3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2014 and under Part II, Item 1A in this Quarterly Report on Form 10-Q, before making any investments in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We are an equity real estate investment trust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and California. As of September 30, 2015, we owned or had a majority interest in community and neighborhood shopping centers and mixed-use properties which are operated as 90 predominantly retail real estate projects comprising 20.9 million square feet (excludes unconsolidated joint venture properties). In total, the real estate projects were 95.5% leased and 95.1% occupied at September 30, 2015. A joint venture in which we own a 30% interest owned six retail real estate projects totaling 0.8 million square feet as of September 30, 2015. In total, the joint venture properties in which we own a 30% interest were 92.2% leased and 85.7% occupied at September 30, 2015.</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Significant Property Acquisitions and Disposition</w:t>
      </w:r>
    </w:p>
    <w:p>
      <w:pPr>
        <w:spacing w:after="0" w:line="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January 2015, we acquired a controlling interest in San Antonio Center, a 376,000 square foot shopping center in Mountain View, California based on a total value of $62.2 million. Our effective interest approximates 80% and was funded by the assumption of our share of $18.7 million of mortgage debt, 58,000 downREIT operating partnership units, and $27 million of cash. A portion of the land is controlled under a long-term ground lease. Approximately $8.1 million of assets acquired were allocated to lease intangibles and included within other assets. Approximately $19.1 million was allocated to lease intangibles primarily related to "below market leases," and is included within other liabilities. Additionally, $16.3 million was allocated to noncontrolling interests. We incurred $1.8 million of acquisition costs, of which $1.1 million were incurred in 2015 and included in "general and administrative expense" for the nine months ended September 30, 2015.</w:t>
      </w:r>
    </w:p>
    <w:p>
      <w:pPr>
        <w:spacing w:after="0" w:line="135"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On February 25, 2015, we acquired the interest of one of the noncontrolling interest holders in The Grove at Shrewsbury for $8.8 million. As this noncontrolling interest was mandatorily redeemable, it was classified as a liability and was included in "other liabilities and deferred credits" on the accompanying December 31, 2014 consolidated balance sheet.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On April 24, 2015, we sold our Houston Street property in San Antonio, Texas for a sales price of $46.1 million, resulting in a gain of $11.5 million.</w:t>
      </w:r>
    </w:p>
    <w:p>
      <w:pPr>
        <w:spacing w:after="0" w:line="10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On May 4, 2015, we acquired CocoWalk, a 198,000 square foot retail property located in the Coconut Grove neighborhood of Miami, Florida for $87.5 million. The acquisition was completed through a newly formed entity ("CocoWalk LLC") for which we own a preferred interest and an 80% common interest. Approximately $1.5 million and $4.3 million of net assets acquired were allocated to other assets for "above market leases," and other liabilities for "below market leases," respectively. Additionally, approximately $6.9 million was allocated to noncontrolling interests. On July 1, 2015, we acquired partial interests in seven buildings in the Coconut Grove neighborhood of Miami, Florida for $5.8 million through our CocoWalk LLC entity. In total, we incurred $1.0 million in acquisition costs which are included in "general and administrative expenses" for the nine months ended September 30, 2015.</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20"/>
        <w:spacing w:after="0" w:line="334" w:lineRule="auto"/>
        <w:rPr>
          <w:sz w:val="20"/>
          <w:szCs w:val="20"/>
          <w:color w:val="auto"/>
        </w:rPr>
      </w:pPr>
      <w:r>
        <w:rPr>
          <w:rFonts w:ascii="Arial" w:cs="Arial" w:eastAsia="Arial" w:hAnsi="Arial"/>
          <w:sz w:val="16"/>
          <w:szCs w:val="16"/>
          <w:color w:val="auto"/>
        </w:rPr>
        <w:t>CocoWalk LLC is a variable interest entity for which we are the primary beneficiary, and consequently, the entity is consolidated in our financial statements effective May 4, 2015. As of September 30, 2015 net real estate assets related to CocoWalk LLC included in our consolidated balance sheet are $95.1 million.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July 8, 2015 we acquired a parcel of land adjacent to our Pike 7 Plaza property for $5.0 million.</w:t>
      </w:r>
    </w:p>
    <w:p>
      <w:pPr>
        <w:spacing w:after="0" w:line="9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On October 1, 2015, we acquired an 85% interest in The Shops at Sunset Place, a 515,000 square foot mixed-use property located in South Miami, Florida based on a gross value of $110.2 million. The transaction includes the assumption of an existing $70.8 million mortgage with an interest rate of 5.6% and a maturity date of September 1, 2020.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Significant Debt and Equity Transactions</w:t>
      </w:r>
    </w:p>
    <w:p>
      <w:pPr>
        <w:spacing w:after="0" w:line="9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acquisition of San Antonio Center in January 2015, we assumed a mortgage loan with a face amount of $18.7 million and a fair value of $19.3 million. The mortgage loan bears interest at 5.27%, and had an original maturity date of January 1, 2016. On November 2, 2015, we repaid the mortgage loan at par for $18.1 million.</w:t>
      </w:r>
    </w:p>
    <w:p>
      <w:pPr>
        <w:spacing w:after="0" w:line="4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On March 16, 2015, we issued $200.0 million aggregate principal amount of 4.50% senior unsecured notes due December 1, 2044. The notes were offered at 105.38% of the principal amount with a yield to maturity of 4.18%. The notes have the same terms and are of the same series as the $250.0 million senior notes issued on November 14, 2014. Our net proceeds from the March note offering after issuance premium, underwriting fees and other costs were $208.6 million. The proceeds were used on April 11, 2015 to repay our $200.0 million 6.20% notes prior to the original maturity date of January 15, 2017. The redemption price of $222.2 million included a make-whole premium of $19.2 million and accrued but unpaid interest of $3.0 million. The make-whole premium is included in "early extinguishment of debt" in the nine months ended September 30, 2015.</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On August 3, 2015 we repaid the following mortgage loans, which had a weighted average interest rate of 7.9%, at par prior to their maturity date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November 1, 2015: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ind w:right="192"/>
              <w:spacing w:after="0"/>
              <w:rPr>
                <w:sz w:val="20"/>
                <w:szCs w:val="20"/>
                <w:color w:val="auto"/>
              </w:rPr>
            </w:pPr>
            <w:r>
              <w:rPr>
                <w:rFonts w:ascii="Arial" w:cs="Arial" w:eastAsia="Arial" w:hAnsi="Arial"/>
                <w:sz w:val="16"/>
                <w:szCs w:val="16"/>
                <w:b w:val="1"/>
                <w:bCs w:val="1"/>
                <w:color w:val="auto"/>
                <w:w w:val="95"/>
              </w:rPr>
              <w:t>Principal Payoff Amount</w:t>
            </w:r>
          </w:p>
        </w:tc>
      </w:tr>
      <w:tr>
        <w:trPr>
          <w:trHeight w:val="33"/>
        </w:trPr>
        <w:tc>
          <w:tcPr>
            <w:tcW w:w="9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7"/>
        </w:trPr>
        <w:tc>
          <w:tcPr>
            <w:tcW w:w="9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ind w:right="632"/>
              <w:spacing w:after="0"/>
              <w:rPr>
                <w:sz w:val="20"/>
                <w:szCs w:val="20"/>
                <w:color w:val="auto"/>
              </w:rPr>
            </w:pPr>
            <w:r>
              <w:rPr>
                <w:rFonts w:ascii="Arial" w:cs="Arial" w:eastAsia="Arial" w:hAnsi="Arial"/>
                <w:sz w:val="16"/>
                <w:szCs w:val="16"/>
                <w:b w:val="1"/>
                <w:bCs w:val="1"/>
                <w:color w:val="auto"/>
              </w:rPr>
              <w:t>(In millions)</w:t>
            </w:r>
          </w:p>
        </w:tc>
      </w:tr>
      <w:tr>
        <w:trPr>
          <w:trHeight w:val="33"/>
        </w:trPr>
        <w:tc>
          <w:tcPr>
            <w:tcW w:w="9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Barracks Road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Brick Plaza</w:t>
            </w:r>
          </w:p>
        </w:tc>
        <w:tc>
          <w:tcPr>
            <w:tcW w:w="200" w:type="dxa"/>
            <w:vAlign w:val="bottom"/>
          </w:tcPr>
          <w:p>
            <w:pPr>
              <w:spacing w:after="0"/>
              <w:rPr>
                <w:sz w:val="21"/>
                <w:szCs w:val="21"/>
                <w:color w:val="auto"/>
              </w:rPr>
            </w:pPr>
          </w:p>
        </w:tc>
        <w:tc>
          <w:tcPr>
            <w:tcW w:w="2080" w:type="dxa"/>
            <w:vAlign w:val="bottom"/>
          </w:tcPr>
          <w:p>
            <w:pPr>
              <w:jc w:val="right"/>
              <w:ind w:right="12"/>
              <w:spacing w:after="0"/>
              <w:rPr>
                <w:sz w:val="20"/>
                <w:szCs w:val="20"/>
                <w:color w:val="auto"/>
              </w:rPr>
            </w:pPr>
            <w:r>
              <w:rPr>
                <w:rFonts w:ascii="Arial" w:cs="Arial" w:eastAsia="Arial" w:hAnsi="Arial"/>
                <w:sz w:val="18"/>
                <w:szCs w:val="18"/>
                <w:color w:val="auto"/>
              </w:rPr>
              <w:t>25.9</w:t>
            </w:r>
          </w:p>
        </w:tc>
      </w:tr>
      <w:tr>
        <w:trPr>
          <w:trHeight w:val="27"/>
        </w:trPr>
        <w:tc>
          <w:tcPr>
            <w:tcW w:w="9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Wynnewood</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Lawrence Park</w:t>
            </w:r>
          </w:p>
        </w:tc>
        <w:tc>
          <w:tcPr>
            <w:tcW w:w="200" w:type="dxa"/>
            <w:vAlign w:val="bottom"/>
          </w:tcPr>
          <w:p>
            <w:pPr>
              <w:spacing w:after="0"/>
              <w:rPr>
                <w:sz w:val="21"/>
                <w:szCs w:val="21"/>
                <w:color w:val="auto"/>
              </w:rPr>
            </w:pPr>
          </w:p>
        </w:tc>
        <w:tc>
          <w:tcPr>
            <w:tcW w:w="2080" w:type="dxa"/>
            <w:vAlign w:val="bottom"/>
          </w:tcPr>
          <w:p>
            <w:pPr>
              <w:jc w:val="right"/>
              <w:ind w:right="12"/>
              <w:spacing w:after="0"/>
              <w:rPr>
                <w:sz w:val="20"/>
                <w:szCs w:val="20"/>
                <w:color w:val="auto"/>
              </w:rPr>
            </w:pPr>
            <w:r>
              <w:rPr>
                <w:rFonts w:ascii="Arial" w:cs="Arial" w:eastAsia="Arial" w:hAnsi="Arial"/>
                <w:sz w:val="18"/>
                <w:szCs w:val="18"/>
                <w:color w:val="auto"/>
              </w:rPr>
              <w:t>25.0</w:t>
            </w:r>
          </w:p>
        </w:tc>
      </w:tr>
      <w:tr>
        <w:trPr>
          <w:trHeight w:val="27"/>
        </w:trPr>
        <w:tc>
          <w:tcPr>
            <w:tcW w:w="9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Wildwood</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Hauppauge</w:t>
            </w:r>
          </w:p>
        </w:tc>
        <w:tc>
          <w:tcPr>
            <w:tcW w:w="200" w:type="dxa"/>
            <w:vAlign w:val="bottom"/>
          </w:tcPr>
          <w:p>
            <w:pPr>
              <w:spacing w:after="0"/>
              <w:rPr>
                <w:sz w:val="21"/>
                <w:szCs w:val="21"/>
                <w:color w:val="auto"/>
              </w:rPr>
            </w:pPr>
          </w:p>
        </w:tc>
        <w:tc>
          <w:tcPr>
            <w:tcW w:w="2080" w:type="dxa"/>
            <w:vAlign w:val="bottom"/>
          </w:tcPr>
          <w:p>
            <w:pPr>
              <w:jc w:val="right"/>
              <w:ind w:right="12"/>
              <w:spacing w:after="0"/>
              <w:rPr>
                <w:sz w:val="20"/>
                <w:szCs w:val="20"/>
                <w:color w:val="auto"/>
              </w:rPr>
            </w:pPr>
            <w:r>
              <w:rPr>
                <w:rFonts w:ascii="Arial" w:cs="Arial" w:eastAsia="Arial" w:hAnsi="Arial"/>
                <w:sz w:val="18"/>
                <w:szCs w:val="18"/>
                <w:color w:val="auto"/>
              </w:rPr>
              <w:t>13.3</w:t>
            </w:r>
          </w:p>
        </w:tc>
      </w:tr>
      <w:tr>
        <w:trPr>
          <w:trHeight w:val="27"/>
        </w:trPr>
        <w:tc>
          <w:tcPr>
            <w:tcW w:w="9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37"/>
        </w:trPr>
        <w:tc>
          <w:tcPr>
            <w:tcW w:w="914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147.0</w:t>
            </w:r>
          </w:p>
        </w:tc>
      </w:tr>
      <w:tr>
        <w:trPr>
          <w:trHeight w:val="27"/>
        </w:trPr>
        <w:tc>
          <w:tcPr>
            <w:tcW w:w="9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September 28, 2015, we issued $250.0 million of fixed rate senior notes that mature on January 15, 2021 and bear interest at 2.55%. The net proceeds from this note offering after issuance discounts, underwriting fees, and other costs were approximately $247.5 million.</w:t>
      </w:r>
    </w:p>
    <w:p>
      <w:pPr>
        <w:spacing w:after="0" w:line="3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May 11, 2015, we replaced our existing at the market (“ATM”) equity program with a new ATM equity program in which we may from time to time offer and sell common shares having an aggregate offering price of up to $300.0 million. We intend to use the net proceeds to fund potential acquisition opportunities, fund our development and redevelopment pipeline, repay amounts outstanding under our revolving credit facility and/or for general corporate purposes. For the three months ended September 30, 2015, we issued 323,273 common shares at a weighted average price per share of $134.35 for net cash proceeds of $42.9 million and paid $0.4 million in commissions and $0.1 million in additional offering expenses related to the sale of these common shares. For the nine months ended September 30, 2015, we issued 750,407 common shares at a weighted average price per share of $134.21 for net cash proceeds of $99.6 million and paid $1.0 million in commissions and $0.1 million in additional offering expenses related to the sales of these common shares. As of September 30, 2015, we had the capacity to issue up to $199.3 million in common shares under our ATM equity program.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Certain external and internal costs directly related to the development, redevelopment and leasing of real estate, including pre-construction costs, real estate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taxes, insurance, construction costs and salaries and related costs of personnel directly involved, are capitalized. We capitalized external and internal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both development and redevelopment activities of $174 million and $5 million, respectively, for the nine months ended September 30, 2015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$218 million and $5 million, respectively, for the nine months ended September 30, 2014. We capitalized external and internal costs related to other property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improvements of $25 million and $1 million, respectively, for the nine months ended September 30, 2015 and $30 million and $1 million, respectively,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nine months ended September 30, 2014. We capitalized external and internal costs related to leasing activities of $11 million and $4 million, respectively,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nine months ended September 30, 2015 and $10 million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6"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and $5 million, respectively, for the nine months ended September 30, 2014. The amount of capitalized internal costs for salaries and related benefits for development and redevelopment activities, other property improvements, and leasing activities were $5 million, $1 million, and $4 million, respectively, for the nine months ended September 30, 2015 and $5 million, $1 million, and $5 million, respectively, for the nine months ended September 30, 2014. Total capitalized costs were $221 million and $269 million for the nine months ended September 30, 2015 and 2014,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63" w:lineRule="exact"/>
        <w:rPr>
          <w:sz w:val="20"/>
          <w:szCs w:val="20"/>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our portfolio from property development and redevelopments,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same-center growth is primarily driven by increases in rental rates on new leases and lease renewals and changes in portfolio occupancy. Over the long-term, the infill nature and strong demographics of our properties provide a strategic advantage allowing us to maintain relatively high occupancy and increase rental rates. We have generally continued to see an encouraging operating environment for many of our tenants as well as strong levels of interest from prospective tenants for our retail spaces. While there can be no assurance that these conditions will continue, we remain optimistic given the trends we have seen over the past few years. We believe the locations of our centers and diverse tenant base partially mitigates any negative change in the economic environment; however, any significant reduction in our tenants' abilities to pay base rent, percentage rent or other charges will adversely affect our financial condition and results of operations. We seek to maintain a mix of strong national, regional, and local retailers. At September 30, 2015, no single tenant accounted for more than 3.0% of annualized base rent.</w:t>
      </w:r>
    </w:p>
    <w:p>
      <w:pPr>
        <w:spacing w:after="0" w:line="1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properties are located primarily in densely populated and/or affluent areas with high barriers to entry which allow us to take advantage of redevelopment opportunities that enhance our operating performance through renovation, expansion, reconfiguration, and/or retenanting. We evaluate our properties on an ongoing basis to identify these types of opportunities. In 2015, we expect to have redevelopment projects stabilizing with projected costs of approximately $69 million.</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continue our ongoing redevelopment efforts at Santana Row, and are currently proceeding with our next phase of redevelopment which is a six story building including approximately 234,500 square feet of office space and 670 parking spaces. During third quarter 2015, we executed a lease with Splunk Inc. for the entire building. The building is expected to cost between $110 and $120 million and stabilize in 2017. After current phases, we have approximately 9 acres remaining for further redevelopment and entitlements in place for an additional 348 residential units and 69,000 square feet of commercial space. Additionally, we received preliminary approval for entitlements for an additional 566,000 square feet of commercial space and control an additional 12 acres of land adjacent to Santana Row.</w:t>
      </w:r>
    </w:p>
    <w:p>
      <w:pPr>
        <w:spacing w:after="0" w:line="13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continue to invest in the development at Assembly Row which is a long-term development project we expect to be involved in over the coming years. The carrying value of the development portion of this project at September 30, 2015 is approximately $384 million. The project currently has zoning entitlements to build 3.4 million square feet of commercial-use buildings, 1,843 residential units, and a 170 room hotel. The first phase consists of approximately 331,000 square feet of retail space and 98,000 square feet of office space (both owned by the Trust) and 445 residential units owned by AvalonBay Communities. The Massachusetts Bay Transit Authority (MBTA) constructed the new orange line T-Stop at the property, which opened in September 2014. Minimal amounts of construction remain to be completed in the first phase. The retail space in Phase I opened during 2014 and currently is 99.6% leased. Additionally, as of September 30, 2015, 33,000 square feet of office space is open, and we expect the remainder to open through the first half of 2016. Phase I is expected to stabilize in 2015/2016. Total expected costs for Phase I of Assembly Row, net of reimbursements expected, range from $194 million to $196 million, of which $188 million has been incurred to date.</w:t>
      </w:r>
    </w:p>
    <w:p>
      <w:pPr>
        <w:spacing w:after="0" w:line="12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are also proceeding with development of Phase II of Assembly Row which will include 167,000 square feet of retail space, a 155 room boutique hotel and 447 residential units. The hotel will be owned and operated by a joint venture in which we will be a partner. Total expected costs range from $270 million to $285 million and stabilization is expected in 2018/2019. Construction commenced on Phase II in July 2015. Phase II is also expected to include 117 for-sale condominium units with an expected total cost of $62 to $67 million. Additionally, as part of the second phase, we entered into a ground lease agreement with Partners HealthCare to bring more than 700,000 square feet of office space to Assembly Row. The ground lease agreement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6" w:right="25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includes a purchase option. Partners HealthCare commenced construction on this new building in September 2014 and plans to relocate over 4,500 employees to Assembly Row starting in 2016.</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Including costs incurred in the first nine months of 2015, we expect to invest between $10 million and $20 million in Assembly Row in 2015, net of expected public funding.</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Pike &amp; Rose project in North Bethesda, MD, a long-term multi-phased mixed-use project, currently has zoning entitlements to build 1.6 million square feet of commercial-use buildings and 1,605 residential units. Phase I of Pike &amp; Rose includes 493 residential units, 157,000 square feet of retail space and 79,000 square feet of office space. In late June 2014, our 174 unit residential building opened, and is 95.4% leased as of September 30, 2015. As of September 30, 2015, 137,000 square feet of the retail space and 40,000 square feet of the office space in Phase I is open, and in July the first tenants moved into our 319 unit residential building. We expect the remaining retail, office, and residential units in the 319 unit building to open in the remainder of 2015 into early 2016, and Phase I to stabilize in 2015/2016. Total expected costs for Phase I of Pike &amp; Rose range from $265 million to $270 million of which $253 million has been incurred to date.</w:t>
      </w:r>
    </w:p>
    <w:p>
      <w:pPr>
        <w:spacing w:after="0" w:line="13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Additionally, we are proceeding with development of Phase II of Pike &amp; Rose and building construction has commenced. Phase II will include approximately 190,000 square feet of retail space, a 177 room select-service hotel and 272 residential units, as well as a pre-leased auto dealership building. Total expected costs range from $200 million to $207 million and stabilization is expected in 2018/2019. The hotel will be owned and operated by a joint venture in which we will be a partner. Phase II is also expected to include 104 for-sale condominium units with an expected cost of $53 million to $58 million. Including costs incurred in the first nine months of 2015, we expect to invest between $90 million and $100 million in Pike &amp; Rose in 2015.</w:t>
      </w:r>
    </w:p>
    <w:p>
      <w:pPr>
        <w:spacing w:after="0" w:line="10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development of future phases of Assembly Row, Pike &amp; Rose and Santana Row will be pursued opportunistically based on, among other things, market conditions, tenant demand, and our evaluation of whether those phases will generate an appropriate financial return.</w:t>
      </w:r>
    </w:p>
    <w:p>
      <w:pPr>
        <w:spacing w:after="0" w:line="11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We continue to review acquisition opportunities in our primary markets that complement our portfolio and provide long-term growth opportunities. Initially, some of our acquisitions do not contribute significantly to earnings growth; however, we believe they provide long-term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 Generally, our acquisitions are initially financed by available cash and/or borrowings under our revolving credit facility which may be repaid later with funds raised through the issuance of new equity or new long-term debt. We may also finance our acquisitions through the issuance of common shares, preferred shares, or downREIT units as well as through new or assumed mortgages.</w:t>
      </w:r>
    </w:p>
    <w:p>
      <w:pPr>
        <w:spacing w:after="0" w:line="1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At September 30, 2015, the leasable square feet in our properties was 95.1% occupied and 95.5%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Rollovers</w:t>
      </w:r>
    </w:p>
    <w:p>
      <w:pPr>
        <w:spacing w:after="0" w:line="9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For the third quarter of 2015, we signed leases for a total of 561,000 square feet of retail space including 478,000 square feet of comparable space leases (leases for which there was a prior tenant) at an average rental increase of 19% on a cash basis and 33% on a straight-line basis. New leases for comparable spaces were signed for 107,000 square feet at an average rental increase of 14% on a cash basis and 32% on a straight-line basis. Renewals for comparable spaces were signed for 372,000 square feet at an average rental increase of 23% on a cash basis and 33% on a straight-line basis. Tenant improvements and incentives for comparable spaces were $58.63 per square foot for new leases and $10.39 per square foot for renewals for the three months ended September 30, 2015.</w:t>
      </w:r>
    </w:p>
    <w:p>
      <w:pPr>
        <w:spacing w:after="0" w:line="13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nine months ended September 30, 2015, we signed leases for a total of 1,154,000 square feet of retail space including 1,025,000 square feet of comparable space leases (leases for which there was a prior tenant) at an average rental increase of 16% on a cash basis and 27% on a straight-line basis. New leases for comparable spaces were signed for 355,000 square feet at an average rental increase of 15% on a cash basis and 28% on a straight-line basis. Renewals for comparable spaces were signed for 670,000 square feet at an average rental increase of 16% on a cash basis and 26% on a straight-line basis. Tenant improvements and incentives for comparable spaces were $52.52 per square foot for new leases and $8.94 per square foot for renewals for the nine months ended September 30, 2015.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rental increases associated with comparable spaces generally include all leases signed in arms-length transactions reflecting market leverage between landlords and tenants during the period. The comparison between average rent for expiring leases and new leases is determined by including minimum rent and percentage rent paid on the expiring lease and minimum rent and in some instances, projections of first lease year percentage rent, to be paid on the new lease. In atypical circumstances, management may exercise judgment as to how to most effectively reflect the comparability of spaces reported in this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 Tenant improvements and incentives include the total dollars committed for the improvement (fit-out) of a space as it relates to a specific 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leases signed in 2015 generally become effective over the following two years though some may not become effective until 2018 and beyond. Further, there is risk that some new tenants will not ultimately take possession of their space and that tenants for both new and renewal leases may not pay all of their contractual rent due to operating, financing or other matters. However, these increases do provide information about the tenant/landlord relationship and the potential increase we may achieve in rental income over time.</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Historically, we have executed comparable space leases for 1.2 to 1.5 million square feet of retail space each year, and expect that volume for 2015 will be in line with our historical averages with overall positive increases in rental income. However, changes in rental income associated with individual signed leases on comparable spaces may be positive or negative, and we can provide no assurance that the rents on new leases will continue to increase at the above disclosed levels, if at all.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redevelopment or expansion occurred during either of the periods being compared. For the three and nine months ended September 30, 2015, all or a portion of 79 properties were considered same-center and thirteen were considered redevelopment or expansion. When compared to the designations as of December 31, 2014, three properties were moved from acquisition to same-center, two properties were moved from same-center to redevelopment, one property was moved from redevelopment to same-center, and one property was removed from same-center as it was sold in April 2015. While there is judgment surrounding changes in designations, we typically move redevelopment properties to same-center once they have stabilized, which is typically considered 95% occupancy or when the growth expected from the redevelopment has been included in the comparable periods. We typically remove properties from same center when the redevelopment has or is expected to have a significant impact to property operating income within the calendar year. Acquisitions are moved to same-center once we have owned the property for the entirety of comparable periods and the property is not under significant redevelopment or expansion.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6" w:right="25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THREE MONTHS ENDED SEPTEMBER 30, 2015 AND 2014</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Dollars</w:t>
            </w: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4"/>
                <w:szCs w:val="14"/>
                <w:b w:val="1"/>
                <w:bCs w:val="1"/>
                <w:color w:val="auto"/>
              </w:rPr>
              <w:t>(Dollar amounts in thousands)</w:t>
            </w:r>
          </w:p>
        </w:tc>
        <w:tc>
          <w:tcPr>
            <w:tcW w:w="88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181,562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166,112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185,252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170,938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14,314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21,804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20,374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56,243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52,282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129,009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118,656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10,353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(43,718)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(74,459)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44,648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47,075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Total property revenue increased $14.3 million, or 8.4%, to $185.3 million in the three months ended September 30, 2015 compared to $170.9 million in the three months ended September 30, 2014. The percentage occupied at our shopping centers increased to 95.1% at September 30, 2015 compared to 94.7% at September 30, 2014. Changes in the components of property revenue are discussed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$15.5 million, or 9.3%, to $181.6 million in the three months ended September 30, 2015 compared to $166.1 million in the three months ended September 30, 2014 due primarily to the following:</w:t>
      </w:r>
    </w:p>
    <w:p>
      <w:pPr>
        <w:spacing w:after="0" w:line="19" w:lineRule="exact"/>
        <w:rPr>
          <w:sz w:val="20"/>
          <w:szCs w:val="20"/>
          <w:color w:val="auto"/>
        </w:rPr>
      </w:pPr>
    </w:p>
    <w:p>
      <w:pPr>
        <w:ind w:left="1700" w:right="360" w:hanging="801"/>
        <w:spacing w:after="0" w:line="277"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$5.4 million from Assembly Row and Pike &amp; Rose as portions of both projects opened beginning in second quarter 2014 through 2015,</w:t>
      </w:r>
    </w:p>
    <w:p>
      <w:pPr>
        <w:spacing w:after="0" w:line="8" w:lineRule="exact"/>
        <w:rPr>
          <w:rFonts w:ascii="Arial" w:cs="Arial" w:eastAsia="Arial" w:hAnsi="Arial"/>
          <w:sz w:val="18"/>
          <w:szCs w:val="18"/>
          <w:color w:val="auto"/>
        </w:rPr>
      </w:pPr>
    </w:p>
    <w:p>
      <w:pPr>
        <w:ind w:left="1700" w:right="380" w:hanging="801"/>
        <w:spacing w:after="0" w:line="277" w:lineRule="auto"/>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$4.3 million at same-center properties due primarily to higher rental rates of approximately $2.4 million and a $1.1 million increase in recovery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$3.7 million attributable to properties acquired in 2015,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of $3.0 million at redevelopment properties due primarily to the the lease-up of our retail redevelopments,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of $1.3 million due to the sale of our Houston Street property in April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Other property income decreased $1.1 million, or 31.6%, to $2.5 million in the three months ended September 30, 2015 compared to $3.6 million in the three months ended September 30, 2014. Included in the other property income are items which, although recurring, inherently tend to fluctuate more than rental income from period to period, such as lease termination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fees. This decrease is primarily due to lower lease termination and other fees at our same-center properties and a decrease in income from our restaurant ventures.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Total property expenses increased $4.0 million, or 7.6%, to $56.2 million in the three months ended September 30, 2015 compared to $52.3 million in the three months ended September 30, 2014.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Rental expenses increased $2.5 million, or 7.9%, to $34.4 million in the three months ended September 30, 2015 compared to $31.9 million in the three months ended September 30, 2014. This increase is primarily due to the following:</w:t>
      </w:r>
    </w:p>
    <w:p>
      <w:pPr>
        <w:spacing w:after="0" w:line="8" w:lineRule="exact"/>
        <w:rPr>
          <w:sz w:val="20"/>
          <w:szCs w:val="20"/>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$1.2 million in repairs and maintenance costs at same-center and redevelopment properties,</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$1.1 million related to properties acquired in 2015,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$0.8 million in utilities at same-center properties,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of $0.5 million due to the sale of our Houston Street property in April 2015.</w:t>
      </w:r>
    </w:p>
    <w:p>
      <w:pPr>
        <w:spacing w:after="0" w:line="17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As a result of the changes in rental income and rental expenses as discussed above, rental expenses as a percentage of rental income plus other property income decreased to 18.7% in the three months ended September 30, 2015 from 18.8% in the three months ended September 30, 2014.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Real estate tax expense increased $1.4 million, or 7.0%, to $21.8 million in the three months ended September 30, 2015 compared to $20.4 million in the three months ended September 30, 2014 due primarily to Assembly Row and Pike &amp; Rose and properties acquired during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Property operating income increased $10.4 million, or 8.7%, to $129.0 million in the three months ended September 30, 2015 compared to $118.7 million in the three months ended September 30, 2014. This increase is primarily due to Assembly Row and Pike &amp; Rose opening beginning in the second quarter 2014 and through 2015, the lease-up of our redevelopment properties, our 2015 acquisitions, and growth in earnings at same-center properties.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Interest expense decreased $1.7 million, or 7.2%, to $21.7 million in the three months ended September 30, 2015 compared to $23.4 million in the three months ended September 30, 2014. This decrease is due primarily to the following:</w:t>
      </w:r>
    </w:p>
    <w:p>
      <w:pPr>
        <w:spacing w:after="0" w:line="8" w:lineRule="exact"/>
        <w:rPr>
          <w:sz w:val="20"/>
          <w:szCs w:val="20"/>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of $4.2 million due to a lower overall weighted average borrowing rate,</w:t>
      </w:r>
    </w:p>
    <w:p>
      <w:pPr>
        <w:spacing w:after="0" w:line="6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partially offset by</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$2.2 million due to higher borrowings,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decrease of $0.4 million in capitalized interest due primarily to the majority of Phase I of Assembly Row opening during 2014.</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interest costs were $26.3 million and $28.4 million in the three months ended September 30, 2015 and 2014, respectively. Capitalized interest was $4.6 million and $5.0 million in the three months ended September 30, 2015 and 2014,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General and administrative expenses increased $1.0 million, or 11.9%, to $9.4 million for the three months ended September 30, 2015, compared to $8.4 million in the three months ended September 30, 2014. The increase is primarily due to higher personnel related costs.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126" w:right="29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Depreciation and amortization expense increased $1.1 million, or 2.5%, to $43.7 million in the three months ended September 30, 2015 from $42.7 million in the three months ended September 30, 2014. This increase is due primarily to depreciation on Assembly Row and Pike &amp; Rose and properties acquired in 2015, partially offset by accelerated depreciation in 2014 due to the change in use of a redevelopment property.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$4.4 million gain on sale of real estate for the three months ended September 30, 2014 is due to our portion of the gain resulting from the Partnership's sale of the fee interest in Pleasant Shops in Weymouth, Massachusetts.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 NINE MONTHS ENDED SEPTEMBER 30, 2015 AND 2014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264"/>
        </w:trPr>
        <w:tc>
          <w:tcPr>
            <w:tcW w:w="58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772"/>
              <w:spacing w:after="0"/>
              <w:rPr>
                <w:sz w:val="20"/>
                <w:szCs w:val="20"/>
                <w:color w:val="auto"/>
              </w:rPr>
            </w:pPr>
            <w:r>
              <w:rPr>
                <w:rFonts w:ascii="Arial" w:cs="Arial" w:eastAsia="Arial" w:hAnsi="Arial"/>
                <w:sz w:val="14"/>
                <w:szCs w:val="14"/>
                <w:b w:val="1"/>
                <w:bCs w:val="1"/>
                <w:color w:val="auto"/>
              </w:rPr>
              <w:t>Dollars</w:t>
            </w: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w:t>
            </w:r>
          </w:p>
        </w:tc>
      </w:tr>
      <w:tr>
        <w:trPr>
          <w:trHeight w:val="196"/>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80" w:type="dxa"/>
            <w:vAlign w:val="bottom"/>
            <w:gridSpan w:val="4"/>
          </w:tcPr>
          <w:p>
            <w:pPr>
              <w:jc w:val="right"/>
              <w:ind w:right="892"/>
              <w:spacing w:after="0"/>
              <w:rPr>
                <w:sz w:val="20"/>
                <w:szCs w:val="20"/>
                <w:color w:val="auto"/>
              </w:rPr>
            </w:pPr>
            <w:r>
              <w:rPr>
                <w:rFonts w:ascii="Arial" w:cs="Arial" w:eastAsia="Arial" w:hAnsi="Arial"/>
                <w:sz w:val="14"/>
                <w:szCs w:val="14"/>
                <w:b w:val="1"/>
                <w:bCs w:val="1"/>
                <w:color w:val="auto"/>
                <w:w w:val="97"/>
              </w:rPr>
              <w:t>(Dollar amounts in thousands)</w:t>
            </w:r>
          </w:p>
        </w:tc>
        <w:tc>
          <w:tcPr>
            <w:tcW w:w="860" w:type="dxa"/>
            <w:vAlign w:val="bottom"/>
          </w:tcPr>
          <w:p>
            <w:pPr>
              <w:spacing w:after="0"/>
              <w:rPr>
                <w:sz w:val="17"/>
                <w:szCs w:val="17"/>
                <w:color w:val="auto"/>
              </w:rPr>
            </w:pP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538,612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494,688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8"/>
                <w:szCs w:val="18"/>
                <w:color w:val="auto"/>
              </w:rPr>
              <w:t>43,924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Other property income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9,364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11,347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352"/>
              <w:spacing w:after="0"/>
              <w:rPr>
                <w:sz w:val="20"/>
                <w:szCs w:val="20"/>
                <w:color w:val="auto"/>
              </w:rPr>
            </w:pPr>
            <w:r>
              <w:rPr>
                <w:rFonts w:ascii="Arial" w:cs="Arial" w:eastAsia="Arial" w:hAnsi="Arial"/>
                <w:sz w:val="18"/>
                <w:szCs w:val="18"/>
                <w:color w:val="auto"/>
              </w:rPr>
              <w:t>(1,983)</w:t>
            </w:r>
          </w:p>
        </w:tc>
        <w:tc>
          <w:tcPr>
            <w:tcW w:w="86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(149)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Total property revenue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551,505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509,713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color w:val="auto"/>
              </w:rPr>
              <w:t>41,792</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108,501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100,443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8"/>
                <w:szCs w:val="18"/>
                <w:color w:val="auto"/>
              </w:rPr>
              <w:t>8,058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62,865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58,238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412"/>
              <w:spacing w:after="0"/>
              <w:rPr>
                <w:sz w:val="20"/>
                <w:szCs w:val="20"/>
                <w:color w:val="auto"/>
              </w:rPr>
            </w:pPr>
            <w:r>
              <w:rPr>
                <w:rFonts w:ascii="Arial" w:cs="Arial" w:eastAsia="Arial" w:hAnsi="Arial"/>
                <w:sz w:val="18"/>
                <w:szCs w:val="18"/>
                <w:color w:val="auto"/>
              </w:rPr>
              <w:t>4,627</w:t>
            </w:r>
          </w:p>
        </w:tc>
        <w:tc>
          <w:tcPr>
            <w:tcW w:w="86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171,366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158,681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8"/>
                <w:szCs w:val="18"/>
                <w:color w:val="auto"/>
              </w:rPr>
              <w:t>12,685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Property 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380,139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351,032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color w:val="auto"/>
              </w:rPr>
              <w:t>29,107</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8"/>
                <w:szCs w:val="18"/>
                <w:color w:val="auto"/>
              </w:rPr>
              <w:t>64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412"/>
              <w:spacing w:after="0"/>
              <w:rPr>
                <w:sz w:val="20"/>
                <w:szCs w:val="20"/>
                <w:color w:val="auto"/>
              </w:rPr>
            </w:pPr>
            <w:r>
              <w:rPr>
                <w:rFonts w:ascii="Arial" w:cs="Arial" w:eastAsia="Arial" w:hAnsi="Arial"/>
                <w:sz w:val="18"/>
                <w:szCs w:val="18"/>
                <w:color w:val="auto"/>
              </w:rPr>
              <w:t>77</w:t>
            </w:r>
          </w:p>
        </w:tc>
        <w:tc>
          <w:tcPr>
            <w:tcW w:w="86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8"/>
                <w:szCs w:val="18"/>
                <w:color w:val="auto"/>
              </w:rPr>
              <w:t>426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80" w:type="dxa"/>
            <w:vAlign w:val="bottom"/>
          </w:tcPr>
          <w:p>
            <w:pPr>
              <w:jc w:val="right"/>
              <w:ind w:right="352"/>
              <w:spacing w:after="0"/>
              <w:rPr>
                <w:sz w:val="20"/>
                <w:szCs w:val="20"/>
                <w:color w:val="auto"/>
              </w:rPr>
            </w:pPr>
            <w:r>
              <w:rPr>
                <w:rFonts w:ascii="Arial" w:cs="Arial" w:eastAsia="Arial" w:hAnsi="Arial"/>
                <w:sz w:val="18"/>
                <w:szCs w:val="18"/>
                <w:color w:val="auto"/>
              </w:rPr>
              <w:t>(19,072)</w:t>
            </w:r>
          </w:p>
        </w:tc>
        <w:tc>
          <w:tcPr>
            <w:tcW w:w="86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(3,324)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(128,373)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(127,403)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352"/>
              <w:spacing w:after="0"/>
              <w:rPr>
                <w:sz w:val="20"/>
                <w:szCs w:val="20"/>
                <w:color w:val="auto"/>
              </w:rPr>
            </w:pPr>
            <w:r>
              <w:rPr>
                <w:rFonts w:ascii="Arial" w:cs="Arial" w:eastAsia="Arial" w:hAnsi="Arial"/>
                <w:sz w:val="18"/>
                <w:szCs w:val="18"/>
                <w:color w:val="auto"/>
              </w:rPr>
              <w:t>(970)</w:t>
            </w:r>
          </w:p>
        </w:tc>
        <w:tc>
          <w:tcPr>
            <w:tcW w:w="86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7"/>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net</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(22,799)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136,917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130,609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color w:val="auto"/>
              </w:rPr>
              <w:t>6,308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412"/>
              <w:spacing w:after="0"/>
              <w:rPr>
                <w:sz w:val="20"/>
                <w:szCs w:val="20"/>
                <w:color w:val="auto"/>
              </w:rPr>
            </w:pPr>
            <w:r>
              <w:rPr>
                <w:rFonts w:ascii="Arial" w:cs="Arial" w:eastAsia="Arial" w:hAnsi="Arial"/>
                <w:sz w:val="18"/>
                <w:szCs w:val="18"/>
                <w:color w:val="auto"/>
              </w:rPr>
              <w:t>7,108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161.5 %</w:t>
            </w:r>
          </w:p>
        </w:tc>
      </w:tr>
      <w:tr>
        <w:trPr>
          <w:trHeight w:val="237"/>
        </w:trPr>
        <w:tc>
          <w:tcPr>
            <w:tcW w:w="58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148,426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135,010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color w:val="auto"/>
              </w:rPr>
              <w:t>13,416</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9.9 %</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rPr>
              <w:t>(524)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142,265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129,373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412"/>
              <w:spacing w:after="0"/>
              <w:rPr>
                <w:sz w:val="20"/>
                <w:szCs w:val="20"/>
                <w:color w:val="auto"/>
              </w:rPr>
            </w:pPr>
            <w:r>
              <w:rPr>
                <w:rFonts w:ascii="Arial" w:cs="Arial" w:eastAsia="Arial" w:hAnsi="Arial"/>
                <w:sz w:val="18"/>
                <w:szCs w:val="18"/>
                <w:color w:val="auto"/>
              </w:rPr>
              <w:t>12,892</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5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Total property revenue increased $41.8 million, or 8.2%, to $551.5 million in the nine months ended September 30, 2015 compared to $509.7 million in the nine months ended September 30, 2014. The percentage occupied at our shopping centers increased to 95.1% at September 30, 2015 compared to 94.7% at September 30, 2014. Changes in the components of property revenue are discussed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Rental income consists primarily of minimum rent, cost reimbursements from tenants and percentage rent. Rental income increased $43.9 million, or 8.9%, to $538.6 million in the nine months ended September 30, 2015 compared to $494.7 million in the nine months ended September 30, 2014 due primarily to the following:</w:t>
      </w:r>
    </w:p>
    <w:p>
      <w:pPr>
        <w:spacing w:after="0" w:line="46" w:lineRule="exact"/>
        <w:rPr>
          <w:sz w:val="20"/>
          <w:szCs w:val="20"/>
          <w:color w:val="auto"/>
        </w:rPr>
      </w:pPr>
    </w:p>
    <w:p>
      <w:pPr>
        <w:ind w:left="1700" w:right="280" w:hanging="801"/>
        <w:spacing w:after="0" w:line="277" w:lineRule="auto"/>
        <w:tabs>
          <w:tab w:leader="none" w:pos="1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$17.7 million from Assembly Row and Pike &amp; Rose as portions of both projects opened beginning in second quarter 2014, through 2015,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6" w:right="2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left="1700" w:right="160" w:hanging="801"/>
        <w:spacing w:after="0" w:line="264" w:lineRule="auto"/>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$12.1 million at same-center properties due primarily to higher rental rates of approximately $6.7 million, a $2.2 million increase in recovery income (primarily the result of reimbursements for higher snow removal costs), and occupancy impacts of approximately $1.4 million,</w:t>
      </w:r>
    </w:p>
    <w:p>
      <w:pPr>
        <w:spacing w:after="0" w:line="19" w:lineRule="exact"/>
        <w:rPr>
          <w:rFonts w:ascii="Arial" w:cs="Arial" w:eastAsia="Arial" w:hAnsi="Arial"/>
          <w:sz w:val="18"/>
          <w:szCs w:val="18"/>
          <w:color w:val="auto"/>
        </w:rPr>
      </w:pPr>
    </w:p>
    <w:p>
      <w:pPr>
        <w:ind w:left="1700" w:hanging="801"/>
        <w:spacing w:after="0"/>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$8.4 million attributable primarily to properties acquired in 2015, and</w:t>
      </w:r>
    </w:p>
    <w:p>
      <w:pPr>
        <w:spacing w:after="0" w:line="63" w:lineRule="exact"/>
        <w:rPr>
          <w:rFonts w:ascii="Arial" w:cs="Arial" w:eastAsia="Arial" w:hAnsi="Arial"/>
          <w:sz w:val="18"/>
          <w:szCs w:val="18"/>
          <w:color w:val="auto"/>
        </w:rPr>
      </w:pPr>
    </w:p>
    <w:p>
      <w:pPr>
        <w:ind w:left="1700" w:right="500" w:hanging="801"/>
        <w:spacing w:after="0" w:line="277" w:lineRule="auto"/>
        <w:tabs>
          <w:tab w:leader="none" w:pos="1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$7.4 million at redevelopment properties due primarily to the lease-up of our new 212 unit residential building at Santana Row and the lease-up of three of our retail redevelopments,</w:t>
      </w:r>
    </w:p>
    <w:p>
      <w:pPr>
        <w:spacing w:after="0" w:line="8"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$2.1 million due to the sale of our Houston Street property in April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63" w:lineRule="exact"/>
        <w:rPr>
          <w:sz w:val="20"/>
          <w:szCs w:val="20"/>
          <w:color w:val="auto"/>
        </w:rPr>
      </w:pPr>
    </w:p>
    <w:p>
      <w:pPr>
        <w:ind w:left="60"/>
        <w:spacing w:after="0" w:line="259" w:lineRule="auto"/>
        <w:rPr>
          <w:sz w:val="20"/>
          <w:szCs w:val="20"/>
          <w:color w:val="auto"/>
        </w:rPr>
      </w:pPr>
      <w:r>
        <w:rPr>
          <w:rFonts w:ascii="Arial" w:cs="Arial" w:eastAsia="Arial" w:hAnsi="Arial"/>
          <w:sz w:val="18"/>
          <w:szCs w:val="18"/>
          <w:color w:val="auto"/>
        </w:rPr>
        <w:t>Other property income decreased $2.0 million, or 17.5%, to $9.4 million in the nine months ended September 30, 2015 compared to $11.3 million in the nine months ended September 30, 2014. Included in other property income are items which, although recurring, inherently tend to fluctuate more than rental income from period to period, such as lease termination fees. This decrease is primarily due to lower lease termination fees at our redevelopment and same-center properties and a decrease in income from our restaurant ventures.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Total property expenses increased $12.7 million, or 8.0%, to $171.4 million in the nine months ended September 30, 2015 compared to $158.7 million in the nine months ended September 30, 2014. Changes in the components of property expenses are discussed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Rental expenses increased $8.1 million, or 8.0%, to $108.5 million in the nine months ended September 30, 2015 compared to $100.4 million in the nine months ended September 30, 2014. This increase is primarily due to the following:</w:t>
      </w:r>
    </w:p>
    <w:p>
      <w:pPr>
        <w:spacing w:after="0" w:line="8" w:lineRule="exact"/>
        <w:rPr>
          <w:sz w:val="20"/>
          <w:szCs w:val="20"/>
          <w:color w:val="auto"/>
        </w:rPr>
      </w:pPr>
    </w:p>
    <w:p>
      <w:pPr>
        <w:ind w:left="1700" w:right="460" w:hanging="801"/>
        <w:spacing w:after="0" w:line="277"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$3.6 million related to Assembly Row and Pike &amp; Rose, as portions of these projects opened beginning in second quarter 2014,</w:t>
      </w:r>
    </w:p>
    <w:p>
      <w:pPr>
        <w:spacing w:after="0" w:line="8" w:lineRule="exact"/>
        <w:rPr>
          <w:rFonts w:ascii="Arial" w:cs="Arial" w:eastAsia="Arial" w:hAnsi="Arial"/>
          <w:sz w:val="18"/>
          <w:szCs w:val="18"/>
          <w:color w:val="auto"/>
        </w:rPr>
      </w:pPr>
    </w:p>
    <w:p>
      <w:pPr>
        <w:ind w:left="1700" w:right="340" w:hanging="801"/>
        <w:spacing w:after="0" w:line="277" w:lineRule="auto"/>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$2.9 million in repairs and maintenance costs at same-center and redevelopment properties, primarily due to higher snow removal costs, and</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$2.6 million related to properties acquired in 2015 and 2014,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63" w:lineRule="exact"/>
        <w:rPr>
          <w:sz w:val="20"/>
          <w:szCs w:val="20"/>
          <w:color w:val="auto"/>
        </w:rPr>
      </w:pPr>
    </w:p>
    <w:p>
      <w:pPr>
        <w:ind w:left="1700" w:hanging="801"/>
        <w:spacing w:after="0"/>
        <w:tabs>
          <w:tab w:leader="none" w:pos="1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 of $0.7 million due to the sale of our Houston Street property in April 2015.</w:t>
      </w:r>
    </w:p>
    <w:p>
      <w:pPr>
        <w:spacing w:after="0" w:line="17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Rental expenses as a percentage of rental income plus other property income were 19.8% in both the nine months ended September 30, 2015 and September 30,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Real estate tax expense increased $4.6 million, or 7.9%, to $62.9 million in the nine months ended September 30, 2015 compared to $58.2 million in the nine months ended September 30, 2014 due primarily to Assembly Row and Pike &amp; Rose, properties acquired in 2015, and higher assessments at our same-center and redevelopment properties.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Property operating income increased $29.1 million, or 8.3%, to $380.1 million in the nine months ended September 30, 2015 compared to $351.0 million in the nine months ended September 30, 2014. This increase is primarily due to portions of Assembly Row and Pike &amp; Rose opening beginning in the second quarter 2014, growth in earnings at same-center and redevelopment properties, and properties acquired in 2015, partially offset by the sale of our Houston Street property in April 2015.</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Interest expense decreased $0.4 million, or 0.6%, to $69.3 million in the nine months ended September 30, 2015 compared to $69.8 million in the nine months ended September 30, 2014. This decrease is due primarily to the following:</w:t>
      </w:r>
    </w:p>
    <w:p>
      <w:pPr>
        <w:spacing w:after="0" w:line="8" w:lineRule="exact"/>
        <w:rPr>
          <w:sz w:val="20"/>
          <w:szCs w:val="20"/>
          <w:color w:val="auto"/>
        </w:rPr>
      </w:pPr>
    </w:p>
    <w:p>
      <w:pPr>
        <w:ind w:left="1700" w:hanging="801"/>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of $8.0 million due to a lower overall weighted average borrowing rate,</w:t>
      </w:r>
    </w:p>
    <w:p>
      <w:pPr>
        <w:spacing w:after="0" w:line="6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partially offset by</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of $5.8 million due to higher borrowings, and</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6" w:right="27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1700" w:hanging="801"/>
        <w:spacing w:after="0"/>
        <w:tabs>
          <w:tab w:leader="none" w:pos="1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decrease of $1.8 million in capitalized interest due primarily to the majority of Phase I of Assembly Row opening during 2014.</w:t>
      </w:r>
    </w:p>
    <w:p>
      <w:pPr>
        <w:spacing w:after="0" w:line="1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interest costs were $83.5 million and $85.7 million in the nine months ended September 30, 2015 and 2014, respectively. Capitalized interest was $14.1 million and $16.0 million in the nine months ended September 30, 2015 and 2014,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Extinguishment of Debt</w:t>
      </w:r>
    </w:p>
    <w:p>
      <w:pPr>
        <w:spacing w:after="0" w:line="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$19.1 million of early extinguishment of debt in the nine months ended September 30, 2015 relates to the make-whole premium paid as part of the early redemption of our 6.20% senior notes, partially offset by the related net write-off of unamortized premium and debt fees.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General and administrative expenses increased $3.3 million, or 13.7%, to $27.5 million for the nine months ended September 30, 2015, compared to $24.2 million in the nine months ended September 30, 2014. The increase is primarily due to higher personnel related costs and higher transaction costs.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$11.5 million gain on sale of real estate for the nine months ended September 30, 2015 is due to the sale of our Houston Street property in April 2015.</w:t>
      </w:r>
    </w:p>
    <w:p>
      <w:pPr>
        <w:spacing w:after="0" w:line="11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$4.4 million gain on sale of real estate for the nine months ended September 30, 2014 is due to our portion of the gain resulting from the Partnership's sale of the fee interest in Pleasant Shops in Weymouth, Massachusetts.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Due to the nature of our business and strategy, we typically generate significant amounts of cash from operations. The cash generated from operations is primarily paid to our common and preferred shareholders in the form of dividends. As a REIT, we must generally make annual distributions to shareholders of at least 90% of our taxable income.</w:t>
      </w:r>
    </w:p>
    <w:p>
      <w:pPr>
        <w:spacing w:after="0" w:line="12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Our short-term liquidity requirements consist primarily of normal recurring operating expenses, obligations under our capital and operating leases,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0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Cash and cash equivalents were $12.9 million at September 30, 2015. Additionally, we have a $600.0 million unsecured revolving credit facility which matures on April 21, 2017, subject to a one-year extension at our option, which had no outstanding balance at September 30, 2015. In addition, we have an option (subject to bank approval) to increase the credit facility through an accordion feature to $1.0 billion. Our $275.0 million unsecured term loan, which matures on November 21, 2018, subject to a one-year extension at our option, also has an option (subject to bank approval) to increase the term loan through an accordion feature to $350.0 million. As of September 30, 2015, we had the capacity to issue up to $199.3 million in common shares under our ATM equity program.</w:t>
      </w:r>
    </w:p>
    <w:p>
      <w:pPr>
        <w:spacing w:after="0" w:line="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the nine months ended September 30, 2015, the maximum amount of borrowings outstanding under our revolving credit facility was $324.0 million, the weighted average amount of borrowings outstanding was $126.4 million and the weighted average interest rate, before amortization of debt fees, was 1.1%. During the nine months ended September 30, 2015, we accessed the public debt markets twice, issuing $200 million of 4.50% senior notes in March 2015 that mature on December 1, 2044 and in September 2015, issuing $250 million of 2.55% senior notes that mature on January 15, 2021. The net proceeds of these two offerings after issuance discounts, underwriting fees and other costs were approximately $456.2 million. We used the net proceeds from these transactions to redeem our $200 million 6.20% senior notes prior to their original maturity date of January 15, 2017, and repay $147 million of mortgage debt that had a weighted average rate of 7.9%. On November 2, 2015, we repaid our $18 million mortgage loan on San Antonio Center, and consequently we have only $9.4 million of debt maturing through the end of 2016. We currently believe that cash flows from operations, cash on hand, our ATM equity program, our revolving credit facility and our general ability to access the capital markets will be sufficient to finance our operations and fund our debt service requirements (including maturities) and capital expenditures.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6" w:right="25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Our overall capital requirements for the remainder of 2015 and in 2016 will depend upon acquisition opportunities, the level of improvements and redevelopments on existing properties and the timing and cost of development of Assembly Row, Pike &amp; Rose and future phases of Santana Row. While the amount of future expenditures will depend on numerous factors, we expect to continue to see higher levels of capital investments in our properties under development and redevelopment which is the result of the continued development at both Assembly Row and Pike &amp; Rose with openings of portions of both projects in the remainder of 2015 and in 2016, the commencement of construction on Phase II of Assembly Row and Pike &amp; Rose, and the current phase of Santana Row. With respect to other capital investments related to our existing properties, we expect to incur levels consistent with prior years. Our capital investments will be funded on a short-term basis with cash flow from operations, cash on hand and/or our revolving credit facility, and on a long-term basis with long-term debt or equity including shares issued under our ATM equity program. If necessary, we may access the debt or equity capital markets to finance significant acquisitions. Given our past ability to access the capital markets, we expect debt or equity to be available to us. Although there is no intent at this time, if market conditions deteriorate, we may also delay the timing of certain development and redevelopment projects as well as limit future acquisitions, reduce our operating expenditures, or re-evaluate our dividend policy.</w:t>
      </w:r>
    </w:p>
    <w:p>
      <w:pPr>
        <w:spacing w:after="0" w:line="12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addition to conditions in the capital markets which could affect our ability to access those markets, the following factors could affect our ability to meet our liquidity requirements:</w:t>
      </w:r>
    </w:p>
    <w:p>
      <w:pPr>
        <w:spacing w:after="0" w:line="1" w:lineRule="exact"/>
        <w:rPr>
          <w:sz w:val="20"/>
          <w:szCs w:val="20"/>
          <w:color w:val="auto"/>
        </w:rPr>
      </w:pPr>
    </w:p>
    <w:p>
      <w:pPr>
        <w:ind w:left="1700" w:right="40" w:hanging="801"/>
        <w:spacing w:after="0" w:line="250" w:lineRule="auto"/>
        <w:tabs>
          <w:tab w:leader="none" w:pos="1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shares may limit us from incurring debt or issuing equity at all, or on acceptable terms under then-prevailing market conditions; and</w:t>
      </w:r>
    </w:p>
    <w:p>
      <w:pPr>
        <w:ind w:left="1700" w:hanging="801"/>
        <w:spacing w:after="0"/>
        <w:tabs>
          <w:tab w:leader="none" w:pos="1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8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196"/>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261,150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241,846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(286,479)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(280,924)</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(25,932)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(35,087)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(65,010)</w:t>
            </w: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47,951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88,927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12,864</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23,917</w:t>
            </w:r>
          </w:p>
        </w:tc>
      </w:tr>
      <w:tr>
        <w:trPr>
          <w:trHeight w:val="27"/>
        </w:trPr>
        <w:tc>
          <w:tcPr>
            <w:tcW w:w="8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Net cash provided by operating activities increased $19.3 million to $261.2 million during the nine months ended September 30, 2015 from $241.8 million during the nine months ended September 30, 2014. The increase was primarily attributable to higher net income before certain non-cash items.</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cash used in investing activities increased $5.6 million to $286.5 million during the nine months ended September 30, 2015 from $280.9 million during the nine months ended September 30, 2014. The increase was primarily attributable to:</w:t>
      </w:r>
    </w:p>
    <w:p>
      <w:pPr>
        <w:spacing w:after="0" w:line="8" w:lineRule="exact"/>
        <w:rPr>
          <w:sz w:val="20"/>
          <w:szCs w:val="20"/>
          <w:color w:val="auto"/>
        </w:rPr>
      </w:pPr>
    </w:p>
    <w:p>
      <w:pPr>
        <w:ind w:left="1700" w:hanging="801"/>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$116.8 million increase in acquisitions of real estate,</w:t>
      </w:r>
    </w:p>
    <w:p>
      <w:pPr>
        <w:spacing w:after="0" w:line="63"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partially offset by</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$65.2 million decrease in capital investments,</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$35.4 million increase in proceeds from the sale of real estate,</w:t>
      </w:r>
    </w:p>
    <w:p>
      <w:pPr>
        <w:spacing w:after="0" w:line="63" w:lineRule="exact"/>
        <w:rPr>
          <w:rFonts w:ascii="Arial" w:cs="Arial" w:eastAsia="Arial" w:hAnsi="Arial"/>
          <w:sz w:val="18"/>
          <w:szCs w:val="18"/>
          <w:color w:val="auto"/>
        </w:rPr>
      </w:pPr>
    </w:p>
    <w:p>
      <w:pPr>
        <w:ind w:left="1700" w:right="60" w:hanging="801"/>
        <w:spacing w:after="0" w:line="277" w:lineRule="auto"/>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$6.1 million increase in repayments of mortgage notes receivable due to the payoff of a $10.0 million note receivable in August 2015, and</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$5.2 million decrease in investments in real estate partnerships.</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cash used in financing activities decreased $16.2 million to $9.8 million during the nine months ended September 30, 2015 from $25.9 million during the nine months ended September 30, 2014. The decrease was primarily attributable to:</w:t>
      </w:r>
    </w:p>
    <w:p>
      <w:pPr>
        <w:spacing w:after="0" w:line="8" w:lineRule="exact"/>
        <w:rPr>
          <w:sz w:val="20"/>
          <w:szCs w:val="20"/>
          <w:color w:val="auto"/>
        </w:rPr>
      </w:pPr>
    </w:p>
    <w:p>
      <w:pPr>
        <w:ind w:left="1700" w:right="120" w:hanging="801"/>
        <w:spacing w:after="0" w:line="277" w:lineRule="auto"/>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$208.6 million in net proceeds from the re-opening of the 4.50% senior notes in March 2015 and $247.5 million from the issuance of 2.55% senior notes in September 2015,</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partially offset by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6"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1700" w:hanging="801"/>
        <w:spacing w:after="0"/>
        <w:tabs>
          <w:tab w:leader="none" w:pos="1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$219.2 million due to the redemption of $200 million of senior notes with a make-whole premium of $19.2 million in April 2015,</w:t>
      </w:r>
    </w:p>
    <w:p>
      <w:pPr>
        <w:spacing w:after="0" w:line="74" w:lineRule="exact"/>
        <w:rPr>
          <w:rFonts w:ascii="Arial" w:cs="Arial" w:eastAsia="Arial" w:hAnsi="Arial"/>
          <w:sz w:val="17"/>
          <w:szCs w:val="17"/>
          <w:color w:val="auto"/>
        </w:rPr>
      </w:pPr>
    </w:p>
    <w:p>
      <w:pPr>
        <w:ind w:left="1700" w:right="40" w:hanging="801"/>
        <w:spacing w:after="0" w:line="277" w:lineRule="auto"/>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$132.6 million increase in repayment of mortgages, capital leases, and notes payable primarily due to payoff of six mortgages totaling $147.0 million in August 2015, compared to one mortgage for $20.3 million in 2014,</w:t>
      </w:r>
    </w:p>
    <w:p>
      <w:pPr>
        <w:spacing w:after="0" w:line="8" w:lineRule="exact"/>
        <w:rPr>
          <w:rFonts w:ascii="Arial" w:cs="Arial" w:eastAsia="Arial" w:hAnsi="Arial"/>
          <w:sz w:val="18"/>
          <w:szCs w:val="18"/>
          <w:color w:val="auto"/>
        </w:rPr>
      </w:pPr>
    </w:p>
    <w:p>
      <w:pPr>
        <w:ind w:left="1700" w:right="20" w:hanging="801"/>
        <w:spacing w:after="0" w:line="286" w:lineRule="auto"/>
        <w:tabs>
          <w:tab w:leader="none" w:pos="1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$53.1 million decrease in net proceeds from the issuance of common shares due primarily to the sale of 0.8 million common shares under our ATM equity program at a weighted average price of $134.21 in the nine months ended September 30, 2015 compared to 1.3 million shares at a weighted average price of $118.31 in the nine months ended September 30, 2014,</w:t>
      </w:r>
    </w:p>
    <w:p>
      <w:pPr>
        <w:spacing w:after="0" w:line="3" w:lineRule="exact"/>
        <w:rPr>
          <w:rFonts w:ascii="Arial" w:cs="Arial" w:eastAsia="Arial" w:hAnsi="Arial"/>
          <w:sz w:val="17"/>
          <w:szCs w:val="17"/>
          <w:color w:val="auto"/>
        </w:rPr>
      </w:pPr>
    </w:p>
    <w:p>
      <w:pPr>
        <w:ind w:left="1700" w:right="560" w:hanging="801"/>
        <w:spacing w:after="0" w:line="277" w:lineRule="auto"/>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$22.1 million increase in dividends paid to shareholders due to an increase in the dividend rate and increased number of shares outstanding, and</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$11.0 million decrease in net borrowings on our revolving credit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We hold a general partnership interest, however, Clarion also holds a general partnership interest and has substantive participating rights. We cannot make significant decisions without Clarion’s approval. Accordingly, we account for our interest in the Partnership using the equity method. As of September 30, 2015, the Partnership owned six retail real estate properties. We are the manager of the Partnership and its properties, earning fees for acquisitions, management, leasing and financing. We also have the opportunity to receive performance-based earnings through our Partnership interest. The Partnership is subject to a buy-sell provision which is customary in real estate joint venture agreements and the industry. Either partner may initiate this provision at any time, which could result in either the sale of our interest or the use of available cash or borrowings to acquire Clarion’s interest. Accounting policies for the Partnership are similar to accounting policies followed by the Trust. At September 30, 2015, our investment in the Partnership was $32.7 million and the Partnership had $34.4 million of mortgages payable outstanding.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6" w:right="25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September 30, 2015:</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480" w:type="dxa"/>
            <w:vAlign w:val="bottom"/>
          </w:tcPr>
          <w:p>
            <w:pPr>
              <w:jc w:val="center"/>
              <w:ind w:right="40"/>
              <w:spacing w:after="0"/>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4"/>
                <w:szCs w:val="14"/>
                <w:color w:val="auto"/>
              </w:rPr>
            </w:pPr>
          </w:p>
        </w:tc>
        <w:tc>
          <w:tcPr>
            <w:tcW w:w="156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1"/>
              </w:rPr>
              <w:t>Principal Balance as of</w:t>
            </w:r>
          </w:p>
        </w:tc>
        <w:tc>
          <w:tcPr>
            <w:tcW w:w="120" w:type="dxa"/>
            <w:vAlign w:val="bottom"/>
          </w:tcPr>
          <w:p>
            <w:pPr>
              <w:spacing w:after="0"/>
              <w:rPr>
                <w:sz w:val="14"/>
                <w:szCs w:val="14"/>
                <w:color w:val="auto"/>
              </w:rPr>
            </w:pPr>
          </w:p>
        </w:tc>
        <w:tc>
          <w:tcPr>
            <w:tcW w:w="1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 as of</w:t>
            </w:r>
          </w:p>
        </w:tc>
        <w:tc>
          <w:tcPr>
            <w:tcW w:w="2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 of Debt</w:t>
            </w:r>
          </w:p>
        </w:tc>
        <w:tc>
          <w:tcPr>
            <w:tcW w:w="14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Debt</w:t>
            </w: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216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92"/>
        </w:trPr>
        <w:tc>
          <w:tcPr>
            <w:tcW w:w="4120" w:type="dxa"/>
            <w:vAlign w:val="bottom"/>
            <w:vMerge w:val="continue"/>
          </w:tcPr>
          <w:p>
            <w:pPr>
              <w:spacing w:after="0"/>
              <w:rPr>
                <w:sz w:val="16"/>
                <w:szCs w:val="16"/>
                <w:color w:val="auto"/>
              </w:rPr>
            </w:pPr>
          </w:p>
        </w:tc>
        <w:tc>
          <w:tcPr>
            <w:tcW w:w="148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Issued</w:t>
            </w:r>
          </w:p>
        </w:tc>
        <w:tc>
          <w:tcPr>
            <w:tcW w:w="120" w:type="dxa"/>
            <w:vAlign w:val="bottom"/>
          </w:tcPr>
          <w:p>
            <w:pPr>
              <w:spacing w:after="0"/>
              <w:rPr>
                <w:sz w:val="16"/>
                <w:szCs w:val="16"/>
                <w:color w:val="auto"/>
              </w:rPr>
            </w:pPr>
          </w:p>
        </w:tc>
        <w:tc>
          <w:tcPr>
            <w:tcW w:w="1560" w:type="dxa"/>
            <w:vAlign w:val="bottom"/>
          </w:tcPr>
          <w:p>
            <w:pPr>
              <w:jc w:val="right"/>
              <w:ind w:right="160"/>
              <w:spacing w:after="0"/>
              <w:rPr>
                <w:sz w:val="20"/>
                <w:szCs w:val="20"/>
                <w:color w:val="auto"/>
              </w:rPr>
            </w:pPr>
            <w:r>
              <w:rPr>
                <w:rFonts w:ascii="Arial" w:cs="Arial" w:eastAsia="Arial" w:hAnsi="Arial"/>
                <w:sz w:val="14"/>
                <w:szCs w:val="14"/>
                <w:b w:val="1"/>
                <w:bCs w:val="1"/>
                <w:color w:val="auto"/>
                <w:w w:val="99"/>
              </w:rPr>
              <w:t>September 30, 2015</w:t>
            </w:r>
          </w:p>
        </w:tc>
        <w:tc>
          <w:tcPr>
            <w:tcW w:w="120" w:type="dxa"/>
            <w:vAlign w:val="bottom"/>
          </w:tcPr>
          <w:p>
            <w:pPr>
              <w:spacing w:after="0"/>
              <w:rPr>
                <w:sz w:val="16"/>
                <w:szCs w:val="16"/>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 2015</w:t>
            </w:r>
          </w:p>
        </w:tc>
        <w:tc>
          <w:tcPr>
            <w:tcW w:w="2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160" w:type="dxa"/>
            <w:vAlign w:val="bottom"/>
            <w:tcBorders>
              <w:top w:val="single" w:sz="8" w:color="auto"/>
            </w:tcBorders>
            <w:gridSpan w:val="3"/>
          </w:tcPr>
          <w:p>
            <w:pPr>
              <w:jc w:val="right"/>
              <w:ind w:right="800"/>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Mortgages payable (1)</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Secured fixed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San Antonio Center (2)</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18,161</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2016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Plaza El Segundo</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175,000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5, 2017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Grove at Shrewsbury (East)</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43,802</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1, 2017</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The Grove at Shrewsbury (West)</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11,080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March 1, 2018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Rollingwood Apartments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24,050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21,823</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May 1, 2019</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29th Place</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4,801</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5.91%</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31, 2021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The AVENUE at White Marsh</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52,705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52,705</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 2022</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Montrose Crossing</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80,000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74,720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10, 2022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Brook 35</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July 1, 2029</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Chelsea</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Acquired</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6,920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15, 2031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Subtotal</w:t>
            </w: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420,512</w:t>
            </w:r>
          </w:p>
        </w:tc>
        <w:tc>
          <w:tcPr>
            <w:tcW w:w="12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920"/>
              <w:spacing w:after="0"/>
              <w:rPr>
                <w:sz w:val="20"/>
                <w:szCs w:val="20"/>
                <w:color w:val="auto"/>
              </w:rPr>
            </w:pPr>
            <w:r>
              <w:rPr>
                <w:rFonts w:ascii="Arial" w:cs="Arial" w:eastAsia="Arial" w:hAnsi="Arial"/>
                <w:sz w:val="16"/>
                <w:szCs w:val="16"/>
                <w:color w:val="auto"/>
              </w:rPr>
              <w:t>Net unamortized premium</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6,359</w:t>
            </w: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mortgages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426,871</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Notes payable</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Term loan (3)</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275,000</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+ 0.90%</w:t>
            </w:r>
          </w:p>
        </w:tc>
        <w:tc>
          <w:tcPr>
            <w:tcW w:w="2160" w:type="dxa"/>
            <w:vAlign w:val="bottom"/>
          </w:tcPr>
          <w:p>
            <w:pPr>
              <w:jc w:val="right"/>
              <w:spacing w:after="0"/>
              <w:rPr>
                <w:sz w:val="20"/>
                <w:szCs w:val="20"/>
                <w:color w:val="auto"/>
              </w:rPr>
            </w:pPr>
            <w:r>
              <w:rPr>
                <w:rFonts w:ascii="Arial" w:cs="Arial" w:eastAsia="Arial" w:hAnsi="Arial"/>
                <w:sz w:val="16"/>
                <w:szCs w:val="16"/>
                <w:color w:val="auto"/>
              </w:rPr>
              <w:t>November 21, 2018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Various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7,239</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5,807</w:t>
            </w:r>
          </w:p>
        </w:tc>
        <w:tc>
          <w:tcPr>
            <w:tcW w:w="188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Various through 2028</w:t>
            </w:r>
          </w:p>
        </w:tc>
        <w:tc>
          <w:tcPr>
            <w:tcW w:w="0" w:type="dxa"/>
            <w:vAlign w:val="bottom"/>
          </w:tcPr>
          <w:p>
            <w:pPr>
              <w:spacing w:after="0"/>
              <w:rPr>
                <w:sz w:val="1"/>
                <w:szCs w:val="1"/>
                <w:color w:val="auto"/>
              </w:rPr>
            </w:pPr>
          </w:p>
        </w:tc>
      </w:tr>
      <w:tr>
        <w:trPr>
          <w:trHeight w:val="224"/>
        </w:trPr>
        <w:tc>
          <w:tcPr>
            <w:tcW w:w="4120" w:type="dxa"/>
            <w:vAlign w:val="bottom"/>
          </w:tcPr>
          <w:p>
            <w:pPr>
              <w:ind w:left="180"/>
              <w:spacing w:after="0"/>
              <w:rPr>
                <w:sz w:val="20"/>
                <w:szCs w:val="20"/>
                <w:color w:val="auto"/>
              </w:rPr>
            </w:pPr>
            <w:r>
              <w:rPr>
                <w:rFonts w:ascii="Arial" w:cs="Arial" w:eastAsia="Arial" w:hAnsi="Arial"/>
                <w:sz w:val="16"/>
                <w:szCs w:val="16"/>
                <w:i w:val="1"/>
                <w:iCs w:val="1"/>
                <w:color w:val="auto"/>
              </w:rPr>
              <w:t>Unsecured variable rate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Escondido (municipal bonds) (4)</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9,400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9,400</w:t>
            </w:r>
          </w:p>
        </w:tc>
        <w:tc>
          <w:tcPr>
            <w:tcW w:w="1880" w:type="dxa"/>
            <w:vAlign w:val="bottom"/>
            <w:tcBorders>
              <w:bottom w:val="single" w:sz="8" w:color="CCEEFF"/>
            </w:tcBorders>
            <w:gridSpan w:val="2"/>
            <w:shd w:val="clear" w:color="auto" w:fill="CCEEFF"/>
          </w:tcPr>
          <w:p>
            <w:pPr>
              <w:jc w:val="right"/>
              <w:ind w:right="103"/>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October 1, 2016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Revolving credit facility (5)</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LIBOR + 0.90%</w:t>
            </w:r>
          </w:p>
        </w:tc>
        <w:tc>
          <w:tcPr>
            <w:tcW w:w="2160" w:type="dxa"/>
            <w:vAlign w:val="bottom"/>
          </w:tcPr>
          <w:p>
            <w:pPr>
              <w:jc w:val="right"/>
              <w:spacing w:after="0"/>
              <w:rPr>
                <w:sz w:val="20"/>
                <w:szCs w:val="20"/>
                <w:color w:val="auto"/>
              </w:rPr>
            </w:pPr>
            <w:r>
              <w:rPr>
                <w:rFonts w:ascii="Arial" w:cs="Arial" w:eastAsia="Arial" w:hAnsi="Arial"/>
                <w:sz w:val="16"/>
                <w:szCs w:val="16"/>
                <w:color w:val="auto"/>
              </w:rPr>
              <w:t>April 21, 2017</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notes payable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290,207</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Senior notes and debentures</w:t>
            </w: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Unsecured fixed rate</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5.90%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150,000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150,000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5.90%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April 1, 2020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2.55%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January 15, 2021</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3.00%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250,000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 2022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2.75%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275,000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June 1, 2023</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3.95%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300,000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January 15, 2024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7.48% debentures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August 15, 2026</w:t>
            </w:r>
          </w:p>
        </w:tc>
        <w:tc>
          <w:tcPr>
            <w:tcW w:w="0" w:type="dxa"/>
            <w:vAlign w:val="bottom"/>
          </w:tcPr>
          <w:p>
            <w:pPr>
              <w:spacing w:after="0"/>
              <w:rPr>
                <w:sz w:val="1"/>
                <w:szCs w:val="1"/>
                <w:color w:val="auto"/>
              </w:rPr>
            </w:pPr>
          </w:p>
        </w:tc>
      </w:tr>
      <w:tr>
        <w:trPr>
          <w:trHeight w:val="237"/>
        </w:trPr>
        <w:tc>
          <w:tcPr>
            <w:tcW w:w="4120" w:type="dxa"/>
            <w:vAlign w:val="bottom"/>
          </w:tcPr>
          <w:p>
            <w:pPr>
              <w:ind w:left="380"/>
              <w:spacing w:after="0"/>
              <w:rPr>
                <w:sz w:val="20"/>
                <w:szCs w:val="20"/>
                <w:color w:val="auto"/>
              </w:rPr>
            </w:pPr>
            <w:r>
              <w:rPr>
                <w:rFonts w:ascii="Arial" w:cs="Arial" w:eastAsia="Arial" w:hAnsi="Arial"/>
                <w:sz w:val="16"/>
                <w:szCs w:val="16"/>
                <w:color w:val="auto"/>
              </w:rPr>
              <w:t>6.82% medium term notes</w:t>
            </w:r>
          </w:p>
        </w:tc>
        <w:tc>
          <w:tcPr>
            <w:tcW w:w="1480" w:type="dxa"/>
            <w:vAlign w:val="bottom"/>
          </w:tcPr>
          <w:p>
            <w:pPr>
              <w:jc w:val="right"/>
              <w:ind w:right="140"/>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40,000</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August 1, 2027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4.50% notes</w:t>
            </w:r>
          </w:p>
        </w:tc>
        <w:tc>
          <w:tcPr>
            <w:tcW w:w="14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450,000</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450,000</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December 1, 2044</w:t>
            </w: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Subtotal</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1,744,200</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unamortized discount</w:t>
            </w:r>
          </w:p>
        </w:tc>
        <w:tc>
          <w:tcPr>
            <w:tcW w:w="1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720"/>
              <w:spacing w:after="0"/>
              <w:rPr>
                <w:sz w:val="20"/>
                <w:szCs w:val="20"/>
                <w:color w:val="auto"/>
              </w:rPr>
            </w:pPr>
            <w:r>
              <w:rPr>
                <w:rFonts w:ascii="Arial" w:cs="Arial" w:eastAsia="Arial" w:hAnsi="Arial"/>
                <w:sz w:val="16"/>
                <w:szCs w:val="16"/>
                <w:color w:val="auto"/>
              </w:rPr>
              <w:t>Total senior notes and debentures</w:t>
            </w:r>
          </w:p>
        </w:tc>
        <w:tc>
          <w:tcPr>
            <w:tcW w:w="1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1,744,120</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Capital lease obligations</w:t>
            </w: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120" w:type="dxa"/>
            <w:vAlign w:val="bottom"/>
            <w:shd w:val="clear" w:color="auto" w:fill="CCEEFF"/>
          </w:tcPr>
          <w:p>
            <w:pPr>
              <w:spacing w:after="0"/>
              <w:rPr>
                <w:sz w:val="5"/>
                <w:szCs w:val="5"/>
                <w:color w:val="auto"/>
              </w:rPr>
            </w:pPr>
          </w:p>
        </w:tc>
        <w:tc>
          <w:tcPr>
            <w:tcW w:w="1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600"/>
              <w:spacing w:after="0"/>
              <w:rPr>
                <w:sz w:val="20"/>
                <w:szCs w:val="20"/>
                <w:color w:val="auto"/>
              </w:rPr>
            </w:pPr>
            <w:r>
              <w:rPr>
                <w:rFonts w:ascii="Arial" w:cs="Arial" w:eastAsia="Arial" w:hAnsi="Arial"/>
                <w:sz w:val="16"/>
                <w:szCs w:val="16"/>
                <w:color w:val="auto"/>
              </w:rPr>
              <w:t>Various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71,627</w:t>
            </w:r>
          </w:p>
        </w:tc>
        <w:tc>
          <w:tcPr>
            <w:tcW w:w="120" w:type="dxa"/>
            <w:vAlign w:val="bottom"/>
          </w:tcPr>
          <w:p>
            <w:pPr>
              <w:spacing w:after="0"/>
              <w:rPr>
                <w:sz w:val="20"/>
                <w:szCs w:val="20"/>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Various</w:t>
            </w:r>
          </w:p>
        </w:tc>
        <w:tc>
          <w:tcPr>
            <w:tcW w:w="2160" w:type="dxa"/>
            <w:vAlign w:val="bottom"/>
          </w:tcPr>
          <w:p>
            <w:pPr>
              <w:jc w:val="right"/>
              <w:spacing w:after="0"/>
              <w:rPr>
                <w:sz w:val="20"/>
                <w:szCs w:val="20"/>
                <w:color w:val="auto"/>
              </w:rPr>
            </w:pPr>
            <w:r>
              <w:rPr>
                <w:rFonts w:ascii="Arial" w:cs="Arial" w:eastAsia="Arial" w:hAnsi="Arial"/>
                <w:sz w:val="16"/>
                <w:szCs w:val="16"/>
                <w:color w:val="auto"/>
              </w:rPr>
              <w:t>Various through 2106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and capital lease obligations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2,532,825</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right="24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Mortgages payable do not include our 30% share ($10.3 million) of the $34.4 million debt of the partnership with a discretionary fund created and advised by Clarion.</w:t>
      </w:r>
    </w:p>
    <w:p>
      <w:pPr>
        <w:spacing w:after="0" w:line="8"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November 2, 2015, this mortgage loan was repaid at par.</w:t>
      </w:r>
    </w:p>
    <w:p>
      <w:pPr>
        <w:spacing w:after="0" w:line="63" w:lineRule="exact"/>
        <w:rPr>
          <w:rFonts w:ascii="Arial" w:cs="Arial" w:eastAsia="Arial" w:hAnsi="Arial"/>
          <w:sz w:val="18"/>
          <w:szCs w:val="18"/>
          <w:color w:val="auto"/>
        </w:rPr>
      </w:pPr>
    </w:p>
    <w:p>
      <w:pPr>
        <w:ind w:left="660" w:right="1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entered into two interest rate swap agreements that fix the LIBOR portion of the interest rate on the term loan at 1.72%. The spread on the term loan is 90 basis points resulting in a fixed rate of 2.62%.</w:t>
      </w:r>
    </w:p>
    <w:p>
      <w:pPr>
        <w:spacing w:after="0" w:line="8" w:lineRule="exact"/>
        <w:rPr>
          <w:rFonts w:ascii="Arial" w:cs="Arial" w:eastAsia="Arial" w:hAnsi="Arial"/>
          <w:sz w:val="18"/>
          <w:szCs w:val="18"/>
          <w:color w:val="auto"/>
        </w:rPr>
      </w:pPr>
    </w:p>
    <w:p>
      <w:pPr>
        <w:ind w:left="660" w:right="440" w:hanging="652"/>
        <w:spacing w:after="0" w:line="317"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ind w:left="660" w:right="42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maximum amount drawn under our revolving credit facility during the nine months ended September 30, 2015 was $324.0 million, and the weighted average interest rate on borrowings under our revolving credit facility, before amortization of debt fees, was 1.09%.</w:t>
      </w:r>
    </w:p>
    <w:p>
      <w:pPr>
        <w:sectPr>
          <w:pgSz w:w="11900" w:h="16838" w:orient="portrait"/>
          <w:cols w:equalWidth="0" w:num="1">
            <w:col w:w="11420"/>
          </w:cols>
          <w:pgMar w:left="240" w:top="126" w:right="239" w:bottom="258"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6" w:right="239" w:bottom="258"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Our revolving credit facility, term loan and other debt agreements include financial and other covenants that may limit our operating activities in the future. As of September 30, 2015, we were in compliance with all of the financial and other covenants. If we were to breach any of our debt covenants and did not cure the breach within an applicable cure period, our lenders could require us to repay the debt immediately and, if the debt is secured, could immediately begin proceedings to take possession of the property securing the loan. Many of our debt arrangements, including our public notes, term loan and our revolving credit facility, are cross-defaulted, which means that the lenders under those debt arrangements can put us in default and require immediate repayment of their debt if we breach and fail to cure a default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scheduled principal repayments as of September 30, 2015:</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Unsecured</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Secured</w:t>
            </w:r>
          </w:p>
        </w:tc>
        <w:tc>
          <w:tcPr>
            <w:tcW w:w="4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Capital Lease</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19,042</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19,110</w:t>
            </w: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9,806</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3,774</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13,610</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w:t>
            </w:r>
          </w:p>
        </w:tc>
        <w:tc>
          <w:tcPr>
            <w:tcW w:w="4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(2)</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220,438</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220,923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275,500</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13,326</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288,863</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w:t>
            </w:r>
          </w:p>
        </w:tc>
        <w:tc>
          <w:tcPr>
            <w:tcW w:w="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22,731</w:t>
            </w:r>
          </w:p>
        </w:tc>
        <w:tc>
          <w:tcPr>
            <w:tcW w:w="4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23,326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1,748,040</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141,201</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71,473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1,960,714</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2,034,407</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420,512</w:t>
            </w:r>
          </w:p>
        </w:tc>
        <w:tc>
          <w:tcPr>
            <w:tcW w:w="46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71,627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2,526,546</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2015 maturities include a $18.1 million mortgage loan, which was paid off at par on November 2, 2015, prior to its original maturity date.</w:t>
      </w:r>
    </w:p>
    <w:p>
      <w:pPr>
        <w:spacing w:after="0" w:line="74" w:lineRule="exact"/>
        <w:rPr>
          <w:rFonts w:ascii="Arial" w:cs="Arial" w:eastAsia="Arial" w:hAnsi="Arial"/>
          <w:sz w:val="17"/>
          <w:szCs w:val="17"/>
          <w:color w:val="auto"/>
        </w:rPr>
      </w:pPr>
    </w:p>
    <w:p>
      <w:pPr>
        <w:ind w:left="660" w:right="38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$600.0 million revolving credit facility matures on April 21, 2017, subject to a one-year extension at our option. As of September 30, 2015, there was no balance outstanding under this credit facility.</w:t>
      </w:r>
    </w:p>
    <w:p>
      <w:pPr>
        <w:spacing w:after="0" w:line="8" w:lineRule="exact"/>
        <w:rPr>
          <w:rFonts w:ascii="Arial" w:cs="Arial" w:eastAsia="Arial" w:hAnsi="Arial"/>
          <w:sz w:val="18"/>
          <w:szCs w:val="18"/>
          <w:color w:val="auto"/>
        </w:rPr>
      </w:pPr>
    </w:p>
    <w:p>
      <w:pPr>
        <w:ind w:left="660" w:right="20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on certain mortgage loans and senior notes as of September 30,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may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and do not enter into derivative instruments for speculative purposes.</w:t>
      </w:r>
    </w:p>
    <w:p>
      <w:pPr>
        <w:spacing w:after="0" w:line="12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interest rate swaps associated with our cash flow hedges are recorded at fair value on a recurring basis. We assess effectiveness of our cash flow hedges both at inception and on an ongoing basis. The effective portion of changes in fair value of the interest rate swaps associated with our cash flow hedges is recorded in other comprehensive income/loss which is included in accumulated other comprehensive loss on our consolidated balance sheet and our consolidated statement of shareholders' equity. Our cash flow hedges become ineffective if critical terms of the hedging instrument and the debt instrument do not perfectly match such as notional amounts, settlement dates, reset dates, calculation period and LIBOR rate. In addition, we evaluate the default risk of the counterparty by monitoring the credit-worthiness of the counterparty which includes reviewing debt ratings and financial performance. However, management does not anticipate non-performance by the counterparty. If a cash flow hedge is deemed ineffective, the ineffective portion of changes in fair value of the interest rate swaps associated with our cash flow hedges is recognized in earnings in the period affected.</w:t>
      </w:r>
    </w:p>
    <w:p>
      <w:pPr>
        <w:spacing w:after="0" w:line="11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30, 2015, we are party to two interest rate swap agreements that effectively fixed the rate on the term loan at 2.62%. Both swaps were designated and qualified as cash flow hedges and were recorded at fair value. Hedge ineffectiveness has not impacted earnings as of September 30, 2015, and we do not anticipate it will have a significant effect in the future.</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6" w:right="25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9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taxable income to our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U.S. GAAP, plus real estate related depreciation and amortization and excluding extraordinary items,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26" w:lineRule="exact"/>
        <w:rPr>
          <w:sz w:val="20"/>
          <w:szCs w:val="20"/>
          <w:color w:val="auto"/>
        </w:rPr>
      </w:pPr>
    </w:p>
    <w:p>
      <w:pPr>
        <w:ind w:left="1700" w:right="460" w:hanging="801"/>
        <w:spacing w:after="0" w:line="277" w:lineRule="auto"/>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8" w:lineRule="exact"/>
        <w:rPr>
          <w:rFonts w:ascii="Arial" w:cs="Arial" w:eastAsia="Arial" w:hAnsi="Arial"/>
          <w:sz w:val="18"/>
          <w:szCs w:val="18"/>
          <w:color w:val="auto"/>
        </w:rPr>
      </w:pPr>
    </w:p>
    <w:p>
      <w:pPr>
        <w:ind w:left="1700" w:hanging="801"/>
        <w:spacing w:after="0"/>
        <w:tabs>
          <w:tab w:leader="none" w:pos="1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is not necessarily indicative of cash flow as a measure of liquidity or ability to fund cash needs, including the payment of dividends.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at least 90% of our taxable income to remain qualified as a REIT. Therefore, a significant increase in FFO will generally require an increase in distributions to shareholders although not necessarily on a proportionate basis.</w:t>
      </w:r>
    </w:p>
    <w:p>
      <w:pPr>
        <w:spacing w:after="0" w:line="133"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In addition to FFO, we have also included FFO excluding the "early extinguishment of debt" charge in the nine months ended September 30, 2015 which relates to the early redemption of our 6.20% senior notes. We believe the unusual nature of this charge, being a make-whole payment on the principal and interest of the redeemed notes, is worthy of separate evaluation and consequently have provided both relevant metrics.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6"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reconciliation of net income to FFO available for common shareholders and FFO available for common shareholders excluding early extinguishment of debt is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65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(In thousands, except per share data)</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148,426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135,010</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(5,637)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38,251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37,964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112,595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114,012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94,739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84,183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255,174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249,157</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Dividends on preferred shares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from operations available for common shareholders</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95,157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84,467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256,389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249,852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Early extinguishment of debt, net of allocation to unvested shares</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19,006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Funds from operations available for common shareholders excluding early</w:t>
            </w:r>
          </w:p>
        </w:tc>
        <w:tc>
          <w:tcPr>
            <w:tcW w:w="28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95,157</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84,467</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275,395</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249,852</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extinguishment of debt</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8"/>
                <w:szCs w:val="18"/>
                <w:color w:val="auto"/>
              </w:rPr>
              <w:t>Weighted average number of common shares, diluted (1)</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70,115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68,649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69,761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68,179</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280" w:type="dxa"/>
            <w:vAlign w:val="bottom"/>
          </w:tcPr>
          <w:p>
            <w:pPr>
              <w:jc w:val="right"/>
              <w:ind w:right="7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40"/>
              <w:spacing w:after="0"/>
              <w:rPr>
                <w:sz w:val="20"/>
                <w:szCs w:val="20"/>
                <w:color w:val="auto"/>
              </w:rPr>
            </w:pPr>
            <w:r>
              <w:rPr>
                <w:rFonts w:ascii="Arial" w:cs="Arial" w:eastAsia="Arial" w:hAnsi="Arial"/>
                <w:sz w:val="18"/>
                <w:szCs w:val="18"/>
                <w:color w:val="auto"/>
              </w:rPr>
              <w:t>Funds from operations available for common shareholders excluding early</w:t>
            </w:r>
          </w:p>
        </w:tc>
        <w:tc>
          <w:tcPr>
            <w:tcW w:w="280" w:type="dxa"/>
            <w:vAlign w:val="bottom"/>
            <w:vMerge w:val="restart"/>
          </w:tcPr>
          <w:p>
            <w:pPr>
              <w:jc w:val="right"/>
              <w:ind w:right="73"/>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2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1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extinguishment of debt, per diluted share</w:t>
            </w:r>
          </w:p>
        </w:tc>
        <w:tc>
          <w:tcPr>
            <w:tcW w:w="28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8890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-130175</wp:posOffset>
            </wp:positionV>
            <wp:extent cx="3112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43" w:lineRule="exact"/>
        <w:rPr>
          <w:sz w:val="20"/>
          <w:szCs w:val="20"/>
          <w:color w:val="auto"/>
        </w:rPr>
      </w:pPr>
    </w:p>
    <w:p>
      <w:pPr>
        <w:jc w:val="both"/>
        <w:ind w:left="660" w:right="60" w:hanging="652"/>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for the computation of diluted EPS for the periods presented.</w:t>
      </w:r>
    </w:p>
    <w:p>
      <w:pPr>
        <w:spacing w:after="0" w:line="200" w:lineRule="exact"/>
        <w:rPr>
          <w:sz w:val="20"/>
          <w:szCs w:val="20"/>
          <w:color w:val="auto"/>
        </w:rPr>
      </w:pP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9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As of September 30, 2015, we were party to two interest rate swap agreements that effectively fixed the rate on the term loan at 2.62%.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6"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majority of our outstanding debt obligations (maturing at various times through 2044 or, with respect to capital lease obligations, through 2106) have fixed interest rates which limit the risk of fluctuating interest rates. However, interest rate fluctuations may affect the fair value of our fixed rate debt instruments. At September 30, 2015, we had $2.5 billion of fixed-rate debt outstanding, including our $275.0 million term loan as the rate is effectively fixed by two interest rate swap agreements; we also had $71.6 million of capital lease obligations. If market interest rates used to calculate the fair value on our fixed-rate debt instruments at September 30, 2015 had been 1.0% higher, the fair value of those debt instruments on that date would have decreased by approximately $158.0 million. If market interest rates used to calculate the fair value on our fixed-rate debt instruments at September 30, 2015 had been 1.0% lower, the fair value of those debt instruments on that date would have increased by approximately $180.3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Generally, we believe that our primary interest rate risk is due to fluctuations in interest rates on our variable rate debt. At September 30, 2015, we had $9.4 million of variable rate debt outstanding which consisted of municipal bonds. Our revolving credit facility had no outstanding balance as of September 30, 2015. Based upon this amount of variable rate debt and the specific terms, if market interest rates increased 1.0%, our annual interest expense would increase by approximately $0.1 million, and our net income and cash flows for the year would decrease by approximately $0.1 million. Conversely, if market interest rates decreased 1.0%, our annual interest expense would decrease by less than $0.1 million with a corresponding increase in our net income and cash flows for the year.</w:t>
      </w:r>
    </w:p>
    <w:p>
      <w:pPr>
        <w:spacing w:after="0" w:line="200" w:lineRule="exact"/>
        <w:rPr>
          <w:sz w:val="20"/>
          <w:szCs w:val="20"/>
          <w:color w:val="auto"/>
        </w:rPr>
      </w:pPr>
    </w:p>
    <w:p>
      <w:pPr>
        <w:spacing w:after="0" w:line="23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September 30, 2015. Based on this evaluation, our management, including our Chief Executive Officer and Chief Financial Officer, concluded that our disclosure controls and procedures were effective as of September 30, 2015 to provide reasonable assurance that information required to be disclosed in our reports filed or submitted under the Securities Exchange Act of 1934 is recorded, processed, summarized and reported within the time periods specified in the rules and forms of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quarterly period covered by this report that materially affected, or is reasonably likely to materially affect, our internal control over financial reporting.</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2014 filed with the SEC on February 10, 2015. These factors include, but are not limited to, the following:</w:t>
      </w:r>
    </w:p>
    <w:p>
      <w:pPr>
        <w:spacing w:after="0" w:line="8" w:lineRule="exact"/>
        <w:rPr>
          <w:sz w:val="20"/>
          <w:szCs w:val="20"/>
          <w:color w:val="auto"/>
        </w:rPr>
      </w:pPr>
    </w:p>
    <w:p>
      <w:pPr>
        <w:ind w:left="1700" w:right="60" w:hanging="801"/>
        <w:spacing w:after="0" w:line="277" w:lineRule="auto"/>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risks that our tenants will not pay rent, may vacate early or may file for bankruptcy or that we may be unable to renew leases or re-let space at favorable rents as leases expire;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6" w:right="27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302" w:lineRule="exact"/>
        <w:rPr>
          <w:sz w:val="20"/>
          <w:szCs w:val="20"/>
          <w:color w:val="auto"/>
        </w:rPr>
      </w:pPr>
    </w:p>
    <w:p>
      <w:pPr>
        <w:ind w:left="1700" w:hanging="801"/>
        <w:spacing w:after="0" w:line="264"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9" w:lineRule="exact"/>
        <w:rPr>
          <w:rFonts w:ascii="Arial" w:cs="Arial" w:eastAsia="Arial" w:hAnsi="Arial"/>
          <w:sz w:val="18"/>
          <w:szCs w:val="18"/>
          <w:color w:val="auto"/>
        </w:rPr>
      </w:pPr>
    </w:p>
    <w:p>
      <w:pPr>
        <w:ind w:left="1700" w:right="220" w:hanging="801"/>
        <w:spacing w:after="0" w:line="264"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9" w:lineRule="exact"/>
        <w:rPr>
          <w:rFonts w:ascii="Arial" w:cs="Arial" w:eastAsia="Arial" w:hAnsi="Arial"/>
          <w:sz w:val="18"/>
          <w:szCs w:val="18"/>
          <w:color w:val="auto"/>
        </w:rPr>
      </w:pPr>
    </w:p>
    <w:p>
      <w:pPr>
        <w:ind w:left="1700" w:hanging="801"/>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63" w:lineRule="exact"/>
        <w:rPr>
          <w:rFonts w:ascii="Arial" w:cs="Arial" w:eastAsia="Arial" w:hAnsi="Arial"/>
          <w:sz w:val="18"/>
          <w:szCs w:val="18"/>
          <w:color w:val="auto"/>
        </w:rPr>
      </w:pPr>
    </w:p>
    <w:p>
      <w:pPr>
        <w:ind w:left="2760" w:right="500" w:hanging="807"/>
        <w:spacing w:after="0" w:line="277" w:lineRule="auto"/>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63" w:lineRule="exact"/>
        <w:rPr>
          <w:rFonts w:ascii="Arial" w:cs="Arial" w:eastAsia="Arial" w:hAnsi="Arial"/>
          <w:sz w:val="18"/>
          <w:szCs w:val="18"/>
          <w:color w:val="auto"/>
        </w:rPr>
      </w:pPr>
    </w:p>
    <w:p>
      <w:pPr>
        <w:ind w:left="2760" w:right="200" w:hanging="807"/>
        <w:spacing w:after="0" w:line="277" w:lineRule="auto"/>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that costs associated with the periodic maintenance and repair or renovation of space, insurance and other operations may increase,</w:t>
      </w:r>
    </w:p>
    <w:p>
      <w:pPr>
        <w:spacing w:after="0" w:line="8" w:lineRule="exact"/>
        <w:rPr>
          <w:rFonts w:ascii="Arial" w:cs="Arial" w:eastAsia="Arial" w:hAnsi="Arial"/>
          <w:sz w:val="18"/>
          <w:szCs w:val="18"/>
          <w:color w:val="auto"/>
        </w:rPr>
      </w:pPr>
    </w:p>
    <w:p>
      <w:pPr>
        <w:ind w:left="2760" w:hanging="807"/>
        <w:spacing w:after="0"/>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63" w:lineRule="exact"/>
        <w:rPr>
          <w:rFonts w:ascii="Arial" w:cs="Arial" w:eastAsia="Arial" w:hAnsi="Arial"/>
          <w:sz w:val="18"/>
          <w:szCs w:val="18"/>
          <w:color w:val="auto"/>
        </w:rPr>
      </w:pPr>
    </w:p>
    <w:p>
      <w:pPr>
        <w:ind w:left="2760" w:hanging="807"/>
        <w:spacing w:after="0"/>
        <w:tabs>
          <w:tab w:leader="none" w:pos="27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63" w:lineRule="exact"/>
        <w:rPr>
          <w:rFonts w:ascii="Arial" w:cs="Arial" w:eastAsia="Arial" w:hAnsi="Arial"/>
          <w:sz w:val="18"/>
          <w:szCs w:val="18"/>
          <w:color w:val="auto"/>
        </w:rPr>
      </w:pPr>
    </w:p>
    <w:p>
      <w:pPr>
        <w:ind w:left="1700" w:hanging="801"/>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63" w:lineRule="exact"/>
        <w:rPr>
          <w:rFonts w:ascii="Arial" w:cs="Arial" w:eastAsia="Arial" w:hAnsi="Arial"/>
          <w:sz w:val="18"/>
          <w:szCs w:val="18"/>
          <w:color w:val="auto"/>
        </w:rPr>
      </w:pPr>
    </w:p>
    <w:p>
      <w:pPr>
        <w:ind w:left="1700" w:right="220" w:hanging="801"/>
        <w:spacing w:after="0" w:line="286" w:lineRule="auto"/>
        <w:tabs>
          <w:tab w:leader="none" w:pos="1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 w:lineRule="exact"/>
        <w:rPr>
          <w:rFonts w:ascii="Arial" w:cs="Arial" w:eastAsia="Arial" w:hAnsi="Arial"/>
          <w:sz w:val="17"/>
          <w:szCs w:val="17"/>
          <w:color w:val="auto"/>
        </w:rPr>
      </w:pPr>
    </w:p>
    <w:p>
      <w:pPr>
        <w:ind w:left="1700" w:right="40" w:hanging="801"/>
        <w:spacing w:after="0" w:line="264" w:lineRule="auto"/>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26" w:right="29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0"/>
        <w:spacing w:after="0"/>
        <w:tabs>
          <w:tab w:leader="none" w:pos="7640" w:val="left"/>
          <w:tab w:leader="none" w:pos="8000" w:val="left"/>
        </w:tabs>
        <w:rPr>
          <w:sz w:val="20"/>
          <w:szCs w:val="20"/>
          <w:color w:val="auto"/>
        </w:rPr>
      </w:pPr>
      <w:r>
        <w:rPr>
          <w:rFonts w:ascii="Arial" w:cs="Arial" w:eastAsia="Arial" w:hAnsi="Arial"/>
          <w:sz w:val="18"/>
          <w:szCs w:val="18"/>
          <w:color w:val="auto"/>
        </w:rPr>
        <w:t>November 4, 2015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Executive Officer)</w:t>
      </w:r>
    </w:p>
    <w:p>
      <w:pPr>
        <w:spacing w:after="0" w:line="189" w:lineRule="exact"/>
        <w:rPr>
          <w:sz w:val="20"/>
          <w:szCs w:val="20"/>
          <w:color w:val="auto"/>
        </w:rPr>
      </w:pPr>
    </w:p>
    <w:p>
      <w:pPr>
        <w:ind w:left="40"/>
        <w:spacing w:after="0"/>
        <w:tabs>
          <w:tab w:leader="none" w:pos="7640" w:val="left"/>
          <w:tab w:leader="none" w:pos="7980" w:val="left"/>
        </w:tabs>
        <w:rPr>
          <w:sz w:val="20"/>
          <w:szCs w:val="20"/>
          <w:color w:val="auto"/>
        </w:rPr>
      </w:pPr>
      <w:r>
        <w:rPr>
          <w:rFonts w:ascii="Arial" w:cs="Arial" w:eastAsia="Arial" w:hAnsi="Arial"/>
          <w:sz w:val="18"/>
          <w:szCs w:val="18"/>
          <w:color w:val="auto"/>
        </w:rPr>
        <w:t>November 4, 2015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Executive Vice President -</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63" w:lineRule="exact"/>
        <w:rPr>
          <w:sz w:val="20"/>
          <w:szCs w:val="20"/>
          <w:color w:val="auto"/>
        </w:rPr>
      </w:pPr>
    </w:p>
    <w:p>
      <w:pPr>
        <w:jc w:val="center"/>
        <w:ind w:left="58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126" w:right="37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of Federal Realty Investment Trust dated May 6, 2004, as corrected by the Certificate of Correction of Articles of Amendment of Declaration</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of 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Realty Investment Trust dated May 6, 2009 (previously filed as Exhibit 3.1 to the Trust’s Registration Statement on Form S-3 (File No. 333-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160009)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February 17, 2006 and May 6, 2009 (previously filed as Exhibit 3.2 to the Trust’s Registration Statement on Form S-3 (File No. 333-160009)</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December 31, 1999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Exhibit 4.1 to the Trust’s Current Report on Form 8-K filed on March 13, 2007,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Indenture dated December 1, 1993 related to the Trust’s 7.48% Debentures due August 15, 2026; and 6.82% Medium Term Notes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August 1, 2027; (previously filed as Exhibit 4(a) to the Trust’s Registration Statement on Form S-3 (File No. 33-51029), and amended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S-3 (File No. 33-63687), filed on December 13, 1993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89"/>
              </w:rPr>
              <w:t>Indenture dated September 1, 1998 related to the Trust’s 5.65% Notes due 2016; 6.20% Notes due 2017; 5.95% Notes due 2014 and the 5.90%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Notes due 2020; 3.00% Notes due 2022; 2.75% Notes due 2023; 3.95% Notes due 2024; 4.50% Notes due 2044; and 2.55% Notes due 2021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(previously filed as Exhibit 4(a) to the Trust’s Registration Statement on Form S-3 (File No. 333-63619) filed on September 17, 1998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Severance Agreement between the Trust and Donald C. Wood dated February 22, 1999 (previously filed as a portion of Exhibit 10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Trust’s Quarterly Report on Form 10-Q for the quarter ended March 31, 1999 (File No. 1-07533) (the “1999 1Q Form 10-Q”)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Executive Agreement between Federal Realty Investment Trust and Donald C. Wood dated February 22, 1999 (previously filed as a portion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 to the 1999 1Q 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Amendment to Executive Agreement between Federal Realty Investment Trust and Donald C. Wood dated February 16, 2005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as Exhibit 10.12 to the Trust’s Annual Report on Form 10-K for the year ended December 31, 2004 (File No. 1-07533) (the “2004 Form 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Health Coverage Continuation Agreement between Federal Realty Investment Trust and Donald C. Wood dated February 16, 2005 (previously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filed as Exhibit 10.26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Dawn M. Becker dated April 19, 2000 (previously filed as Exhibit 10.26 to the Trust’s 2005 2Q</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Form 10-Q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Amendment to Severance Agreement between the Trust and Dawn M. Becker dated February 16, 2005 (previously filed as Exhibit 10.27 to</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2003 Long-Term Incentive Award Program for shares issued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7"/>
              </w:rPr>
              <w:t>out of 2001 Long-Term Incentive Plan (previously filed as Exhibit 10.28 to the 2004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Form of Restricted Share Award Agreement for long term vesting and retention awards for shares issued out of the 2010 Plan (previously filed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as Exhibit 10.35 to the Trust's Annual Report on Form 10-K for the year ended December 31, 2010 (File No. 1-07533) (the "2010 Form 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2003 Long-Term Incentive Award Program for shares issued out of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2001 Long-Term Incentive Plan (previously filed as Exhibit 10.32 to the 2005 Form 10-K and incorporated herein by reference)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6" w:right="2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jc w:val="right"/>
              <w:ind w:right="372"/>
              <w:spacing w:after="0"/>
              <w:rPr>
                <w:sz w:val="20"/>
                <w:szCs w:val="20"/>
                <w:color w:val="auto"/>
              </w:rPr>
            </w:pPr>
            <w:r>
              <w:rPr>
                <w:rFonts w:ascii="Arial" w:cs="Arial" w:eastAsia="Arial" w:hAnsi="Arial"/>
                <w:sz w:val="18"/>
                <w:szCs w:val="18"/>
                <w:color w:val="auto"/>
                <w:w w:val="93"/>
              </w:rPr>
              <w:t>10.11</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Amended and Restated 2001 Long-Term Incentive Plan (previously filed as Exhibit 10.34 to the Trust’s Quarterly Report on Form 10-Q for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the quarter ended June 30, 2007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Severance Agreement between the Trust and Donald C. Wood dated January 1, 2009 (previously filed as Exhibit 10.26 to the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Trust’s Annual Report on Form 10-K for the year ended December 31, 2008 (File No. 1-07533) (“the 2008 Form 10-K”) and incorporated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Second Amendment to Executive Agreement between the Trust and Donald C. Wood dated January 1, 2009 (previously filed as Exhibit 10.27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Amendment to Health Coverage Continuation Agreement between the Trust and Donald C. Wood dated January 1, 2009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10.28 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0"/>
              </w:rPr>
              <w:t>Second Amendment to Severance Agreement between the Trust and Dawn M. Becker dated January 1, 2009 (previously filed as Exhibit 10.30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to the Trust’s 2008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2010 Performance Incentive Plan (previously filed as Appendix A to the Trust’s Definitive Proxy Statement for the 2010 Annual Meeting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10.17</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Amendment to 2010 Performance Incentive Plan (“the 2010 Plan”) (previously filed as Appendix A to the Trust’s Proxy Supplement for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2010 Annual Meeting of Shareholders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Restricted Share Award Agreement between the Trust and Donald C. Wood dated October 12, 2010 (previously filed as Exhibit 10.36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Trust’s Quarterly Report on Form 10-Q for the quarter ended September 30, 2010 (File No. 01-07533)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10.19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Restricted Share Award Agreement for awards made under the Trust’s Long-Term Incentive Award Program and the Trust’s Annual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Incentive Bonus Program and basic awards with annual vesting for shares issued out of the 2010 Plan (previously filed as Exhibit 10.34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awards made under the Trust’s Long-Term Incentive Award Program for shares issued out of the 2010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Plan (previously filed as Exhibit 10.38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Form of Option Award Agreement for front loaded awards made under the Trust’s Long-Term Incentive Award Program for shares issued out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of the 2010 Plan (previously filed as Exhibit 10.39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Form of Option Award Agreement for basic options awarded out of the 2010 Plan (previously filed as Exhibit 10.40 to the Trust’s 2010 Form</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10.23</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Form of Restricted Share Award Agreement, dated as of February 10, 2011, between the Trust and Dawn M. Becker (previously filed as</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Exhibit 10.41 to the Trust’s 2010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10.24</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Severance Agreement between the Trust and James M. Taylor dated July 30, 2012 (previously filed as Exhibit 10.35 to the Trust's Quarterly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10-Q for the quarter ended September 30, 2012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10.25</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Credit Agreement dated as of July 7, 2011, by and among the Trust, as Borrower, the financial institutions party thereto and their permitted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9"/>
              </w:rPr>
              <w:t>assignees under Section 12.6., as Lenders, Wells Fargo Bank, National Association, as Administrative Agent, PNC Bank, National</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Association, as Syndication Agent, Wells Fargo Securities, LLC, as a Lead Arranger and Book Manager, and PNC Capital Markets LLC, as a</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Lead Arranger and Book Manager (previously filed as Exhibit 10.1 to the Trust’s Current Report on Form 8-K (File No. 1-07533), filed on</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July 11, 2011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jc w:val="right"/>
              <w:ind w:right="372"/>
              <w:spacing w:after="0"/>
              <w:rPr>
                <w:sz w:val="20"/>
                <w:szCs w:val="20"/>
                <w:color w:val="auto"/>
              </w:rPr>
            </w:pPr>
            <w:r>
              <w:rPr>
                <w:rFonts w:ascii="Arial" w:cs="Arial" w:eastAsia="Arial" w:hAnsi="Arial"/>
                <w:sz w:val="18"/>
                <w:szCs w:val="18"/>
                <w:color w:val="auto"/>
                <w:w w:val="93"/>
              </w:rPr>
              <w:t>10.26</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Term Loan Agreement dated as of November 22, 2011, by and among the Trust, as Borrower, the financial institutions party thereto and their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6"/>
              </w:rPr>
              <w:t>permitted assignees under Section 12.6., as Lenders, PNC Bank, National Association, as Administrative Agent, Capital One, N.A., as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Syndication Agent, PNC Capital Markets, LLC, as a Lead Arranger and Book Manager, and Capital One, N.A., as a Lead Arranger and Book</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Manager (previously filed as Exhibit 10.1 to the Trust’s Current Report on Form 8-K (File No. 1-07533), filed on November 28, 2011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608"/>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380" w:type="dxa"/>
            <w:vAlign w:val="bottom"/>
          </w:tcPr>
          <w:p>
            <w:pPr>
              <w:ind w:left="45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EE"/>
        </w:rPr>
        <w:t>Table of Contents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3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w:t>
            </w:r>
          </w:p>
        </w:tc>
        <w:tc>
          <w:tcPr>
            <w:tcW w:w="10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No.</w:t>
            </w:r>
          </w:p>
        </w:tc>
        <w:tc>
          <w:tcPr>
            <w:tcW w:w="10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10.27</w:t>
            </w:r>
          </w:p>
        </w:tc>
        <w:tc>
          <w:tcPr>
            <w:tcW w:w="140" w:type="dxa"/>
            <w:vAlign w:val="bottom"/>
          </w:tcPr>
          <w:p>
            <w:pPr>
              <w:spacing w:after="0"/>
              <w:rPr>
                <w:sz w:val="19"/>
                <w:szCs w:val="19"/>
                <w:color w:val="auto"/>
              </w:rPr>
            </w:pPr>
          </w:p>
        </w:tc>
        <w:tc>
          <w:tcPr>
            <w:tcW w:w="10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1"/>
              </w:rPr>
              <w:t>Revised Form of Restricted Share Award Agreement for front loaded awards made under the Trust’s Long-Term Incentive Award Program for</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shares issued out of the 2010 Plan (previously filed as Exhibit 10.35 to the Trust's Annual Report on Form 10-K for the year ended December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31, 2012 (File No. 1-07533) (the "2012 Form 10-K")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Revised Form of Restricted Share Award Agreement for long-term vesting and retention awards made under the Trust’s Long-Term Incentive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Award Program for shares issued out of the 2010 Plan (previously filed as Exhibit 10.36 to the Trust's 2012 Form 10-K (File No. 1-07533)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5"/>
              </w:rPr>
              <w:t>Revised Form of Performance Share Award Agreement for shares awarded out of the 2010 Plan (previously filed as Exhibit 10.37 to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Trust's 2012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1"/>
              </w:rPr>
              <w:t>Revised Form of Restricted Share Award Agreement for awards made under the Trust’s Long-Term Incentive Award Program and the Trust’s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4"/>
              </w:rPr>
              <w:t>Annual Incentive Bonus Program and basic awards with annual vesting for shares issued out of the 2010 Plan (previously filed as Exhibit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10.38 to the Trust's 2012 Form 10-K (File No. 1-07533)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First Amendment to Credit Agreement, dated as of April 22, 2013, by and among Federal Realty Investment Trust, each of the Lenders party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thereto, and Wells Fargo Bank, National Association, as Administrative Agent (previously filed as Exhibit 10.1 to the Trust's Current Report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Form 8-K (File No. 1-07533), filed on April 26, 2013 and incorporated herein by reference)</w:t>
            </w:r>
          </w:p>
        </w:tc>
        <w:tc>
          <w:tcPr>
            <w:tcW w:w="0" w:type="dxa"/>
            <w:vAlign w:val="bottom"/>
          </w:tcPr>
          <w:p>
            <w:pPr>
              <w:spacing w:after="0"/>
              <w:rPr>
                <w:sz w:val="1"/>
                <w:szCs w:val="1"/>
                <w:color w:val="auto"/>
              </w:rPr>
            </w:pPr>
          </w:p>
        </w:tc>
      </w:tr>
      <w:tr>
        <w:trPr>
          <w:trHeight w:val="377"/>
        </w:trPr>
        <w:tc>
          <w:tcPr>
            <w:tcW w:w="900" w:type="dxa"/>
            <w:vAlign w:val="bottom"/>
          </w:tcPr>
          <w:p>
            <w:pPr>
              <w:ind w:left="40"/>
              <w:spacing w:after="0"/>
              <w:rPr>
                <w:sz w:val="20"/>
                <w:szCs w:val="20"/>
                <w:color w:val="auto"/>
              </w:rPr>
            </w:pPr>
            <w:r>
              <w:rPr>
                <w:rFonts w:ascii="Arial" w:cs="Arial" w:eastAsia="Arial" w:hAnsi="Arial"/>
                <w:sz w:val="18"/>
                <w:szCs w:val="18"/>
                <w:color w:val="auto"/>
              </w:rPr>
              <w:t>10.32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First Amendment to Term Loan Agreement, dated as of April 22, 2013, by and among Federal Realty Investment Trust, each of the Lenders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2"/>
              </w:rPr>
              <w:t>party thereto, and PNC Bank, National Association, as Administrative Agent (previously filed as Exhibit 10.40 to the Trust's Quarterly Report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on Form 10-Q for the quarter ended March 31, 2013 (File No. 1-07533) and incorporated herein by reference)</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24"/>
                <w:szCs w:val="24"/>
                <w:color w:val="auto"/>
              </w:rPr>
            </w:pPr>
          </w:p>
        </w:tc>
        <w:tc>
          <w:tcPr>
            <w:tcW w:w="10380" w:type="dxa"/>
            <w:vAlign w:val="bottom"/>
            <w:vMerge w:val="restart"/>
          </w:tcPr>
          <w:p>
            <w:pPr>
              <w:ind w:left="40"/>
              <w:spacing w:after="0"/>
              <w:rPr>
                <w:sz w:val="20"/>
                <w:szCs w:val="20"/>
                <w:color w:val="auto"/>
              </w:rPr>
            </w:pPr>
            <w:r>
              <w:rPr>
                <w:rFonts w:ascii="Arial" w:cs="Arial" w:eastAsia="Arial" w:hAnsi="Arial"/>
                <w:sz w:val="18"/>
                <w:szCs w:val="18"/>
                <w:color w:val="auto"/>
                <w:w w:val="94"/>
              </w:rPr>
              <w:t>Second Amendment to Term Loan Agreement, dated as of August 28, 2014, by and among Federal Realty Investment Trust, each of the</w:t>
            </w:r>
          </w:p>
        </w:tc>
        <w:tc>
          <w:tcPr>
            <w:tcW w:w="0" w:type="dxa"/>
            <w:vAlign w:val="bottom"/>
          </w:tcPr>
          <w:p>
            <w:pPr>
              <w:spacing w:after="0"/>
              <w:rPr>
                <w:sz w:val="1"/>
                <w:szCs w:val="1"/>
                <w:color w:val="auto"/>
              </w:rPr>
            </w:pPr>
          </w:p>
        </w:tc>
      </w:tr>
      <w:tr>
        <w:trPr>
          <w:trHeight w:val="67"/>
        </w:trPr>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w w:val="93"/>
              </w:rPr>
              <w:t>Lenders party thereto, and PNC Bank, National Association, as Administrative Agent (previously filed as Exhibit 10.1 to the Trust's Current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Report on Form 8-K (File No. 1-07533), filed on September 2, 2014 and incorporated herein by reference)</w:t>
            </w:r>
          </w:p>
        </w:tc>
        <w:tc>
          <w:tcPr>
            <w:tcW w:w="0" w:type="dxa"/>
            <w:vAlign w:val="bottom"/>
          </w:tcPr>
          <w:p>
            <w:pPr>
              <w:spacing w:after="0"/>
              <w:rPr>
                <w:sz w:val="1"/>
                <w:szCs w:val="1"/>
                <w:color w:val="auto"/>
              </w:rPr>
            </w:pPr>
          </w:p>
        </w:tc>
      </w:tr>
      <w:tr>
        <w:trPr>
          <w:trHeight w:val="689"/>
        </w:trPr>
        <w:tc>
          <w:tcPr>
            <w:tcW w:w="900" w:type="dxa"/>
            <w:vAlign w:val="bottom"/>
          </w:tcPr>
          <w:p>
            <w:pPr>
              <w:ind w:left="4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Rule 13a-14(a) Certification of Chief Financial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Executive Officer (filed herewith)</w:t>
            </w:r>
          </w:p>
        </w:tc>
        <w:tc>
          <w:tcPr>
            <w:tcW w:w="0" w:type="dxa"/>
            <w:vAlign w:val="bottom"/>
          </w:tcPr>
          <w:p>
            <w:pPr>
              <w:spacing w:after="0"/>
              <w:rPr>
                <w:sz w:val="1"/>
                <w:szCs w:val="1"/>
                <w:color w:val="auto"/>
              </w:rPr>
            </w:pPr>
          </w:p>
        </w:tc>
      </w:tr>
      <w:tr>
        <w:trPr>
          <w:trHeight w:val="392"/>
        </w:trPr>
        <w:tc>
          <w:tcPr>
            <w:tcW w:w="900" w:type="dxa"/>
            <w:vAlign w:val="bottom"/>
          </w:tcPr>
          <w:p>
            <w:pPr>
              <w:ind w:left="4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10380" w:type="dxa"/>
            <w:vAlign w:val="bottom"/>
          </w:tcPr>
          <w:p>
            <w:pPr>
              <w:ind w:left="40"/>
              <w:spacing w:after="0"/>
              <w:rPr>
                <w:sz w:val="20"/>
                <w:szCs w:val="20"/>
                <w:color w:val="auto"/>
              </w:rPr>
            </w:pPr>
            <w:r>
              <w:rPr>
                <w:rFonts w:ascii="Arial" w:cs="Arial" w:eastAsia="Arial" w:hAnsi="Arial"/>
                <w:sz w:val="18"/>
                <w:szCs w:val="18"/>
                <w:color w:val="auto"/>
              </w:rPr>
              <w:t>Section 1350 Certification of Chief Financial Officer (filed herewith)</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80" w:right="360" w:hanging="1045"/>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materials from Federal Realty Investment Trust’s Quarterly Report on Form 10-Q for the quarter ended September 30, 2015 formatted in XBRL (Extensible Business Reporting Language): (1) the Consolidated Balance Sheets, (2) the Consolidated Statements of Comprehensive Income, (3) the Consolidated Statement of Shareholders’ Equity, (4) the Consolidated Statements of Cash Flows, and (5) Notes to Consolidated Financial Statements that have been detail tagged.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6"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November 4, 2015</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James M. Taylor, Jr.</w:t>
      </w:r>
      <w:r>
        <w:rPr>
          <w:rFonts w:ascii="Arial" w:cs="Arial" w:eastAsia="Arial" w:hAnsi="Arial"/>
          <w:sz w:val="18"/>
          <w:szCs w:val="18"/>
          <w:color w:val="auto"/>
        </w:rPr>
        <w:t>, certify that:</w:t>
      </w:r>
    </w:p>
    <w:p>
      <w:pPr>
        <w:spacing w:after="0" w:line="90" w:lineRule="exact"/>
        <w:rPr>
          <w:sz w:val="20"/>
          <w:szCs w:val="20"/>
          <w:color w:val="auto"/>
        </w:rPr>
      </w:pPr>
    </w:p>
    <w:p>
      <w:pPr>
        <w:ind w:left="880" w:hanging="46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880" w:right="40" w:hanging="467"/>
        <w:spacing w:after="0" w:line="308" w:lineRule="auto"/>
        <w:tabs>
          <w:tab w:leader="none" w:pos="8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420" w:hanging="440"/>
        <w:spacing w:after="0" w:line="264"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420" w:right="100" w:hanging="440"/>
        <w:spacing w:after="0" w:line="264"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420" w:right="260" w:hanging="440"/>
        <w:spacing w:after="0" w:line="334" w:lineRule="auto"/>
        <w:tabs>
          <w:tab w:leader="none" w:pos="14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420" w:right="340" w:hanging="440"/>
        <w:spacing w:after="0" w:line="264"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880" w:right="240" w:hanging="467"/>
        <w:spacing w:after="0" w:line="334" w:lineRule="auto"/>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1" w:lineRule="exact"/>
        <w:rPr>
          <w:rFonts w:ascii="Arial" w:cs="Arial" w:eastAsia="Arial" w:hAnsi="Arial"/>
          <w:sz w:val="16"/>
          <w:szCs w:val="16"/>
          <w:color w:val="auto"/>
        </w:rPr>
      </w:pPr>
    </w:p>
    <w:p>
      <w:pPr>
        <w:ind w:left="1420" w:right="560" w:hanging="440"/>
        <w:spacing w:after="0" w:line="334" w:lineRule="auto"/>
        <w:tabs>
          <w:tab w:leader="none" w:pos="14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420" w:right="260" w:hanging="440"/>
        <w:spacing w:after="0" w:line="277"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November 4, 2015</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September 30, 2015 (the “Report”). The undersigned hereby certifies, to the best of his knowledge, that:</w:t>
      </w:r>
    </w:p>
    <w:p>
      <w:pPr>
        <w:spacing w:after="0" w:line="73" w:lineRule="exact"/>
        <w:rPr>
          <w:sz w:val="20"/>
          <w:szCs w:val="20"/>
          <w:color w:val="auto"/>
        </w:rPr>
      </w:pPr>
    </w:p>
    <w:p>
      <w:pPr>
        <w:ind w:left="1300" w:hanging="887"/>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900" w:val="left"/>
        </w:tabs>
        <w:rPr>
          <w:sz w:val="20"/>
          <w:szCs w:val="20"/>
          <w:color w:val="auto"/>
        </w:rPr>
      </w:pPr>
      <w:r>
        <w:rPr>
          <w:rFonts w:ascii="Arial" w:cs="Arial" w:eastAsia="Arial" w:hAnsi="Arial"/>
          <w:sz w:val="18"/>
          <w:szCs w:val="18"/>
          <w:color w:val="auto"/>
        </w:rPr>
        <w:t>November 4, 2015</w:t>
      </w:r>
      <w:r>
        <w:rPr>
          <w:sz w:val="20"/>
          <w:szCs w:val="20"/>
          <w:color w:val="auto"/>
        </w:rPr>
        <w:tab/>
      </w:r>
      <w:r>
        <w:rPr>
          <w:rFonts w:ascii="Arial" w:cs="Arial" w:eastAsia="Arial" w:hAnsi="Arial"/>
          <w:sz w:val="16"/>
          <w:szCs w:val="16"/>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Donald C. Wood,</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undersigned, James M. Taylor, Jr., the Executive Vice President and Chief Financial Officer and Treasurer of Federal Realty Investment Trust (the “Company”), has executed this certification in connection with the filing with the Securities and Exchange Commission of the Company’s Quarterly Report on Form 10-Q for the period ended September 30, 2015 (the “Report”). The undersigned hereby certifies, to the best of his knowledge, that:</w:t>
      </w:r>
    </w:p>
    <w:p>
      <w:pPr>
        <w:spacing w:after="0" w:line="39" w:lineRule="exact"/>
        <w:rPr>
          <w:sz w:val="20"/>
          <w:szCs w:val="20"/>
          <w:color w:val="auto"/>
        </w:rPr>
      </w:pPr>
    </w:p>
    <w:p>
      <w:pPr>
        <w:ind w:left="1300" w:hanging="887"/>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500" w:hanging="887"/>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November 4, 2015</w:t>
      </w:r>
      <w:r>
        <w:rPr>
          <w:sz w:val="20"/>
          <w:szCs w:val="20"/>
          <w:color w:val="auto"/>
        </w:rPr>
        <w:tab/>
      </w:r>
      <w:r>
        <w:rPr>
          <w:rFonts w:ascii="Arial" w:cs="Arial" w:eastAsia="Arial" w:hAnsi="Arial"/>
          <w:sz w:val="15"/>
          <w:szCs w:val="15"/>
          <w:color w:val="auto"/>
        </w:rPr>
        <w:t>/s/ James M. Taylor,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James M. Taylor, Jr.</w:t>
      </w:r>
    </w:p>
    <w:p>
      <w:pPr>
        <w:spacing w:after="0" w:line="6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Executive Vice President -</w:t>
      </w:r>
    </w:p>
    <w:p>
      <w:pPr>
        <w:spacing w:after="0" w:line="27"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and Treasurer</w:t>
      </w:r>
    </w:p>
    <w:p>
      <w:pPr>
        <w:spacing w:after="0" w:line="45"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lvl w:ilvl="1">
      <w:lvlJc w:val="left"/>
      <w:lvlText w:val="•"/>
      <w:numFmt w:val="bullet"/>
      <w:start w:val="1"/>
    </w:lvl>
  </w:abstractNum>
  <w:abstractNum w:abstractNumId="25">
    <w:nsid w:val="2CA88611"/>
    <w:multiLevelType w:val="hybridMultilevel"/>
    <w:lvl w:ilvl="0">
      <w:lvlJc w:val="left"/>
      <w:lvlText w:val="%1"/>
      <w:numFmt w:val="decimal"/>
      <w:start w:val="10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2019-12-29T14:32:43Z</dcterms:created>
  <dcterms:modified xsi:type="dcterms:W3CDTF">2019-12-29T14:32:43Z</dcterms:modified>
</cp:coreProperties>
</file>