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7"/>
          <w:szCs w:val="17"/>
          <w:color w:val="auto"/>
        </w:rPr>
        <w:t>SCHEDULE 14A INFORMATION</w:t>
      </w:r>
    </w:p>
    <w:p>
      <w:pPr>
        <w:spacing w:after="0" w:line="190"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29" w:lineRule="exact"/>
        <w:rPr>
          <w:sz w:val="24"/>
          <w:szCs w:val="24"/>
          <w:color w:val="auto"/>
        </w:rPr>
      </w:pPr>
    </w:p>
    <w:p>
      <w:pPr>
        <w:ind w:left="1900"/>
        <w:spacing w:after="0"/>
        <w:tabs>
          <w:tab w:leader="none" w:pos="576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200" w:lineRule="exact"/>
        <w:rPr>
          <w:sz w:val="24"/>
          <w:szCs w:val="24"/>
          <w:color w:val="auto"/>
        </w:rPr>
      </w:pPr>
    </w:p>
    <w:p>
      <w:pPr>
        <w:spacing w:after="0" w:line="372" w:lineRule="exact"/>
        <w:rPr>
          <w:sz w:val="24"/>
          <w:szCs w:val="24"/>
          <w:color w:val="auto"/>
        </w:rPr>
      </w:pPr>
    </w:p>
    <w:p>
      <w:pPr>
        <w:spacing w:after="0"/>
        <w:tabs>
          <w:tab w:leader="none" w:pos="4060" w:val="left"/>
        </w:tabs>
        <w:rPr>
          <w:sz w:val="20"/>
          <w:szCs w:val="20"/>
          <w:color w:val="auto"/>
        </w:rPr>
      </w:pPr>
      <w:r>
        <w:rPr>
          <w:rFonts w:ascii="Courier New" w:cs="Courier New" w:eastAsia="Courier New" w:hAnsi="Courier New"/>
          <w:sz w:val="17"/>
          <w:szCs w:val="17"/>
          <w:color w:val="auto"/>
        </w:rPr>
        <w:t>[_] Preliminary Proxy Statement</w:t>
      </w:r>
      <w:r>
        <w:rPr>
          <w:sz w:val="20"/>
          <w:szCs w:val="20"/>
          <w:color w:val="auto"/>
        </w:rPr>
        <w:tab/>
      </w:r>
      <w:r>
        <w:rPr>
          <w:rFonts w:ascii="Courier New" w:cs="Courier New" w:eastAsia="Courier New" w:hAnsi="Courier New"/>
          <w:sz w:val="16"/>
          <w:szCs w:val="16"/>
          <w:color w:val="auto"/>
        </w:rPr>
        <w:t>[_] CONFIDENTIAL, FOR USE OF THE</w:t>
      </w:r>
    </w:p>
    <w:p>
      <w:pPr>
        <w:spacing w:after="0" w:line="27" w:lineRule="exact"/>
        <w:rPr>
          <w:sz w:val="24"/>
          <w:szCs w:val="24"/>
          <w:color w:val="auto"/>
        </w:rPr>
      </w:pPr>
    </w:p>
    <w:p>
      <w:pPr>
        <w:ind w:left="4480"/>
        <w:spacing w:after="0"/>
        <w:rPr>
          <w:sz w:val="20"/>
          <w:szCs w:val="20"/>
          <w:color w:val="auto"/>
        </w:rPr>
      </w:pPr>
      <w:r>
        <w:rPr>
          <w:rFonts w:ascii="Courier New" w:cs="Courier New" w:eastAsia="Courier New" w:hAnsi="Courier New"/>
          <w:sz w:val="17"/>
          <w:szCs w:val="17"/>
          <w:color w:val="auto"/>
        </w:rPr>
        <w:t>COMMISSION ONLY (AS PERMITTED</w:t>
      </w:r>
    </w:p>
    <w:p>
      <w:pPr>
        <w:ind w:left="4480"/>
        <w:spacing w:after="0"/>
        <w:rPr>
          <w:sz w:val="20"/>
          <w:szCs w:val="20"/>
          <w:color w:val="auto"/>
        </w:rPr>
      </w:pPr>
      <w:r>
        <w:rPr>
          <w:rFonts w:ascii="Courier New" w:cs="Courier New" w:eastAsia="Courier New" w:hAnsi="Courier New"/>
          <w:sz w:val="17"/>
          <w:szCs w:val="17"/>
          <w:color w:val="auto"/>
        </w:rPr>
        <w:t>BY RULE 14a-6(e) (2))</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Definitive Proxy Statement</w:t>
      </w:r>
    </w:p>
    <w:p>
      <w:pPr>
        <w:spacing w:after="0" w:line="2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Definitive Additional Materials</w:t>
      </w:r>
    </w:p>
    <w:p>
      <w:pPr>
        <w:spacing w:after="0"/>
        <w:rPr>
          <w:sz w:val="20"/>
          <w:szCs w:val="20"/>
          <w:color w:val="auto"/>
        </w:rPr>
      </w:pPr>
      <w:r>
        <w:rPr>
          <w:rFonts w:ascii="Courier New" w:cs="Courier New" w:eastAsia="Courier New" w:hAnsi="Courier New"/>
          <w:sz w:val="17"/>
          <w:szCs w:val="17"/>
          <w:color w:val="auto"/>
        </w:rPr>
        <w:t>[_] Soliciting Material Pursuant to (S)240.14a-11(c) or (S)240.14a-12</w:t>
      </w:r>
    </w:p>
    <w:p>
      <w:pPr>
        <w:spacing w:after="0" w:line="351"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9"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0" w:lineRule="exact"/>
        <w:rPr>
          <w:rFonts w:ascii="Courier New" w:cs="Courier New" w:eastAsia="Courier New" w:hAnsi="Courier New"/>
          <w:sz w:val="16"/>
          <w:szCs w:val="16"/>
          <w:color w:val="auto"/>
        </w:rPr>
      </w:pPr>
    </w:p>
    <w:p>
      <w:pPr>
        <w:ind w:left="1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351"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0"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 if other than the Registrant)</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No fee required.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computed on table below per Exchange Act Rules 14a-6(i) (4) and O-11.</w:t>
      </w:r>
    </w:p>
    <w:p>
      <w:pPr>
        <w:spacing w:after="0" w:line="160" w:lineRule="exact"/>
        <w:rPr>
          <w:sz w:val="24"/>
          <w:szCs w:val="24"/>
          <w:color w:val="auto"/>
        </w:rPr>
      </w:pPr>
    </w:p>
    <w:p>
      <w:pPr>
        <w:ind w:left="800" w:hanging="400"/>
        <w:spacing w:after="0"/>
        <w:tabs>
          <w:tab w:leader="none" w:pos="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800" w:hanging="400"/>
        <w:spacing w:after="0"/>
        <w:tabs>
          <w:tab w:leader="none" w:pos="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800" w:right="2559" w:hanging="400"/>
        <w:spacing w:after="0" w:line="292" w:lineRule="auto"/>
        <w:tabs>
          <w:tab w:leader="none" w:pos="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O-11 (Set forth the amount on which the filing fee is calculated and state how it was determined):</w:t>
      </w:r>
    </w:p>
    <w:p>
      <w:pPr>
        <w:spacing w:after="0" w:line="62"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800" w:hanging="400"/>
        <w:spacing w:after="0"/>
        <w:tabs>
          <w:tab w:leader="none" w:pos="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800" w:hanging="400"/>
        <w:spacing w:after="0"/>
        <w:tabs>
          <w:tab w:leader="none" w:pos="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paid previously with preliminary materials.</w:t>
      </w:r>
    </w:p>
    <w:p>
      <w:pPr>
        <w:spacing w:after="0" w:line="190" w:lineRule="exact"/>
        <w:rPr>
          <w:sz w:val="24"/>
          <w:szCs w:val="24"/>
          <w:color w:val="auto"/>
        </w:rPr>
      </w:pPr>
    </w:p>
    <w:p>
      <w:pPr>
        <w:ind w:left="400" w:right="2359" w:hanging="397"/>
        <w:spacing w:after="0" w:line="274" w:lineRule="auto"/>
        <w:rPr>
          <w:sz w:val="20"/>
          <w:szCs w:val="20"/>
          <w:color w:val="auto"/>
        </w:rPr>
      </w:pPr>
      <w:r>
        <w:rPr>
          <w:rFonts w:ascii="Courier New" w:cs="Courier New" w:eastAsia="Courier New" w:hAnsi="Courier New"/>
          <w:sz w:val="17"/>
          <w:szCs w:val="17"/>
          <w:color w:val="auto"/>
        </w:rPr>
        <w:t>[_] Check box if any part of the fee is offset as provided by Exchange Act Rule O-11(a) (2) and identify the filing for which the offsetting fee was paid previously. Identify the previous filing by registration statement number, or the Form or Schedule and the date of its filing.</w:t>
      </w:r>
    </w:p>
    <w:p>
      <w:pPr>
        <w:spacing w:after="0" w:line="77" w:lineRule="exact"/>
        <w:rPr>
          <w:sz w:val="24"/>
          <w:szCs w:val="24"/>
          <w:color w:val="auto"/>
        </w:rPr>
      </w:pPr>
    </w:p>
    <w:p>
      <w:pPr>
        <w:ind w:left="800" w:hanging="400"/>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800" w:hanging="400"/>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800" w:hanging="400"/>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800" w:hanging="400"/>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0"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596" w:right="1440" w:bottom="185" w:gutter="0" w:footer="0" w:header="0"/>
        </w:sectPr>
      </w:pPr>
    </w:p>
    <w:bookmarkStart w:id="1" w:name="page2"/>
    <w:bookmarkEnd w:id="1"/>
    <w:p>
      <w:pPr>
        <w:ind w:left="2100"/>
        <w:spacing w:after="0"/>
        <w:rPr>
          <w:sz w:val="20"/>
          <w:szCs w:val="20"/>
          <w:color w:val="auto"/>
        </w:rPr>
      </w:pPr>
      <w:r>
        <w:rPr>
          <w:rFonts w:ascii="Courier New" w:cs="Courier New" w:eastAsia="Courier New" w:hAnsi="Courier New"/>
          <w:sz w:val="17"/>
          <w:szCs w:val="17"/>
          <w:color w:val="auto"/>
        </w:rPr>
        <w:t>[LOGO OF FEDERAL REALTY APPEARS HERE]</w:t>
      </w:r>
    </w:p>
    <w:p>
      <w:pPr>
        <w:spacing w:after="0" w:line="381"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March 31, 1999</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0" w:lineRule="exact"/>
        <w:rPr>
          <w:sz w:val="20"/>
          <w:szCs w:val="20"/>
          <w:color w:val="auto"/>
        </w:rPr>
      </w:pPr>
    </w:p>
    <w:p>
      <w:pPr>
        <w:ind w:right="2559" w:firstLine="199"/>
        <w:spacing w:after="0" w:line="318" w:lineRule="auto"/>
        <w:rPr>
          <w:sz w:val="20"/>
          <w:szCs w:val="20"/>
          <w:color w:val="auto"/>
        </w:rPr>
      </w:pPr>
      <w:r>
        <w:rPr>
          <w:rFonts w:ascii="Courier New" w:cs="Courier New" w:eastAsia="Courier New" w:hAnsi="Courier New"/>
          <w:sz w:val="16"/>
          <w:szCs w:val="16"/>
          <w:color w:val="auto"/>
        </w:rPr>
        <w:t>Please accept my personal invitation to attend our Annual Meeting of Shareholders on Wednesday, May 5, 1999 at 10:00 a.m. This year's meeting will be held at the Doubletree Hotel, 1750 Rockville Pike, Rockville, Maryland.</w:t>
      </w:r>
    </w:p>
    <w:p>
      <w:pPr>
        <w:spacing w:after="0" w:line="45" w:lineRule="exact"/>
        <w:rPr>
          <w:sz w:val="20"/>
          <w:szCs w:val="20"/>
          <w:color w:val="auto"/>
        </w:rPr>
      </w:pPr>
    </w:p>
    <w:p>
      <w:pPr>
        <w:ind w:right="2359" w:firstLine="199"/>
        <w:spacing w:after="0" w:line="265"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In addition, Management will provide a review of 1998 operating results and discuss the outlook for the future. After the formal presentation, the Trustees and Management will be available to answer any questions that you may have.</w:t>
      </w:r>
    </w:p>
    <w:p>
      <w:pPr>
        <w:spacing w:after="0" w:line="84" w:lineRule="exact"/>
        <w:rPr>
          <w:sz w:val="20"/>
          <w:szCs w:val="20"/>
          <w:color w:val="auto"/>
        </w:rPr>
      </w:pPr>
    </w:p>
    <w:p>
      <w:pPr>
        <w:ind w:right="2459" w:firstLine="199"/>
        <w:spacing w:after="0" w:line="347" w:lineRule="auto"/>
        <w:rPr>
          <w:sz w:val="20"/>
          <w:szCs w:val="20"/>
          <w:color w:val="auto"/>
        </w:rPr>
      </w:pPr>
      <w:r>
        <w:rPr>
          <w:rFonts w:ascii="Courier New" w:cs="Courier New" w:eastAsia="Courier New" w:hAnsi="Courier New"/>
          <w:sz w:val="17"/>
          <w:szCs w:val="17"/>
          <w:color w:val="auto"/>
        </w:rPr>
        <w:t>Your vote is important. I urge you to complete, sign and return the enclosed proxy card.</w:t>
      </w:r>
    </w:p>
    <w:p>
      <w:pPr>
        <w:spacing w:after="0" w:line="1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 look forward to seeing you on May 5.</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Sincerely,</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 STEVEN J. GUTTMAN</w:t>
      </w:r>
    </w:p>
    <w:p>
      <w:pPr>
        <w:spacing w:after="0" w:line="27"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Steven J. Guttman</w:t>
      </w:r>
    </w:p>
    <w:p>
      <w:pPr>
        <w:ind w:left="4180"/>
        <w:spacing w:after="0" w:line="238" w:lineRule="auto"/>
        <w:rPr>
          <w:sz w:val="20"/>
          <w:szCs w:val="20"/>
          <w:color w:val="auto"/>
        </w:rPr>
      </w:pPr>
      <w:r>
        <w:rPr>
          <w:rFonts w:ascii="Courier New" w:cs="Courier New" w:eastAsia="Courier New" w:hAnsi="Courier New"/>
          <w:sz w:val="17"/>
          <w:szCs w:val="17"/>
          <w:color w:val="auto"/>
        </w:rPr>
        <w:t>President and Chief Executive</w:t>
      </w:r>
    </w:p>
    <w:p>
      <w:pPr>
        <w:ind w:left="4180"/>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219"/>
          </w:cols>
          <w:pgMar w:left="240" w:top="660" w:right="1440" w:bottom="1440" w:gutter="0" w:footer="0" w:header="0"/>
        </w:sectPr>
      </w:pPr>
    </w:p>
    <w:bookmarkStart w:id="2" w:name="page3"/>
    <w:bookmarkEnd w:id="2"/>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2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TO BE HELD MAY 5,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190" w:lineRule="exact"/>
        <w:rPr>
          <w:sz w:val="20"/>
          <w:szCs w:val="20"/>
          <w:color w:val="auto"/>
        </w:rPr>
      </w:pPr>
    </w:p>
    <w:p>
      <w:pPr>
        <w:jc w:val="both"/>
        <w:ind w:right="2559" w:firstLine="199"/>
        <w:spacing w:after="0" w:line="274" w:lineRule="auto"/>
        <w:rPr>
          <w:sz w:val="20"/>
          <w:szCs w:val="20"/>
          <w:color w:val="auto"/>
        </w:rPr>
      </w:pPr>
      <w:r>
        <w:rPr>
          <w:rFonts w:ascii="Courier New" w:cs="Courier New" w:eastAsia="Courier New" w:hAnsi="Courier New"/>
          <w:sz w:val="17"/>
          <w:szCs w:val="17"/>
          <w:color w:val="auto"/>
        </w:rPr>
        <w:t>The 1999 Annual Meeting of Shareholders of Federal Realty Investment Trust ("Federal Realty" or the "Trust") will be held at the Doubletree Hotel, 1750 Rockville Pike, Rockville, Maryland, on Wednesday, May 5, 1999, at 10:00 a.m. for the purpose of considering and acting upon the following:</w:t>
      </w:r>
    </w:p>
    <w:p>
      <w:pPr>
        <w:spacing w:after="0" w:line="77" w:lineRule="exact"/>
        <w:rPr>
          <w:sz w:val="20"/>
          <w:szCs w:val="20"/>
          <w:color w:val="auto"/>
        </w:rPr>
      </w:pPr>
    </w:p>
    <w:p>
      <w:pPr>
        <w:ind w:left="500" w:hanging="299"/>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two Trustees to serve for the ensuing three years.</w:t>
      </w:r>
    </w:p>
    <w:p>
      <w:pPr>
        <w:spacing w:after="0" w:line="189" w:lineRule="exact"/>
        <w:rPr>
          <w:rFonts w:ascii="Courier New" w:cs="Courier New" w:eastAsia="Courier New" w:hAnsi="Courier New"/>
          <w:sz w:val="17"/>
          <w:szCs w:val="17"/>
          <w:color w:val="auto"/>
        </w:rPr>
      </w:pPr>
    </w:p>
    <w:p>
      <w:pPr>
        <w:ind w:left="500" w:right="2559" w:hanging="299"/>
        <w:spacing w:after="0" w:line="292"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of a proposal to reorganize the Trust under the laws of the State of Maryland through an amendment and restatement of the declaration of trust (the "Reorganization").</w:t>
      </w:r>
    </w:p>
    <w:p>
      <w:pPr>
        <w:spacing w:after="0" w:line="62" w:lineRule="exact"/>
        <w:rPr>
          <w:rFonts w:ascii="Courier New" w:cs="Courier New" w:eastAsia="Courier New" w:hAnsi="Courier New"/>
          <w:sz w:val="17"/>
          <w:szCs w:val="17"/>
          <w:color w:val="auto"/>
        </w:rPr>
      </w:pPr>
    </w:p>
    <w:p>
      <w:pPr>
        <w:ind w:left="500" w:right="2759" w:hanging="299"/>
        <w:spacing w:after="0" w:line="347"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w:t>
      </w:r>
    </w:p>
    <w:p>
      <w:pPr>
        <w:spacing w:after="0" w:line="17" w:lineRule="exact"/>
        <w:rPr>
          <w:sz w:val="20"/>
          <w:szCs w:val="20"/>
          <w:color w:val="auto"/>
        </w:rPr>
      </w:pPr>
    </w:p>
    <w:p>
      <w:pPr>
        <w:ind w:right="3159" w:firstLine="199"/>
        <w:spacing w:after="0" w:line="347" w:lineRule="auto"/>
        <w:rPr>
          <w:sz w:val="20"/>
          <w:szCs w:val="20"/>
          <w:color w:val="auto"/>
        </w:rPr>
      </w:pPr>
      <w:r>
        <w:rPr>
          <w:rFonts w:ascii="Courier New" w:cs="Courier New" w:eastAsia="Courier New" w:hAnsi="Courier New"/>
          <w:sz w:val="17"/>
          <w:szCs w:val="17"/>
          <w:color w:val="auto"/>
        </w:rPr>
        <w:t>Shareholders of record at the close of business on March 25, 1999 are entitled to notice of and to vote at the Annual Meeting.</w:t>
      </w:r>
    </w:p>
    <w:p>
      <w:pPr>
        <w:spacing w:after="0" w:line="17" w:lineRule="exact"/>
        <w:rPr>
          <w:sz w:val="20"/>
          <w:szCs w:val="20"/>
          <w:color w:val="auto"/>
        </w:rPr>
      </w:pPr>
    </w:p>
    <w:p>
      <w:pPr>
        <w:jc w:val="both"/>
        <w:ind w:right="3059" w:firstLine="199"/>
        <w:spacing w:after="0" w:line="318" w:lineRule="auto"/>
        <w:rPr>
          <w:sz w:val="20"/>
          <w:szCs w:val="20"/>
          <w:color w:val="auto"/>
        </w:rPr>
      </w:pPr>
      <w:r>
        <w:rPr>
          <w:rFonts w:ascii="Courier New" w:cs="Courier New" w:eastAsia="Courier New" w:hAnsi="Courier New"/>
          <w:sz w:val="16"/>
          <w:szCs w:val="16"/>
          <w:color w:val="auto"/>
        </w:rPr>
        <w:t>If there are not sufficient votes to approve the proposal to amend and restate the declaration of trust, the Annual Meeting may be postponed or adjourned to permit further solicitation of proxies by the Trust.</w:t>
      </w:r>
    </w:p>
    <w:p>
      <w:pPr>
        <w:spacing w:after="0" w:line="4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For the Trustees: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 NANCY J. HERMAN</w:t>
      </w:r>
    </w:p>
    <w:p>
      <w:pPr>
        <w:spacing w:after="0" w:line="27"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Nancy J. Herman</w:t>
      </w:r>
    </w:p>
    <w:p>
      <w:pPr>
        <w:ind w:left="4180"/>
        <w:spacing w:after="0" w:line="238" w:lineRule="auto"/>
        <w:rPr>
          <w:sz w:val="20"/>
          <w:szCs w:val="20"/>
          <w:color w:val="auto"/>
        </w:rPr>
      </w:pPr>
      <w:r>
        <w:rPr>
          <w:rFonts w:ascii="Courier New" w:cs="Courier New" w:eastAsia="Courier New" w:hAnsi="Courier New"/>
          <w:sz w:val="17"/>
          <w:szCs w:val="17"/>
          <w:color w:val="auto"/>
        </w:rPr>
        <w:t>Vice President--General</w:t>
      </w:r>
    </w:p>
    <w:p>
      <w:pPr>
        <w:ind w:left="4180"/>
        <w:spacing w:after="0"/>
        <w:rPr>
          <w:sz w:val="20"/>
          <w:szCs w:val="20"/>
          <w:color w:val="auto"/>
        </w:rPr>
      </w:pPr>
      <w:r>
        <w:rPr>
          <w:rFonts w:ascii="Courier New" w:cs="Courier New" w:eastAsia="Courier New" w:hAnsi="Courier New"/>
          <w:sz w:val="17"/>
          <w:szCs w:val="17"/>
          <w:color w:val="auto"/>
        </w:rPr>
        <w:t>Counsel and Secretary</w:t>
      </w:r>
    </w:p>
    <w:p>
      <w:pPr>
        <w:spacing w:after="0" w:line="160"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PLEASE FILL OUT, DATE AND SIGN THE ENCLOSED FORM OF PROXY AND RETURN IT IN THE ACCOMPANYING POSTAGE PAID ENVELOPE, EVEN IF YOU PLAN TO ATTEND THE MEETING. YOU MAY REVOKE YOUR PROXY IN WRITING, OR AT THE ANNUAL MEETING IF YOU WISH TO VOTE IN PERSON.</w:t>
      </w:r>
    </w:p>
    <w:p>
      <w:pPr>
        <w:sectPr>
          <w:pgSz w:w="11900" w:h="16838" w:orient="portrait"/>
          <w:cols w:equalWidth="0" w:num="1">
            <w:col w:w="10219"/>
          </w:cols>
          <w:pgMar w:left="240" w:top="660" w:right="1440" w:bottom="1440" w:gutter="0" w:footer="0" w:header="0"/>
        </w:sectPr>
      </w:pPr>
    </w:p>
    <w:bookmarkStart w:id="3" w:name="page4"/>
    <w:bookmarkEnd w:id="3"/>
    <w:p>
      <w:pPr>
        <w:jc w:val="center"/>
        <w:ind w:right="23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1626 East Jefferson Street, Rockville, Maryland 20852</w:t>
      </w:r>
    </w:p>
    <w:p>
      <w:pPr>
        <w:spacing w:after="0" w:line="16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PROXY STATEMENT</w:t>
      </w:r>
    </w:p>
    <w:p>
      <w:pPr>
        <w:spacing w:after="0" w:line="29"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March 26, 1999</w:t>
      </w:r>
    </w:p>
    <w:p>
      <w:pPr>
        <w:spacing w:after="0" w:line="160" w:lineRule="exact"/>
        <w:rPr>
          <w:sz w:val="20"/>
          <w:szCs w:val="20"/>
          <w:color w:val="auto"/>
        </w:rPr>
      </w:pPr>
    </w:p>
    <w:p>
      <w:pPr>
        <w:ind w:right="2559" w:firstLine="199"/>
        <w:spacing w:after="0" w:line="246" w:lineRule="auto"/>
        <w:rPr>
          <w:sz w:val="20"/>
          <w:szCs w:val="20"/>
          <w:color w:val="auto"/>
        </w:rPr>
      </w:pPr>
      <w:r>
        <w:rPr>
          <w:rFonts w:ascii="Courier New" w:cs="Courier New" w:eastAsia="Courier New" w:hAnsi="Courier New"/>
          <w:sz w:val="17"/>
          <w:szCs w:val="17"/>
          <w:color w:val="auto"/>
        </w:rPr>
        <w:t>Proxies in the form enclosed are solicited by the Board of Trustees of Federal Realty Investment Trust for use at the 1999 Annual Meeting of Shareholders ("Annual Meeting") to be held at 10:00 a.m., Wednesday, May 5, 1999, at the Doubletree Hotel, 1750 Rockville Pike, Rockville, Maryland. The close of business on March 25, 1999 has been fixed as the record date for determining shareholders entitled to notice of and to vote at the meeting. On that date, the Trust had 40,169,272 common shares of beneficial interest ("Shares") outstanding. If the proxy in the enclosed form is signed and returned, it will be voted as specified in the proxy; if no specific voting instructions are indicated, the proxy will be voted in favor of the two Trustees nominated, to approve the proposal to amend and restate the Trust's declaration of trust and in the named proxies' discretion as to other matters at the Annual Meeting. Any proxy may be revoked by a shareholder at any time before it is voted by written notice or by attending the Annual Meeting and voting in person.</w:t>
      </w:r>
    </w:p>
    <w:p>
      <w:pPr>
        <w:spacing w:after="0" w:line="99" w:lineRule="exact"/>
        <w:rPr>
          <w:sz w:val="20"/>
          <w:szCs w:val="20"/>
          <w:color w:val="auto"/>
        </w:rPr>
      </w:pPr>
    </w:p>
    <w:p>
      <w:pPr>
        <w:ind w:right="2459" w:firstLine="199"/>
        <w:spacing w:after="0" w:line="285" w:lineRule="auto"/>
        <w:rPr>
          <w:sz w:val="20"/>
          <w:szCs w:val="20"/>
          <w:color w:val="auto"/>
        </w:rPr>
      </w:pPr>
      <w:r>
        <w:rPr>
          <w:rFonts w:ascii="Courier New" w:cs="Courier New" w:eastAsia="Courier New" w:hAnsi="Courier New"/>
          <w:sz w:val="16"/>
          <w:szCs w:val="16"/>
          <w:color w:val="auto"/>
        </w:rPr>
        <w:t>This proxy statement contains two proposals for shareholder consideration. At the Annual Meeting, the presence of a majority of the outstanding Shares entitled to vote, in person or by proxy, constitutes a quorum. As to each proposal, shareholders are entitled to cast one vote per Share. Abstentions and broker non-votes will be counted for the purposes of determining a quorum.</w:t>
      </w:r>
    </w:p>
    <w:p>
      <w:pPr>
        <w:spacing w:after="0" w:line="71" w:lineRule="exact"/>
        <w:rPr>
          <w:sz w:val="20"/>
          <w:szCs w:val="20"/>
          <w:color w:val="auto"/>
        </w:rPr>
      </w:pPr>
    </w:p>
    <w:p>
      <w:pPr>
        <w:ind w:right="2559" w:firstLine="199"/>
        <w:spacing w:after="0" w:line="256" w:lineRule="auto"/>
        <w:rPr>
          <w:sz w:val="20"/>
          <w:szCs w:val="20"/>
          <w:color w:val="auto"/>
        </w:rPr>
      </w:pPr>
      <w:r>
        <w:rPr>
          <w:rFonts w:ascii="Courier New" w:cs="Courier New" w:eastAsia="Courier New" w:hAnsi="Courier New"/>
          <w:sz w:val="17"/>
          <w:szCs w:val="17"/>
          <w:color w:val="auto"/>
        </w:rPr>
        <w:t>The affirmative vote of a majority of the Shares entitled to vote and present, in person or by proxy, is required for the election of Trustees. The affirmative vote of holders of two-thirds of the Shares outstanding and entitled to vote is required to approve the proposal to amend and restate the declaration of trust. With respect to each of the two proposals, a withheld vote or an abstention or broker non-vote will have the effect of a vote against the proposal.</w:t>
      </w:r>
    </w:p>
    <w:p>
      <w:pPr>
        <w:spacing w:after="0" w:line="92" w:lineRule="exact"/>
        <w:rPr>
          <w:sz w:val="20"/>
          <w:szCs w:val="20"/>
          <w:color w:val="auto"/>
        </w:rPr>
      </w:pPr>
    </w:p>
    <w:p>
      <w:pPr>
        <w:jc w:val="both"/>
        <w:ind w:right="3059" w:firstLine="199"/>
        <w:spacing w:after="0" w:line="318" w:lineRule="auto"/>
        <w:rPr>
          <w:sz w:val="20"/>
          <w:szCs w:val="20"/>
          <w:color w:val="auto"/>
        </w:rPr>
      </w:pPr>
      <w:r>
        <w:rPr>
          <w:rFonts w:ascii="Courier New" w:cs="Courier New" w:eastAsia="Courier New" w:hAnsi="Courier New"/>
          <w:sz w:val="16"/>
          <w:szCs w:val="16"/>
          <w:color w:val="auto"/>
        </w:rPr>
        <w:t>If there are not sufficient votes to approve the proposal to amend and restate the declaration of trust, the Annual Meeting may be postponed or adjourned to permit further solicitation of proxies by the Trust.</w:t>
      </w:r>
    </w:p>
    <w:p>
      <w:pPr>
        <w:spacing w:after="0" w:line="45" w:lineRule="exact"/>
        <w:rPr>
          <w:sz w:val="20"/>
          <w:szCs w:val="20"/>
          <w:color w:val="auto"/>
        </w:rPr>
      </w:pPr>
    </w:p>
    <w:p>
      <w:pPr>
        <w:ind w:right="2459" w:firstLine="199"/>
        <w:spacing w:after="0" w:line="250"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31, 1999, together with the Trust's 1998 Annual Report, which includes certified financial statements for the year ended December 31, 1998. The Consolidated Balance Sheets as of December 31, 1998 and 1997 and the Consolidated Statements of Operations, the Consolidated Statements of Shareholders' Equity, the Consolidated Statements of Cash Flows, and the Notes to Consolidated Financial Statements (each of such Statements being for the years ended December 31, 1998, 1997 and 1996), certified and contained in the Trust's 1998 Annual Report, are incorporated herein by reference to that Report.</w:t>
      </w:r>
    </w:p>
    <w:p>
      <w:pPr>
        <w:spacing w:after="0" w:line="98"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OWNERSHIP OF SHARES BY CERTAIN BENEFICIAL OWNERS</w:t>
      </w:r>
    </w:p>
    <w:p>
      <w:pPr>
        <w:spacing w:after="0" w:line="190" w:lineRule="exact"/>
        <w:rPr>
          <w:sz w:val="20"/>
          <w:szCs w:val="20"/>
          <w:color w:val="auto"/>
        </w:rPr>
      </w:pPr>
    </w:p>
    <w:p>
      <w:pPr>
        <w:ind w:right="2859" w:firstLine="199"/>
        <w:spacing w:after="0" w:line="384" w:lineRule="auto"/>
        <w:rPr>
          <w:sz w:val="20"/>
          <w:szCs w:val="20"/>
          <w:color w:val="auto"/>
        </w:rPr>
      </w:pPr>
      <w:r>
        <w:rPr>
          <w:rFonts w:ascii="Courier New" w:cs="Courier New" w:eastAsia="Courier New" w:hAnsi="Courier New"/>
          <w:sz w:val="16"/>
          <w:szCs w:val="16"/>
          <w:color w:val="auto"/>
        </w:rPr>
        <w:t>To the Trust's knowledge, based upon information available to the Trust, beneficial owners of more than 5% of the Trust's Shares are as follows:</w:t>
      </w:r>
    </w:p>
    <w:p>
      <w:pPr>
        <w:spacing w:after="0" w:line="375"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3280" w:type="dxa"/>
            <w:vAlign w:val="bottom"/>
          </w:tcPr>
          <w:p>
            <w:pPr>
              <w:ind w:left="900"/>
              <w:spacing w:after="0"/>
              <w:rPr>
                <w:sz w:val="20"/>
                <w:szCs w:val="20"/>
                <w:color w:val="auto"/>
              </w:rPr>
            </w:pPr>
            <w:r>
              <w:rPr>
                <w:rFonts w:ascii="Courier New" w:cs="Courier New" w:eastAsia="Courier New" w:hAnsi="Courier New"/>
                <w:sz w:val="17"/>
                <w:szCs w:val="17"/>
                <w:color w:val="auto"/>
              </w:rPr>
              <w:t>Name and address</w:t>
            </w:r>
          </w:p>
        </w:tc>
        <w:tc>
          <w:tcPr>
            <w:tcW w:w="33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6"/>
              </w:rPr>
              <w:t>Amount and nature</w:t>
            </w:r>
          </w:p>
        </w:tc>
        <w:tc>
          <w:tcPr>
            <w:tcW w:w="1240" w:type="dxa"/>
            <w:vAlign w:val="bottom"/>
          </w:tcPr>
          <w:p>
            <w:pPr>
              <w:ind w:left="440"/>
              <w:spacing w:after="0"/>
              <w:rPr>
                <w:sz w:val="20"/>
                <w:szCs w:val="20"/>
                <w:color w:val="auto"/>
              </w:rPr>
            </w:pPr>
            <w:r>
              <w:rPr>
                <w:rFonts w:ascii="Courier New" w:cs="Courier New" w:eastAsia="Courier New" w:hAnsi="Courier New"/>
                <w:sz w:val="17"/>
                <w:szCs w:val="17"/>
                <w:color w:val="auto"/>
              </w:rPr>
              <w:t>Percent</w:t>
            </w:r>
          </w:p>
        </w:tc>
      </w:tr>
      <w:tr>
        <w:trPr>
          <w:trHeight w:val="191"/>
        </w:trPr>
        <w:tc>
          <w:tcPr>
            <w:tcW w:w="32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of Beneficial Owner</w:t>
            </w:r>
          </w:p>
        </w:tc>
        <w:tc>
          <w:tcPr>
            <w:tcW w:w="33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of Beneficial Ownership</w:t>
            </w:r>
          </w:p>
        </w:tc>
        <w:tc>
          <w:tcPr>
            <w:tcW w:w="12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5"/>
              </w:rPr>
              <w:t>of Class</w:t>
            </w:r>
          </w:p>
        </w:tc>
      </w:tr>
      <w:tr>
        <w:trPr>
          <w:trHeight w:val="280"/>
        </w:trPr>
        <w:tc>
          <w:tcPr>
            <w:tcW w:w="328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33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Stichting Pensioenfonds ABP</w:t>
            </w:r>
          </w:p>
        </w:tc>
        <w:tc>
          <w:tcPr>
            <w:tcW w:w="3340" w:type="dxa"/>
            <w:vAlign w:val="bottom"/>
          </w:tcPr>
          <w:p>
            <w:pPr>
              <w:jc w:val="right"/>
              <w:ind w:right="1057"/>
              <w:spacing w:after="0"/>
              <w:rPr>
                <w:sz w:val="20"/>
                <w:szCs w:val="20"/>
                <w:color w:val="auto"/>
              </w:rPr>
            </w:pPr>
            <w:r>
              <w:rPr>
                <w:rFonts w:ascii="Courier New" w:cs="Courier New" w:eastAsia="Courier New" w:hAnsi="Courier New"/>
                <w:sz w:val="17"/>
                <w:szCs w:val="17"/>
                <w:color w:val="auto"/>
              </w:rPr>
              <w:t>2,367,000</w:t>
            </w:r>
          </w:p>
        </w:tc>
        <w:tc>
          <w:tcPr>
            <w:tcW w:w="12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5.9%</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P.O. Box 2889</w:t>
            </w:r>
          </w:p>
        </w:tc>
        <w:tc>
          <w:tcPr>
            <w:tcW w:w="3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6401 DJ Heerlen</w:t>
            </w:r>
          </w:p>
        </w:tc>
        <w:tc>
          <w:tcPr>
            <w:tcW w:w="3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80"/>
        </w:trPr>
        <w:tc>
          <w:tcPr>
            <w:tcW w:w="3280" w:type="dxa"/>
            <w:vAlign w:val="bottom"/>
          </w:tcPr>
          <w:p>
            <w:pPr>
              <w:spacing w:after="0"/>
              <w:rPr>
                <w:sz w:val="20"/>
                <w:szCs w:val="20"/>
                <w:color w:val="auto"/>
              </w:rPr>
            </w:pPr>
            <w:r>
              <w:rPr>
                <w:rFonts w:ascii="Courier New" w:cs="Courier New" w:eastAsia="Courier New" w:hAnsi="Courier New"/>
                <w:sz w:val="17"/>
                <w:szCs w:val="17"/>
                <w:color w:val="auto"/>
              </w:rPr>
              <w:t>The Netherlands</w:t>
            </w:r>
          </w:p>
        </w:tc>
        <w:tc>
          <w:tcPr>
            <w:tcW w:w="33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60" w:right="1440" w:bottom="1440" w:gutter="0" w:footer="0" w:header="0"/>
        </w:sectPr>
      </w:pPr>
    </w:p>
    <w:bookmarkStart w:id="4" w:name="page5"/>
    <w:bookmarkEnd w:id="4"/>
    <w:p>
      <w:pPr>
        <w:jc w:val="center"/>
        <w:ind w:right="2459"/>
        <w:spacing w:after="0"/>
        <w:rPr>
          <w:sz w:val="20"/>
          <w:szCs w:val="20"/>
          <w:color w:val="auto"/>
        </w:rPr>
      </w:pPr>
      <w:r>
        <w:rPr>
          <w:rFonts w:ascii="Courier New" w:cs="Courier New" w:eastAsia="Courier New" w:hAnsi="Courier New"/>
          <w:sz w:val="17"/>
          <w:szCs w:val="17"/>
          <w:color w:val="auto"/>
        </w:rPr>
        <w:t>PROPOSAL 1</w:t>
      </w:r>
    </w:p>
    <w:p>
      <w:pPr>
        <w:spacing w:after="0" w:line="2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Election of Trustees</w:t>
      </w:r>
    </w:p>
    <w:p>
      <w:pPr>
        <w:spacing w:after="0" w:line="160"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Pursuant to Section 2.2 of the Trust's declaration of trust, the Trustees are divided into three classes serving three year terms. Two Trustees, comprising one class of Trustees, are to be elected at the Annual Meeting. Mr. Steven J. Guttman and Mr. Mark S. Ordan have been nominated for election as Trustees to hold office until the 2002 Annual Meeting and until their successors have been elected and shall qualify. Proxies may not be voted for more than two Trustees.</w:t>
      </w:r>
    </w:p>
    <w:p>
      <w:pPr>
        <w:spacing w:after="0" w:line="200" w:lineRule="exact"/>
        <w:rPr>
          <w:sz w:val="20"/>
          <w:szCs w:val="20"/>
          <w:color w:val="auto"/>
        </w:rPr>
      </w:pPr>
    </w:p>
    <w:p>
      <w:pPr>
        <w:spacing w:after="0" w:line="273"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94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7"/>
                <w:szCs w:val="17"/>
                <w:color w:val="auto"/>
              </w:rPr>
              <w:t>Age</w:t>
            </w:r>
          </w:p>
        </w:tc>
        <w:tc>
          <w:tcPr>
            <w:tcW w:w="3440" w:type="dxa"/>
            <w:vAlign w:val="bottom"/>
          </w:tcPr>
          <w:p>
            <w:pPr>
              <w:ind w:left="700"/>
              <w:spacing w:after="0"/>
              <w:rPr>
                <w:sz w:val="20"/>
                <w:szCs w:val="20"/>
                <w:color w:val="auto"/>
              </w:rPr>
            </w:pPr>
            <w:r>
              <w:rPr>
                <w:rFonts w:ascii="Courier New" w:cs="Courier New" w:eastAsia="Courier New" w:hAnsi="Courier New"/>
                <w:sz w:val="17"/>
                <w:szCs w:val="17"/>
                <w:color w:val="auto"/>
              </w:rPr>
              <w:t>Principal Occupations</w:t>
            </w:r>
          </w:p>
        </w:tc>
        <w:tc>
          <w:tcPr>
            <w:tcW w:w="12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Trustee</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w w:val="95"/>
              </w:rPr>
              <w:t>Term to</w:t>
            </w:r>
          </w:p>
        </w:tc>
        <w:tc>
          <w:tcPr>
            <w:tcW w:w="0" w:type="dxa"/>
            <w:vAlign w:val="bottom"/>
          </w:tcPr>
          <w:p>
            <w:pPr>
              <w:spacing w:after="0"/>
              <w:rPr>
                <w:sz w:val="1"/>
                <w:szCs w:val="1"/>
                <w:color w:val="auto"/>
              </w:rPr>
            </w:pPr>
          </w:p>
        </w:tc>
      </w:tr>
      <w:tr>
        <w:trPr>
          <w:trHeight w:val="221"/>
        </w:trPr>
        <w:tc>
          <w:tcPr>
            <w:tcW w:w="9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3440" w:type="dxa"/>
            <w:vAlign w:val="bottom"/>
          </w:tcPr>
          <w:p>
            <w:pPr>
              <w:ind w:left="500"/>
              <w:spacing w:after="0"/>
              <w:rPr>
                <w:sz w:val="20"/>
                <w:szCs w:val="20"/>
                <w:color w:val="auto"/>
              </w:rPr>
            </w:pPr>
            <w:r>
              <w:rPr>
                <w:rFonts w:ascii="Courier New" w:cs="Courier New" w:eastAsia="Courier New" w:hAnsi="Courier New"/>
                <w:sz w:val="17"/>
                <w:szCs w:val="17"/>
                <w:color w:val="auto"/>
              </w:rPr>
              <w:t>and Other Directorships*</w:t>
            </w:r>
          </w:p>
        </w:tc>
        <w:tc>
          <w:tcPr>
            <w:tcW w:w="12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Since</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Expire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4780" w:type="dxa"/>
            <w:vAlign w:val="bottom"/>
          </w:tcPr>
          <w:p>
            <w:pPr>
              <w:ind w:left="100"/>
              <w:spacing w:after="0"/>
              <w:rPr>
                <w:sz w:val="20"/>
                <w:szCs w:val="20"/>
                <w:color w:val="auto"/>
              </w:rPr>
            </w:pPr>
            <w:r>
              <w:rPr>
                <w:rFonts w:ascii="Courier New" w:cs="Courier New" w:eastAsia="Courier New" w:hAnsi="Courier New"/>
                <w:sz w:val="17"/>
                <w:szCs w:val="17"/>
                <w:color w:val="auto"/>
              </w:rPr>
              <w:t>52 President and Chief Executive Officer of</w:t>
            </w:r>
          </w:p>
        </w:tc>
        <w:tc>
          <w:tcPr>
            <w:tcW w:w="7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1979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the Trust; Past Trustee, International</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Council of Shopping Centers; Member and</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Former Chairman, National Association of</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9"/>
              </w:rPr>
              <w:t>Real Estate Investment Trusts Board of Gov-</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vMerge w:val="restart"/>
          </w:tcPr>
          <w:p>
            <w:pPr>
              <w:spacing w:after="0"/>
              <w:rPr>
                <w:sz w:val="20"/>
                <w:szCs w:val="20"/>
                <w:color w:val="auto"/>
              </w:rPr>
            </w:pPr>
            <w:r>
              <w:rPr>
                <w:rFonts w:ascii="Courier New" w:cs="Courier New" w:eastAsia="Courier New" w:hAnsi="Courier New"/>
                <w:sz w:val="17"/>
                <w:szCs w:val="17"/>
                <w:color w:val="auto"/>
              </w:rPr>
              <w:t>Mark S. Ordan...........</w:t>
            </w: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ernors and Executive Committee.</w:t>
            </w:r>
          </w:p>
        </w:tc>
        <w:tc>
          <w:tcPr>
            <w:tcW w:w="7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1996</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2002</w:t>
            </w:r>
          </w:p>
        </w:tc>
        <w:tc>
          <w:tcPr>
            <w:tcW w:w="0" w:type="dxa"/>
            <w:vAlign w:val="bottom"/>
          </w:tcPr>
          <w:p>
            <w:pPr>
              <w:spacing w:after="0"/>
              <w:rPr>
                <w:sz w:val="1"/>
                <w:szCs w:val="1"/>
                <w:color w:val="auto"/>
              </w:rPr>
            </w:pPr>
          </w:p>
        </w:tc>
      </w:tr>
      <w:tr>
        <w:trPr>
          <w:trHeight w:val="191"/>
        </w:trPr>
        <w:tc>
          <w:tcPr>
            <w:tcW w:w="2480" w:type="dxa"/>
            <w:vAlign w:val="bottom"/>
            <w:vMerge w:val="continue"/>
          </w:tcPr>
          <w:p>
            <w:pPr>
              <w:spacing w:after="0"/>
              <w:rPr>
                <w:sz w:val="16"/>
                <w:szCs w:val="16"/>
                <w:color w:val="auto"/>
              </w:rPr>
            </w:pPr>
          </w:p>
        </w:tc>
        <w:tc>
          <w:tcPr>
            <w:tcW w:w="4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39 Partner, Bethesda Retail Partners, a retail</w:t>
            </w:r>
          </w:p>
        </w:tc>
        <w:tc>
          <w:tcPr>
            <w:tcW w:w="7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venture capital and operating firm; Former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Chief Executive Officer, Chartwell Health</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9"/>
              </w:rPr>
              <w:t>Management Inc.; Former Chairman, President</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and Chief Executive Officer, Fresh Fields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9"/>
              </w:rPr>
              <w:t>Markets, Inc., a healthy foods supermarket;</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Trustee, Vassar College; Director, Center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4780" w:type="dxa"/>
            <w:vAlign w:val="bottom"/>
          </w:tcPr>
          <w:p>
            <w:pPr>
              <w:ind w:left="400"/>
              <w:spacing w:after="0"/>
              <w:rPr>
                <w:sz w:val="20"/>
                <w:szCs w:val="20"/>
                <w:color w:val="auto"/>
              </w:rPr>
            </w:pPr>
            <w:r>
              <w:rPr>
                <w:rFonts w:ascii="Courier New" w:cs="Courier New" w:eastAsia="Courier New" w:hAnsi="Courier New"/>
                <w:sz w:val="17"/>
                <w:szCs w:val="17"/>
                <w:color w:val="auto"/>
              </w:rPr>
              <w:t>for Science in the Public Interest.</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859" w:firstLine="199"/>
        <w:spacing w:after="0" w:line="347" w:lineRule="auto"/>
        <w:rPr>
          <w:sz w:val="20"/>
          <w:szCs w:val="20"/>
          <w:color w:val="auto"/>
        </w:rPr>
      </w:pPr>
      <w:r>
        <w:rPr>
          <w:rFonts w:ascii="Courier New" w:cs="Courier New" w:eastAsia="Courier New" w:hAnsi="Courier New"/>
          <w:sz w:val="17"/>
          <w:szCs w:val="17"/>
          <w:color w:val="auto"/>
        </w:rPr>
        <w:t>Terms of office of the five Trustees named below will continue until the Annual Meeting in the years indicated.</w:t>
      </w:r>
    </w:p>
    <w:p>
      <w:pPr>
        <w:spacing w:after="0" w:line="398"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94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7"/>
                <w:szCs w:val="17"/>
                <w:color w:val="auto"/>
              </w:rPr>
              <w:t>Age</w:t>
            </w:r>
          </w:p>
        </w:tc>
        <w:tc>
          <w:tcPr>
            <w:tcW w:w="3440" w:type="dxa"/>
            <w:vAlign w:val="bottom"/>
          </w:tcPr>
          <w:p>
            <w:pPr>
              <w:ind w:left="700"/>
              <w:spacing w:after="0"/>
              <w:rPr>
                <w:sz w:val="20"/>
                <w:szCs w:val="20"/>
                <w:color w:val="auto"/>
              </w:rPr>
            </w:pPr>
            <w:r>
              <w:rPr>
                <w:rFonts w:ascii="Courier New" w:cs="Courier New" w:eastAsia="Courier New" w:hAnsi="Courier New"/>
                <w:sz w:val="17"/>
                <w:szCs w:val="17"/>
                <w:color w:val="auto"/>
              </w:rPr>
              <w:t>Principal Occupations</w:t>
            </w:r>
          </w:p>
        </w:tc>
        <w:tc>
          <w:tcPr>
            <w:tcW w:w="12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Trustee</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w w:val="95"/>
              </w:rPr>
              <w:t>Term to</w:t>
            </w:r>
          </w:p>
        </w:tc>
        <w:tc>
          <w:tcPr>
            <w:tcW w:w="0" w:type="dxa"/>
            <w:vAlign w:val="bottom"/>
          </w:tcPr>
          <w:p>
            <w:pPr>
              <w:spacing w:after="0"/>
              <w:rPr>
                <w:sz w:val="1"/>
                <w:szCs w:val="1"/>
                <w:color w:val="auto"/>
              </w:rPr>
            </w:pPr>
          </w:p>
        </w:tc>
      </w:tr>
      <w:tr>
        <w:trPr>
          <w:trHeight w:val="221"/>
        </w:trPr>
        <w:tc>
          <w:tcPr>
            <w:tcW w:w="9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3440" w:type="dxa"/>
            <w:vAlign w:val="bottom"/>
          </w:tcPr>
          <w:p>
            <w:pPr>
              <w:ind w:left="500"/>
              <w:spacing w:after="0"/>
              <w:rPr>
                <w:sz w:val="20"/>
                <w:szCs w:val="20"/>
                <w:color w:val="auto"/>
              </w:rPr>
            </w:pPr>
            <w:r>
              <w:rPr>
                <w:rFonts w:ascii="Courier New" w:cs="Courier New" w:eastAsia="Courier New" w:hAnsi="Courier New"/>
                <w:sz w:val="17"/>
                <w:szCs w:val="17"/>
                <w:color w:val="auto"/>
              </w:rPr>
              <w:t>and Other Directorships*</w:t>
            </w:r>
          </w:p>
        </w:tc>
        <w:tc>
          <w:tcPr>
            <w:tcW w:w="12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Since</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Expire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4780" w:type="dxa"/>
            <w:vAlign w:val="bottom"/>
          </w:tcPr>
          <w:p>
            <w:pPr>
              <w:ind w:left="100"/>
              <w:spacing w:after="0"/>
              <w:rPr>
                <w:sz w:val="20"/>
                <w:szCs w:val="20"/>
                <w:color w:val="auto"/>
              </w:rPr>
            </w:pPr>
            <w:r>
              <w:rPr>
                <w:rFonts w:ascii="Courier New" w:cs="Courier New" w:eastAsia="Courier New" w:hAnsi="Courier New"/>
                <w:sz w:val="17"/>
                <w:szCs w:val="17"/>
                <w:color w:val="auto"/>
              </w:rPr>
              <w:t>55 Founding Partner, Winslow Partners LLC, a</w:t>
            </w:r>
          </w:p>
        </w:tc>
        <w:tc>
          <w:tcPr>
            <w:tcW w:w="7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private equity investment firm; Former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President and Chairman, Export-Import Bank</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9"/>
              </w:rPr>
              <w:t>of the United States; Director, Quest Diag-</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nostics, Inc.; Director, American Red</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vMerge w:val="restart"/>
          </w:tcPr>
          <w:p>
            <w:pPr>
              <w:spacing w:after="0"/>
              <w:rPr>
                <w:sz w:val="20"/>
                <w:szCs w:val="20"/>
                <w:color w:val="auto"/>
              </w:rPr>
            </w:pPr>
            <w:r>
              <w:rPr>
                <w:rFonts w:ascii="Courier New" w:cs="Courier New" w:eastAsia="Courier New" w:hAnsi="Courier New"/>
                <w:sz w:val="17"/>
                <w:szCs w:val="17"/>
                <w:color w:val="auto"/>
              </w:rPr>
              <w:t>A. Cornet de Ways</w:t>
            </w: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Cross.</w:t>
            </w:r>
          </w:p>
        </w:tc>
        <w:tc>
          <w:tcPr>
            <w:tcW w:w="7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1983</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2000</w:t>
            </w:r>
          </w:p>
        </w:tc>
        <w:tc>
          <w:tcPr>
            <w:tcW w:w="0" w:type="dxa"/>
            <w:vAlign w:val="bottom"/>
          </w:tcPr>
          <w:p>
            <w:pPr>
              <w:spacing w:after="0"/>
              <w:rPr>
                <w:sz w:val="1"/>
                <w:szCs w:val="1"/>
                <w:color w:val="auto"/>
              </w:rPr>
            </w:pPr>
          </w:p>
        </w:tc>
      </w:tr>
      <w:tr>
        <w:trPr>
          <w:trHeight w:val="191"/>
        </w:trPr>
        <w:tc>
          <w:tcPr>
            <w:tcW w:w="2480" w:type="dxa"/>
            <w:vAlign w:val="bottom"/>
            <w:vMerge w:val="continue"/>
          </w:tcPr>
          <w:p>
            <w:pPr>
              <w:spacing w:after="0"/>
              <w:rPr>
                <w:sz w:val="16"/>
                <w:szCs w:val="16"/>
                <w:color w:val="auto"/>
              </w:rPr>
            </w:pPr>
          </w:p>
        </w:tc>
        <w:tc>
          <w:tcPr>
            <w:tcW w:w="4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65 Director of SIPEF S.A., an international</w:t>
            </w:r>
          </w:p>
        </w:tc>
        <w:tc>
          <w:tcPr>
            <w:tcW w:w="7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Ruart..................</w:t>
            </w: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9"/>
              </w:rPr>
              <w:t>holding company principally of agricultural</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interests; Director of Interbrew S.A., an</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vMerge w:val="restart"/>
          </w:tcPr>
          <w:p>
            <w:pPr>
              <w:spacing w:after="0"/>
              <w:rPr>
                <w:sz w:val="20"/>
                <w:szCs w:val="20"/>
                <w:color w:val="auto"/>
              </w:rPr>
            </w:pPr>
            <w:r>
              <w:rPr>
                <w:rFonts w:ascii="Courier New" w:cs="Courier New" w:eastAsia="Courier New" w:hAnsi="Courier New"/>
                <w:sz w:val="17"/>
                <w:szCs w:val="17"/>
                <w:color w:val="auto"/>
              </w:rPr>
              <w:t>Walter F. Loeb..........</w:t>
            </w: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international brewery.</w:t>
            </w:r>
          </w:p>
        </w:tc>
        <w:tc>
          <w:tcPr>
            <w:tcW w:w="7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1991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2000</w:t>
            </w:r>
          </w:p>
        </w:tc>
        <w:tc>
          <w:tcPr>
            <w:tcW w:w="0" w:type="dxa"/>
            <w:vAlign w:val="bottom"/>
          </w:tcPr>
          <w:p>
            <w:pPr>
              <w:spacing w:after="0"/>
              <w:rPr>
                <w:sz w:val="1"/>
                <w:szCs w:val="1"/>
                <w:color w:val="auto"/>
              </w:rPr>
            </w:pPr>
          </w:p>
        </w:tc>
      </w:tr>
      <w:tr>
        <w:trPr>
          <w:trHeight w:val="191"/>
        </w:trPr>
        <w:tc>
          <w:tcPr>
            <w:tcW w:w="2480" w:type="dxa"/>
            <w:vAlign w:val="bottom"/>
            <w:vMerge w:val="continue"/>
          </w:tcPr>
          <w:p>
            <w:pPr>
              <w:spacing w:after="0"/>
              <w:rPr>
                <w:sz w:val="16"/>
                <w:szCs w:val="16"/>
                <w:color w:val="auto"/>
              </w:rPr>
            </w:pPr>
          </w:p>
        </w:tc>
        <w:tc>
          <w:tcPr>
            <w:tcW w:w="4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74 President, Loeb Associates Inc., a manage-</w:t>
            </w:r>
          </w:p>
        </w:tc>
        <w:tc>
          <w:tcPr>
            <w:tcW w:w="7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ment consulting firm. Publisher, Loeb Re-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tail Letter; Director, The Gymboree Corp.;</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9"/>
              </w:rPr>
              <w:t>Director, Mothers Work, Inc.; Director, Wet</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9"/>
              </w:rPr>
              <w:t>Seal, Inc., a women's apparel retailer; Di-</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rector, Hudson's Bay Company, a Canadian</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chain of retail department stores and dis-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count stores; Director, The Warnaco Group,</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Inc.; Retired Principal and Senior Retail</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vMerge w:val="restart"/>
          </w:tcPr>
          <w:p>
            <w:pPr>
              <w:spacing w:after="0"/>
              <w:rPr>
                <w:sz w:val="20"/>
                <w:szCs w:val="20"/>
                <w:color w:val="auto"/>
              </w:rPr>
            </w:pPr>
            <w:r>
              <w:rPr>
                <w:rFonts w:ascii="Courier New" w:cs="Courier New" w:eastAsia="Courier New" w:hAnsi="Courier New"/>
                <w:sz w:val="17"/>
                <w:szCs w:val="17"/>
                <w:color w:val="auto"/>
              </w:rPr>
              <w:t>Dennis L. Berman........</w:t>
            </w: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Analyst, Morgan Stanley &amp; Co., Inc.</w:t>
            </w:r>
          </w:p>
        </w:tc>
        <w:tc>
          <w:tcPr>
            <w:tcW w:w="7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1989</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2001</w:t>
            </w:r>
          </w:p>
        </w:tc>
        <w:tc>
          <w:tcPr>
            <w:tcW w:w="0" w:type="dxa"/>
            <w:vAlign w:val="bottom"/>
          </w:tcPr>
          <w:p>
            <w:pPr>
              <w:spacing w:after="0"/>
              <w:rPr>
                <w:sz w:val="1"/>
                <w:szCs w:val="1"/>
                <w:color w:val="auto"/>
              </w:rPr>
            </w:pPr>
          </w:p>
        </w:tc>
      </w:tr>
      <w:tr>
        <w:trPr>
          <w:trHeight w:val="191"/>
        </w:trPr>
        <w:tc>
          <w:tcPr>
            <w:tcW w:w="2480" w:type="dxa"/>
            <w:vAlign w:val="bottom"/>
            <w:vMerge w:val="continue"/>
          </w:tcPr>
          <w:p>
            <w:pPr>
              <w:spacing w:after="0"/>
              <w:rPr>
                <w:sz w:val="16"/>
                <w:szCs w:val="16"/>
                <w:color w:val="auto"/>
              </w:rPr>
            </w:pPr>
          </w:p>
        </w:tc>
        <w:tc>
          <w:tcPr>
            <w:tcW w:w="4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48 General Partner, Berman Enterprises,</w:t>
            </w:r>
          </w:p>
        </w:tc>
        <w:tc>
          <w:tcPr>
            <w:tcW w:w="7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Vingarden Associates, GDR Partnerships,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9"/>
              </w:rPr>
              <w:t>builders/developers; Director, Beco Manage-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vMerge w:val="restart"/>
          </w:tcPr>
          <w:p>
            <w:pPr>
              <w:spacing w:after="0"/>
              <w:rPr>
                <w:sz w:val="20"/>
                <w:szCs w:val="20"/>
                <w:color w:val="auto"/>
              </w:rPr>
            </w:pPr>
            <w:r>
              <w:rPr>
                <w:rFonts w:ascii="Courier New" w:cs="Courier New" w:eastAsia="Courier New" w:hAnsi="Courier New"/>
                <w:sz w:val="17"/>
                <w:szCs w:val="17"/>
                <w:color w:val="auto"/>
              </w:rPr>
              <w:t>Kristin Gamble..........</w:t>
            </w: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ment, office building owners/managers.</w:t>
            </w:r>
          </w:p>
        </w:tc>
        <w:tc>
          <w:tcPr>
            <w:tcW w:w="7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1995</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2001</w:t>
            </w:r>
          </w:p>
        </w:tc>
        <w:tc>
          <w:tcPr>
            <w:tcW w:w="0" w:type="dxa"/>
            <w:vAlign w:val="bottom"/>
          </w:tcPr>
          <w:p>
            <w:pPr>
              <w:spacing w:after="0"/>
              <w:rPr>
                <w:sz w:val="1"/>
                <w:szCs w:val="1"/>
                <w:color w:val="auto"/>
              </w:rPr>
            </w:pPr>
          </w:p>
        </w:tc>
      </w:tr>
      <w:tr>
        <w:trPr>
          <w:trHeight w:val="191"/>
        </w:trPr>
        <w:tc>
          <w:tcPr>
            <w:tcW w:w="2480" w:type="dxa"/>
            <w:vAlign w:val="bottom"/>
            <w:vMerge w:val="continue"/>
          </w:tcPr>
          <w:p>
            <w:pPr>
              <w:spacing w:after="0"/>
              <w:rPr>
                <w:sz w:val="16"/>
                <w:szCs w:val="16"/>
                <w:color w:val="auto"/>
              </w:rPr>
            </w:pPr>
          </w:p>
        </w:tc>
        <w:tc>
          <w:tcPr>
            <w:tcW w:w="4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53 President, Flood, Gamble Associates, Inc.,</w:t>
            </w:r>
          </w:p>
        </w:tc>
        <w:tc>
          <w:tcPr>
            <w:tcW w:w="7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an investment counseling firm; Director,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4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Ethan Allen Interiors, Inc., a furniture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4780" w:type="dxa"/>
            <w:vAlign w:val="bottom"/>
          </w:tcPr>
          <w:p>
            <w:pPr>
              <w:ind w:left="400"/>
              <w:spacing w:after="0"/>
              <w:rPr>
                <w:sz w:val="20"/>
                <w:szCs w:val="20"/>
                <w:color w:val="auto"/>
              </w:rPr>
            </w:pPr>
            <w:r>
              <w:rPr>
                <w:rFonts w:ascii="Courier New" w:cs="Courier New" w:eastAsia="Courier New" w:hAnsi="Courier New"/>
                <w:sz w:val="17"/>
                <w:szCs w:val="17"/>
                <w:color w:val="auto"/>
              </w:rPr>
              <w:t>manufacturer and retailer.</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190" w:lineRule="exact"/>
        <w:rPr>
          <w:sz w:val="20"/>
          <w:szCs w:val="20"/>
          <w:color w:val="auto"/>
        </w:rPr>
      </w:pPr>
    </w:p>
    <w:p>
      <w:pPr>
        <w:ind w:left="200" w:hanging="198"/>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histories set forth in these tables cover a five-year period.</w:t>
      </w:r>
    </w:p>
    <w:p>
      <w:pPr>
        <w:spacing w:after="0" w:line="189" w:lineRule="exact"/>
        <w:rPr>
          <w:rFonts w:ascii="Courier New" w:cs="Courier New" w:eastAsia="Courier New" w:hAnsi="Courier New"/>
          <w:sz w:val="17"/>
          <w:szCs w:val="17"/>
          <w:color w:val="auto"/>
        </w:rPr>
      </w:pPr>
    </w:p>
    <w:p>
      <w:pPr>
        <w:ind w:left="38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60" w:right="1440" w:bottom="886" w:gutter="0" w:footer="0" w:header="0"/>
        </w:sectPr>
      </w:pPr>
    </w:p>
    <w:bookmarkStart w:id="5" w:name="page6"/>
    <w:bookmarkEnd w:id="5"/>
    <w:p>
      <w:pPr>
        <w:ind w:left="200"/>
        <w:spacing w:after="0"/>
        <w:rPr>
          <w:sz w:val="20"/>
          <w:szCs w:val="20"/>
          <w:color w:val="auto"/>
        </w:rPr>
      </w:pPr>
      <w:r>
        <w:rPr>
          <w:rFonts w:ascii="Courier New" w:cs="Courier New" w:eastAsia="Courier New" w:hAnsi="Courier New"/>
          <w:sz w:val="17"/>
          <w:szCs w:val="17"/>
          <w:color w:val="auto"/>
        </w:rPr>
        <w:t>Terms of office of the two Trustees named below will expire at the Annual</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940" w:type="dxa"/>
            <w:vAlign w:val="bottom"/>
          </w:tcPr>
          <w:p>
            <w:pPr>
              <w:spacing w:after="0"/>
              <w:rPr>
                <w:sz w:val="20"/>
                <w:szCs w:val="20"/>
                <w:color w:val="auto"/>
              </w:rPr>
            </w:pPr>
            <w:r>
              <w:rPr>
                <w:rFonts w:ascii="Courier New" w:cs="Courier New" w:eastAsia="Courier New" w:hAnsi="Courier New"/>
                <w:sz w:val="17"/>
                <w:szCs w:val="17"/>
                <w:color w:val="auto"/>
              </w:rPr>
              <w:t>Meeting.</w:t>
            </w:r>
          </w:p>
        </w:tc>
        <w:tc>
          <w:tcPr>
            <w:tcW w:w="1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1940" w:type="dxa"/>
            <w:vAlign w:val="bottom"/>
            <w:vMerge w:val="restart"/>
          </w:tcPr>
          <w:p>
            <w:pPr>
              <w:ind w:left="1000"/>
              <w:spacing w:after="0"/>
              <w:rPr>
                <w:sz w:val="20"/>
                <w:szCs w:val="20"/>
                <w:color w:val="auto"/>
              </w:rPr>
            </w:pPr>
            <w:r>
              <w:rPr>
                <w:rFonts w:ascii="Courier New" w:cs="Courier New" w:eastAsia="Courier New" w:hAnsi="Courier New"/>
                <w:sz w:val="17"/>
                <w:szCs w:val="17"/>
                <w:color w:val="auto"/>
              </w:rPr>
              <w:t>Name</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7"/>
                <w:szCs w:val="17"/>
                <w:color w:val="auto"/>
              </w:rPr>
              <w:t>Age</w:t>
            </w:r>
          </w:p>
        </w:tc>
        <w:tc>
          <w:tcPr>
            <w:tcW w:w="3440" w:type="dxa"/>
            <w:vAlign w:val="bottom"/>
          </w:tcPr>
          <w:p>
            <w:pPr>
              <w:ind w:left="700"/>
              <w:spacing w:after="0"/>
              <w:rPr>
                <w:sz w:val="20"/>
                <w:szCs w:val="20"/>
                <w:color w:val="auto"/>
              </w:rPr>
            </w:pPr>
            <w:r>
              <w:rPr>
                <w:rFonts w:ascii="Courier New" w:cs="Courier New" w:eastAsia="Courier New" w:hAnsi="Courier New"/>
                <w:sz w:val="17"/>
                <w:szCs w:val="17"/>
                <w:color w:val="auto"/>
              </w:rPr>
              <w:t>Principal Occupations</w:t>
            </w:r>
          </w:p>
        </w:tc>
        <w:tc>
          <w:tcPr>
            <w:tcW w:w="2040" w:type="dxa"/>
            <w:vAlign w:val="bottom"/>
          </w:tcPr>
          <w:p>
            <w:pPr>
              <w:jc w:val="center"/>
              <w:ind w:left="457"/>
              <w:spacing w:after="0"/>
              <w:rPr>
                <w:sz w:val="20"/>
                <w:szCs w:val="20"/>
                <w:color w:val="auto"/>
              </w:rPr>
            </w:pPr>
            <w:r>
              <w:rPr>
                <w:rFonts w:ascii="Courier New" w:cs="Courier New" w:eastAsia="Courier New" w:hAnsi="Courier New"/>
                <w:sz w:val="17"/>
                <w:szCs w:val="17"/>
                <w:color w:val="auto"/>
                <w:w w:val="98"/>
              </w:rPr>
              <w:t>Trustee Term to</w:t>
            </w:r>
          </w:p>
        </w:tc>
        <w:tc>
          <w:tcPr>
            <w:tcW w:w="0" w:type="dxa"/>
            <w:vAlign w:val="bottom"/>
          </w:tcPr>
          <w:p>
            <w:pPr>
              <w:spacing w:after="0"/>
              <w:rPr>
                <w:sz w:val="1"/>
                <w:szCs w:val="1"/>
                <w:color w:val="auto"/>
              </w:rPr>
            </w:pPr>
          </w:p>
        </w:tc>
      </w:tr>
      <w:tr>
        <w:trPr>
          <w:trHeight w:val="221"/>
        </w:trPr>
        <w:tc>
          <w:tcPr>
            <w:tcW w:w="19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3440" w:type="dxa"/>
            <w:vAlign w:val="bottom"/>
          </w:tcPr>
          <w:p>
            <w:pPr>
              <w:ind w:left="500"/>
              <w:spacing w:after="0"/>
              <w:rPr>
                <w:sz w:val="20"/>
                <w:szCs w:val="20"/>
                <w:color w:val="auto"/>
              </w:rPr>
            </w:pPr>
            <w:r>
              <w:rPr>
                <w:rFonts w:ascii="Courier New" w:cs="Courier New" w:eastAsia="Courier New" w:hAnsi="Courier New"/>
                <w:sz w:val="17"/>
                <w:szCs w:val="17"/>
                <w:color w:val="auto"/>
              </w:rPr>
              <w:t>and Other Directorships*</w:t>
            </w:r>
          </w:p>
        </w:tc>
        <w:tc>
          <w:tcPr>
            <w:tcW w:w="2040" w:type="dxa"/>
            <w:vAlign w:val="bottom"/>
          </w:tcPr>
          <w:p>
            <w:pPr>
              <w:jc w:val="center"/>
              <w:ind w:left="457"/>
              <w:spacing w:after="0"/>
              <w:rPr>
                <w:sz w:val="20"/>
                <w:szCs w:val="20"/>
                <w:color w:val="auto"/>
              </w:rPr>
            </w:pPr>
            <w:r>
              <w:rPr>
                <w:rFonts w:ascii="Courier New" w:cs="Courier New" w:eastAsia="Courier New" w:hAnsi="Courier New"/>
                <w:sz w:val="17"/>
                <w:szCs w:val="17"/>
                <w:color w:val="auto"/>
                <w:w w:val="98"/>
              </w:rPr>
              <w:t>Since  Expire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 w:type="dxa"/>
            <w:vAlign w:val="bottom"/>
          </w:tcPr>
          <w:p>
            <w:pPr>
              <w:spacing w:after="0"/>
              <w:rPr>
                <w:sz w:val="20"/>
                <w:szCs w:val="20"/>
                <w:color w:val="auto"/>
              </w:rPr>
            </w:pPr>
            <w:r>
              <w:rPr>
                <w:rFonts w:ascii="Courier New" w:cs="Courier New" w:eastAsia="Courier New" w:hAnsi="Courier New"/>
                <w:sz w:val="17"/>
                <w:szCs w:val="17"/>
                <w:color w:val="auto"/>
              </w:rPr>
              <w:t>Samuel</w:t>
            </w:r>
          </w:p>
        </w:tc>
        <w:tc>
          <w:tcPr>
            <w:tcW w:w="1840" w:type="dxa"/>
            <w:vAlign w:val="bottom"/>
          </w:tcPr>
          <w:p>
            <w:pPr>
              <w:ind w:left="60"/>
              <w:spacing w:after="0"/>
              <w:rPr>
                <w:sz w:val="20"/>
                <w:szCs w:val="20"/>
                <w:color w:val="auto"/>
              </w:rPr>
            </w:pPr>
            <w:r>
              <w:rPr>
                <w:rFonts w:ascii="Courier New" w:cs="Courier New" w:eastAsia="Courier New" w:hAnsi="Courier New"/>
                <w:sz w:val="17"/>
                <w:szCs w:val="17"/>
                <w:color w:val="auto"/>
              </w:rPr>
              <w:t>J. Gorlitz.......</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c>
          <w:tcPr>
            <w:tcW w:w="4320" w:type="dxa"/>
            <w:vAlign w:val="bottom"/>
          </w:tcPr>
          <w:p>
            <w:pPr>
              <w:ind w:left="40"/>
              <w:spacing w:after="0"/>
              <w:rPr>
                <w:sz w:val="20"/>
                <w:szCs w:val="20"/>
                <w:color w:val="auto"/>
              </w:rPr>
            </w:pPr>
            <w:r>
              <w:rPr>
                <w:rFonts w:ascii="Courier New" w:cs="Courier New" w:eastAsia="Courier New" w:hAnsi="Courier New"/>
                <w:sz w:val="17"/>
                <w:szCs w:val="17"/>
                <w:color w:val="auto"/>
              </w:rPr>
              <w:t>Founder of the Trust; President, Gorlitz</w:t>
            </w:r>
          </w:p>
        </w:tc>
        <w:tc>
          <w:tcPr>
            <w:tcW w:w="8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1975</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George</w:t>
            </w:r>
          </w:p>
        </w:tc>
        <w:tc>
          <w:tcPr>
            <w:tcW w:w="18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L. Perry.........</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65</w:t>
            </w:r>
          </w:p>
        </w:tc>
        <w:tc>
          <w:tcPr>
            <w:tcW w:w="4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Associates, real estate developers.</w:t>
            </w:r>
          </w:p>
        </w:tc>
        <w:tc>
          <w:tcPr>
            <w:tcW w:w="8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1993</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1999</w:t>
            </w:r>
          </w:p>
        </w:tc>
        <w:tc>
          <w:tcPr>
            <w:tcW w:w="0" w:type="dxa"/>
            <w:vAlign w:val="bottom"/>
          </w:tcPr>
          <w:p>
            <w:pPr>
              <w:spacing w:after="0"/>
              <w:rPr>
                <w:sz w:val="1"/>
                <w:szCs w:val="1"/>
                <w:color w:val="auto"/>
              </w:rPr>
            </w:pPr>
          </w:p>
        </w:tc>
      </w:tr>
      <w:tr>
        <w:trPr>
          <w:trHeight w:val="221"/>
        </w:trPr>
        <w:tc>
          <w:tcPr>
            <w:tcW w:w="64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4320" w:type="dxa"/>
            <w:vAlign w:val="bottom"/>
          </w:tcPr>
          <w:p>
            <w:pPr>
              <w:ind w:left="40"/>
              <w:spacing w:after="0"/>
              <w:rPr>
                <w:sz w:val="20"/>
                <w:szCs w:val="20"/>
                <w:color w:val="auto"/>
              </w:rPr>
            </w:pPr>
            <w:r>
              <w:rPr>
                <w:rFonts w:ascii="Courier New" w:cs="Courier New" w:eastAsia="Courier New" w:hAnsi="Courier New"/>
                <w:sz w:val="17"/>
                <w:szCs w:val="17"/>
                <w:color w:val="auto"/>
              </w:rPr>
              <w:t>Senior Fellow, Brookings Institution; Di-</w:t>
            </w:r>
          </w:p>
        </w:tc>
        <w:tc>
          <w:tcPr>
            <w:tcW w:w="8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880"/>
        <w:spacing w:after="0" w:line="238" w:lineRule="auto"/>
        <w:rPr>
          <w:sz w:val="20"/>
          <w:szCs w:val="20"/>
          <w:color w:val="auto"/>
        </w:rPr>
      </w:pPr>
      <w:r>
        <w:rPr>
          <w:rFonts w:ascii="Courier New" w:cs="Courier New" w:eastAsia="Courier New" w:hAnsi="Courier New"/>
          <w:sz w:val="17"/>
          <w:szCs w:val="17"/>
          <w:color w:val="auto"/>
        </w:rPr>
        <w:t>rector, State Farm Life Insurance Company;</w:t>
      </w:r>
    </w:p>
    <w:p>
      <w:pPr>
        <w:ind w:left="2880"/>
        <w:spacing w:after="0" w:line="238" w:lineRule="auto"/>
        <w:rPr>
          <w:sz w:val="20"/>
          <w:szCs w:val="20"/>
          <w:color w:val="auto"/>
        </w:rPr>
      </w:pPr>
      <w:r>
        <w:rPr>
          <w:rFonts w:ascii="Courier New" w:cs="Courier New" w:eastAsia="Courier New" w:hAnsi="Courier New"/>
          <w:sz w:val="17"/>
          <w:szCs w:val="17"/>
          <w:color w:val="auto"/>
        </w:rPr>
        <w:t>Director, State Farm Mutual Automobile Com-</w:t>
      </w:r>
    </w:p>
    <w:p>
      <w:pPr>
        <w:ind w:left="2880"/>
        <w:spacing w:after="0"/>
        <w:rPr>
          <w:sz w:val="20"/>
          <w:szCs w:val="20"/>
          <w:color w:val="auto"/>
        </w:rPr>
      </w:pPr>
      <w:r>
        <w:rPr>
          <w:rFonts w:ascii="Courier New" w:cs="Courier New" w:eastAsia="Courier New" w:hAnsi="Courier New"/>
          <w:sz w:val="17"/>
          <w:szCs w:val="17"/>
          <w:color w:val="auto"/>
        </w:rPr>
        <w:t>pany and various mutual funds managed by</w:t>
      </w:r>
    </w:p>
    <w:p>
      <w:pPr>
        <w:ind w:left="2880"/>
        <w:spacing w:after="0"/>
        <w:rPr>
          <w:sz w:val="20"/>
          <w:szCs w:val="20"/>
          <w:color w:val="auto"/>
        </w:rPr>
      </w:pPr>
      <w:r>
        <w:rPr>
          <w:rFonts w:ascii="Courier New" w:cs="Courier New" w:eastAsia="Courier New" w:hAnsi="Courier New"/>
          <w:sz w:val="17"/>
          <w:szCs w:val="17"/>
          <w:color w:val="auto"/>
        </w:rPr>
        <w:t>the Dreyfus Corporation.</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The business histories set forth in these tables cover a five-year period.</w:t>
      </w:r>
    </w:p>
    <w:p>
      <w:pPr>
        <w:spacing w:after="0" w:line="160" w:lineRule="exact"/>
        <w:rPr>
          <w:sz w:val="20"/>
          <w:szCs w:val="20"/>
          <w:color w:val="auto"/>
        </w:rPr>
      </w:pPr>
    </w:p>
    <w:p>
      <w:pPr>
        <w:ind w:right="2459" w:firstLine="199"/>
        <w:spacing w:after="0" w:line="249" w:lineRule="auto"/>
        <w:rPr>
          <w:sz w:val="20"/>
          <w:szCs w:val="20"/>
          <w:color w:val="auto"/>
        </w:rPr>
      </w:pPr>
      <w:r>
        <w:rPr>
          <w:rFonts w:ascii="Courier New" w:cs="Courier New" w:eastAsia="Courier New" w:hAnsi="Courier New"/>
          <w:sz w:val="17"/>
          <w:szCs w:val="17"/>
          <w:color w:val="auto"/>
        </w:rPr>
        <w:t>The Board of Trustees has an Audit Committee, comprised of Mr. Ordan (Chairman), Mr. Berman and Mr. Cornet, which independently reviews the Trust's financial statements and coordinates its review with the Trust's independent public accountants. The Audit Committee held four meetings in 1998. The Compensation Committee of the Board of Trustees, comprised of Mr. Loeb (Chairman), Mr. Brody and Mr. Ordan, reviews and reports to the Board on incentive plans and remuneration of officers. That committee held six meetings in 1998. The Compensation Committee also administers the Trust's Amended and Restated 1993 Long-Term Incentive Plan (the "Amended Plan"). During 1998 the Board of Trustees held six meetings. The Board of Trustees has no standing nominating committee.</w:t>
      </w:r>
    </w:p>
    <w:p>
      <w:pPr>
        <w:spacing w:after="0" w:line="9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51" w:right="1440" w:bottom="1440" w:gutter="0" w:footer="0" w:header="0"/>
        </w:sectPr>
      </w:pPr>
    </w:p>
    <w:bookmarkStart w:id="6" w:name="page7"/>
    <w:bookmarkEnd w:id="6"/>
    <w:p>
      <w:pPr>
        <w:jc w:val="center"/>
        <w:ind w:right="2459"/>
        <w:spacing w:after="0"/>
        <w:rPr>
          <w:sz w:val="20"/>
          <w:szCs w:val="20"/>
          <w:color w:val="auto"/>
        </w:rPr>
      </w:pPr>
      <w:r>
        <w:rPr>
          <w:rFonts w:ascii="Courier New" w:cs="Courier New" w:eastAsia="Courier New" w:hAnsi="Courier New"/>
          <w:sz w:val="17"/>
          <w:szCs w:val="17"/>
          <w:color w:val="auto"/>
        </w:rPr>
        <w:t>OWNERSHIP OF SHARES BY TRUSTEES AND OFFICERS</w:t>
      </w:r>
    </w:p>
    <w:p>
      <w:pPr>
        <w:spacing w:after="0" w:line="190" w:lineRule="exact"/>
        <w:rPr>
          <w:sz w:val="20"/>
          <w:szCs w:val="20"/>
          <w:color w:val="auto"/>
        </w:rPr>
      </w:pPr>
    </w:p>
    <w:p>
      <w:pPr>
        <w:jc w:val="both"/>
        <w:ind w:right="2759" w:firstLine="199"/>
        <w:spacing w:after="0" w:line="292" w:lineRule="auto"/>
        <w:rPr>
          <w:sz w:val="20"/>
          <w:szCs w:val="20"/>
          <w:color w:val="auto"/>
        </w:rPr>
      </w:pPr>
      <w:r>
        <w:rPr>
          <w:rFonts w:ascii="Courier New" w:cs="Courier New" w:eastAsia="Courier New" w:hAnsi="Courier New"/>
          <w:sz w:val="17"/>
          <w:szCs w:val="17"/>
          <w:color w:val="auto"/>
        </w:rPr>
        <w:t>As of March 25, 1999, Trustees and executive officers as a group, and the Trustees and named executive officers, individually, beneficially owned the following Shares: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16"/>
                <w:szCs w:val="16"/>
                <w:color w:val="auto"/>
              </w:rPr>
            </w:pPr>
          </w:p>
        </w:tc>
        <w:tc>
          <w:tcPr>
            <w:tcW w:w="2680" w:type="dxa"/>
            <w:vAlign w:val="bottom"/>
            <w:vMerge w:val="restart"/>
          </w:tcPr>
          <w:p>
            <w:pPr>
              <w:jc w:val="center"/>
              <w:ind w:left="317"/>
              <w:spacing w:after="0"/>
              <w:rPr>
                <w:sz w:val="20"/>
                <w:szCs w:val="20"/>
                <w:color w:val="auto"/>
              </w:rPr>
            </w:pPr>
            <w:r>
              <w:rPr>
                <w:rFonts w:ascii="Courier New" w:cs="Courier New" w:eastAsia="Courier New" w:hAnsi="Courier New"/>
                <w:sz w:val="17"/>
                <w:szCs w:val="17"/>
                <w:color w:val="auto"/>
                <w:w w:val="98"/>
              </w:rPr>
              <w:t>Number of Shares</w:t>
            </w:r>
          </w:p>
        </w:tc>
        <w:tc>
          <w:tcPr>
            <w:tcW w:w="18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Percentage of</w:t>
            </w:r>
          </w:p>
        </w:tc>
        <w:tc>
          <w:tcPr>
            <w:tcW w:w="0" w:type="dxa"/>
            <w:vAlign w:val="bottom"/>
          </w:tcPr>
          <w:p>
            <w:pPr>
              <w:spacing w:after="0"/>
              <w:rPr>
                <w:sz w:val="1"/>
                <w:szCs w:val="1"/>
                <w:color w:val="auto"/>
              </w:rPr>
            </w:pPr>
          </w:p>
        </w:tc>
      </w:tr>
      <w:tr>
        <w:trPr>
          <w:trHeight w:val="191"/>
        </w:trPr>
        <w:tc>
          <w:tcPr>
            <w:tcW w:w="2840" w:type="dxa"/>
            <w:vAlign w:val="bottom"/>
            <w:vMerge w:val="restart"/>
          </w:tcPr>
          <w:p>
            <w:pPr>
              <w:spacing w:after="0"/>
              <w:rPr>
                <w:sz w:val="20"/>
                <w:szCs w:val="20"/>
                <w:color w:val="auto"/>
              </w:rPr>
            </w:pPr>
            <w:r>
              <w:rPr>
                <w:rFonts w:ascii="Courier New" w:cs="Courier New" w:eastAsia="Courier New" w:hAnsi="Courier New"/>
                <w:sz w:val="17"/>
                <w:szCs w:val="17"/>
                <w:color w:val="auto"/>
              </w:rPr>
              <w:t>Name of Beneficial Owner</w:t>
            </w:r>
          </w:p>
        </w:tc>
        <w:tc>
          <w:tcPr>
            <w:tcW w:w="2680" w:type="dxa"/>
            <w:vAlign w:val="bottom"/>
            <w:vMerge w:val="continue"/>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Outstanding Shares</w:t>
            </w:r>
          </w:p>
        </w:tc>
        <w:tc>
          <w:tcPr>
            <w:tcW w:w="0" w:type="dxa"/>
            <w:vAlign w:val="bottom"/>
          </w:tcPr>
          <w:p>
            <w:pPr>
              <w:spacing w:after="0"/>
              <w:rPr>
                <w:sz w:val="1"/>
                <w:szCs w:val="1"/>
                <w:color w:val="auto"/>
              </w:rPr>
            </w:pPr>
          </w:p>
        </w:tc>
      </w:tr>
      <w:tr>
        <w:trPr>
          <w:trHeight w:val="221"/>
        </w:trPr>
        <w:tc>
          <w:tcPr>
            <w:tcW w:w="2840" w:type="dxa"/>
            <w:vAlign w:val="bottom"/>
            <w:vMerge w:val="continue"/>
          </w:tcPr>
          <w:p>
            <w:pPr>
              <w:spacing w:after="0"/>
              <w:rPr>
                <w:sz w:val="19"/>
                <w:szCs w:val="19"/>
                <w:color w:val="auto"/>
              </w:rPr>
            </w:pPr>
          </w:p>
        </w:tc>
        <w:tc>
          <w:tcPr>
            <w:tcW w:w="2680" w:type="dxa"/>
            <w:vAlign w:val="bottom"/>
          </w:tcPr>
          <w:p>
            <w:pPr>
              <w:jc w:val="center"/>
              <w:ind w:left="317"/>
              <w:spacing w:after="0"/>
              <w:rPr>
                <w:sz w:val="20"/>
                <w:szCs w:val="20"/>
                <w:color w:val="auto"/>
              </w:rPr>
            </w:pPr>
            <w:r>
              <w:rPr>
                <w:rFonts w:ascii="Courier New" w:cs="Courier New" w:eastAsia="Courier New" w:hAnsi="Courier New"/>
                <w:sz w:val="17"/>
                <w:szCs w:val="17"/>
                <w:color w:val="auto"/>
                <w:w w:val="98"/>
              </w:rPr>
              <w:t>Beneficially Owned (1)</w:t>
            </w:r>
          </w:p>
        </w:tc>
        <w:tc>
          <w:tcPr>
            <w:tcW w:w="18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of the Trust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spacing w:after="0"/>
              <w:rPr>
                <w:sz w:val="20"/>
                <w:szCs w:val="20"/>
                <w:color w:val="auto"/>
              </w:rPr>
            </w:pPr>
            <w:r>
              <w:rPr>
                <w:rFonts w:ascii="Courier New" w:cs="Courier New" w:eastAsia="Courier New" w:hAnsi="Courier New"/>
                <w:sz w:val="17"/>
                <w:szCs w:val="17"/>
                <w:color w:val="auto"/>
              </w:rPr>
              <w:t>Trustees and executive officers</w:t>
            </w:r>
          </w:p>
        </w:tc>
        <w:tc>
          <w:tcPr>
            <w:tcW w:w="1940" w:type="dxa"/>
            <w:vAlign w:val="bottom"/>
            <w:vMerge w:val="restart"/>
          </w:tcPr>
          <w:p>
            <w:pPr>
              <w:jc w:val="right"/>
              <w:ind w:right="557"/>
              <w:spacing w:after="0"/>
              <w:rPr>
                <w:sz w:val="20"/>
                <w:szCs w:val="20"/>
                <w:color w:val="auto"/>
              </w:rPr>
            </w:pPr>
            <w:r>
              <w:rPr>
                <w:rFonts w:ascii="Courier New" w:cs="Courier New" w:eastAsia="Courier New" w:hAnsi="Courier New"/>
                <w:sz w:val="17"/>
                <w:szCs w:val="17"/>
                <w:color w:val="auto"/>
              </w:rPr>
              <w:t>2,820,345</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7.02%</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as a group (15 individuals)</w:t>
            </w:r>
          </w:p>
        </w:tc>
        <w:tc>
          <w:tcPr>
            <w:tcW w:w="1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Dennis L. Berman(2)</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470,158</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Howard S. Biel</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Kenneth D. Brody</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9,000</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A. Cornet de Ways Ruart(3)</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35,768</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Nathan P. Fishkin(4)</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215,933</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Kristin Gamble(5)</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103,512</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Samuel J. Gorlitz(6)</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156,597</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Steven J. Guttman(7)</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1,340,287</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3.34%</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Ron D. Kaplan(8)</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326,666</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Walter F. Loeb</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28,659</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Mark S. Ordan(9)</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10,500</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George L. Perry</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19,822</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Cecily A. Ward</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76,704</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280"/>
        </w:trPr>
        <w:tc>
          <w:tcPr>
            <w:tcW w:w="3480" w:type="dxa"/>
            <w:vAlign w:val="bottom"/>
          </w:tcPr>
          <w:p>
            <w:pPr>
              <w:spacing w:after="0"/>
              <w:rPr>
                <w:sz w:val="20"/>
                <w:szCs w:val="20"/>
                <w:color w:val="auto"/>
              </w:rPr>
            </w:pPr>
            <w:r>
              <w:rPr>
                <w:rFonts w:ascii="Courier New" w:cs="Courier New" w:eastAsia="Courier New" w:hAnsi="Courier New"/>
                <w:sz w:val="17"/>
                <w:szCs w:val="17"/>
                <w:color w:val="auto"/>
              </w:rPr>
              <w:t>Donald C. Wood(10)</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16,200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00" w:hanging="198"/>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189" w:lineRule="exact"/>
        <w:rPr>
          <w:rFonts w:ascii="Courier New" w:cs="Courier New" w:eastAsia="Courier New" w:hAnsi="Courier New"/>
          <w:sz w:val="17"/>
          <w:szCs w:val="17"/>
          <w:color w:val="auto"/>
        </w:rPr>
      </w:pPr>
    </w:p>
    <w:p>
      <w:pPr>
        <w:ind w:right="2459" w:firstLine="201"/>
        <w:spacing w:after="0" w:line="258" w:lineRule="auto"/>
        <w:tabs>
          <w:tab w:leader="none" w:pos="597"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 percentage of Shares shown in this table reflect beneficial ownership, determined in accordance with Rule 13d-3 of the Securities Exchange Act of 1934, as amended (the "Exchange Act")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spacing w:after="0" w:line="4" w:lineRule="exact"/>
        <w:rPr>
          <w:rFonts w:ascii="Courier New" w:cs="Courier New" w:eastAsia="Courier New" w:hAnsi="Courier New"/>
          <w:sz w:val="16"/>
          <w:szCs w:val="16"/>
          <w:color w:val="auto"/>
        </w:rPr>
      </w:pPr>
    </w:p>
    <w:p>
      <w:pPr>
        <w:ind w:right="2559" w:firstLine="201"/>
        <w:spacing w:after="0" w:line="253" w:lineRule="auto"/>
        <w:tabs>
          <w:tab w:leader="none" w:pos="597"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434,875 Shares as to which Mr. Berman is Trustee under Voting Trust Agreements for certain family members. Mr. Berman does not have disposition rights with respect to these Shares. This number also includes 1,000 Shares owned by a partnership in which Mr. Berman is a general partner.</w:t>
      </w:r>
    </w:p>
    <w:p>
      <w:pPr>
        <w:ind w:right="2459" w:firstLine="201"/>
        <w:spacing w:after="0" w:line="238" w:lineRule="auto"/>
        <w:tabs>
          <w:tab w:leader="none" w:pos="597"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700 Shares owned by a corporation of which Mr. Cornet's wife is a controlling shareholder.</w:t>
      </w:r>
    </w:p>
    <w:p>
      <w:pPr>
        <w:ind w:right="3059" w:firstLine="201"/>
        <w:spacing w:after="0" w:line="310" w:lineRule="auto"/>
        <w:tabs>
          <w:tab w:leader="none" w:pos="597"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Performance Award of 75,000 Shares and 8,000 Restricted Shares.</w:t>
      </w:r>
    </w:p>
    <w:p>
      <w:pPr>
        <w:spacing w:after="0" w:line="46" w:lineRule="exact"/>
        <w:rPr>
          <w:rFonts w:ascii="Courier New" w:cs="Courier New" w:eastAsia="Courier New" w:hAnsi="Courier New"/>
          <w:sz w:val="17"/>
          <w:szCs w:val="17"/>
          <w:color w:val="auto"/>
        </w:rPr>
      </w:pPr>
    </w:p>
    <w:p>
      <w:pPr>
        <w:jc w:val="both"/>
        <w:ind w:right="2559" w:firstLine="201"/>
        <w:spacing w:after="0" w:line="318" w:lineRule="auto"/>
        <w:tabs>
          <w:tab w:leader="none" w:pos="597"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89,617 Shares as to which Ms. Gamble shares investment power for clients. Includes 1,400 Shares as to which Ms. Gamble is a Trustee of a profit sharing plan, of which Ms. Gamble has a direct interest in 571 Shares.</w:t>
      </w:r>
    </w:p>
    <w:p>
      <w:pPr>
        <w:spacing w:after="0" w:line="44" w:lineRule="exact"/>
        <w:rPr>
          <w:rFonts w:ascii="Courier New" w:cs="Courier New" w:eastAsia="Courier New" w:hAnsi="Courier New"/>
          <w:sz w:val="16"/>
          <w:szCs w:val="16"/>
          <w:color w:val="auto"/>
        </w:rPr>
      </w:pPr>
    </w:p>
    <w:p>
      <w:pPr>
        <w:ind w:right="2459" w:firstLine="201"/>
        <w:spacing w:after="0" w:line="292" w:lineRule="auto"/>
        <w:tabs>
          <w:tab w:leader="none" w:pos="597"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20,100 Shares as to which Mr. Gorlitz shares voting and investment power. Does not include 4,954 Shares as to which Mr. Gorlitz's wife has sole voting and investment power.</w:t>
      </w:r>
    </w:p>
    <w:p>
      <w:pPr>
        <w:spacing w:after="0" w:line="62" w:lineRule="exact"/>
        <w:rPr>
          <w:rFonts w:ascii="Courier New" w:cs="Courier New" w:eastAsia="Courier New" w:hAnsi="Courier New"/>
          <w:sz w:val="17"/>
          <w:szCs w:val="17"/>
          <w:color w:val="auto"/>
        </w:rPr>
      </w:pPr>
    </w:p>
    <w:p>
      <w:pPr>
        <w:ind w:right="2659" w:firstLine="201"/>
        <w:spacing w:after="0" w:line="292" w:lineRule="auto"/>
        <w:tabs>
          <w:tab w:leader="none" w:pos="597"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12,000 Shares in trust as to which Mr. Guttman shares voting and investment power with one other trustee, 29,822 Shares held in trust for his children and a Performance Share Award of 300,000 Shares.</w:t>
      </w:r>
    </w:p>
    <w:p>
      <w:pPr>
        <w:spacing w:after="0" w:line="62" w:lineRule="exact"/>
        <w:rPr>
          <w:rFonts w:ascii="Courier New" w:cs="Courier New" w:eastAsia="Courier New" w:hAnsi="Courier New"/>
          <w:sz w:val="17"/>
          <w:szCs w:val="17"/>
          <w:color w:val="auto"/>
        </w:rPr>
      </w:pPr>
    </w:p>
    <w:p>
      <w:pPr>
        <w:ind w:right="2759" w:firstLine="201"/>
        <w:spacing w:after="0" w:line="250" w:lineRule="auto"/>
        <w:tabs>
          <w:tab w:leader="none" w:pos="597"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Performance Share Award of 62,500 Shares and a Restricted Share Award of 54,688 Shares. Does not include 1,799 Shares as to which Mr. Kaplan's wife has sole voting and investment power.</w:t>
      </w:r>
    </w:p>
    <w:p>
      <w:pPr>
        <w:spacing w:after="0" w:line="1" w:lineRule="exact"/>
        <w:rPr>
          <w:rFonts w:ascii="Courier New" w:cs="Courier New" w:eastAsia="Courier New" w:hAnsi="Courier New"/>
          <w:sz w:val="17"/>
          <w:szCs w:val="17"/>
          <w:color w:val="auto"/>
        </w:rPr>
      </w:pPr>
    </w:p>
    <w:p>
      <w:pPr>
        <w:ind w:right="2559" w:firstLine="201"/>
        <w:spacing w:after="0" w:line="238" w:lineRule="auto"/>
        <w:tabs>
          <w:tab w:leader="none" w:pos="597"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3,000 Shares as to which voting and investment power is shared with Mr. Ordan's wife.</w:t>
      </w:r>
    </w:p>
    <w:p>
      <w:pPr>
        <w:ind w:left="700" w:hanging="499"/>
        <w:spacing w:after="0"/>
        <w:tabs>
          <w:tab w:leader="none" w:pos="7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Restricted Share Award of 10,000 shares.</w:t>
      </w:r>
    </w:p>
    <w:p>
      <w:pPr>
        <w:spacing w:after="0" w:line="16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60" w:right="1440" w:bottom="1440" w:gutter="0" w:footer="0" w:header="0"/>
        </w:sectPr>
      </w:pPr>
    </w:p>
    <w:bookmarkStart w:id="7" w:name="page8"/>
    <w:bookmarkEnd w:id="7"/>
    <w:p>
      <w:pPr>
        <w:ind w:left="1600"/>
        <w:spacing w:after="0"/>
        <w:rPr>
          <w:sz w:val="20"/>
          <w:szCs w:val="20"/>
          <w:color w:val="auto"/>
        </w:rPr>
      </w:pPr>
      <w:r>
        <w:rPr>
          <w:rFonts w:ascii="Courier New" w:cs="Courier New" w:eastAsia="Courier New" w:hAnsi="Courier New"/>
          <w:sz w:val="17"/>
          <w:szCs w:val="17"/>
          <w:color w:val="auto"/>
        </w:rPr>
        <w:t>REMUNERATION OF EXECUTIVE OFFICERS AND TRUSTEES</w:t>
      </w:r>
    </w:p>
    <w:p>
      <w:pPr>
        <w:spacing w:after="0" w:line="190" w:lineRule="exact"/>
        <w:rPr>
          <w:sz w:val="20"/>
          <w:szCs w:val="20"/>
          <w:color w:val="auto"/>
        </w:rPr>
      </w:pPr>
    </w:p>
    <w:p>
      <w:pPr>
        <w:ind w:right="2780" w:firstLine="199"/>
        <w:spacing w:after="0" w:line="265" w:lineRule="auto"/>
        <w:rPr>
          <w:sz w:val="20"/>
          <w:szCs w:val="20"/>
          <w:color w:val="auto"/>
        </w:rPr>
      </w:pPr>
      <w:r>
        <w:rPr>
          <w:rFonts w:ascii="Courier New" w:cs="Courier New" w:eastAsia="Courier New" w:hAnsi="Courier New"/>
          <w:sz w:val="17"/>
          <w:szCs w:val="17"/>
          <w:color w:val="auto"/>
        </w:rPr>
        <w:t>The following table sets forth the summary compensation of the Chief Executive Officer, the four other most highly paid executive officers and a former executive officer who would have been a named officer but for the fact that he was not serving as an executive officer of the Trust on December 31, 1998 ("executive officers" or "named officers").</w:t>
      </w:r>
    </w:p>
    <w:p>
      <w:pPr>
        <w:spacing w:after="0" w:line="84"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Summary Compensation Table</w:t>
      </w:r>
    </w:p>
    <w:p>
      <w:pPr>
        <w:spacing w:after="0" w:line="38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4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Long-Term</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4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Annual Compensation</w:t>
            </w:r>
          </w:p>
        </w:tc>
        <w:tc>
          <w:tcPr>
            <w:tcW w:w="2040" w:type="dxa"/>
            <w:vAlign w:val="bottom"/>
            <w:gridSpan w:val="2"/>
          </w:tcPr>
          <w:p>
            <w:pPr>
              <w:jc w:val="center"/>
              <w:ind w:right="77"/>
              <w:spacing w:after="0" w:line="191" w:lineRule="exact"/>
              <w:rPr>
                <w:sz w:val="20"/>
                <w:szCs w:val="20"/>
                <w:color w:val="auto"/>
              </w:rPr>
            </w:pPr>
            <w:r>
              <w:rPr>
                <w:rFonts w:ascii="Courier New" w:cs="Courier New" w:eastAsia="Courier New" w:hAnsi="Courier New"/>
                <w:sz w:val="17"/>
                <w:szCs w:val="17"/>
                <w:color w:val="auto"/>
                <w:w w:val="98"/>
              </w:rPr>
              <w:t>Compensation</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240" w:type="dxa"/>
            <w:vAlign w:val="bottom"/>
          </w:tcPr>
          <w:p>
            <w:pPr>
              <w:jc w:val="center"/>
              <w:ind w:left="557"/>
              <w:spacing w:after="0" w:line="191" w:lineRule="exact"/>
              <w:rPr>
                <w:sz w:val="20"/>
                <w:szCs w:val="20"/>
                <w:color w:val="auto"/>
              </w:rPr>
            </w:pPr>
            <w:r>
              <w:rPr>
                <w:rFonts w:ascii="Courier New" w:cs="Courier New" w:eastAsia="Courier New" w:hAnsi="Courier New"/>
                <w:sz w:val="17"/>
                <w:szCs w:val="17"/>
                <w:color w:val="auto"/>
                <w:w w:val="97"/>
              </w:rPr>
              <w:t>Awards</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vMerge w:val="restart"/>
          </w:tcPr>
          <w:p>
            <w:pPr>
              <w:jc w:val="center"/>
              <w:ind w:right="97"/>
              <w:spacing w:after="0"/>
              <w:rPr>
                <w:sz w:val="20"/>
                <w:szCs w:val="20"/>
                <w:color w:val="auto"/>
              </w:rPr>
            </w:pPr>
            <w:r>
              <w:rPr>
                <w:rFonts w:ascii="Courier New" w:cs="Courier New" w:eastAsia="Courier New" w:hAnsi="Courier New"/>
                <w:sz w:val="17"/>
                <w:szCs w:val="17"/>
                <w:color w:val="auto"/>
                <w:w w:val="97"/>
              </w:rPr>
              <w:t>(a)</w:t>
            </w:r>
          </w:p>
        </w:tc>
        <w:tc>
          <w:tcPr>
            <w:tcW w:w="66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(b)</w:t>
            </w:r>
          </w:p>
        </w:tc>
        <w:tc>
          <w:tcPr>
            <w:tcW w:w="5120" w:type="dxa"/>
            <w:vAlign w:val="bottom"/>
            <w:gridSpan w:val="5"/>
          </w:tcPr>
          <w:p>
            <w:pPr>
              <w:ind w:left="40"/>
              <w:spacing w:after="0" w:line="191" w:lineRule="exact"/>
              <w:rPr>
                <w:sz w:val="20"/>
                <w:szCs w:val="20"/>
                <w:color w:val="auto"/>
              </w:rPr>
            </w:pPr>
            <w:r>
              <w:rPr>
                <w:rFonts w:ascii="Courier New" w:cs="Courier New" w:eastAsia="Courier New" w:hAnsi="Courier New"/>
                <w:sz w:val="17"/>
                <w:szCs w:val="17"/>
                <w:color w:val="auto"/>
                <w:w w:val="99"/>
              </w:rPr>
              <w:t>------------------------------ -------------------</w:t>
            </w:r>
          </w:p>
        </w:tc>
        <w:tc>
          <w:tcPr>
            <w:tcW w:w="1180" w:type="dxa"/>
            <w:vAlign w:val="bottom"/>
            <w:vMerge w:val="restart"/>
          </w:tcPr>
          <w:p>
            <w:pPr>
              <w:jc w:val="center"/>
              <w:ind w:right="17"/>
              <w:spacing w:after="0"/>
              <w:rPr>
                <w:sz w:val="20"/>
                <w:szCs w:val="20"/>
                <w:color w:val="auto"/>
              </w:rPr>
            </w:pPr>
            <w:r>
              <w:rPr>
                <w:rFonts w:ascii="Courier New" w:cs="Courier New" w:eastAsia="Courier New" w:hAnsi="Courier New"/>
                <w:sz w:val="17"/>
                <w:szCs w:val="17"/>
                <w:color w:val="auto"/>
                <w:w w:val="91"/>
              </w:rPr>
              <w:t>(i)</w:t>
            </w:r>
          </w:p>
        </w:tc>
        <w:tc>
          <w:tcPr>
            <w:tcW w:w="0" w:type="dxa"/>
            <w:vAlign w:val="bottom"/>
          </w:tcPr>
          <w:p>
            <w:pPr>
              <w:spacing w:after="0"/>
              <w:rPr>
                <w:sz w:val="1"/>
                <w:szCs w:val="1"/>
                <w:color w:val="auto"/>
              </w:rPr>
            </w:pPr>
          </w:p>
        </w:tc>
      </w:tr>
      <w:tr>
        <w:trPr>
          <w:trHeight w:val="191"/>
        </w:trPr>
        <w:tc>
          <w:tcPr>
            <w:tcW w:w="28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1"/>
              </w:rPr>
              <w:t>(c)</w:t>
            </w:r>
          </w:p>
        </w:tc>
        <w:tc>
          <w:tcPr>
            <w:tcW w:w="1140" w:type="dxa"/>
            <w:vAlign w:val="bottom"/>
          </w:tcPr>
          <w:p>
            <w:pPr>
              <w:jc w:val="center"/>
              <w:ind w:left="277"/>
              <w:spacing w:after="0" w:line="191" w:lineRule="exact"/>
              <w:rPr>
                <w:sz w:val="20"/>
                <w:szCs w:val="20"/>
                <w:color w:val="auto"/>
              </w:rPr>
            </w:pPr>
            <w:r>
              <w:rPr>
                <w:rFonts w:ascii="Courier New" w:cs="Courier New" w:eastAsia="Courier New" w:hAnsi="Courier New"/>
                <w:sz w:val="17"/>
                <w:szCs w:val="17"/>
                <w:color w:val="auto"/>
                <w:w w:val="97"/>
              </w:rPr>
              <w:t>(d)</w:t>
            </w:r>
          </w:p>
        </w:tc>
        <w:tc>
          <w:tcPr>
            <w:tcW w:w="14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(e)</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(f)</w:t>
            </w:r>
          </w:p>
        </w:tc>
        <w:tc>
          <w:tcPr>
            <w:tcW w:w="8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Other</w:t>
            </w:r>
          </w:p>
        </w:tc>
        <w:tc>
          <w:tcPr>
            <w:tcW w:w="12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Restricted</w:t>
            </w:r>
          </w:p>
        </w:tc>
        <w:tc>
          <w:tcPr>
            <w:tcW w:w="800" w:type="dxa"/>
            <w:vAlign w:val="bottom"/>
          </w:tcPr>
          <w:p>
            <w:pPr>
              <w:spacing w:after="0"/>
              <w:rPr>
                <w:sz w:val="16"/>
                <w:szCs w:val="16"/>
                <w:color w:val="auto"/>
              </w:rPr>
            </w:pPr>
          </w:p>
        </w:tc>
        <w:tc>
          <w:tcPr>
            <w:tcW w:w="1180" w:type="dxa"/>
            <w:vAlign w:val="bottom"/>
            <w:vMerge w:val="restart"/>
          </w:tcPr>
          <w:p>
            <w:pPr>
              <w:jc w:val="center"/>
              <w:ind w:right="17"/>
              <w:spacing w:after="0"/>
              <w:rPr>
                <w:sz w:val="20"/>
                <w:szCs w:val="20"/>
                <w:color w:val="auto"/>
              </w:rPr>
            </w:pPr>
            <w:r>
              <w:rPr>
                <w:rFonts w:ascii="Courier New" w:cs="Courier New" w:eastAsia="Courier New" w:hAnsi="Courier New"/>
                <w:sz w:val="17"/>
                <w:szCs w:val="17"/>
                <w:color w:val="auto"/>
                <w:w w:val="95"/>
              </w:rPr>
              <w:t>All Other</w:t>
            </w: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80" w:type="dxa"/>
            <w:vAlign w:val="bottom"/>
            <w:gridSpan w:val="2"/>
            <w:vMerge w:val="restart"/>
          </w:tcPr>
          <w:p>
            <w:pPr>
              <w:ind w:left="140"/>
              <w:spacing w:after="0"/>
              <w:rPr>
                <w:sz w:val="20"/>
                <w:szCs w:val="20"/>
                <w:color w:val="auto"/>
              </w:rPr>
            </w:pPr>
            <w:r>
              <w:rPr>
                <w:rFonts w:ascii="Courier New" w:cs="Courier New" w:eastAsia="Courier New" w:hAnsi="Courier New"/>
                <w:sz w:val="17"/>
                <w:szCs w:val="17"/>
                <w:color w:val="auto"/>
              </w:rPr>
              <w:t>Salary</w:t>
            </w:r>
          </w:p>
        </w:tc>
        <w:tc>
          <w:tcPr>
            <w:tcW w:w="140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4"/>
              </w:rPr>
              <w:t>Annual</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Stock</w:t>
            </w:r>
          </w:p>
        </w:tc>
        <w:tc>
          <w:tcPr>
            <w:tcW w:w="8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6"/>
              </w:rPr>
              <w:t>Compensation</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Awards(s)</w:t>
            </w:r>
          </w:p>
        </w:tc>
        <w:tc>
          <w:tcPr>
            <w:tcW w:w="19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Options Compensation</w:t>
            </w:r>
          </w:p>
        </w:tc>
        <w:tc>
          <w:tcPr>
            <w:tcW w:w="0" w:type="dxa"/>
            <w:vAlign w:val="bottom"/>
          </w:tcPr>
          <w:p>
            <w:pPr>
              <w:spacing w:after="0"/>
              <w:rPr>
                <w:sz w:val="1"/>
                <w:szCs w:val="1"/>
                <w:color w:val="auto"/>
              </w:rPr>
            </w:pPr>
          </w:p>
        </w:tc>
      </w:tr>
      <w:tr>
        <w:trPr>
          <w:trHeight w:val="191"/>
        </w:trPr>
        <w:tc>
          <w:tcPr>
            <w:tcW w:w="2880" w:type="dxa"/>
            <w:vAlign w:val="bottom"/>
            <w:vMerge w:val="restart"/>
          </w:tcPr>
          <w:p>
            <w:pPr>
              <w:jc w:val="center"/>
              <w:ind w:right="117"/>
              <w:spacing w:after="0"/>
              <w:rPr>
                <w:sz w:val="20"/>
                <w:szCs w:val="20"/>
                <w:color w:val="auto"/>
              </w:rPr>
            </w:pPr>
            <w:r>
              <w:rPr>
                <w:rFonts w:ascii="Courier New" w:cs="Courier New" w:eastAsia="Courier New" w:hAnsi="Courier New"/>
                <w:sz w:val="17"/>
                <w:szCs w:val="17"/>
                <w:color w:val="auto"/>
                <w:w w:val="97"/>
              </w:rPr>
              <w:t>Name and Principal Position</w:t>
            </w:r>
          </w:p>
        </w:tc>
        <w:tc>
          <w:tcPr>
            <w:tcW w:w="66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Year</w:t>
            </w:r>
          </w:p>
        </w:tc>
        <w:tc>
          <w:tcPr>
            <w:tcW w:w="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1"/>
              </w:rPr>
              <w:t>(A)</w:t>
            </w:r>
          </w:p>
        </w:tc>
        <w:tc>
          <w:tcPr>
            <w:tcW w:w="1140" w:type="dxa"/>
            <w:vAlign w:val="bottom"/>
          </w:tcPr>
          <w:p>
            <w:pPr>
              <w:jc w:val="center"/>
              <w:ind w:left="277"/>
              <w:spacing w:after="0" w:line="191" w:lineRule="exact"/>
              <w:rPr>
                <w:sz w:val="20"/>
                <w:szCs w:val="20"/>
                <w:color w:val="auto"/>
              </w:rPr>
            </w:pPr>
            <w:r>
              <w:rPr>
                <w:rFonts w:ascii="Courier New" w:cs="Courier New" w:eastAsia="Courier New" w:hAnsi="Courier New"/>
                <w:sz w:val="17"/>
                <w:szCs w:val="17"/>
                <w:color w:val="auto"/>
                <w:w w:val="97"/>
              </w:rPr>
              <w:t>Bonus</w:t>
            </w:r>
          </w:p>
        </w:tc>
        <w:tc>
          <w:tcPr>
            <w:tcW w:w="14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(B)</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(C)</w:t>
            </w:r>
          </w:p>
        </w:tc>
        <w:tc>
          <w:tcPr>
            <w:tcW w:w="8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w:t>
            </w:r>
          </w:p>
        </w:tc>
        <w:tc>
          <w:tcPr>
            <w:tcW w:w="11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1"/>
              </w:rPr>
              <w:t>(E)</w:t>
            </w:r>
          </w:p>
        </w:tc>
        <w:tc>
          <w:tcPr>
            <w:tcW w:w="0" w:type="dxa"/>
            <w:vAlign w:val="bottom"/>
          </w:tcPr>
          <w:p>
            <w:pPr>
              <w:spacing w:after="0"/>
              <w:rPr>
                <w:sz w:val="1"/>
                <w:szCs w:val="1"/>
                <w:color w:val="auto"/>
              </w:rPr>
            </w:pPr>
          </w:p>
        </w:tc>
      </w:tr>
      <w:tr>
        <w:trPr>
          <w:trHeight w:val="221"/>
        </w:trPr>
        <w:tc>
          <w:tcPr>
            <w:tcW w:w="28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540" w:type="dxa"/>
            <w:vAlign w:val="bottom"/>
          </w:tcPr>
          <w:p>
            <w:pPr>
              <w:ind w:left="240"/>
              <w:spacing w:after="0"/>
              <w:rPr>
                <w:sz w:val="20"/>
                <w:szCs w:val="20"/>
                <w:color w:val="auto"/>
              </w:rPr>
            </w:pPr>
            <w:r>
              <w:rPr>
                <w:rFonts w:ascii="Courier New" w:cs="Courier New" w:eastAsia="Courier New" w:hAnsi="Courier New"/>
                <w:sz w:val="17"/>
                <w:szCs w:val="17"/>
                <w:color w:val="auto"/>
                <w:w w:val="91"/>
              </w:rPr>
              <w:t>($)</w:t>
            </w:r>
          </w:p>
        </w:tc>
        <w:tc>
          <w:tcPr>
            <w:tcW w:w="1140" w:type="dxa"/>
            <w:vAlign w:val="bottom"/>
          </w:tcPr>
          <w:p>
            <w:pPr>
              <w:jc w:val="center"/>
              <w:ind w:left="277"/>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center"/>
              <w:ind w:right="17"/>
              <w:spacing w:after="0"/>
              <w:rPr>
                <w:sz w:val="20"/>
                <w:szCs w:val="20"/>
                <w:color w:val="auto"/>
              </w:rPr>
            </w:pPr>
            <w:r>
              <w:rPr>
                <w:rFonts w:ascii="Courier New" w:cs="Courier New" w:eastAsia="Courier New" w:hAnsi="Courier New"/>
                <w:sz w:val="17"/>
                <w:szCs w:val="17"/>
                <w:color w:val="auto"/>
                <w:w w:val="91"/>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20"/>
                <w:szCs w:val="20"/>
                <w:color w:val="auto"/>
              </w:rPr>
            </w:pPr>
            <w:r>
              <w:rPr>
                <w:rFonts w:ascii="Courier New" w:cs="Courier New" w:eastAsia="Courier New" w:hAnsi="Courier New"/>
                <w:sz w:val="17"/>
                <w:szCs w:val="17"/>
                <w:color w:val="auto"/>
              </w:rPr>
              <w:t>Steven J. Guttman(1)</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984,000</w:t>
            </w:r>
          </w:p>
        </w:tc>
        <w:tc>
          <w:tcPr>
            <w:tcW w:w="9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$226,000(F)</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&amp; Chief Executive</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529,000</w:t>
            </w:r>
          </w:p>
        </w:tc>
        <w:tc>
          <w:tcPr>
            <w:tcW w:w="16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366,000 800,000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217,000(F)</w:t>
            </w:r>
          </w:p>
        </w:tc>
        <w:tc>
          <w:tcPr>
            <w:tcW w:w="0" w:type="dxa"/>
            <w:vAlign w:val="bottom"/>
          </w:tcPr>
          <w:p>
            <w:pPr>
              <w:spacing w:after="0"/>
              <w:rPr>
                <w:sz w:val="1"/>
                <w:szCs w:val="1"/>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Officer</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529,000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235,000</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229,000(F)</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Howard S. Biel(2)</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300,000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225,000</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200,000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12,000</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Senior Vice President &amp;</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Managing Director of</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Development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5"/>
              </w:rPr>
              <w:t>250,000</w:t>
            </w:r>
          </w:p>
        </w:tc>
        <w:tc>
          <w:tcPr>
            <w:tcW w:w="160" w:type="dxa"/>
            <w:vAlign w:val="bottom"/>
          </w:tcPr>
          <w:p>
            <w:pPr>
              <w:spacing w:after="0"/>
              <w:rPr>
                <w:sz w:val="16"/>
                <w:szCs w:val="16"/>
                <w:color w:val="auto"/>
              </w:rPr>
            </w:pPr>
          </w:p>
        </w:tc>
        <w:tc>
          <w:tcPr>
            <w:tcW w:w="9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w w:val="95"/>
              </w:rPr>
              <w:t>125,000</w:t>
            </w:r>
          </w:p>
        </w:tc>
        <w:tc>
          <w:tcPr>
            <w:tcW w:w="98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100,000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34,000(F)</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Nathan P. Fishkin(3)</w:t>
            </w:r>
          </w:p>
        </w:tc>
        <w:tc>
          <w:tcPr>
            <w:tcW w:w="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Senior Vice President,</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200,000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165,000</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339,000</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50,000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27,000(F)</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159,000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150,000</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25,000(F)</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Ron D. Kaplan(4)</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285,000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135,000</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1,609,000</w:t>
            </w:r>
          </w:p>
        </w:tc>
        <w:tc>
          <w:tcPr>
            <w:tcW w:w="9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75,000(G)</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Senior Vice President, Capital</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285,000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629,000</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100,000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72,000(G)</w:t>
            </w:r>
          </w:p>
        </w:tc>
        <w:tc>
          <w:tcPr>
            <w:tcW w:w="0" w:type="dxa"/>
            <w:vAlign w:val="bottom"/>
          </w:tcPr>
          <w:p>
            <w:pPr>
              <w:spacing w:after="0"/>
              <w:rPr>
                <w:sz w:val="1"/>
                <w:szCs w:val="1"/>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Markets, Chief</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201,000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125,000</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70,000(G)</w:t>
            </w:r>
          </w:p>
        </w:tc>
        <w:tc>
          <w:tcPr>
            <w:tcW w:w="0" w:type="dxa"/>
            <w:vAlign w:val="bottom"/>
          </w:tcPr>
          <w:p>
            <w:pPr>
              <w:spacing w:after="0"/>
              <w:rPr>
                <w:sz w:val="1"/>
                <w:szCs w:val="1"/>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Investment Officer</w:t>
            </w: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5"/>
              </w:rPr>
              <w:t>155,000</w:t>
            </w:r>
          </w:p>
        </w:tc>
        <w:tc>
          <w:tcPr>
            <w:tcW w:w="160" w:type="dxa"/>
            <w:vAlign w:val="bottom"/>
          </w:tcPr>
          <w:p>
            <w:pPr>
              <w:spacing w:after="0"/>
              <w:rPr>
                <w:sz w:val="16"/>
                <w:szCs w:val="16"/>
                <w:color w:val="auto"/>
              </w:rPr>
            </w:pPr>
          </w:p>
        </w:tc>
        <w:tc>
          <w:tcPr>
            <w:tcW w:w="9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55,000</w:t>
            </w:r>
          </w:p>
        </w:tc>
        <w:tc>
          <w:tcPr>
            <w:tcW w:w="98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50,000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16,000(F)</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Cecily A. Ward</w:t>
            </w:r>
          </w:p>
        </w:tc>
        <w:tc>
          <w:tcPr>
            <w:tcW w:w="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President, Controller</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140,000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100,000</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14,000(F)</w:t>
            </w:r>
          </w:p>
        </w:tc>
        <w:tc>
          <w:tcPr>
            <w:tcW w:w="0" w:type="dxa"/>
            <w:vAlign w:val="bottom"/>
          </w:tcPr>
          <w:p>
            <w:pPr>
              <w:spacing w:after="0"/>
              <w:rPr>
                <w:sz w:val="1"/>
                <w:szCs w:val="1"/>
                <w:color w:val="auto"/>
              </w:rPr>
            </w:pPr>
          </w:p>
        </w:tc>
      </w:tr>
      <w:tr>
        <w:trPr>
          <w:trHeight w:val="191"/>
        </w:trPr>
        <w:tc>
          <w:tcPr>
            <w:tcW w:w="3080" w:type="dxa"/>
            <w:vAlign w:val="bottom"/>
            <w:vMerge w:val="restart"/>
          </w:tcPr>
          <w:p>
            <w:pPr>
              <w:spacing w:after="0"/>
              <w:rPr>
                <w:sz w:val="20"/>
                <w:szCs w:val="20"/>
                <w:color w:val="auto"/>
              </w:rPr>
            </w:pPr>
            <w:r>
              <w:rPr>
                <w:rFonts w:ascii="Courier New" w:cs="Courier New" w:eastAsia="Courier New" w:hAnsi="Courier New"/>
                <w:sz w:val="17"/>
                <w:szCs w:val="17"/>
                <w:color w:val="auto"/>
              </w:rPr>
              <w:t>Donald C. Wood(5)</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127,000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45,000</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13,000(F)</w:t>
            </w:r>
          </w:p>
        </w:tc>
        <w:tc>
          <w:tcPr>
            <w:tcW w:w="0" w:type="dxa"/>
            <w:vAlign w:val="bottom"/>
          </w:tcPr>
          <w:p>
            <w:pPr>
              <w:spacing w:after="0"/>
              <w:rPr>
                <w:sz w:val="1"/>
                <w:szCs w:val="1"/>
                <w:color w:val="auto"/>
              </w:rPr>
            </w:pPr>
          </w:p>
        </w:tc>
      </w:tr>
      <w:tr>
        <w:trPr>
          <w:trHeight w:val="191"/>
        </w:trPr>
        <w:tc>
          <w:tcPr>
            <w:tcW w:w="3080" w:type="dxa"/>
            <w:vAlign w:val="bottom"/>
            <w:vMerge w:val="continue"/>
          </w:tcPr>
          <w:p>
            <w:pPr>
              <w:spacing w:after="0"/>
              <w:rPr>
                <w:sz w:val="16"/>
                <w:szCs w:val="16"/>
                <w:color w:val="auto"/>
              </w:rPr>
            </w:pP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200,000</w:t>
            </w:r>
          </w:p>
        </w:tc>
        <w:tc>
          <w:tcPr>
            <w:tcW w:w="16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230,000</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92,000</w:t>
            </w:r>
          </w:p>
        </w:tc>
        <w:tc>
          <w:tcPr>
            <w:tcW w:w="360" w:type="dxa"/>
            <w:vAlign w:val="bottom"/>
          </w:tcPr>
          <w:p>
            <w:pPr>
              <w:spacing w:after="0"/>
              <w:rPr>
                <w:sz w:val="16"/>
                <w:szCs w:val="16"/>
                <w:color w:val="auto"/>
              </w:rPr>
            </w:pPr>
          </w:p>
        </w:tc>
        <w:tc>
          <w:tcPr>
            <w:tcW w:w="1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253,000 250,000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5,000</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Senior Vice President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080" w:type="dxa"/>
            <w:vAlign w:val="bottom"/>
          </w:tcPr>
          <w:p>
            <w:pPr>
              <w:ind w:left="100"/>
              <w:spacing w:after="0"/>
              <w:rPr>
                <w:sz w:val="20"/>
                <w:szCs w:val="20"/>
                <w:color w:val="auto"/>
              </w:rPr>
            </w:pPr>
            <w:r>
              <w:rPr>
                <w:rFonts w:ascii="Courier New" w:cs="Courier New" w:eastAsia="Courier New" w:hAnsi="Courier New"/>
                <w:sz w:val="17"/>
                <w:szCs w:val="17"/>
                <w:color w:val="auto"/>
              </w:rPr>
              <w:t>Finance &amp; Treasurer</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190" w:lineRule="exact"/>
        <w:rPr>
          <w:sz w:val="20"/>
          <w:szCs w:val="20"/>
          <w:color w:val="auto"/>
        </w:rPr>
      </w:pPr>
    </w:p>
    <w:p>
      <w:pPr>
        <w:ind w:left="400" w:right="2780" w:hanging="398"/>
        <w:spacing w:after="0" w:line="244"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1998 Mr. Guttman received 24,534 Shares valued at $632,000 in lieu of his 1998 cash salary of $475,000. In February 1999 Mr. Guttman received 14,919 Shares valued at $352,000 in lieu of a cash bonus of $265,000 for 1998. The terms of these arrangements are described below in "Employment Agreements; Termination of Employment and Change in Control Arrangements."</w:t>
      </w:r>
    </w:p>
    <w:p>
      <w:pPr>
        <w:spacing w:after="0" w:line="2"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Biel commenced employment with the Trust in January 1998.</w:t>
      </w:r>
    </w:p>
    <w:p>
      <w:pPr>
        <w:spacing w:after="0" w:line="159" w:lineRule="exact"/>
        <w:rPr>
          <w:rFonts w:ascii="Courier New" w:cs="Courier New" w:eastAsia="Courier New" w:hAnsi="Courier New"/>
          <w:sz w:val="17"/>
          <w:szCs w:val="17"/>
          <w:color w:val="auto"/>
        </w:rPr>
      </w:pPr>
    </w:p>
    <w:p>
      <w:pPr>
        <w:ind w:left="400" w:right="2680" w:hanging="398"/>
        <w:spacing w:after="0" w:line="274"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Fishkin ceased serving as an executive officer in November 1998. The $125,000 cash bonus for 1998 was paid in accordance with an agreement with Mr. Fishkin which is described below in "Employment Agreements; Termination of Employment and Change in Control Arrangements."</w:t>
      </w:r>
    </w:p>
    <w:p>
      <w:pPr>
        <w:spacing w:after="0" w:line="76" w:lineRule="exact"/>
        <w:rPr>
          <w:rFonts w:ascii="Courier New" w:cs="Courier New" w:eastAsia="Courier New" w:hAnsi="Courier New"/>
          <w:sz w:val="17"/>
          <w:szCs w:val="17"/>
          <w:color w:val="auto"/>
        </w:rPr>
      </w:pPr>
    </w:p>
    <w:p>
      <w:pPr>
        <w:ind w:left="400" w:right="2880" w:hanging="398"/>
        <w:spacing w:after="0" w:line="260"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September 1997 the Trust granted a Restricted Share Award of 62,500 Shares to Mr. Kaplan which, when received on January 1, 1998, was valued at $1,609,000. The award vests over an eight-year period assuming continued service to the Trust. The terms of this arrangement are described below in "Employment Agreements; Termination of Employment and Change in Control Arrangements."</w:t>
      </w:r>
    </w:p>
    <w:p>
      <w:pPr>
        <w:spacing w:after="0" w:line="87" w:lineRule="exact"/>
        <w:rPr>
          <w:rFonts w:ascii="Courier New" w:cs="Courier New" w:eastAsia="Courier New" w:hAnsi="Courier New"/>
          <w:sz w:val="17"/>
          <w:szCs w:val="17"/>
          <w:color w:val="auto"/>
        </w:rPr>
      </w:pPr>
    </w:p>
    <w:p>
      <w:pPr>
        <w:ind w:left="400" w:right="2680" w:hanging="398"/>
        <w:spacing w:after="0" w:line="259"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Wood commenced employment with the Trust in May 1998. On May 7, 1998, Mr. Wood was awarded a Restricted Share Award of 10,000 Shares, which will vest over a five-year period, valued at $253,000. The terms of this award are described below in "Employment Agreements; Termination of Employment and Change in Control Arrangements." Mr. Wood's letter of employment provided for a guaranteed cash bonus for 1998 of $125,000 and a one-time</w:t>
      </w:r>
    </w:p>
    <w:p>
      <w:pPr>
        <w:spacing w:after="0" w:line="4" w:lineRule="exact"/>
        <w:rPr>
          <w:sz w:val="20"/>
          <w:szCs w:val="20"/>
          <w:color w:val="auto"/>
        </w:rPr>
      </w:pPr>
    </w:p>
    <w:p>
      <w:pPr>
        <w:ind w:left="400" w:right="3080"/>
        <w:spacing w:after="0" w:line="238" w:lineRule="auto"/>
        <w:rPr>
          <w:sz w:val="20"/>
          <w:szCs w:val="20"/>
          <w:color w:val="auto"/>
        </w:rPr>
      </w:pPr>
      <w:r>
        <w:rPr>
          <w:rFonts w:ascii="Courier New" w:cs="Courier New" w:eastAsia="Courier New" w:hAnsi="Courier New"/>
          <w:sz w:val="17"/>
          <w:szCs w:val="17"/>
          <w:color w:val="auto"/>
        </w:rPr>
        <w:t>bonus of 5,000 Shares (valued at grant at $105,000) upon completion of certain business objectives.</w:t>
      </w:r>
    </w:p>
    <w:p>
      <w:pPr>
        <w:spacing w:after="0" w:line="1" w:lineRule="exact"/>
        <w:rPr>
          <w:sz w:val="20"/>
          <w:szCs w:val="20"/>
          <w:color w:val="auto"/>
        </w:rPr>
      </w:pPr>
    </w:p>
    <w:p>
      <w:pPr>
        <w:ind w:left="400" w:right="2980" w:hanging="398"/>
        <w:spacing w:after="0" w:line="262"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 amounts deferred at the election of the named officer pursuant to plans available to substantially all employees and pursuant to a non-qualified deferred compensation plan available to all officers.</w:t>
      </w:r>
    </w:p>
    <w:p>
      <w:pPr>
        <w:spacing w:after="0" w:line="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440"/>
          </w:cols>
          <w:pgMar w:left="240" w:top="660" w:right="1219" w:bottom="312" w:gutter="0" w:footer="0" w:header="0"/>
        </w:sectPr>
      </w:pPr>
    </w:p>
    <w:bookmarkStart w:id="8" w:name="page9"/>
    <w:bookmarkEnd w:id="8"/>
    <w:p>
      <w:pPr>
        <w:ind w:left="400" w:hanging="398"/>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Wood received $82,000 for moving expenses and a $10,000 car allowance.</w:t>
      </w:r>
    </w:p>
    <w:p>
      <w:pPr>
        <w:spacing w:after="0" w:line="39" w:lineRule="exact"/>
        <w:rPr>
          <w:rFonts w:ascii="Courier New" w:cs="Courier New" w:eastAsia="Courier New" w:hAnsi="Courier New"/>
          <w:sz w:val="16"/>
          <w:szCs w:val="16"/>
          <w:color w:val="auto"/>
        </w:rPr>
      </w:pPr>
    </w:p>
    <w:p>
      <w:pPr>
        <w:ind w:left="400" w:hanging="398"/>
        <w:spacing w:after="0" w:line="238"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are paid on Restricted Stock.</w:t>
      </w:r>
    </w:p>
    <w:p>
      <w:pPr>
        <w:ind w:left="400" w:right="2659" w:hanging="398"/>
        <w:spacing w:after="0" w:line="238"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ind w:left="400" w:right="2459" w:hanging="398"/>
        <w:spacing w:after="0" w:line="253"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for the last fiscal year include the following: (i) Mr. Guttman: $10,000--Trust paid group term life insurance; $4,000--Trust paid annuity contract premium; $13,000-- interest that would have been payable on interest-free loan made in connection with split-dollar life insurance agreement; $10,000--Trust paid long-term disability insurance premium; and $189,000--deferred compensation from forgiveness of loans as described below in (F); (ii) Mr. Biel: $5,000--Trust paid group term life insurance; $5,000--interest that would have been payable on interest-free loan made in connection with split-dollar life insurance agreement; $2,000--Trust paid long-term disability insurance premium;</w:t>
      </w:r>
    </w:p>
    <w:p>
      <w:pPr>
        <w:spacing w:after="0" w:line="1" w:lineRule="exact"/>
        <w:rPr>
          <w:rFonts w:ascii="Courier New" w:cs="Courier New" w:eastAsia="Courier New" w:hAnsi="Courier New"/>
          <w:sz w:val="16"/>
          <w:szCs w:val="16"/>
          <w:color w:val="auto"/>
        </w:rPr>
      </w:pPr>
    </w:p>
    <w:p>
      <w:pPr>
        <w:ind w:left="400" w:right="2459"/>
        <w:spacing w:after="0" w:line="253" w:lineRule="auto"/>
        <w:tabs>
          <w:tab w:leader="none" w:pos="99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Fishkin: $2,000--Trust paid group term life insurance; $5,000-- interest that would have been payable on interest-free loan made in connection with split-dollar life insurance agreement; $4,000--Trust paid long-term disability insurance premium; $4,000--Trust contribution to Section 401(k) Plan and the deferred compensation Plan; $19,000--deferred compensation from forgiveness of loans as described below in (F); (iv) Mr. Kaplan: $1,000--Trust paid group term life insurance; $3,000--interest that would have been payable on interest-free loan made in connection with split-dollar life insurance agreement; $5,000--Trust contribution to Section 401(k) Plan and the deferred compensation plan; $3,000--Trust paid long-term disability insurance premium; $63,000--deferred compensation from forgiveness of loans as described below in (G); (v) Ms. Ward: $2,000--group term life insurance premium; $4,000--Trust contribution to Section 401(k) Plan; $2,000--Trust paid long-term disability insurance premium; and $8,000--deferred compensation from forgiveness of loans as described below in (F); and (vi) Mr. Wood: $1,000--Trust paid group term life insurance; $3,000--interest that would have been payable on interest-free loan made in connection with split-dollar life insurance agreement; $1,000--Trust paid long-term disability insurance premium.</w:t>
      </w:r>
    </w:p>
    <w:p>
      <w:pPr>
        <w:spacing w:after="0" w:line="3" w:lineRule="exact"/>
        <w:rPr>
          <w:rFonts w:ascii="Courier New" w:cs="Courier New" w:eastAsia="Courier New" w:hAnsi="Courier New"/>
          <w:sz w:val="16"/>
          <w:szCs w:val="16"/>
          <w:color w:val="auto"/>
        </w:rPr>
      </w:pPr>
    </w:p>
    <w:p>
      <w:pPr>
        <w:ind w:left="400" w:right="2459" w:hanging="398"/>
        <w:spacing w:after="0" w:line="253"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1991, Mr. Guttman, Mr. Fishkin and Ms. Ward were awarded the opportunity to purchase Shares of the Trust and the Trust made available loans for 100% of the purchase price. One-half of the loan was originally scheduled to be forgiven, by forgiving one-sixteenth each January 31, over an eight-year period so long as the officer was employed by the Trust. The Trust and the named officers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1996 and thereafter, if FFO per Share increases by 10% or more and total return to shareholders is 10% or greater during the fiscal year, one-eighth of the loan will be forgiven on the following January 31. However, 25% of the original principal amount of each loan is not subject to forgiveness by the Trust. The loans were also modified during 1994 so that they are due on January 31, 2004.</w:t>
      </w:r>
    </w:p>
    <w:p>
      <w:pPr>
        <w:spacing w:after="0" w:line="2" w:lineRule="exact"/>
        <w:rPr>
          <w:rFonts w:ascii="Courier New" w:cs="Courier New" w:eastAsia="Courier New" w:hAnsi="Courier New"/>
          <w:sz w:val="16"/>
          <w:szCs w:val="16"/>
          <w:color w:val="auto"/>
        </w:rPr>
      </w:pPr>
    </w:p>
    <w:p>
      <w:pPr>
        <w:ind w:left="400" w:right="2659" w:hanging="398"/>
        <w:spacing w:after="0" w:line="276"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1993, the Trust awarded Mr. Kaplan the opportunity to purchase 40,000 Shares as of January 1, 1994 at the closing price of $25 per share on December 31, 1993. The Trust loaned Mr. Kaplan 100% of the purchase price for a term of 12 years. Forgiveness of Mr. Kaplan's loan is subject to the same performance measures described above in (F).</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 Compensation</w:t>
      </w:r>
    </w:p>
    <w:p>
      <w:pPr>
        <w:spacing w:after="0" w:line="190" w:lineRule="exact"/>
        <w:rPr>
          <w:sz w:val="20"/>
          <w:szCs w:val="20"/>
          <w:color w:val="auto"/>
        </w:rPr>
      </w:pPr>
    </w:p>
    <w:p>
      <w:pPr>
        <w:ind w:right="2459" w:firstLine="199"/>
        <w:spacing w:after="0" w:line="275" w:lineRule="auto"/>
        <w:rPr>
          <w:sz w:val="20"/>
          <w:szCs w:val="20"/>
          <w:color w:val="auto"/>
        </w:rPr>
      </w:pPr>
      <w:r>
        <w:rPr>
          <w:rFonts w:ascii="Courier New" w:cs="Courier New" w:eastAsia="Courier New" w:hAnsi="Courier New"/>
          <w:sz w:val="16"/>
          <w:szCs w:val="16"/>
          <w:color w:val="auto"/>
        </w:rPr>
        <w:t>Trustees' fees are paid to Trustees other than Mr. Guttman. In accordance with the provisions of the Amended Plan, Trustees' fees are payable in cash or Shares or a combination of both, at the election of the Trustee; the Trust issued Shares for 53% of the Trustees' fees paid in 1998. The annual Trustee fee for 1998 was $25,000. Each Trustee was paid the fee based on the number of months during the year he/she served as a Trustee. The annual fee in 1998 for service on the Compensation Committee was $2,500 and $3,000 for service</w:t>
      </w:r>
    </w:p>
    <w:p>
      <w:pPr>
        <w:spacing w:after="0" w:line="7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60" w:right="1440" w:bottom="1440" w:gutter="0" w:footer="0" w:header="0"/>
        </w:sectPr>
      </w:pPr>
    </w:p>
    <w:bookmarkStart w:id="9" w:name="page10"/>
    <w:bookmarkEnd w:id="9"/>
    <w:p>
      <w:pPr>
        <w:ind w:right="2459"/>
        <w:spacing w:after="0" w:line="253" w:lineRule="auto"/>
        <w:rPr>
          <w:sz w:val="20"/>
          <w:szCs w:val="20"/>
          <w:color w:val="auto"/>
        </w:rPr>
      </w:pPr>
      <w:r>
        <w:rPr>
          <w:rFonts w:ascii="Courier New" w:cs="Courier New" w:eastAsia="Courier New" w:hAnsi="Courier New"/>
          <w:sz w:val="17"/>
          <w:szCs w:val="17"/>
          <w:color w:val="auto"/>
        </w:rPr>
        <w:t>as its Chairman. The annual fee in 1998 for service on the Audit Committee was $2,000 and $2,500 for service as its Chairman. Committee fees were also prorated based on the number of months of service. In accordance with the Amended Plan, as of the date of the 1998 Annual Meeting of Shareholders, each non-employee Trustee received an option to purchase 2,500 Shares at an exercise price of $25.25. Pursuant to a consulting agreement, Mr. Gorlitz provides consulting services to the Trust and is paid an annual consulting fee of $120,000.</w:t>
      </w:r>
    </w:p>
    <w:p>
      <w:pPr>
        <w:spacing w:after="0" w:line="97"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7"/>
          <w:szCs w:val="17"/>
          <w:color w:val="auto"/>
        </w:rPr>
        <w:t>Employment Agreements; Termination of Employment and Change in Control Arrangements</w:t>
      </w:r>
    </w:p>
    <w:p>
      <w:pPr>
        <w:spacing w:after="0" w:line="17" w:lineRule="exact"/>
        <w:rPr>
          <w:sz w:val="20"/>
          <w:szCs w:val="20"/>
          <w:color w:val="auto"/>
        </w:rPr>
      </w:pPr>
    </w:p>
    <w:p>
      <w:pPr>
        <w:ind w:right="2459" w:firstLine="199"/>
        <w:spacing w:after="0" w:line="258" w:lineRule="auto"/>
        <w:rPr>
          <w:sz w:val="20"/>
          <w:szCs w:val="20"/>
          <w:color w:val="auto"/>
        </w:rPr>
      </w:pPr>
      <w:r>
        <w:rPr>
          <w:rFonts w:ascii="Courier New" w:cs="Courier New" w:eastAsia="Courier New" w:hAnsi="Courier New"/>
          <w:sz w:val="16"/>
          <w:szCs w:val="16"/>
          <w:color w:val="auto"/>
        </w:rPr>
        <w:t>The Trust has an amended and restated employment agreement with Mr. Guttman which provides, among other things, that his salary may not be decreased below its then-current level and is increased on January 1 of each year by 50% of any increase in the Consumer Price Index ("CPI") for the prior year and that Mr. Guttman is eligible to receive an annual bonus, in the Board of Trustees' discretion, of up to 120% of his salary. Mr. Guttman agreed to forgo any base salary increase in 1999. The agreement provides for a three-year term of employment to be automatically renewed at the end of each month unless either party notifies the other that it has elected not to extend the term. The Trust may terminate Mr. Guttman's employment if he is totally disabled for at least six consecutive months, in which case Mr. Guttman is entitled to receive each month for a three-year period the difference, if any, between the monthly payments he receives under the disability insurance policies the Trust maintains on his behalf and his base monthly salary. The Trust may terminate Mr. Guttman's employment for cause (as defined in the agreement) without payment to Mr. Guttman. Mr. Guttman may terminate his employment under certain circumstances, including if his responsibilities are materially modified without his written consent, a change in control occurs (as defined in the agreement), the Trust relocates its principal office outside the Washington, D.C. area, he is not reappointed as a member of the Trust's Board of Trustees, a Chairman of the Trust's Board of Trustees is appointed other than Mr. Guttman, or his employment agreement is not assumed by a successor to the Trust. If Mr. Guttman so terminates his employment, he is entitled to receive the compensation he would have otherwise received (including bonuses) for the remaining term of the employment agreement. Mr. Guttman may also terminate his employment for any other reason upon at least six months notice, in which case the Trust's obligation to pay compensation to him ceases on the effective date of termination.</w:t>
      </w:r>
    </w:p>
    <w:p>
      <w:pPr>
        <w:spacing w:after="0" w:line="91" w:lineRule="exact"/>
        <w:rPr>
          <w:sz w:val="20"/>
          <w:szCs w:val="20"/>
          <w:color w:val="auto"/>
        </w:rPr>
      </w:pPr>
    </w:p>
    <w:p>
      <w:pPr>
        <w:ind w:right="2459" w:firstLine="199"/>
        <w:spacing w:after="0" w:line="246" w:lineRule="auto"/>
        <w:rPr>
          <w:sz w:val="20"/>
          <w:szCs w:val="20"/>
          <w:color w:val="auto"/>
        </w:rPr>
      </w:pPr>
      <w:r>
        <w:rPr>
          <w:rFonts w:ascii="Courier New" w:cs="Courier New" w:eastAsia="Courier New" w:hAnsi="Courier New"/>
          <w:sz w:val="17"/>
          <w:szCs w:val="17"/>
          <w:color w:val="auto"/>
        </w:rPr>
        <w:t>Mr. Guttman and the Trust have entered into restricted share award agreements (the "Restricted Share Agreements") pursuant to which Mr. Guttman will receive (unless he elects otherwise six months in advance) Shares in lieu of his salary for the years 1998 through 2002 and Shares in lieu of his bonus for the years 1997 through 2001. The Shares granted pursuant to the Restricted Share Agreements (the "Restricted Shares"), which will be 133% of the salary and bonus levels determined by the Board of Trustees, will vest five years after the date of grant, subject to accelerated vesting in the event of a change in control (as defined in the Amended Plan) or the termination of Mr. Guttman's employment due to his death, disability (as defined in his employment agreement) or without cause (as defined in his employment agreement). Dividends are paid on the Shares if and when awarded. If Mr. Guttman voluntarily resigns from his employment with the Trust or his employment is terminated for cause prior to the end of the aforementioned five-year period, his rights to the Restricted Shares are forfeited.</w:t>
      </w:r>
    </w:p>
    <w:p>
      <w:pPr>
        <w:spacing w:after="0" w:line="99" w:lineRule="exact"/>
        <w:rPr>
          <w:sz w:val="20"/>
          <w:szCs w:val="20"/>
          <w:color w:val="auto"/>
        </w:rPr>
      </w:pPr>
    </w:p>
    <w:p>
      <w:pPr>
        <w:ind w:right="2459" w:firstLine="199"/>
        <w:spacing w:after="0" w:line="262" w:lineRule="auto"/>
        <w:rPr>
          <w:sz w:val="20"/>
          <w:szCs w:val="20"/>
          <w:color w:val="auto"/>
        </w:rPr>
      </w:pPr>
      <w:r>
        <w:rPr>
          <w:rFonts w:ascii="Courier New" w:cs="Courier New" w:eastAsia="Courier New" w:hAnsi="Courier New"/>
          <w:sz w:val="16"/>
          <w:szCs w:val="16"/>
          <w:color w:val="auto"/>
        </w:rPr>
        <w:t>The Trust has severance agreements with Mr. Kaplan, Ms. Ward, and Mr. Wood which provide, among other things, that if the employee is terminated without cause (as defined in the agreements), the employee will be entitled to receive his or her salary for 18 months, and benefits for nine months. The employee also will receive the benefits payable upon termination without cause under certain additional circumstances, including, among other things, a demotion or a substantial reduction in the employee's responsibilities without his or her written consent, relocation of the Trust's principal office outside the Washington, D.C. area, the occurrence of a change in control (as defined in the agreements), or the decrease of the employee's base salary below a percentage specified in each employee's severance agreement. The Trust may terminate the employee's employment with cause without payment to the employee. If Mr. Kaplan or Ms. Ward voluntarily resigns, they will receive their salary and benefits for up to six months, depending upon length of service, unless they become employed by a competing firm.</w:t>
      </w:r>
    </w:p>
    <w:p>
      <w:pPr>
        <w:spacing w:after="0" w:line="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60" w:right="1440" w:bottom="1440" w:gutter="0" w:footer="0" w:header="0"/>
        </w:sectPr>
      </w:pPr>
    </w:p>
    <w:bookmarkStart w:id="10" w:name="page11"/>
    <w:bookmarkEnd w:id="10"/>
    <w:p>
      <w:pPr>
        <w:ind w:right="2459" w:firstLine="199"/>
        <w:spacing w:after="0" w:line="244" w:lineRule="auto"/>
        <w:rPr>
          <w:sz w:val="20"/>
          <w:szCs w:val="20"/>
          <w:color w:val="auto"/>
        </w:rPr>
      </w:pPr>
      <w:r>
        <w:rPr>
          <w:rFonts w:ascii="Courier New" w:cs="Courier New" w:eastAsia="Courier New" w:hAnsi="Courier New"/>
          <w:sz w:val="17"/>
          <w:szCs w:val="17"/>
          <w:color w:val="auto"/>
        </w:rPr>
        <w:t>The Trust has entered into agreements with each of the current executive officers named in the Summary Compensation Table above other than Mr. Biel providing that, if any of these officers leave the employment of the Trust within six months following a change in control (generally defined to include control of a specified percentage of the outstanding Shares), he or she will be entitled to receive a lump sum cash payment and benefits and executive perquisites for a period following such termination, to have the restrictions on the exercise or receipt of any stock options or stock grants lapse and, at the option of the officer, to have the Trust redeem all Shares owned at termination at a formula price. The Trust intends to enter into a similar agreement with Mr. Biel in 1999. The cash payments the officers are entitled to receive are computed using a formula based upon the officer's salary at the date his or her employment terminates and bonuses that were paid over the previous three years. This amount is multiplied by a certain percentage: 299% for Mr. Guttman; 200% for Mr. Kaplan and Mr. Wood; and 100% for Ms. Ward.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w:t>
      </w:r>
    </w:p>
    <w:p>
      <w:pPr>
        <w:spacing w:after="0" w:line="101"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6"/>
          <w:szCs w:val="16"/>
          <w:color w:val="auto"/>
        </w:rPr>
        <w:t>Mr. Biel commenced employment with the Trust in January 1998. The Trust and Mr. Biel entered into a letter agreement in November 1997 setting forth the terms of his employment providing, among other things, that he will receive an annual salary of $300,000 and is eligible to receive an annual bonus of up to 75% of his salary. In addition, Mr. Biel received an option award for 200,000 Shares on the date he began his employment. The options will vest in four equal annual installments beginning on the second anniversary of the date of award. The option was priced at the closing price per Share on the date of award. If his employment is terminated with cause, he will not receive any severance payment. If his employment is terminated without cause, (i) he will be entitled to receive his salary for up to 18 months, depending upon length of service, and benefits for nine months, and (ii) if such termination occurs after he has been employed by the Trust for one year, any unvested stock options awarded to him will vest. The agreement also provides that Mr. Biel is entitled to receive an annual stock award equal to 7.5% to 10% of the value created in certain development projects. Value is a measure based on capitalization of net operating income. In any year in which the stock award's value to Mr. Biel exceeds $700,000, no bonus will be paid to him. No award was made to Mr. Biel under this program for 1998.</w:t>
      </w:r>
    </w:p>
    <w:p>
      <w:pPr>
        <w:spacing w:after="0" w:line="94" w:lineRule="exact"/>
        <w:rPr>
          <w:sz w:val="20"/>
          <w:szCs w:val="20"/>
          <w:color w:val="auto"/>
        </w:rPr>
      </w:pPr>
    </w:p>
    <w:p>
      <w:pPr>
        <w:ind w:right="2459" w:firstLine="199"/>
        <w:spacing w:after="0" w:line="244" w:lineRule="auto"/>
        <w:rPr>
          <w:sz w:val="20"/>
          <w:szCs w:val="20"/>
          <w:color w:val="auto"/>
        </w:rPr>
      </w:pPr>
      <w:r>
        <w:rPr>
          <w:rFonts w:ascii="Courier New" w:cs="Courier New" w:eastAsia="Courier New" w:hAnsi="Courier New"/>
          <w:sz w:val="17"/>
          <w:szCs w:val="17"/>
          <w:color w:val="auto"/>
        </w:rPr>
        <w:t>In September 1997 the Trust granted performance share awards ("Performance Awards") to Mr. Guttman and Mr. Kaplan effective in January 1998 for 300,000 and 62,500 Shares ("Performance Shares"), respectively. Pursuant to the terms of these awards, a specified number of Performance Shares will vest each year from 1998 through 2005 if the Trust meets or exceeds the "Performance Target." The Performance Target will have been met or exceeded based upon the application of an annual test, which requires the FFO annual growth rate per Share to equal or exceed seven percent (7%). No Performance Shares vested in 1998 since the Trust did not meet the "Performance Target" on an as-reported basis. Any Performance Shares which remain unvested after 2005 vest in five equal annual installments through 2010. All Performance Shares vest in the event of a change in control (as defined in the Performance Awards), or the termination of Mr. Guttman's or Mr. Kaplan's employment due to disability (as defined in the Performance Awards) or without cause (as defined in the Performance Awards). If Mr. Guttman's or Mr. Kaplan's employment is terminated for cause, his rights to any unvested Performance Shares are forfeited. If Mr. Guttman or Mr. Kaplan dies or voluntarily resigns from his employment with the Trust, a pro rata number of Performance Shares for that year will vest if the Performance Target is met, and his rights to any future unvested Shares are forfeited.</w:t>
      </w:r>
    </w:p>
    <w:p>
      <w:pPr>
        <w:spacing w:after="0" w:line="101"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6"/>
          <w:szCs w:val="16"/>
          <w:color w:val="auto"/>
        </w:rPr>
        <w:t>In September 1997 the Trust granted restricted share awards ("Service Awards") to Mr. Kaplan effective in January 1998 for an aggregate of 62,500 Shares. Pursuant to the terms of the Service Awards, an aggregate of 651 Shares vest each month over an eight-year period, subject to accelerated vesting in the event of a change in control (as defined in the Service Awards) or the termination of Mr. Kaplan's employment due to disability (as defined in the Service Awards) or without cause (as defined in the Service Awards). If Mr. Kaplan voluntarily resigns from his employment with the Trust or his employment is terminated for cause prior to the end of the aforementioned eight-year period, his rights to any unvested Shares are forfeited. If Mr. Kaplan dies, the number of Shares which would have vested in the month of his death vest and his rights to any future unvested Shares are forfeited.</w:t>
      </w:r>
    </w:p>
    <w:p>
      <w:pPr>
        <w:spacing w:after="0" w:line="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60" w:right="1440" w:bottom="1077" w:gutter="0" w:footer="0" w:header="0"/>
        </w:sectPr>
      </w:pPr>
    </w:p>
    <w:bookmarkStart w:id="11" w:name="page12"/>
    <w:bookmarkEnd w:id="11"/>
    <w:p>
      <w:pPr>
        <w:ind w:right="2459" w:firstLine="199"/>
        <w:spacing w:after="0" w:line="267" w:lineRule="auto"/>
        <w:rPr>
          <w:sz w:val="20"/>
          <w:szCs w:val="20"/>
          <w:color w:val="auto"/>
        </w:rPr>
      </w:pPr>
      <w:r>
        <w:rPr>
          <w:rFonts w:ascii="Courier New" w:cs="Courier New" w:eastAsia="Courier New" w:hAnsi="Courier New"/>
          <w:sz w:val="16"/>
          <w:szCs w:val="16"/>
          <w:color w:val="auto"/>
        </w:rPr>
        <w:t>The Trust granted a restricted share award of 10,000 Shares (the "Restricted Share Award") to Mr. Wood in May 1998 upon the commencement of his employment. Pursuant to the terms of the Restricted Share Award, the Shares will vest in five equal annual installments, subject to accelerated vesting if any of the following events occur after the first anniversary of the date of grant: a change in control or the termination of Mr. Wood's employment due to death, disability or without cause (as such terms are defined in the Restricted Share Award). If Mr. Wood voluntarily resigns from his employment with the Trust or his employment is terminated for cause prior to the end of the five-year vesting period, his rights to any unvested Shares are forfeited.</w:t>
      </w:r>
    </w:p>
    <w:p>
      <w:pPr>
        <w:spacing w:after="0" w:line="87" w:lineRule="exact"/>
        <w:rPr>
          <w:sz w:val="20"/>
          <w:szCs w:val="20"/>
          <w:color w:val="auto"/>
        </w:rPr>
      </w:pPr>
    </w:p>
    <w:p>
      <w:pPr>
        <w:ind w:right="2459" w:firstLine="199"/>
        <w:spacing w:after="0" w:line="244" w:lineRule="auto"/>
        <w:rPr>
          <w:sz w:val="20"/>
          <w:szCs w:val="20"/>
          <w:color w:val="auto"/>
        </w:rPr>
      </w:pPr>
      <w:r>
        <w:rPr>
          <w:rFonts w:ascii="Courier New" w:cs="Courier New" w:eastAsia="Courier New" w:hAnsi="Courier New"/>
          <w:sz w:val="17"/>
          <w:szCs w:val="17"/>
          <w:color w:val="auto"/>
        </w:rPr>
        <w:t>The Trust and Mr. Fishkin have entered into an agreement, effective January 1, 1999, pursuant to which Mr. Fishkin's former employment relationship with the Trust ended and he became a consultant to the Trust. Pursuant to the terms of the agreement, Mr. Fishkin remains a director of Street Retail, Inc., a wholly owned subsidiary of the Trust, and will provide certain real estate services to the Trust for a term of three years. The agreement provides for an annual retainer of $250,000, plus expenses, and payment of a bonus of $125,000 for 1998. In addition, Mr. Fishkin will receive incentive compensation based on the square footage leased at certain properties. Until the expiration or termination of the agreement, Mr. Fishkin is entitled to the benefit of any outstanding stock option awards, restricted stock agreements, share purchase loans and split-dollar life insurance agreements (as described below) as if Mr. Fishkin were an employee of the Trust. The agreement is terminable by the Trust with 60 days notice and by Mr. Fishkin with 90 days notice. If the agreement is terminated prior to the expiration of its term other than for cause, Mr. Fishkin is entitled to a severance payment of up to $600,000 and to certain other benefits, based on the timing and circumstances of the termination.</w:t>
      </w:r>
    </w:p>
    <w:p>
      <w:pPr>
        <w:spacing w:after="0" w:line="110" w:lineRule="exact"/>
        <w:rPr>
          <w:sz w:val="20"/>
          <w:szCs w:val="20"/>
          <w:color w:val="auto"/>
        </w:rPr>
      </w:pPr>
    </w:p>
    <w:p>
      <w:pPr>
        <w:ind w:right="2459" w:firstLine="199"/>
        <w:spacing w:after="0" w:line="259" w:lineRule="auto"/>
        <w:rPr>
          <w:sz w:val="20"/>
          <w:szCs w:val="20"/>
          <w:color w:val="auto"/>
        </w:rPr>
      </w:pPr>
      <w:r>
        <w:rPr>
          <w:rFonts w:ascii="Courier New" w:cs="Courier New" w:eastAsia="Courier New" w:hAnsi="Courier New"/>
          <w:sz w:val="16"/>
          <w:szCs w:val="16"/>
          <w:color w:val="auto"/>
        </w:rPr>
        <w:t>In connection with the agreement with Mr. Fishkin described above, the Trust entered into a performance share award agreement ("Performance Share Agreement") with him setting forth the terms of the 75,000 performance shares ("Performance Shares") awarded in January 1998. The Performance Shares are eligible to vest from 1999-2001 based on the calculation of value created in certain real estate projects. Any Performance Shares which remain unvested after 2001 are forfeited, except that Mr. Fishkin may remain eligible to receive awards for value created within 24 months thereafter under certain circumstances. All Performance Shares vest in the event Mr. Fishkin's consulting agreement is terminated by the Trust without cause, or terminated by Mr. Fishkin, within six months after a change in control which occurs prior to a date described in the consulting agreement; if such termination takes place within six months after a change in control which occurs on or after that date, Mr. Fishkin will remain eligible to receive awards for value created within 24 months after the termination. In the event Mr. Fishkin's consulting arrangement is terminated due to disability or without cause, Mr. Fishkin will remain eligible to receive awards for value created within 24 months after the termination. If Mr. Fishkin dies, he will be eligible to receive awards for value created prior to his death. If Mr. Fishkin terminates the consulting agreement, or if the Trust terminates the agreement for cause, Mr. Fishkin's rights to any unvested Performance Shares are forfeited.</w:t>
      </w:r>
    </w:p>
    <w:p>
      <w:pPr>
        <w:spacing w:after="0" w:line="100" w:lineRule="exact"/>
        <w:rPr>
          <w:sz w:val="20"/>
          <w:szCs w:val="20"/>
          <w:color w:val="auto"/>
        </w:rPr>
      </w:pPr>
    </w:p>
    <w:p>
      <w:pPr>
        <w:ind w:right="2459" w:firstLine="199"/>
        <w:spacing w:after="0" w:line="267" w:lineRule="auto"/>
        <w:rPr>
          <w:sz w:val="20"/>
          <w:szCs w:val="20"/>
          <w:color w:val="auto"/>
        </w:rPr>
      </w:pPr>
      <w:r>
        <w:rPr>
          <w:rFonts w:ascii="Courier New" w:cs="Courier New" w:eastAsia="Courier New" w:hAnsi="Courier New"/>
          <w:sz w:val="16"/>
          <w:szCs w:val="16"/>
          <w:color w:val="auto"/>
        </w:rPr>
        <w:t>The Trust has entered into split-dollar life insurance agreements with Mr. Guttman, Mr. Kaplan, Mr. Biel, Mr. Wood and Mr. Fishkin pursuant to which the Trust makes certain premium payments on their behalf relating to certain insurance policies and is reimbursed for those premiums after fifteen years. The Trust's funding obligations end, and it is entitled to immediate reimbursement, in the event of termination of the employee's employment under certain circumstances. The Trust's funding obligations do not end, however, in the event of termination without cause or in connection with a change in control of the Trust, provided in either case that the employee has been employed by the Trust for at least five years at the time of termination.</w:t>
      </w:r>
    </w:p>
    <w:p>
      <w:pPr>
        <w:spacing w:after="0" w:line="87" w:lineRule="exact"/>
        <w:rPr>
          <w:sz w:val="20"/>
          <w:szCs w:val="20"/>
          <w:color w:val="auto"/>
        </w:rPr>
      </w:pPr>
    </w:p>
    <w:p>
      <w:pPr>
        <w:jc w:val="both"/>
        <w:ind w:right="2959" w:firstLine="199"/>
        <w:spacing w:after="0" w:line="292" w:lineRule="auto"/>
        <w:rPr>
          <w:sz w:val="20"/>
          <w:szCs w:val="20"/>
          <w:color w:val="auto"/>
        </w:rPr>
      </w:pPr>
      <w:r>
        <w:rPr>
          <w:rFonts w:ascii="Courier New" w:cs="Courier New" w:eastAsia="Courier New" w:hAnsi="Courier New"/>
          <w:sz w:val="17"/>
          <w:szCs w:val="17"/>
          <w:color w:val="auto"/>
        </w:rPr>
        <w:t>The Amended Plan provides that all stock options granted pursuant to it shall vest in the event of a change of control, as defined in the Amended Plan.</w:t>
      </w:r>
    </w:p>
    <w:p>
      <w:pPr>
        <w:spacing w:after="0" w:line="62" w:lineRule="exact"/>
        <w:rPr>
          <w:sz w:val="20"/>
          <w:szCs w:val="20"/>
          <w:color w:val="auto"/>
        </w:rPr>
      </w:pPr>
    </w:p>
    <w:p>
      <w:pPr>
        <w:ind w:right="2559" w:firstLine="199"/>
        <w:spacing w:after="0" w:line="265" w:lineRule="auto"/>
        <w:rPr>
          <w:sz w:val="20"/>
          <w:szCs w:val="20"/>
          <w:color w:val="auto"/>
        </w:rPr>
      </w:pPr>
      <w:r>
        <w:rPr>
          <w:rFonts w:ascii="Courier New" w:cs="Courier New" w:eastAsia="Courier New" w:hAnsi="Courier New"/>
          <w:sz w:val="17"/>
          <w:szCs w:val="17"/>
          <w:color w:val="auto"/>
        </w:rPr>
        <w:t>The Share Purchase Plan permits the Trust to make non-recourse purchase loans to participants to facilitate the purchase of Shares pursuant to awards made thereunder. The Share Purchase Plan provides that a portion of the outstanding balance of any purchase loan will be forgiven as of the date of a change in control.</w:t>
      </w:r>
    </w:p>
    <w:p>
      <w:pPr>
        <w:spacing w:after="0" w:line="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60" w:right="1440" w:bottom="1440" w:gutter="0" w:footer="0" w:header="0"/>
        </w:sectPr>
      </w:pPr>
    </w:p>
    <w:bookmarkStart w:id="12" w:name="page13"/>
    <w:bookmarkEnd w:id="12"/>
    <w:p>
      <w:pPr>
        <w:ind w:left="2880"/>
        <w:spacing w:after="0"/>
        <w:rPr>
          <w:sz w:val="20"/>
          <w:szCs w:val="20"/>
          <w:color w:val="auto"/>
        </w:rPr>
      </w:pPr>
      <w:r>
        <w:rPr>
          <w:rFonts w:ascii="Courier New" w:cs="Courier New" w:eastAsia="Courier New" w:hAnsi="Courier New"/>
          <w:sz w:val="17"/>
          <w:szCs w:val="17"/>
          <w:color w:val="auto"/>
        </w:rPr>
        <w:t>Option Awards in 1998</w:t>
      </w:r>
    </w:p>
    <w:p>
      <w:pPr>
        <w:spacing w:after="0" w:line="190" w:lineRule="exact"/>
        <w:rPr>
          <w:sz w:val="20"/>
          <w:szCs w:val="20"/>
          <w:color w:val="auto"/>
        </w:rPr>
      </w:pPr>
    </w:p>
    <w:p>
      <w:pPr>
        <w:ind w:right="4080" w:firstLine="199"/>
        <w:spacing w:after="0" w:line="347" w:lineRule="auto"/>
        <w:rPr>
          <w:sz w:val="20"/>
          <w:szCs w:val="20"/>
          <w:color w:val="auto"/>
        </w:rPr>
      </w:pPr>
      <w:r>
        <w:rPr>
          <w:rFonts w:ascii="Courier New" w:cs="Courier New" w:eastAsia="Courier New" w:hAnsi="Courier New"/>
          <w:sz w:val="17"/>
          <w:szCs w:val="17"/>
          <w:color w:val="auto"/>
        </w:rPr>
        <w:t>The following table provides information on option awards in 1998 to the named officers.</w:t>
      </w:r>
    </w:p>
    <w:p>
      <w:pPr>
        <w:spacing w:after="0" w:line="398" w:lineRule="exact"/>
        <w:rPr>
          <w:sz w:val="20"/>
          <w:szCs w:val="20"/>
          <w:color w:val="auto"/>
        </w:rPr>
      </w:pPr>
    </w:p>
    <w:tbl>
      <w:tblPr>
        <w:tblLayout w:type="fixed"/>
        <w:tblInd w:w="2680" w:type="dxa"/>
        <w:tblCellMar>
          <w:top w:w="0" w:type="dxa"/>
          <w:left w:w="0" w:type="dxa"/>
          <w:bottom w:w="0" w:type="dxa"/>
          <w:right w:w="0" w:type="dxa"/>
        </w:tblCellMar>
      </w:tblPr>
      <w:tr>
        <w:trPr>
          <w:trHeight w:val="193"/>
        </w:trPr>
        <w:tc>
          <w:tcPr>
            <w:tcW w:w="3180" w:type="dxa"/>
            <w:vAlign w:val="bottom"/>
          </w:tcPr>
          <w:p>
            <w:pPr>
              <w:spacing w:after="0"/>
              <w:rPr>
                <w:sz w:val="16"/>
                <w:szCs w:val="16"/>
                <w:color w:val="auto"/>
              </w:rPr>
            </w:pPr>
          </w:p>
        </w:tc>
        <w:tc>
          <w:tcPr>
            <w:tcW w:w="35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Potential</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3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Realizable Value at</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3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Assumed Annual</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3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Rates of Stock Price</w:t>
            </w:r>
          </w:p>
        </w:tc>
        <w:tc>
          <w:tcPr>
            <w:tcW w:w="0" w:type="dxa"/>
            <w:vAlign w:val="bottom"/>
          </w:tcPr>
          <w:p>
            <w:pPr>
              <w:spacing w:after="0"/>
              <w:rPr>
                <w:sz w:val="1"/>
                <w:szCs w:val="1"/>
                <w:color w:val="auto"/>
              </w:rPr>
            </w:pPr>
          </w:p>
        </w:tc>
      </w:tr>
      <w:tr>
        <w:trPr>
          <w:trHeight w:val="191"/>
        </w:trPr>
        <w:tc>
          <w:tcPr>
            <w:tcW w:w="3180" w:type="dxa"/>
            <w:vAlign w:val="bottom"/>
            <w:vMerge w:val="restart"/>
          </w:tcPr>
          <w:p>
            <w:pPr>
              <w:spacing w:after="0"/>
              <w:rPr>
                <w:sz w:val="20"/>
                <w:szCs w:val="20"/>
                <w:color w:val="auto"/>
              </w:rPr>
            </w:pPr>
            <w:r>
              <w:rPr>
                <w:rFonts w:ascii="Courier New" w:cs="Courier New" w:eastAsia="Courier New" w:hAnsi="Courier New"/>
                <w:sz w:val="17"/>
                <w:szCs w:val="17"/>
                <w:color w:val="auto"/>
              </w:rPr>
              <w:t>Individual Awards</w:t>
            </w:r>
          </w:p>
        </w:tc>
        <w:tc>
          <w:tcPr>
            <w:tcW w:w="3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Appreciation</w:t>
            </w:r>
          </w:p>
        </w:tc>
        <w:tc>
          <w:tcPr>
            <w:tcW w:w="0" w:type="dxa"/>
            <w:vAlign w:val="bottom"/>
          </w:tcPr>
          <w:p>
            <w:pPr>
              <w:spacing w:after="0"/>
              <w:rPr>
                <w:sz w:val="1"/>
                <w:szCs w:val="1"/>
                <w:color w:val="auto"/>
              </w:rPr>
            </w:pPr>
          </w:p>
        </w:tc>
      </w:tr>
      <w:tr>
        <w:trPr>
          <w:trHeight w:val="221"/>
        </w:trPr>
        <w:tc>
          <w:tcPr>
            <w:tcW w:w="3180" w:type="dxa"/>
            <w:vAlign w:val="bottom"/>
            <w:vMerge w:val="continue"/>
          </w:tcPr>
          <w:p>
            <w:pPr>
              <w:spacing w:after="0"/>
              <w:rPr>
                <w:sz w:val="19"/>
                <w:szCs w:val="19"/>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7"/>
                <w:szCs w:val="17"/>
                <w:color w:val="auto"/>
              </w:rPr>
              <w:t>for Option Term (1)</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7"/>
          <w:szCs w:val="17"/>
          <w:color w:val="auto"/>
        </w:rPr>
        <w:t>- - ------------------------------------------------------------------------ -----------------------</w:t>
      </w:r>
    </w:p>
    <w:tbl>
      <w:tblPr>
        <w:tblLayout w:type="fixed"/>
        <w:tblInd w:w="1000" w:type="dxa"/>
        <w:tblCellMar>
          <w:top w:w="0" w:type="dxa"/>
          <w:left w:w="0" w:type="dxa"/>
          <w:bottom w:w="0" w:type="dxa"/>
          <w:right w:w="0" w:type="dxa"/>
        </w:tblCellMar>
      </w:tblPr>
      <w:tr>
        <w:trPr>
          <w:trHeight w:val="162"/>
        </w:trPr>
        <w:tc>
          <w:tcPr>
            <w:tcW w:w="940" w:type="dxa"/>
            <w:vAlign w:val="bottom"/>
          </w:tcPr>
          <w:p>
            <w:pPr>
              <w:spacing w:after="0" w:line="162" w:lineRule="exact"/>
              <w:rPr>
                <w:sz w:val="20"/>
                <w:szCs w:val="20"/>
                <w:color w:val="auto"/>
              </w:rPr>
            </w:pPr>
            <w:r>
              <w:rPr>
                <w:rFonts w:ascii="Courier New" w:cs="Courier New" w:eastAsia="Courier New" w:hAnsi="Courier New"/>
                <w:sz w:val="17"/>
                <w:szCs w:val="17"/>
                <w:color w:val="auto"/>
              </w:rPr>
              <w:t>(a)</w:t>
            </w:r>
          </w:p>
        </w:tc>
        <w:tc>
          <w:tcPr>
            <w:tcW w:w="1740" w:type="dxa"/>
            <w:vAlign w:val="bottom"/>
          </w:tcPr>
          <w:p>
            <w:pPr>
              <w:jc w:val="center"/>
              <w:ind w:left="357"/>
              <w:spacing w:after="0" w:line="162" w:lineRule="exact"/>
              <w:rPr>
                <w:sz w:val="20"/>
                <w:szCs w:val="20"/>
                <w:color w:val="auto"/>
              </w:rPr>
            </w:pPr>
            <w:r>
              <w:rPr>
                <w:rFonts w:ascii="Courier New" w:cs="Courier New" w:eastAsia="Courier New" w:hAnsi="Courier New"/>
                <w:sz w:val="17"/>
                <w:szCs w:val="17"/>
                <w:color w:val="auto"/>
                <w:w w:val="97"/>
              </w:rPr>
              <w:t>(b)</w:t>
            </w:r>
          </w:p>
        </w:tc>
        <w:tc>
          <w:tcPr>
            <w:tcW w:w="1140" w:type="dxa"/>
            <w:vAlign w:val="bottom"/>
          </w:tcPr>
          <w:p>
            <w:pPr>
              <w:jc w:val="center"/>
              <w:spacing w:after="0" w:line="162" w:lineRule="exact"/>
              <w:rPr>
                <w:sz w:val="20"/>
                <w:szCs w:val="20"/>
                <w:color w:val="auto"/>
              </w:rPr>
            </w:pPr>
            <w:r>
              <w:rPr>
                <w:rFonts w:ascii="Courier New" w:cs="Courier New" w:eastAsia="Courier New" w:hAnsi="Courier New"/>
                <w:sz w:val="17"/>
                <w:szCs w:val="17"/>
                <w:color w:val="auto"/>
                <w:w w:val="97"/>
              </w:rPr>
              <w:t>(c)</w:t>
            </w:r>
          </w:p>
        </w:tc>
        <w:tc>
          <w:tcPr>
            <w:tcW w:w="1300" w:type="dxa"/>
            <w:vAlign w:val="bottom"/>
          </w:tcPr>
          <w:p>
            <w:pPr>
              <w:ind w:left="460"/>
              <w:spacing w:after="0" w:line="162" w:lineRule="exact"/>
              <w:rPr>
                <w:sz w:val="20"/>
                <w:szCs w:val="20"/>
                <w:color w:val="auto"/>
              </w:rPr>
            </w:pPr>
            <w:r>
              <w:rPr>
                <w:rFonts w:ascii="Courier New" w:cs="Courier New" w:eastAsia="Courier New" w:hAnsi="Courier New"/>
                <w:sz w:val="17"/>
                <w:szCs w:val="17"/>
                <w:color w:val="auto"/>
              </w:rPr>
              <w:t>(d)</w:t>
            </w:r>
          </w:p>
        </w:tc>
        <w:tc>
          <w:tcPr>
            <w:tcW w:w="1200" w:type="dxa"/>
            <w:vAlign w:val="bottom"/>
          </w:tcPr>
          <w:p>
            <w:pPr>
              <w:ind w:left="340"/>
              <w:spacing w:after="0" w:line="162" w:lineRule="exact"/>
              <w:rPr>
                <w:sz w:val="20"/>
                <w:szCs w:val="20"/>
                <w:color w:val="auto"/>
              </w:rPr>
            </w:pPr>
            <w:r>
              <w:rPr>
                <w:rFonts w:ascii="Courier New" w:cs="Courier New" w:eastAsia="Courier New" w:hAnsi="Courier New"/>
                <w:sz w:val="17"/>
                <w:szCs w:val="17"/>
                <w:color w:val="auto"/>
              </w:rPr>
              <w:t>(e)</w:t>
            </w:r>
          </w:p>
        </w:tc>
        <w:tc>
          <w:tcPr>
            <w:tcW w:w="1040" w:type="dxa"/>
            <w:vAlign w:val="bottom"/>
          </w:tcPr>
          <w:p>
            <w:pPr>
              <w:jc w:val="right"/>
              <w:ind w:right="317"/>
              <w:spacing w:after="0" w:line="162" w:lineRule="exact"/>
              <w:rPr>
                <w:sz w:val="20"/>
                <w:szCs w:val="20"/>
                <w:color w:val="auto"/>
              </w:rPr>
            </w:pPr>
            <w:r>
              <w:rPr>
                <w:rFonts w:ascii="Courier New" w:cs="Courier New" w:eastAsia="Courier New" w:hAnsi="Courier New"/>
                <w:sz w:val="17"/>
                <w:szCs w:val="17"/>
                <w:color w:val="auto"/>
              </w:rPr>
              <w:t>(f)</w:t>
            </w:r>
          </w:p>
        </w:tc>
        <w:tc>
          <w:tcPr>
            <w:tcW w:w="100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(g)</w:t>
            </w: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 of</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Total</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Options</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Awarded to</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1740" w:type="dxa"/>
            <w:vAlign w:val="bottom"/>
            <w:vMerge w:val="restart"/>
          </w:tcPr>
          <w:p>
            <w:pPr>
              <w:jc w:val="center"/>
              <w:ind w:left="357"/>
              <w:spacing w:after="0"/>
              <w:rPr>
                <w:sz w:val="20"/>
                <w:szCs w:val="20"/>
                <w:color w:val="auto"/>
              </w:rPr>
            </w:pPr>
            <w:r>
              <w:rPr>
                <w:rFonts w:ascii="Courier New" w:cs="Courier New" w:eastAsia="Courier New" w:hAnsi="Courier New"/>
                <w:sz w:val="17"/>
                <w:szCs w:val="17"/>
                <w:color w:val="auto"/>
                <w:w w:val="97"/>
              </w:rPr>
              <w:t>Options</w:t>
            </w: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Employees</w:t>
            </w:r>
          </w:p>
        </w:tc>
        <w:tc>
          <w:tcPr>
            <w:tcW w:w="130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5"/>
              </w:rPr>
              <w:t>Exercise</w:t>
            </w:r>
          </w:p>
        </w:tc>
        <w:tc>
          <w:tcPr>
            <w:tcW w:w="120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Expiration</w:t>
            </w: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1740" w:type="dxa"/>
            <w:vAlign w:val="bottom"/>
            <w:vMerge w:val="continue"/>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in Fiscal</w:t>
            </w:r>
          </w:p>
        </w:tc>
        <w:tc>
          <w:tcPr>
            <w:tcW w:w="13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4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5% ($)</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10% ($)</w:t>
            </w:r>
          </w:p>
        </w:tc>
        <w:tc>
          <w:tcPr>
            <w:tcW w:w="0" w:type="dxa"/>
            <w:vAlign w:val="bottom"/>
          </w:tcPr>
          <w:p>
            <w:pPr>
              <w:spacing w:after="0"/>
              <w:rPr>
                <w:sz w:val="1"/>
                <w:szCs w:val="1"/>
                <w:color w:val="auto"/>
              </w:rPr>
            </w:pPr>
          </w:p>
        </w:tc>
      </w:tr>
      <w:tr>
        <w:trPr>
          <w:trHeight w:val="221"/>
        </w:trPr>
        <w:tc>
          <w:tcPr>
            <w:tcW w:w="940" w:type="dxa"/>
            <w:vAlign w:val="bottom"/>
            <w:vMerge w:val="continue"/>
          </w:tcPr>
          <w:p>
            <w:pPr>
              <w:spacing w:after="0"/>
              <w:rPr>
                <w:sz w:val="19"/>
                <w:szCs w:val="19"/>
                <w:color w:val="auto"/>
              </w:rPr>
            </w:pPr>
          </w:p>
        </w:tc>
        <w:tc>
          <w:tcPr>
            <w:tcW w:w="1740" w:type="dxa"/>
            <w:vAlign w:val="bottom"/>
          </w:tcPr>
          <w:p>
            <w:pPr>
              <w:jc w:val="center"/>
              <w:ind w:left="357"/>
              <w:spacing w:after="0"/>
              <w:rPr>
                <w:sz w:val="20"/>
                <w:szCs w:val="20"/>
                <w:color w:val="auto"/>
              </w:rPr>
            </w:pPr>
            <w:r>
              <w:rPr>
                <w:rFonts w:ascii="Courier New" w:cs="Courier New" w:eastAsia="Courier New" w:hAnsi="Courier New"/>
                <w:sz w:val="17"/>
                <w:szCs w:val="17"/>
                <w:color w:val="auto"/>
                <w:w w:val="97"/>
              </w:rPr>
              <w:t>Awarded (#)</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Year</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6"/>
              </w:rPr>
              <w:t>Price ($/Sh)</w:t>
            </w:r>
          </w:p>
        </w:tc>
        <w:tc>
          <w:tcPr>
            <w:tcW w:w="1200" w:type="dxa"/>
            <w:vAlign w:val="bottom"/>
          </w:tcPr>
          <w:p>
            <w:pPr>
              <w:ind w:left="340"/>
              <w:spacing w:after="0"/>
              <w:rPr>
                <w:sz w:val="20"/>
                <w:szCs w:val="20"/>
                <w:color w:val="auto"/>
              </w:rPr>
            </w:pPr>
            <w:r>
              <w:rPr>
                <w:rFonts w:ascii="Courier New" w:cs="Courier New" w:eastAsia="Courier New" w:hAnsi="Courier New"/>
                <w:sz w:val="17"/>
                <w:szCs w:val="17"/>
                <w:color w:val="auto"/>
              </w:rPr>
              <w:t>Date</w:t>
            </w:r>
          </w:p>
        </w:tc>
        <w:tc>
          <w:tcPr>
            <w:tcW w:w="10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 ----------------------------------------------------------------------------------------------------</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13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ind w:left="640"/>
              <w:spacing w:after="0"/>
              <w:rPr>
                <w:sz w:val="20"/>
                <w:szCs w:val="20"/>
                <w:color w:val="auto"/>
              </w:rPr>
            </w:pPr>
            <w:r>
              <w:rPr>
                <w:rFonts w:ascii="Courier New" w:cs="Courier New" w:eastAsia="Courier New" w:hAnsi="Courier New"/>
                <w:sz w:val="17"/>
                <w:szCs w:val="17"/>
                <w:color w:val="auto"/>
                <w:w w:val="94"/>
              </w:rPr>
              <w:t>--  $</w:t>
            </w:r>
          </w:p>
        </w:tc>
        <w:tc>
          <w:tcPr>
            <w:tcW w:w="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Howard S. Biel..........</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200,000(2)</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15%</w:t>
            </w:r>
          </w:p>
        </w:tc>
        <w:tc>
          <w:tcPr>
            <w:tcW w:w="40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25.875</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1/2/08</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3,255,000</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8,248,000</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Nathan P. Fishkin.......</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25,000(3)</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w:t>
            </w:r>
          </w:p>
        </w:tc>
        <w:tc>
          <w:tcPr>
            <w:tcW w:w="40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24.8125</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3/5/08</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390,000</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989,000</w:t>
            </w:r>
          </w:p>
        </w:tc>
        <w:tc>
          <w:tcPr>
            <w:tcW w:w="0" w:type="dxa"/>
            <w:vAlign w:val="bottom"/>
          </w:tcPr>
          <w:p>
            <w:pPr>
              <w:spacing w:after="0"/>
              <w:rPr>
                <w:sz w:val="1"/>
                <w:szCs w:val="1"/>
                <w:color w:val="auto"/>
              </w:rPr>
            </w:pPr>
          </w:p>
        </w:tc>
      </w:tr>
      <w:tr>
        <w:trPr>
          <w:trHeight w:val="191"/>
        </w:trPr>
        <w:tc>
          <w:tcPr>
            <w:tcW w:w="2540" w:type="dxa"/>
            <w:vAlign w:val="bottom"/>
            <w:vMerge w:val="restart"/>
          </w:tcPr>
          <w:p>
            <w:pPr>
              <w:spacing w:after="0"/>
              <w:rPr>
                <w:sz w:val="20"/>
                <w:szCs w:val="20"/>
                <w:color w:val="auto"/>
              </w:rPr>
            </w:pPr>
            <w:r>
              <w:rPr>
                <w:rFonts w:ascii="Courier New" w:cs="Courier New" w:eastAsia="Courier New" w:hAnsi="Courier New"/>
                <w:sz w:val="17"/>
                <w:szCs w:val="17"/>
                <w:color w:val="auto"/>
              </w:rPr>
              <w:t>Ron D. Kaplan...........</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75,000(4)</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w:t>
            </w:r>
          </w:p>
        </w:tc>
        <w:tc>
          <w:tcPr>
            <w:tcW w:w="40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22.0620</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8/5/08</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1,041,000</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2,637,000</w:t>
            </w:r>
          </w:p>
        </w:tc>
        <w:tc>
          <w:tcPr>
            <w:tcW w:w="0" w:type="dxa"/>
            <w:vAlign w:val="bottom"/>
          </w:tcPr>
          <w:p>
            <w:pPr>
              <w:spacing w:after="0"/>
              <w:rPr>
                <w:sz w:val="1"/>
                <w:szCs w:val="1"/>
                <w:color w:val="auto"/>
              </w:rPr>
            </w:pPr>
          </w:p>
        </w:tc>
      </w:tr>
      <w:tr>
        <w:trPr>
          <w:trHeight w:val="191"/>
        </w:trPr>
        <w:tc>
          <w:tcPr>
            <w:tcW w:w="2540" w:type="dxa"/>
            <w:vAlign w:val="bottom"/>
            <w:vMerge w:val="continue"/>
          </w:tcPr>
          <w:p>
            <w:pPr>
              <w:spacing w:after="0"/>
              <w:rPr>
                <w:sz w:val="16"/>
                <w:szCs w:val="16"/>
                <w:color w:val="auto"/>
              </w:rPr>
            </w:pPr>
          </w:p>
        </w:tc>
        <w:tc>
          <w:tcPr>
            <w:tcW w:w="13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Cecily A. Ward..........</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50,000(5)</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w:t>
            </w:r>
          </w:p>
        </w:tc>
        <w:tc>
          <w:tcPr>
            <w:tcW w:w="40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25.1875</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1/26/08</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792,000</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2,007,000</w:t>
            </w:r>
          </w:p>
        </w:tc>
        <w:tc>
          <w:tcPr>
            <w:tcW w:w="0" w:type="dxa"/>
            <w:vAlign w:val="bottom"/>
          </w:tcPr>
          <w:p>
            <w:pPr>
              <w:spacing w:after="0"/>
              <w:rPr>
                <w:sz w:val="1"/>
                <w:szCs w:val="1"/>
                <w:color w:val="auto"/>
              </w:rPr>
            </w:pPr>
          </w:p>
        </w:tc>
      </w:tr>
      <w:tr>
        <w:trPr>
          <w:trHeight w:val="280"/>
        </w:trPr>
        <w:tc>
          <w:tcPr>
            <w:tcW w:w="2540" w:type="dxa"/>
            <w:vAlign w:val="bottom"/>
          </w:tcPr>
          <w:p>
            <w:pPr>
              <w:spacing w:after="0"/>
              <w:rPr>
                <w:sz w:val="20"/>
                <w:szCs w:val="20"/>
                <w:color w:val="auto"/>
              </w:rPr>
            </w:pPr>
            <w:r>
              <w:rPr>
                <w:rFonts w:ascii="Courier New" w:cs="Courier New" w:eastAsia="Courier New" w:hAnsi="Courier New"/>
                <w:sz w:val="17"/>
                <w:szCs w:val="17"/>
                <w:color w:val="auto"/>
              </w:rPr>
              <w:t>Donald C. Wood..........</w:t>
            </w:r>
          </w:p>
        </w:tc>
        <w:tc>
          <w:tcPr>
            <w:tcW w:w="13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250,000(6)</w:t>
            </w:r>
          </w:p>
        </w:tc>
        <w:tc>
          <w:tcPr>
            <w:tcW w:w="8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25.25</w:t>
            </w:r>
          </w:p>
        </w:tc>
        <w:tc>
          <w:tcPr>
            <w:tcW w:w="10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5/6/08</w:t>
            </w:r>
          </w:p>
        </w:tc>
        <w:tc>
          <w:tcPr>
            <w:tcW w:w="300" w:type="dxa"/>
            <w:vAlign w:val="bottom"/>
          </w:tcPr>
          <w:p>
            <w:pPr>
              <w:spacing w:after="0"/>
              <w:rPr>
                <w:sz w:val="24"/>
                <w:szCs w:val="24"/>
                <w:color w:val="auto"/>
              </w:rPr>
            </w:pP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3,970,000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4"/>
              </w:rPr>
              <w:t>10,060,000</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29" w:lineRule="exact"/>
        <w:rPr>
          <w:sz w:val="20"/>
          <w:szCs w:val="20"/>
          <w:color w:val="auto"/>
        </w:rPr>
      </w:pPr>
    </w:p>
    <w:p>
      <w:pPr>
        <w:ind w:left="400" w:right="3980" w:hanging="398"/>
        <w:spacing w:after="0" w:line="253"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assumed annual rates of stock price appreciation are specified by the SEC. No assurance can be given that such rates will be achieved.</w:t>
      </w:r>
    </w:p>
    <w:p>
      <w:pPr>
        <w:ind w:left="500" w:right="3680" w:hanging="498"/>
        <w:spacing w:after="0" w:line="238"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four equal annual installments beginning on January 2, 2000.</w:t>
      </w:r>
    </w:p>
    <w:p>
      <w:pPr>
        <w:ind w:left="500" w:right="3880" w:hanging="498"/>
        <w:spacing w:after="0" w:line="238"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five equal annual installments beginning on March 6, 1999.</w:t>
      </w:r>
    </w:p>
    <w:p>
      <w:pPr>
        <w:ind w:left="500" w:right="3780" w:hanging="498"/>
        <w:spacing w:after="0" w:line="238"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five equal annual installments beginning on August 6, 1999.</w:t>
      </w:r>
    </w:p>
    <w:p>
      <w:pPr>
        <w:ind w:left="500" w:right="4380" w:hanging="498"/>
        <w:spacing w:after="0" w:line="238"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three equal annual installments beginning on January 26, 1999.</w:t>
      </w:r>
    </w:p>
    <w:p>
      <w:pPr>
        <w:ind w:left="500" w:right="3780" w:hanging="498"/>
        <w:spacing w:after="0" w:line="310"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four equal annual installments beginning on May 6, 2000.</w:t>
      </w:r>
    </w:p>
    <w:p>
      <w:pPr>
        <w:spacing w:after="0" w:line="46"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7"/>
          <w:szCs w:val="17"/>
          <w:color w:val="auto"/>
        </w:rPr>
        <w:t>Aggregated Option Exercises in 1998 and December 31, 1998 Option Values</w:t>
      </w:r>
    </w:p>
    <w:p>
      <w:pPr>
        <w:spacing w:after="0" w:line="190" w:lineRule="exact"/>
        <w:rPr>
          <w:sz w:val="20"/>
          <w:szCs w:val="20"/>
          <w:color w:val="auto"/>
        </w:rPr>
      </w:pPr>
    </w:p>
    <w:p>
      <w:pPr>
        <w:ind w:right="3780" w:firstLine="199"/>
        <w:spacing w:after="0" w:line="292" w:lineRule="auto"/>
        <w:rPr>
          <w:sz w:val="20"/>
          <w:szCs w:val="20"/>
          <w:color w:val="auto"/>
        </w:rPr>
      </w:pPr>
      <w:r>
        <w:rPr>
          <w:rFonts w:ascii="Courier New" w:cs="Courier New" w:eastAsia="Courier New" w:hAnsi="Courier New"/>
          <w:sz w:val="17"/>
          <w:szCs w:val="17"/>
          <w:color w:val="auto"/>
        </w:rPr>
        <w:t>The following table provides information on option exercises in 1998 by the named officers, and the value of each such officer's unexercised options at December 31, 1998.</w:t>
      </w:r>
    </w:p>
    <w:p>
      <w:pPr>
        <w:spacing w:after="0" w:line="200" w:lineRule="exact"/>
        <w:rPr>
          <w:sz w:val="20"/>
          <w:szCs w:val="20"/>
          <w:color w:val="auto"/>
        </w:rPr>
      </w:pP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94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440" w:type="dxa"/>
            <w:vAlign w:val="bottom"/>
          </w:tcPr>
          <w:p>
            <w:pPr>
              <w:ind w:left="1140"/>
              <w:spacing w:after="0"/>
              <w:rPr>
                <w:sz w:val="20"/>
                <w:szCs w:val="20"/>
                <w:color w:val="auto"/>
              </w:rPr>
            </w:pPr>
            <w:r>
              <w:rPr>
                <w:rFonts w:ascii="Courier New" w:cs="Courier New" w:eastAsia="Courier New" w:hAnsi="Courier New"/>
                <w:sz w:val="17"/>
                <w:szCs w:val="17"/>
                <w:color w:val="auto"/>
              </w:rPr>
              <w:t>(b)</w:t>
            </w:r>
          </w:p>
        </w:tc>
        <w:tc>
          <w:tcPr>
            <w:tcW w:w="1140" w:type="dxa"/>
            <w:vAlign w:val="bottom"/>
          </w:tcPr>
          <w:p>
            <w:pPr>
              <w:ind w:left="400"/>
              <w:spacing w:after="0"/>
              <w:rPr>
                <w:sz w:val="20"/>
                <w:szCs w:val="20"/>
                <w:color w:val="auto"/>
              </w:rPr>
            </w:pPr>
            <w:r>
              <w:rPr>
                <w:rFonts w:ascii="Courier New" w:cs="Courier New" w:eastAsia="Courier New" w:hAnsi="Courier New"/>
                <w:sz w:val="17"/>
                <w:szCs w:val="17"/>
                <w:color w:val="auto"/>
              </w:rPr>
              <w:t>(c)</w:t>
            </w:r>
          </w:p>
        </w:tc>
        <w:tc>
          <w:tcPr>
            <w:tcW w:w="2980" w:type="dxa"/>
            <w:vAlign w:val="bottom"/>
          </w:tcPr>
          <w:p>
            <w:pPr>
              <w:jc w:val="center"/>
              <w:ind w:left="317"/>
              <w:spacing w:after="0"/>
              <w:rPr>
                <w:sz w:val="20"/>
                <w:szCs w:val="20"/>
                <w:color w:val="auto"/>
              </w:rPr>
            </w:pPr>
            <w:r>
              <w:rPr>
                <w:rFonts w:ascii="Courier New" w:cs="Courier New" w:eastAsia="Courier New" w:hAnsi="Courier New"/>
                <w:sz w:val="17"/>
                <w:szCs w:val="17"/>
                <w:color w:val="auto"/>
                <w:w w:val="97"/>
              </w:rPr>
              <w:t>(d)</w:t>
            </w:r>
          </w:p>
        </w:tc>
        <w:tc>
          <w:tcPr>
            <w:tcW w:w="2540" w:type="dxa"/>
            <w:vAlign w:val="bottom"/>
          </w:tcPr>
          <w:p>
            <w:pPr>
              <w:jc w:val="center"/>
              <w:spacing w:after="0"/>
              <w:rPr>
                <w:sz w:val="20"/>
                <w:szCs w:val="20"/>
                <w:color w:val="auto"/>
              </w:rPr>
            </w:pPr>
            <w:r>
              <w:rPr>
                <w:rFonts w:ascii="Courier New" w:cs="Courier New" w:eastAsia="Courier New" w:hAnsi="Courier New"/>
                <w:sz w:val="17"/>
                <w:szCs w:val="17"/>
                <w:color w:val="auto"/>
                <w:w w:val="97"/>
              </w:rPr>
              <w:t>(e)</w:t>
            </w: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80" w:type="dxa"/>
            <w:vAlign w:val="bottom"/>
          </w:tcPr>
          <w:p>
            <w:pPr>
              <w:jc w:val="center"/>
              <w:ind w:left="317"/>
              <w:spacing w:after="0" w:line="191" w:lineRule="exact"/>
              <w:rPr>
                <w:sz w:val="20"/>
                <w:szCs w:val="20"/>
                <w:color w:val="auto"/>
              </w:rPr>
            </w:pPr>
            <w:r>
              <w:rPr>
                <w:rFonts w:ascii="Courier New" w:cs="Courier New" w:eastAsia="Courier New" w:hAnsi="Courier New"/>
                <w:sz w:val="17"/>
                <w:szCs w:val="17"/>
                <w:color w:val="auto"/>
                <w:w w:val="97"/>
              </w:rPr>
              <w:t>Number of</w:t>
            </w:r>
          </w:p>
        </w:tc>
        <w:tc>
          <w:tcPr>
            <w:tcW w:w="254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5"/>
              </w:rPr>
              <w:t>Value of</w:t>
            </w: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8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Securities</w:t>
            </w: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8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Underlying</w:t>
            </w: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Unexercised</w:t>
            </w: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80" w:type="dxa"/>
            <w:vAlign w:val="bottom"/>
          </w:tcPr>
          <w:p>
            <w:pPr>
              <w:jc w:val="center"/>
              <w:ind w:left="317"/>
              <w:spacing w:after="0" w:line="191" w:lineRule="exact"/>
              <w:rPr>
                <w:sz w:val="20"/>
                <w:szCs w:val="20"/>
                <w:color w:val="auto"/>
              </w:rPr>
            </w:pPr>
            <w:r>
              <w:rPr>
                <w:rFonts w:ascii="Courier New" w:cs="Courier New" w:eastAsia="Courier New" w:hAnsi="Courier New"/>
                <w:sz w:val="17"/>
                <w:szCs w:val="17"/>
                <w:color w:val="auto"/>
                <w:w w:val="97"/>
              </w:rPr>
              <w:t>Unexercised</w:t>
            </w: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In-the-Money</w:t>
            </w: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8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Options at</w:t>
            </w: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Options at</w:t>
            </w: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2440" w:type="dxa"/>
            <w:vAlign w:val="bottom"/>
            <w:vMerge w:val="restart"/>
          </w:tcPr>
          <w:p>
            <w:pPr>
              <w:ind w:left="540"/>
              <w:spacing w:after="0"/>
              <w:rPr>
                <w:sz w:val="20"/>
                <w:szCs w:val="20"/>
                <w:color w:val="auto"/>
              </w:rPr>
            </w:pPr>
            <w:r>
              <w:rPr>
                <w:rFonts w:ascii="Courier New" w:cs="Courier New" w:eastAsia="Courier New" w:hAnsi="Courier New"/>
                <w:sz w:val="17"/>
                <w:szCs w:val="17"/>
                <w:color w:val="auto"/>
              </w:rPr>
              <w:t>Shares Acquired</w:t>
            </w:r>
          </w:p>
        </w:tc>
        <w:tc>
          <w:tcPr>
            <w:tcW w:w="1140" w:type="dxa"/>
            <w:vAlign w:val="bottom"/>
          </w:tcPr>
          <w:p>
            <w:pPr>
              <w:spacing w:after="0"/>
              <w:rPr>
                <w:sz w:val="16"/>
                <w:szCs w:val="16"/>
                <w:color w:val="auto"/>
              </w:rPr>
            </w:pPr>
          </w:p>
        </w:tc>
        <w:tc>
          <w:tcPr>
            <w:tcW w:w="2980" w:type="dxa"/>
            <w:vAlign w:val="bottom"/>
          </w:tcPr>
          <w:p>
            <w:pPr>
              <w:jc w:val="center"/>
              <w:ind w:left="317"/>
              <w:spacing w:after="0" w:line="191" w:lineRule="exact"/>
              <w:rPr>
                <w:sz w:val="20"/>
                <w:szCs w:val="20"/>
                <w:color w:val="auto"/>
              </w:rPr>
            </w:pPr>
            <w:r>
              <w:rPr>
                <w:rFonts w:ascii="Courier New" w:cs="Courier New" w:eastAsia="Courier New" w:hAnsi="Courier New"/>
                <w:sz w:val="17"/>
                <w:szCs w:val="17"/>
                <w:color w:val="auto"/>
                <w:w w:val="98"/>
              </w:rPr>
              <w:t>Fiscal Year-End (#)</w:t>
            </w: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Fiscal Year-End ($)(1)</w:t>
            </w:r>
          </w:p>
        </w:tc>
        <w:tc>
          <w:tcPr>
            <w:tcW w:w="0" w:type="dxa"/>
            <w:vAlign w:val="bottom"/>
          </w:tcPr>
          <w:p>
            <w:pPr>
              <w:spacing w:after="0"/>
              <w:rPr>
                <w:sz w:val="1"/>
                <w:szCs w:val="1"/>
                <w:color w:val="auto"/>
              </w:rPr>
            </w:pPr>
          </w:p>
        </w:tc>
      </w:tr>
      <w:tr>
        <w:trPr>
          <w:trHeight w:val="191"/>
        </w:trPr>
        <w:tc>
          <w:tcPr>
            <w:tcW w:w="94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24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980" w:type="dxa"/>
            <w:vAlign w:val="bottom"/>
          </w:tcPr>
          <w:p>
            <w:pPr>
              <w:jc w:val="center"/>
              <w:ind w:left="317"/>
              <w:spacing w:after="0" w:line="191" w:lineRule="exact"/>
              <w:rPr>
                <w:sz w:val="20"/>
                <w:szCs w:val="20"/>
                <w:color w:val="auto"/>
              </w:rPr>
            </w:pPr>
            <w:r>
              <w:rPr>
                <w:rFonts w:ascii="Courier New" w:cs="Courier New" w:eastAsia="Courier New" w:hAnsi="Courier New"/>
                <w:sz w:val="17"/>
                <w:szCs w:val="17"/>
                <w:color w:val="auto"/>
                <w:w w:val="98"/>
              </w:rPr>
              <w:t>-------------------------</w:t>
            </w: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21"/>
        </w:trPr>
        <w:tc>
          <w:tcPr>
            <w:tcW w:w="940" w:type="dxa"/>
            <w:vAlign w:val="bottom"/>
            <w:vMerge w:val="continue"/>
          </w:tcPr>
          <w:p>
            <w:pPr>
              <w:spacing w:after="0"/>
              <w:rPr>
                <w:sz w:val="19"/>
                <w:szCs w:val="19"/>
                <w:color w:val="auto"/>
              </w:rPr>
            </w:pPr>
          </w:p>
        </w:tc>
        <w:tc>
          <w:tcPr>
            <w:tcW w:w="9100" w:type="dxa"/>
            <w:vAlign w:val="bottom"/>
            <w:gridSpan w:val="4"/>
          </w:tcPr>
          <w:p>
            <w:pPr>
              <w:ind w:left="540"/>
              <w:spacing w:after="0"/>
              <w:rPr>
                <w:sz w:val="20"/>
                <w:szCs w:val="20"/>
                <w:color w:val="auto"/>
              </w:rPr>
            </w:pPr>
            <w:r>
              <w:rPr>
                <w:rFonts w:ascii="Courier New" w:cs="Courier New" w:eastAsia="Courier New" w:hAnsi="Courier New"/>
                <w:sz w:val="17"/>
                <w:szCs w:val="17"/>
                <w:color w:val="auto"/>
                <w:w w:val="97"/>
              </w:rPr>
              <w:t>on Exercise (#) Value Realized ($) Exercisable Unexercisable Exercisable Unexercisable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13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403,333</w:t>
            </w: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566,667</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$261,250</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Howard S. Biel..........</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200,000</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Nathan P. Fishkin.......</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76,666</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133,334</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100,625</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117,225</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Ron D. Kaplan...........</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9,638</w:t>
            </w:r>
          </w:p>
        </w:tc>
        <w:tc>
          <w:tcPr>
            <w:tcW w:w="66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w w:val="94"/>
              </w:rPr>
              <w:t>41,563</w:t>
            </w:r>
          </w:p>
        </w:tc>
        <w:tc>
          <w:tcPr>
            <w:tcW w:w="14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68,695</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66,667</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101,666</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Cecily A. Ward..........</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2,000</w:t>
            </w:r>
          </w:p>
        </w:tc>
        <w:tc>
          <w:tcPr>
            <w:tcW w:w="66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3,250</w:t>
            </w:r>
          </w:p>
        </w:tc>
        <w:tc>
          <w:tcPr>
            <w:tcW w:w="14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50,000</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50,000</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103,125</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280"/>
        </w:trPr>
        <w:tc>
          <w:tcPr>
            <w:tcW w:w="2680" w:type="dxa"/>
            <w:vAlign w:val="bottom"/>
          </w:tcPr>
          <w:p>
            <w:pPr>
              <w:spacing w:after="0"/>
              <w:rPr>
                <w:sz w:val="20"/>
                <w:szCs w:val="20"/>
                <w:color w:val="auto"/>
              </w:rPr>
            </w:pPr>
            <w:r>
              <w:rPr>
                <w:rFonts w:ascii="Courier New" w:cs="Courier New" w:eastAsia="Courier New" w:hAnsi="Courier New"/>
                <w:sz w:val="17"/>
                <w:szCs w:val="17"/>
                <w:color w:val="auto"/>
              </w:rPr>
              <w:t>Donald C. Wood..........</w:t>
            </w:r>
          </w:p>
        </w:tc>
        <w:tc>
          <w:tcPr>
            <w:tcW w:w="13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24"/>
                <w:szCs w:val="24"/>
                <w:color w:val="auto"/>
              </w:rPr>
            </w:pPr>
          </w:p>
        </w:tc>
        <w:tc>
          <w:tcPr>
            <w:tcW w:w="10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250,000</w:t>
            </w:r>
          </w:p>
        </w:tc>
        <w:tc>
          <w:tcPr>
            <w:tcW w:w="13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29" w:lineRule="exact"/>
        <w:rPr>
          <w:sz w:val="20"/>
          <w:szCs w:val="20"/>
          <w:color w:val="auto"/>
        </w:rPr>
      </w:pPr>
    </w:p>
    <w:p>
      <w:pPr>
        <w:ind w:left="3780" w:right="3680" w:hanging="3778"/>
        <w:spacing w:after="0" w:line="548" w:lineRule="auto"/>
        <w:tabs>
          <w:tab w:leader="none" w:pos="399"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$23.625 per Share closing price on the NYSE on December 31, 1998. 10</w:t>
      </w:r>
    </w:p>
    <w:p>
      <w:pPr>
        <w:sectPr>
          <w:pgSz w:w="11900" w:h="16838" w:orient="portrait"/>
          <w:cols w:equalWidth="0" w:num="1">
            <w:col w:w="11440"/>
          </w:cols>
          <w:pgMar w:left="240" w:top="660" w:right="219" w:bottom="743" w:gutter="0" w:footer="0" w:header="0"/>
        </w:sectPr>
      </w:pPr>
    </w:p>
    <w:bookmarkStart w:id="13" w:name="page14"/>
    <w:bookmarkEnd w:id="13"/>
    <w:tbl>
      <w:tblPr>
        <w:tblLayout w:type="fixed"/>
        <w:tblInd w:w="398" w:type="dxa"/>
        <w:tblCellMar>
          <w:top w:w="0" w:type="dxa"/>
          <w:left w:w="0" w:type="dxa"/>
          <w:bottom w:w="0" w:type="dxa"/>
          <w:right w:w="0" w:type="dxa"/>
        </w:tblCellMar>
      </w:tblPr>
      <w:tr>
        <w:trPr>
          <w:trHeight w:val="280"/>
        </w:trPr>
        <w:tc>
          <w:tcPr>
            <w:tcW w:w="600" w:type="dxa"/>
            <w:vAlign w:val="bottom"/>
          </w:tcPr>
          <w:p>
            <w:pPr>
              <w:spacing w:after="0"/>
              <w:rPr>
                <w:sz w:val="24"/>
                <w:szCs w:val="24"/>
                <w:color w:val="auto"/>
              </w:rPr>
            </w:pPr>
          </w:p>
        </w:tc>
        <w:tc>
          <w:tcPr>
            <w:tcW w:w="4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Long-Term Incentive Plans -- Awards in</w:t>
            </w:r>
          </w:p>
        </w:tc>
        <w:tc>
          <w:tcPr>
            <w:tcW w:w="1640" w:type="dxa"/>
            <w:vAlign w:val="bottom"/>
          </w:tcPr>
          <w:p>
            <w:pPr>
              <w:ind w:left="60"/>
              <w:spacing w:after="0"/>
              <w:rPr>
                <w:sz w:val="20"/>
                <w:szCs w:val="20"/>
                <w:color w:val="auto"/>
              </w:rPr>
            </w:pPr>
            <w:r>
              <w:rPr>
                <w:rFonts w:ascii="Courier New" w:cs="Courier New" w:eastAsia="Courier New" w:hAnsi="Courier New"/>
                <w:sz w:val="17"/>
                <w:szCs w:val="17"/>
                <w:color w:val="auto"/>
                <w:w w:val="95"/>
              </w:rPr>
              <w:t>Last Fiscal Year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60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840" w:type="dxa"/>
            <w:vAlign w:val="bottom"/>
          </w:tcPr>
          <w:p>
            <w:pPr>
              <w:jc w:val="center"/>
              <w:ind w:left="137"/>
              <w:spacing w:after="0"/>
              <w:rPr>
                <w:sz w:val="20"/>
                <w:szCs w:val="20"/>
                <w:color w:val="auto"/>
              </w:rPr>
            </w:pPr>
            <w:r>
              <w:rPr>
                <w:rFonts w:ascii="Courier New" w:cs="Courier New" w:eastAsia="Courier New" w:hAnsi="Courier New"/>
                <w:sz w:val="17"/>
                <w:szCs w:val="17"/>
                <w:color w:val="auto"/>
                <w:w w:val="97"/>
              </w:rPr>
              <w:t>(b)</w:t>
            </w:r>
          </w:p>
        </w:tc>
        <w:tc>
          <w:tcPr>
            <w:tcW w:w="118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7"/>
                <w:szCs w:val="17"/>
                <w:color w:val="auto"/>
              </w:rPr>
              <w:t>(c)</w:t>
            </w:r>
          </w:p>
        </w:tc>
        <w:tc>
          <w:tcPr>
            <w:tcW w:w="160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8"/>
              </w:rPr>
              <w:t>Estimated Future</w:t>
            </w: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Payouts</w:t>
            </w: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2840" w:type="dxa"/>
            <w:vAlign w:val="bottom"/>
            <w:vMerge w:val="restart"/>
          </w:tcPr>
          <w:p>
            <w:pPr>
              <w:ind w:left="400"/>
              <w:spacing w:after="0"/>
              <w:rPr>
                <w:sz w:val="20"/>
                <w:szCs w:val="20"/>
                <w:color w:val="auto"/>
              </w:rPr>
            </w:pPr>
            <w:r>
              <w:rPr>
                <w:rFonts w:ascii="Courier New" w:cs="Courier New" w:eastAsia="Courier New" w:hAnsi="Courier New"/>
                <w:sz w:val="17"/>
                <w:szCs w:val="17"/>
                <w:color w:val="auto"/>
                <w:w w:val="98"/>
              </w:rPr>
              <w:t>Number of Shares, Units,</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9"/>
              </w:rPr>
              <w:t>Performance</w:t>
            </w:r>
          </w:p>
        </w:tc>
        <w:tc>
          <w:tcPr>
            <w:tcW w:w="16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or Other Period</w:t>
            </w:r>
          </w:p>
        </w:tc>
        <w:tc>
          <w:tcPr>
            <w:tcW w:w="16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8"/>
              </w:rPr>
              <w:t>under Non-Stock</w:t>
            </w:r>
          </w:p>
        </w:tc>
        <w:tc>
          <w:tcPr>
            <w:tcW w:w="0" w:type="dxa"/>
            <w:vAlign w:val="bottom"/>
          </w:tcPr>
          <w:p>
            <w:pPr>
              <w:spacing w:after="0"/>
              <w:rPr>
                <w:sz w:val="1"/>
                <w:szCs w:val="1"/>
                <w:color w:val="auto"/>
              </w:rPr>
            </w:pPr>
          </w:p>
        </w:tc>
      </w:tr>
      <w:tr>
        <w:trPr>
          <w:trHeight w:val="191"/>
        </w:trPr>
        <w:tc>
          <w:tcPr>
            <w:tcW w:w="60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28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6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Price-Based</w:t>
            </w:r>
          </w:p>
        </w:tc>
        <w:tc>
          <w:tcPr>
            <w:tcW w:w="0" w:type="dxa"/>
            <w:vAlign w:val="bottom"/>
          </w:tcPr>
          <w:p>
            <w:pPr>
              <w:spacing w:after="0"/>
              <w:rPr>
                <w:sz w:val="1"/>
                <w:szCs w:val="1"/>
                <w:color w:val="auto"/>
              </w:rPr>
            </w:pPr>
          </w:p>
        </w:tc>
      </w:tr>
      <w:tr>
        <w:trPr>
          <w:trHeight w:val="221"/>
        </w:trPr>
        <w:tc>
          <w:tcPr>
            <w:tcW w:w="600" w:type="dxa"/>
            <w:vAlign w:val="bottom"/>
            <w:vMerge w:val="continue"/>
          </w:tcPr>
          <w:p>
            <w:pPr>
              <w:spacing w:after="0"/>
              <w:rPr>
                <w:sz w:val="19"/>
                <w:szCs w:val="19"/>
                <w:color w:val="auto"/>
              </w:rPr>
            </w:pPr>
          </w:p>
        </w:tc>
        <w:tc>
          <w:tcPr>
            <w:tcW w:w="28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or Other Rights(#)(A)</w:t>
            </w:r>
          </w:p>
        </w:tc>
        <w:tc>
          <w:tcPr>
            <w:tcW w:w="28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Until Maturation or Payout</w:t>
            </w:r>
          </w:p>
        </w:tc>
        <w:tc>
          <w:tcPr>
            <w:tcW w:w="1600" w:type="dxa"/>
            <w:vAlign w:val="bottom"/>
          </w:tcPr>
          <w:p>
            <w:pPr>
              <w:jc w:val="center"/>
              <w:spacing w:after="0"/>
              <w:rPr>
                <w:sz w:val="20"/>
                <w:szCs w:val="20"/>
                <w:color w:val="auto"/>
              </w:rPr>
            </w:pPr>
            <w:r>
              <w:rPr>
                <w:rFonts w:ascii="Courier New" w:cs="Courier New" w:eastAsia="Courier New" w:hAnsi="Courier New"/>
                <w:sz w:val="17"/>
                <w:szCs w:val="17"/>
                <w:color w:val="auto"/>
                <w:w w:val="97"/>
              </w:rPr>
              <w:t>Plans(#)</w:t>
            </w:r>
          </w:p>
        </w:tc>
        <w:tc>
          <w:tcPr>
            <w:tcW w:w="0" w:type="dxa"/>
            <w:vAlign w:val="bottom"/>
          </w:tcPr>
          <w:p>
            <w:pPr>
              <w:spacing w:after="0"/>
              <w:rPr>
                <w:sz w:val="1"/>
                <w:szCs w:val="1"/>
                <w:color w:val="auto"/>
              </w:rPr>
            </w:pPr>
          </w:p>
        </w:tc>
      </w:tr>
    </w:tbl>
    <w:p>
      <w:pPr>
        <w:ind w:left="1398" w:hanging="1000"/>
        <w:spacing w:after="0"/>
        <w:tabs>
          <w:tab w:leader="none" w:pos="139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70" w:lineRule="exact"/>
        <w:rPr>
          <w:sz w:val="20"/>
          <w:szCs w:val="20"/>
          <w:color w:val="auto"/>
        </w:rPr>
      </w:pPr>
    </w:p>
    <w:tbl>
      <w:tblPr>
        <w:tblLayout w:type="fixed"/>
        <w:tblInd w:w="198" w:type="dxa"/>
        <w:tblCellMar>
          <w:top w:w="0" w:type="dxa"/>
          <w:left w:w="0" w:type="dxa"/>
          <w:bottom w:w="0" w:type="dxa"/>
          <w:right w:w="0" w:type="dxa"/>
        </w:tblCellMar>
      </w:tblPr>
      <w:tr>
        <w:trPr>
          <w:trHeight w:val="193"/>
        </w:trPr>
        <w:tc>
          <w:tcPr>
            <w:tcW w:w="1540" w:type="dxa"/>
            <w:vAlign w:val="bottom"/>
          </w:tcPr>
          <w:p>
            <w:pPr>
              <w:spacing w:after="0"/>
              <w:rPr>
                <w:sz w:val="20"/>
                <w:szCs w:val="20"/>
                <w:color w:val="auto"/>
              </w:rPr>
            </w:pPr>
            <w:r>
              <w:rPr>
                <w:rFonts w:ascii="Courier New" w:cs="Courier New" w:eastAsia="Courier New" w:hAnsi="Courier New"/>
                <w:sz w:val="17"/>
                <w:szCs w:val="17"/>
                <w:color w:val="auto"/>
              </w:rPr>
              <w:t>Steven J.</w:t>
            </w:r>
          </w:p>
        </w:tc>
        <w:tc>
          <w:tcPr>
            <w:tcW w:w="2140" w:type="dxa"/>
            <w:vAlign w:val="bottom"/>
            <w:vMerge w:val="restart"/>
          </w:tcPr>
          <w:p>
            <w:pPr>
              <w:jc w:val="right"/>
              <w:ind w:right="917"/>
              <w:spacing w:after="0"/>
              <w:rPr>
                <w:sz w:val="20"/>
                <w:szCs w:val="20"/>
                <w:color w:val="auto"/>
              </w:rPr>
            </w:pPr>
            <w:r>
              <w:rPr>
                <w:rFonts w:ascii="Courier New" w:cs="Courier New" w:eastAsia="Courier New" w:hAnsi="Courier New"/>
                <w:sz w:val="17"/>
                <w:szCs w:val="17"/>
                <w:color w:val="auto"/>
              </w:rPr>
              <w:t>300,000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w:t>
            </w:r>
          </w:p>
        </w:tc>
        <w:tc>
          <w:tcPr>
            <w:tcW w:w="110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years</w:t>
            </w:r>
          </w:p>
        </w:tc>
        <w:tc>
          <w:tcPr>
            <w:tcW w:w="214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300,000</w:t>
            </w:r>
          </w:p>
        </w:tc>
        <w:tc>
          <w:tcPr>
            <w:tcW w:w="0" w:type="dxa"/>
            <w:vAlign w:val="bottom"/>
          </w:tcPr>
          <w:p>
            <w:pPr>
              <w:spacing w:after="0"/>
              <w:rPr>
                <w:sz w:val="1"/>
                <w:szCs w:val="1"/>
                <w:color w:val="auto"/>
              </w:rPr>
            </w:pPr>
          </w:p>
        </w:tc>
      </w:tr>
      <w:tr>
        <w:trPr>
          <w:trHeight w:val="191"/>
        </w:trPr>
        <w:tc>
          <w:tcPr>
            <w:tcW w:w="1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Guttman(1)</w:t>
            </w:r>
          </w:p>
        </w:tc>
        <w:tc>
          <w:tcPr>
            <w:tcW w:w="2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tcPr>
          <w:p>
            <w:pPr>
              <w:spacing w:after="0" w:line="191" w:lineRule="exact"/>
              <w:rPr>
                <w:sz w:val="20"/>
                <w:szCs w:val="20"/>
                <w:color w:val="auto"/>
              </w:rPr>
            </w:pPr>
            <w:r>
              <w:rPr>
                <w:rFonts w:ascii="Courier New" w:cs="Courier New" w:eastAsia="Courier New" w:hAnsi="Courier New"/>
                <w:sz w:val="17"/>
                <w:szCs w:val="17"/>
                <w:color w:val="auto"/>
              </w:rPr>
              <w:t>Nathan P.</w:t>
            </w:r>
          </w:p>
        </w:tc>
        <w:tc>
          <w:tcPr>
            <w:tcW w:w="2140" w:type="dxa"/>
            <w:vAlign w:val="bottom"/>
            <w:vMerge w:val="restart"/>
          </w:tcPr>
          <w:p>
            <w:pPr>
              <w:jc w:val="right"/>
              <w:ind w:right="917"/>
              <w:spacing w:after="0"/>
              <w:rPr>
                <w:sz w:val="20"/>
                <w:szCs w:val="20"/>
                <w:color w:val="auto"/>
              </w:rPr>
            </w:pPr>
            <w:r>
              <w:rPr>
                <w:rFonts w:ascii="Courier New" w:cs="Courier New" w:eastAsia="Courier New" w:hAnsi="Courier New"/>
                <w:sz w:val="17"/>
                <w:szCs w:val="17"/>
                <w:color w:val="auto"/>
              </w:rPr>
              <w:t>75,000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w:t>
            </w:r>
          </w:p>
        </w:tc>
        <w:tc>
          <w:tcPr>
            <w:tcW w:w="110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years</w:t>
            </w:r>
          </w:p>
        </w:tc>
        <w:tc>
          <w:tcPr>
            <w:tcW w:w="2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Not determinable</w:t>
            </w:r>
          </w:p>
        </w:tc>
        <w:tc>
          <w:tcPr>
            <w:tcW w:w="0" w:type="dxa"/>
            <w:vAlign w:val="bottom"/>
          </w:tcPr>
          <w:p>
            <w:pPr>
              <w:spacing w:after="0"/>
              <w:rPr>
                <w:sz w:val="1"/>
                <w:szCs w:val="1"/>
                <w:color w:val="auto"/>
              </w:rPr>
            </w:pPr>
          </w:p>
        </w:tc>
      </w:tr>
      <w:tr>
        <w:trPr>
          <w:trHeight w:val="191"/>
        </w:trPr>
        <w:tc>
          <w:tcPr>
            <w:tcW w:w="1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Fishkin(2)</w:t>
            </w:r>
          </w:p>
        </w:tc>
        <w:tc>
          <w:tcPr>
            <w:tcW w:w="2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tcPr>
          <w:p>
            <w:pPr>
              <w:spacing w:after="0" w:line="191" w:lineRule="exact"/>
              <w:rPr>
                <w:sz w:val="20"/>
                <w:szCs w:val="20"/>
                <w:color w:val="auto"/>
              </w:rPr>
            </w:pPr>
            <w:r>
              <w:rPr>
                <w:rFonts w:ascii="Courier New" w:cs="Courier New" w:eastAsia="Courier New" w:hAnsi="Courier New"/>
                <w:sz w:val="17"/>
                <w:szCs w:val="17"/>
                <w:color w:val="auto"/>
              </w:rPr>
              <w:t>Ron D.</w:t>
            </w:r>
          </w:p>
        </w:tc>
        <w:tc>
          <w:tcPr>
            <w:tcW w:w="2140" w:type="dxa"/>
            <w:vAlign w:val="bottom"/>
            <w:vMerge w:val="restart"/>
          </w:tcPr>
          <w:p>
            <w:pPr>
              <w:jc w:val="right"/>
              <w:ind w:right="917"/>
              <w:spacing w:after="0"/>
              <w:rPr>
                <w:sz w:val="20"/>
                <w:szCs w:val="20"/>
                <w:color w:val="auto"/>
              </w:rPr>
            </w:pPr>
            <w:r>
              <w:rPr>
                <w:rFonts w:ascii="Courier New" w:cs="Courier New" w:eastAsia="Courier New" w:hAnsi="Courier New"/>
                <w:sz w:val="17"/>
                <w:szCs w:val="17"/>
                <w:color w:val="auto"/>
              </w:rPr>
              <w:t>62,500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w:t>
            </w:r>
          </w:p>
        </w:tc>
        <w:tc>
          <w:tcPr>
            <w:tcW w:w="110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years</w:t>
            </w:r>
          </w:p>
        </w:tc>
        <w:tc>
          <w:tcPr>
            <w:tcW w:w="214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62,500</w:t>
            </w:r>
          </w:p>
        </w:tc>
        <w:tc>
          <w:tcPr>
            <w:tcW w:w="0" w:type="dxa"/>
            <w:vAlign w:val="bottom"/>
          </w:tcPr>
          <w:p>
            <w:pPr>
              <w:spacing w:after="0"/>
              <w:rPr>
                <w:sz w:val="1"/>
                <w:szCs w:val="1"/>
                <w:color w:val="auto"/>
              </w:rPr>
            </w:pPr>
          </w:p>
        </w:tc>
      </w:tr>
      <w:tr>
        <w:trPr>
          <w:trHeight w:val="280"/>
        </w:trPr>
        <w:tc>
          <w:tcPr>
            <w:tcW w:w="1540" w:type="dxa"/>
            <w:vAlign w:val="bottom"/>
          </w:tcPr>
          <w:p>
            <w:pPr>
              <w:ind w:left="100"/>
              <w:spacing w:after="0"/>
              <w:rPr>
                <w:sz w:val="20"/>
                <w:szCs w:val="20"/>
                <w:color w:val="auto"/>
              </w:rPr>
            </w:pPr>
            <w:r>
              <w:rPr>
                <w:rFonts w:ascii="Courier New" w:cs="Courier New" w:eastAsia="Courier New" w:hAnsi="Courier New"/>
                <w:sz w:val="17"/>
                <w:szCs w:val="17"/>
                <w:color w:val="auto"/>
              </w:rPr>
              <w:t>Kaplan(3)</w:t>
            </w:r>
          </w:p>
        </w:tc>
        <w:tc>
          <w:tcPr>
            <w:tcW w:w="21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398" w:right="2459" w:hanging="398"/>
        <w:spacing w:after="0" w:line="266" w:lineRule="auto"/>
        <w:tabs>
          <w:tab w:leader="none" w:pos="39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1998, Mr. Guttman was awarded a Performance Share Award of 300,000 Shares, which will vest over an eight-year period if the Trust meets the "Performance Target" of FFO annual growth per share of seven percent (7%), and over a shorter period if FFO annual growth per share is nine percent (9%) or more. Any Performance Shares which remain unvested after 2005 vest in five equal annual installments through 2010. Performance Shares may be forfeited under certain circumstances, or may vest on an accelerated basis under other circumstances. The Performance Target was not met for 1998 on an as-reported basis and no Performance Shares vested. The terms of this award are described in "Employment Agreements; Termination of Employment and Change in Control Arrangements."</w:t>
      </w:r>
    </w:p>
    <w:p>
      <w:pPr>
        <w:spacing w:after="0" w:line="85" w:lineRule="exact"/>
        <w:rPr>
          <w:rFonts w:ascii="Courier New" w:cs="Courier New" w:eastAsia="Courier New" w:hAnsi="Courier New"/>
          <w:sz w:val="16"/>
          <w:szCs w:val="16"/>
          <w:color w:val="auto"/>
        </w:rPr>
      </w:pPr>
    </w:p>
    <w:p>
      <w:pPr>
        <w:ind w:left="398" w:right="2459" w:hanging="398"/>
        <w:spacing w:after="0" w:line="249" w:lineRule="auto"/>
        <w:tabs>
          <w:tab w:leader="none" w:pos="39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26, 1998, Mr. Fishkin was awarded a Performance Share Award of 75,000 Shares. An unspecified number of Performance Shares are eligible to vest each year from 1999 through 2001 based on the calculation of value created in certain real estate projects. Any Performance Shares which remain unvested after 2001 are forfeited, except that Mr. Fishkin may remain eligible to receive awards for value created within 24 months thereafter under certain circumstances. Performance Shares may be forfeited under certain other circumstances, or may vest on an accelerated basis under certain other circumstances. The terms of this award are described in "Employment Agreements; Termination of Employment and Change in Control Arrangements."</w:t>
      </w:r>
    </w:p>
    <w:p>
      <w:pPr>
        <w:spacing w:after="0" w:line="97" w:lineRule="exact"/>
        <w:rPr>
          <w:rFonts w:ascii="Courier New" w:cs="Courier New" w:eastAsia="Courier New" w:hAnsi="Courier New"/>
          <w:sz w:val="17"/>
          <w:szCs w:val="17"/>
          <w:color w:val="auto"/>
        </w:rPr>
      </w:pPr>
    </w:p>
    <w:p>
      <w:pPr>
        <w:ind w:left="398" w:right="2459" w:hanging="398"/>
        <w:spacing w:after="0" w:line="266" w:lineRule="auto"/>
        <w:tabs>
          <w:tab w:leader="none" w:pos="39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1998, Mr. Kaplan was awarded a Performance Share Award of 62,500 Shares, which will vest over an eight-year period if the Trust meets the "Performance Target" of FFO annual growth per share of seven percent (7%), and over a shorter period if FFO annual growth per share is nine percent (9%) or more. Any Performance Shares which remain unvested after 2005 vest in five equal annual installments through 2010. Performance Shares may be forfeited under certain circumstances, or may vest on an accelerated basis under other circumstances. The Performance Target was not met for 1998 on an as-reported basis and no Performance Shares vested. The terms of this award are described in "Employment Agreements; Termination of Employment and Change in Control Arrangements."</w:t>
      </w:r>
    </w:p>
    <w:p>
      <w:pPr>
        <w:spacing w:after="0" w:line="85" w:lineRule="exact"/>
        <w:rPr>
          <w:sz w:val="20"/>
          <w:szCs w:val="20"/>
          <w:color w:val="auto"/>
        </w:rPr>
      </w:pPr>
    </w:p>
    <w:p>
      <w:pPr>
        <w:ind w:left="3778" w:right="5539" w:hanging="3778"/>
        <w:spacing w:after="0" w:line="637" w:lineRule="auto"/>
        <w:tabs>
          <w:tab w:leader="none" w:pos="59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are paid on Performance Shares. 11</w:t>
      </w:r>
    </w:p>
    <w:p>
      <w:pPr>
        <w:sectPr>
          <w:pgSz w:w="11900" w:h="16838" w:orient="portrait"/>
          <w:cols w:equalWidth="0" w:num="1">
            <w:col w:w="10217"/>
          </w:cols>
          <w:pgMar w:left="242" w:top="66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Retirement and Disability Plans</w:t>
      </w:r>
    </w:p>
    <w:p>
      <w:pPr>
        <w:spacing w:after="0" w:line="190" w:lineRule="exact"/>
        <w:rPr>
          <w:sz w:val="20"/>
          <w:szCs w:val="20"/>
          <w:color w:val="auto"/>
        </w:rPr>
      </w:pPr>
    </w:p>
    <w:p>
      <w:pPr>
        <w:ind w:right="2559" w:firstLine="199"/>
        <w:spacing w:after="0" w:line="256" w:lineRule="auto"/>
        <w:rPr>
          <w:sz w:val="20"/>
          <w:szCs w:val="20"/>
          <w:color w:val="auto"/>
        </w:rPr>
      </w:pPr>
      <w:r>
        <w:rPr>
          <w:rFonts w:ascii="Courier New" w:cs="Courier New" w:eastAsia="Courier New" w:hAnsi="Courier New"/>
          <w:sz w:val="17"/>
          <w:szCs w:val="17"/>
          <w:color w:val="auto"/>
        </w:rPr>
        <w:t>The Trust has a retirement and disability plan for Mr. Guttman, in effect since 1978. The agreement implementing the plan provides generally for an annual payment after retirement at or after age 62, or at any time on suffering a total and permanent disability, of $40,000. A lump-sum death benefit of $40,000 will be paid to Mr. Guttman's estate. Mr. Guttman's plan requires funding, and a $200,000 annuity contract was purchased to assist the Trust in meeting this obligation.</w:t>
      </w:r>
    </w:p>
    <w:p>
      <w:pPr>
        <w:spacing w:after="0" w:line="92" w:lineRule="exact"/>
        <w:rPr>
          <w:sz w:val="20"/>
          <w:szCs w:val="20"/>
          <w:color w:val="auto"/>
        </w:rPr>
      </w:pPr>
    </w:p>
    <w:p>
      <w:pPr>
        <w:ind w:right="2459" w:firstLine="199"/>
        <w:spacing w:after="0" w:line="251" w:lineRule="auto"/>
        <w:rPr>
          <w:sz w:val="20"/>
          <w:szCs w:val="20"/>
          <w:color w:val="auto"/>
        </w:rPr>
      </w:pPr>
      <w:r>
        <w:rPr>
          <w:rFonts w:ascii="Courier New" w:cs="Courier New" w:eastAsia="Courier New" w:hAnsi="Courier New"/>
          <w:sz w:val="17"/>
          <w:szCs w:val="17"/>
          <w:color w:val="auto"/>
        </w:rPr>
        <w:t>The Trust has a retirement and consulting plan for Mr. Gorlitz, effective since 1978, and amended in 1988 and 1992 to revise the annual payment. The plan provides for an annual consultation fee payment of $120,000, until notice of retirement is given by either Mr. Gorlitz or the Trust, at which time Mr. Gorlitz will receive an annual retirement payment of $75,000 plus adjustments for changes in the Consumer Price Index that occur between June 1, 1988 and the date of Mr. Gorlitz's retirement. Thereafter the retirement payment will be adjusted annually for changes in the Consumer Price Index, except that no annual adjustment may exceed 10%.</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 on Executive Compensation</w:t>
      </w:r>
    </w:p>
    <w:p>
      <w:pPr>
        <w:spacing w:after="0" w:line="190" w:lineRule="exact"/>
        <w:rPr>
          <w:sz w:val="20"/>
          <w:szCs w:val="20"/>
          <w:color w:val="auto"/>
        </w:rPr>
      </w:pPr>
    </w:p>
    <w:p>
      <w:pPr>
        <w:jc w:val="both"/>
        <w:ind w:right="2559" w:firstLine="199"/>
        <w:spacing w:after="0" w:line="274" w:lineRule="auto"/>
        <w:rPr>
          <w:sz w:val="20"/>
          <w:szCs w:val="20"/>
          <w:color w:val="auto"/>
        </w:rPr>
      </w:pPr>
      <w:r>
        <w:rPr>
          <w:rFonts w:ascii="Courier New" w:cs="Courier New" w:eastAsia="Courier New" w:hAnsi="Courier New"/>
          <w:sz w:val="17"/>
          <w:szCs w:val="17"/>
          <w:color w:val="auto"/>
        </w:rPr>
        <w:t>In 1998, as in prior years, the Compensation Committee was responsible for determining the level of compensation paid to the Trust's executive officers, subject to the review and approval of the Board of Trustees. The Compensation Committee is comprised entirely of non-employee Trustees.</w:t>
      </w:r>
    </w:p>
    <w:p>
      <w:pPr>
        <w:spacing w:after="0" w:line="77" w:lineRule="exact"/>
        <w:rPr>
          <w:sz w:val="20"/>
          <w:szCs w:val="20"/>
          <w:color w:val="auto"/>
        </w:rPr>
      </w:pPr>
    </w:p>
    <w:p>
      <w:pPr>
        <w:ind w:right="2459" w:firstLine="199"/>
        <w:spacing w:after="0" w:line="274"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77" w:lineRule="exact"/>
        <w:rPr>
          <w:sz w:val="20"/>
          <w:szCs w:val="20"/>
          <w:color w:val="auto"/>
        </w:rPr>
      </w:pPr>
    </w:p>
    <w:p>
      <w:pPr>
        <w:ind w:left="400" w:right="2559" w:hanging="199"/>
        <w:spacing w:after="0" w:line="292" w:lineRule="auto"/>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stress stock ownership and, thereby, tie long-term compensation to increases in shareholder value as evidenced by Trust Share price appreciation.</w:t>
      </w:r>
    </w:p>
    <w:p>
      <w:pPr>
        <w:spacing w:after="0" w:line="62" w:lineRule="exact"/>
        <w:rPr>
          <w:sz w:val="20"/>
          <w:szCs w:val="20"/>
          <w:color w:val="auto"/>
        </w:rPr>
      </w:pPr>
    </w:p>
    <w:p>
      <w:pPr>
        <w:ind w:left="400" w:right="2759" w:hanging="199"/>
        <w:spacing w:after="0" w:line="274" w:lineRule="auto"/>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enhance the Trust's ability to attract and retain qualified executive officers while providing the financial motivation necessary to achieve continued high levels of Trust performance.</w:t>
      </w:r>
    </w:p>
    <w:p>
      <w:pPr>
        <w:spacing w:after="0" w:line="77" w:lineRule="exact"/>
        <w:rPr>
          <w:sz w:val="20"/>
          <w:szCs w:val="20"/>
          <w:color w:val="auto"/>
        </w:rPr>
      </w:pPr>
    </w:p>
    <w:p>
      <w:pPr>
        <w:ind w:left="400" w:right="2659" w:hanging="199"/>
        <w:spacing w:after="0" w:line="296" w:lineRule="auto"/>
        <w:tabs>
          <w:tab w:leader="none" w:pos="4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62" w:lineRule="exact"/>
        <w:rPr>
          <w:sz w:val="20"/>
          <w:szCs w:val="20"/>
          <w:color w:val="auto"/>
        </w:rPr>
      </w:pPr>
    </w:p>
    <w:p>
      <w:pPr>
        <w:ind w:left="400" w:right="2859" w:hanging="199"/>
        <w:spacing w:after="0" w:line="347"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17" w:lineRule="exact"/>
        <w:rPr>
          <w:sz w:val="20"/>
          <w:szCs w:val="20"/>
          <w:color w:val="auto"/>
        </w:rPr>
      </w:pPr>
    </w:p>
    <w:p>
      <w:pPr>
        <w:ind w:left="400" w:right="3359" w:hanging="199"/>
        <w:spacing w:after="0" w:line="347" w:lineRule="auto"/>
        <w:tabs>
          <w:tab w:leader="none" w:pos="4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Implement compensation programs that emphasize teamwork, pay-for-performance and overall corporate results.</w:t>
      </w:r>
    </w:p>
    <w:p>
      <w:pPr>
        <w:spacing w:after="0" w:line="17"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The Compensation Committee has traditionally retained a high degree of flexibility in structuring the Trust's compensation programs. This approach has allowed the Compensation Committee annually to evaluate subjectively and reward each executive officer's individual performance and contribution to the Trust's overall financial and operational success.</w:t>
      </w:r>
    </w:p>
    <w:p>
      <w:pPr>
        <w:spacing w:after="0" w:line="84" w:lineRule="exact"/>
        <w:rPr>
          <w:sz w:val="20"/>
          <w:szCs w:val="20"/>
          <w:color w:val="auto"/>
        </w:rPr>
      </w:pPr>
    </w:p>
    <w:p>
      <w:pPr>
        <w:ind w:right="2559" w:firstLine="199"/>
        <w:spacing w:after="0" w:line="265" w:lineRule="auto"/>
        <w:rPr>
          <w:sz w:val="20"/>
          <w:szCs w:val="20"/>
          <w:color w:val="auto"/>
        </w:rPr>
      </w:pPr>
      <w:r>
        <w:rPr>
          <w:rFonts w:ascii="Courier New" w:cs="Courier New" w:eastAsia="Courier New" w:hAnsi="Courier New"/>
          <w:sz w:val="17"/>
          <w:szCs w:val="17"/>
          <w:color w:val="auto"/>
        </w:rPr>
        <w:t>Named Executive Officers (other than the Chief Executive Officer). Near the end of each year, or early in the following year, the Compensation Committee determines the salary to be paid to each executive officer during the subsequent year and the bonus to be paid for the current year. Mr. Guttman assists the Compensation</w:t>
      </w:r>
    </w:p>
    <w:p>
      <w:pPr>
        <w:spacing w:after="0" w:line="8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60" w:right="1440" w:bottom="1440" w:gutter="0" w:footer="0" w:header="0"/>
        </w:sectPr>
      </w:pPr>
    </w:p>
    <w:bookmarkStart w:id="15" w:name="page16"/>
    <w:bookmarkEnd w:id="15"/>
    <w:p>
      <w:pPr>
        <w:ind w:right="2459"/>
        <w:spacing w:after="0" w:line="347" w:lineRule="auto"/>
        <w:rPr>
          <w:sz w:val="20"/>
          <w:szCs w:val="20"/>
          <w:color w:val="auto"/>
        </w:rPr>
      </w:pPr>
      <w:r>
        <w:rPr>
          <w:rFonts w:ascii="Courier New" w:cs="Courier New" w:eastAsia="Courier New" w:hAnsi="Courier New"/>
          <w:sz w:val="17"/>
          <w:szCs w:val="17"/>
          <w:color w:val="auto"/>
        </w:rPr>
        <w:t>Committee by making recommendations concerning salaries and bonuses to be paid to executive officers, other than himself.</w:t>
      </w:r>
    </w:p>
    <w:p>
      <w:pPr>
        <w:spacing w:after="0" w:line="17" w:lineRule="exact"/>
        <w:rPr>
          <w:sz w:val="20"/>
          <w:szCs w:val="20"/>
          <w:color w:val="auto"/>
        </w:rPr>
      </w:pPr>
    </w:p>
    <w:p>
      <w:pPr>
        <w:ind w:right="2459" w:firstLine="199"/>
        <w:spacing w:after="0" w:line="248" w:lineRule="auto"/>
        <w:rPr>
          <w:sz w:val="20"/>
          <w:szCs w:val="20"/>
          <w:color w:val="auto"/>
        </w:rPr>
      </w:pPr>
      <w:r>
        <w:rPr>
          <w:rFonts w:ascii="Courier New" w:cs="Courier New" w:eastAsia="Courier New" w:hAnsi="Courier New"/>
          <w:sz w:val="17"/>
          <w:szCs w:val="17"/>
          <w:color w:val="auto"/>
        </w:rPr>
        <w:t>Mr. Guttman's recommendations and the Committee's decisions are based, in all cases other than for Mr. Wood, upon their subjective evaluation of each executive officer's performance and responsibilities as they relate to certain "Performance Factors" including the productivity of the Trust's leasing effort, the increase in funds from operations ("FFO"), the financing transactions completed and the redevelopment and operation of the Trust's properties. Mr. Wood's letter of employment provided for a guaranteed cash bonus for 1998 of $125,000 and a one-time fully vested 5,000-Share bonus upon Mr. Wood's completion of certain business objectives. The bonuses awarded by the Compensation Committee for 1998 consider the Trust's operating performance in 1998 as well as the market demand for the Trust's key employees. In general, 1998 bonuses were lower than those for 1997.</w:t>
      </w:r>
    </w:p>
    <w:p>
      <w:pPr>
        <w:spacing w:after="0" w:line="98" w:lineRule="exact"/>
        <w:rPr>
          <w:sz w:val="20"/>
          <w:szCs w:val="20"/>
          <w:color w:val="auto"/>
        </w:rPr>
      </w:pPr>
    </w:p>
    <w:p>
      <w:pPr>
        <w:ind w:right="2459" w:firstLine="199"/>
        <w:spacing w:after="0" w:line="249" w:lineRule="auto"/>
        <w:rPr>
          <w:sz w:val="20"/>
          <w:szCs w:val="20"/>
          <w:color w:val="auto"/>
        </w:rPr>
      </w:pPr>
      <w:r>
        <w:rPr>
          <w:rFonts w:ascii="Courier New" w:cs="Courier New" w:eastAsia="Courier New" w:hAnsi="Courier New"/>
          <w:sz w:val="17"/>
          <w:szCs w:val="17"/>
          <w:color w:val="auto"/>
        </w:rPr>
        <w:t>In determining the executive officers' salary and bonus levels, the Compensation Committee also takes into account the total cash compensation paid to executive officers with similar positions in select successful real estate investment trusts and other national and regional companies that it concludes possess revenues, profitability and growth that are comparable to the Trust's (the "Survey Group"). Some of the companies in the Survey Group are included in the National Association of Real Estate Investment Trust equity index. The Compensation Committee's goal is to maintain the total compensation package for executive officers at a level which is competitive with the total compensation paid to executive officers of the companies in the Survey Group.</w:t>
      </w:r>
    </w:p>
    <w:p>
      <w:pPr>
        <w:spacing w:after="0" w:line="97"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It is expected that, by the end of 1999, the Compensation Committee will have adopted new incentive compensation plans for all Trust employees aimed at increasing objectivity of the annual bonus awards by quantifying awards based on specific operational performance thresholds and the achievement of individual objectives.</w:t>
      </w:r>
    </w:p>
    <w:p>
      <w:pPr>
        <w:spacing w:after="0" w:line="84" w:lineRule="exact"/>
        <w:rPr>
          <w:sz w:val="20"/>
          <w:szCs w:val="20"/>
          <w:color w:val="auto"/>
        </w:rPr>
      </w:pPr>
    </w:p>
    <w:p>
      <w:pPr>
        <w:ind w:right="3059" w:firstLine="199"/>
        <w:spacing w:after="0" w:line="274" w:lineRule="auto"/>
        <w:rPr>
          <w:sz w:val="20"/>
          <w:szCs w:val="20"/>
          <w:color w:val="auto"/>
        </w:rPr>
      </w:pPr>
      <w:r>
        <w:rPr>
          <w:rFonts w:ascii="Courier New" w:cs="Courier New" w:eastAsia="Courier New" w:hAnsi="Courier New"/>
          <w:sz w:val="17"/>
          <w:szCs w:val="17"/>
          <w:color w:val="auto"/>
        </w:rPr>
        <w:t>Chief Executive Officer. As Chief Executive Officer, Mr. Guttman is compensated pursuant to his employment agreement discussed above and in accordance with the performance factors discussed earlier. Mr. Guttman's compensation package is comprised of:</w:t>
      </w:r>
    </w:p>
    <w:p>
      <w:pPr>
        <w:spacing w:after="0" w:line="77" w:lineRule="exact"/>
        <w:rPr>
          <w:sz w:val="20"/>
          <w:szCs w:val="20"/>
          <w:color w:val="auto"/>
        </w:rPr>
      </w:pPr>
    </w:p>
    <w:p>
      <w:pPr>
        <w:ind w:left="300" w:right="2359" w:hanging="199"/>
        <w:spacing w:after="0" w:line="257" w:lineRule="auto"/>
        <w:tabs>
          <w:tab w:leader="none" w:pos="399"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base salary component commensurate with other non-founder chief executive officers in the region and industry</w:t>
      </w:r>
    </w:p>
    <w:p>
      <w:pPr>
        <w:ind w:left="300" w:right="3159" w:hanging="199"/>
        <w:spacing w:after="0" w:line="238" w:lineRule="auto"/>
        <w:tabs>
          <w:tab w:leader="none" w:pos="399"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annual incentive bonus awarded at the discretion of the Board of Trustees which has historically approximated 40-60% of base pay</w:t>
      </w:r>
    </w:p>
    <w:p>
      <w:pPr>
        <w:spacing w:after="0" w:line="1" w:lineRule="exact"/>
        <w:rPr>
          <w:sz w:val="20"/>
          <w:szCs w:val="20"/>
          <w:color w:val="auto"/>
        </w:rPr>
      </w:pPr>
    </w:p>
    <w:p>
      <w:pPr>
        <w:ind w:left="300" w:right="3459" w:hanging="199"/>
        <w:spacing w:after="0" w:line="310" w:lineRule="auto"/>
        <w:tabs>
          <w:tab w:leader="none" w:pos="399"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long-term performance share component which vests based on FFO performance hurdles.</w:t>
      </w:r>
    </w:p>
    <w:p>
      <w:pPr>
        <w:spacing w:after="0" w:line="4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September 1997 the Compensation Committee approved a plan to link Mr.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Guttman's compensation to shareholder value. The Compensation Committee</w:t>
      </w:r>
    </w:p>
    <w:p>
      <w:pPr>
        <w:spacing w:after="0" w:line="238" w:lineRule="auto"/>
        <w:rPr>
          <w:sz w:val="20"/>
          <w:szCs w:val="20"/>
          <w:color w:val="auto"/>
        </w:rPr>
      </w:pPr>
      <w:r>
        <w:rPr>
          <w:rFonts w:ascii="Courier New" w:cs="Courier New" w:eastAsia="Courier New" w:hAnsi="Courier New"/>
          <w:sz w:val="17"/>
          <w:szCs w:val="17"/>
          <w:color w:val="auto"/>
        </w:rPr>
        <w:t>approved a Stock in Lieu of Salary Plan and a Stock in Lieu of Bonus Plan</w:t>
      </w:r>
    </w:p>
    <w:p>
      <w:pPr>
        <w:spacing w:after="0" w:line="238" w:lineRule="auto"/>
        <w:rPr>
          <w:sz w:val="20"/>
          <w:szCs w:val="20"/>
          <w:color w:val="auto"/>
        </w:rPr>
      </w:pPr>
      <w:r>
        <w:rPr>
          <w:rFonts w:ascii="Courier New" w:cs="Courier New" w:eastAsia="Courier New" w:hAnsi="Courier New"/>
          <w:sz w:val="17"/>
          <w:szCs w:val="17"/>
          <w:color w:val="auto"/>
        </w:rPr>
        <w:t>pursuant to which Mr. Guttman may elect to forgo receipt of his salary and/or</w:t>
      </w:r>
    </w:p>
    <w:p>
      <w:pPr>
        <w:spacing w:after="0"/>
        <w:rPr>
          <w:sz w:val="20"/>
          <w:szCs w:val="20"/>
          <w:color w:val="auto"/>
        </w:rPr>
      </w:pPr>
      <w:r>
        <w:rPr>
          <w:rFonts w:ascii="Courier New" w:cs="Courier New" w:eastAsia="Courier New" w:hAnsi="Courier New"/>
          <w:sz w:val="17"/>
          <w:szCs w:val="17"/>
          <w:color w:val="auto"/>
        </w:rPr>
        <w:t>bonus in cash and receive instead the number of Shares equal to 133% of his</w:t>
      </w:r>
    </w:p>
    <w:p>
      <w:pPr>
        <w:spacing w:after="0" w:line="238" w:lineRule="auto"/>
        <w:rPr>
          <w:sz w:val="20"/>
          <w:szCs w:val="20"/>
          <w:color w:val="auto"/>
        </w:rPr>
      </w:pPr>
      <w:r>
        <w:rPr>
          <w:rFonts w:ascii="Courier New" w:cs="Courier New" w:eastAsia="Courier New" w:hAnsi="Courier New"/>
          <w:sz w:val="17"/>
          <w:szCs w:val="17"/>
          <w:color w:val="auto"/>
        </w:rPr>
        <w:t>salary and/or bonus amount divided by the closing price per Share as of</w:t>
      </w:r>
    </w:p>
    <w:p>
      <w:pPr>
        <w:spacing w:after="0"/>
        <w:rPr>
          <w:sz w:val="20"/>
          <w:szCs w:val="20"/>
          <w:color w:val="auto"/>
        </w:rPr>
      </w:pPr>
      <w:r>
        <w:rPr>
          <w:rFonts w:ascii="Courier New" w:cs="Courier New" w:eastAsia="Courier New" w:hAnsi="Courier New"/>
          <w:sz w:val="16"/>
          <w:szCs w:val="16"/>
          <w:color w:val="auto"/>
        </w:rPr>
        <w:t>December 31 of the previous year. To implement the Stock in Lieu of Salary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Bonus Plans, the Trust and Mr. Guttman entered into restricted share award</w:t>
      </w:r>
    </w:p>
    <w:p>
      <w:pPr>
        <w:spacing w:after="0" w:line="238" w:lineRule="auto"/>
        <w:rPr>
          <w:sz w:val="20"/>
          <w:szCs w:val="20"/>
          <w:color w:val="auto"/>
        </w:rPr>
      </w:pPr>
      <w:r>
        <w:rPr>
          <w:rFonts w:ascii="Courier New" w:cs="Courier New" w:eastAsia="Courier New" w:hAnsi="Courier New"/>
          <w:sz w:val="17"/>
          <w:szCs w:val="17"/>
          <w:color w:val="auto"/>
        </w:rPr>
        <w:t>agreements pursuant to which Mr. Guttman will receive (unless he elects</w:t>
      </w:r>
    </w:p>
    <w:p>
      <w:pPr>
        <w:spacing w:after="0" w:line="238" w:lineRule="auto"/>
        <w:rPr>
          <w:sz w:val="20"/>
          <w:szCs w:val="20"/>
          <w:color w:val="auto"/>
        </w:rPr>
      </w:pPr>
      <w:r>
        <w:rPr>
          <w:rFonts w:ascii="Courier New" w:cs="Courier New" w:eastAsia="Courier New" w:hAnsi="Courier New"/>
          <w:sz w:val="17"/>
          <w:szCs w:val="17"/>
          <w:color w:val="auto"/>
        </w:rPr>
        <w:t>otherwise) Shares in lieu of his salary for the years 1998 through 2002 and</w:t>
      </w:r>
    </w:p>
    <w:p>
      <w:pPr>
        <w:spacing w:after="0"/>
        <w:rPr>
          <w:sz w:val="20"/>
          <w:szCs w:val="20"/>
          <w:color w:val="auto"/>
        </w:rPr>
      </w:pPr>
      <w:r>
        <w:rPr>
          <w:rFonts w:ascii="Courier New" w:cs="Courier New" w:eastAsia="Courier New" w:hAnsi="Courier New"/>
          <w:sz w:val="17"/>
          <w:szCs w:val="17"/>
          <w:color w:val="auto"/>
        </w:rPr>
        <w:t>Shares in lieu of his bonus for the years 1997 through 2001. The terms of</w:t>
      </w:r>
    </w:p>
    <w:p>
      <w:pPr>
        <w:spacing w:after="0"/>
        <w:rPr>
          <w:sz w:val="20"/>
          <w:szCs w:val="20"/>
          <w:color w:val="auto"/>
        </w:rPr>
      </w:pPr>
      <w:r>
        <w:rPr>
          <w:rFonts w:ascii="Courier New" w:cs="Courier New" w:eastAsia="Courier New" w:hAnsi="Courier New"/>
          <w:sz w:val="16"/>
          <w:szCs w:val="16"/>
          <w:color w:val="auto"/>
        </w:rPr>
        <w:t>these agreements are described above in "Employment Agreements; Termination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and Change in Control Arrangements." In connection with the</w:t>
      </w:r>
    </w:p>
    <w:p>
      <w:pPr>
        <w:spacing w:after="0" w:line="238" w:lineRule="auto"/>
        <w:rPr>
          <w:sz w:val="20"/>
          <w:szCs w:val="20"/>
          <w:color w:val="auto"/>
        </w:rPr>
      </w:pPr>
      <w:r>
        <w:rPr>
          <w:rFonts w:ascii="Courier New" w:cs="Courier New" w:eastAsia="Courier New" w:hAnsi="Courier New"/>
          <w:sz w:val="17"/>
          <w:szCs w:val="17"/>
          <w:color w:val="auto"/>
        </w:rPr>
        <w:t>approval of the Stock in Lieu of Salary and Bonus Plans, Mr. Guttman agreed</w:t>
      </w:r>
    </w:p>
    <w:p>
      <w:pPr>
        <w:spacing w:after="0" w:line="238" w:lineRule="auto"/>
        <w:rPr>
          <w:sz w:val="20"/>
          <w:szCs w:val="20"/>
          <w:color w:val="auto"/>
        </w:rPr>
      </w:pPr>
      <w:r>
        <w:rPr>
          <w:rFonts w:ascii="Courier New" w:cs="Courier New" w:eastAsia="Courier New" w:hAnsi="Courier New"/>
          <w:sz w:val="17"/>
          <w:szCs w:val="17"/>
          <w:color w:val="auto"/>
        </w:rPr>
        <w:t>that if he elected to receive Shares in lieu of his 1998 salary, his salary</w:t>
      </w:r>
    </w:p>
    <w:p>
      <w:pPr>
        <w:spacing w:after="0"/>
        <w:rPr>
          <w:sz w:val="20"/>
          <w:szCs w:val="20"/>
          <w:color w:val="auto"/>
        </w:rPr>
      </w:pPr>
      <w:r>
        <w:rPr>
          <w:rFonts w:ascii="Courier New" w:cs="Courier New" w:eastAsia="Courier New" w:hAnsi="Courier New"/>
          <w:sz w:val="17"/>
          <w:szCs w:val="17"/>
          <w:color w:val="auto"/>
        </w:rPr>
        <w:t>for 1998 would be $475,000, a decrease from his 1997 salary of $529,000. Mr.</w:t>
      </w:r>
    </w:p>
    <w:p>
      <w:pPr>
        <w:spacing w:after="0" w:line="238" w:lineRule="auto"/>
        <w:rPr>
          <w:sz w:val="20"/>
          <w:szCs w:val="20"/>
          <w:color w:val="auto"/>
        </w:rPr>
      </w:pPr>
      <w:r>
        <w:rPr>
          <w:rFonts w:ascii="Courier New" w:cs="Courier New" w:eastAsia="Courier New" w:hAnsi="Courier New"/>
          <w:sz w:val="17"/>
          <w:szCs w:val="17"/>
          <w:color w:val="auto"/>
        </w:rPr>
        <w:t>Guttman's salary for 1999 remained at its 1998 level. Mr. Guttman elected to</w:t>
      </w:r>
    </w:p>
    <w:p>
      <w:pPr>
        <w:spacing w:after="0" w:line="238" w:lineRule="auto"/>
        <w:rPr>
          <w:sz w:val="20"/>
          <w:szCs w:val="20"/>
          <w:color w:val="auto"/>
        </w:rPr>
      </w:pPr>
      <w:r>
        <w:rPr>
          <w:rFonts w:ascii="Courier New" w:cs="Courier New" w:eastAsia="Courier New" w:hAnsi="Courier New"/>
          <w:sz w:val="17"/>
          <w:szCs w:val="17"/>
          <w:color w:val="auto"/>
        </w:rPr>
        <w:t>receive Shares in lieu of cash for his 1998 salary and 1997 bonus (cash award</w:t>
      </w:r>
    </w:p>
    <w:p>
      <w:pPr>
        <w:spacing w:after="0"/>
        <w:rPr>
          <w:sz w:val="20"/>
          <w:szCs w:val="20"/>
          <w:color w:val="auto"/>
        </w:rPr>
      </w:pPr>
      <w:r>
        <w:rPr>
          <w:rFonts w:ascii="Courier New" w:cs="Courier New" w:eastAsia="Courier New" w:hAnsi="Courier New"/>
          <w:sz w:val="17"/>
          <w:szCs w:val="17"/>
          <w:color w:val="auto"/>
        </w:rPr>
        <w:t>of $275,000) as well as his 1999 salary and 1998 bonus (cash award of</w:t>
      </w:r>
    </w:p>
    <w:p>
      <w:pPr>
        <w:spacing w:after="0" w:line="238" w:lineRule="auto"/>
        <w:rPr>
          <w:sz w:val="20"/>
          <w:szCs w:val="20"/>
          <w:color w:val="auto"/>
        </w:rPr>
      </w:pPr>
      <w:r>
        <w:rPr>
          <w:rFonts w:ascii="Courier New" w:cs="Courier New" w:eastAsia="Courier New" w:hAnsi="Courier New"/>
          <w:sz w:val="17"/>
          <w:szCs w:val="17"/>
          <w:color w:val="auto"/>
        </w:rPr>
        <w:t>$265,000). Pursuant to these elections and the applicable restricted share</w:t>
      </w:r>
    </w:p>
    <w:p>
      <w:pPr>
        <w:spacing w:after="0" w:line="238" w:lineRule="auto"/>
        <w:rPr>
          <w:sz w:val="20"/>
          <w:szCs w:val="20"/>
          <w:color w:val="auto"/>
        </w:rPr>
      </w:pPr>
      <w:r>
        <w:rPr>
          <w:rFonts w:ascii="Courier New" w:cs="Courier New" w:eastAsia="Courier New" w:hAnsi="Courier New"/>
          <w:sz w:val="17"/>
          <w:szCs w:val="17"/>
          <w:color w:val="auto"/>
        </w:rPr>
        <w:t>award agreements, a total of 39,055 Restricted Shares were awarded in January</w:t>
      </w:r>
    </w:p>
    <w:p>
      <w:pPr>
        <w:spacing w:after="0"/>
        <w:rPr>
          <w:sz w:val="20"/>
          <w:szCs w:val="20"/>
          <w:color w:val="auto"/>
        </w:rPr>
      </w:pPr>
      <w:r>
        <w:rPr>
          <w:rFonts w:ascii="Courier New" w:cs="Courier New" w:eastAsia="Courier New" w:hAnsi="Courier New"/>
          <w:sz w:val="17"/>
          <w:szCs w:val="17"/>
          <w:color w:val="auto"/>
        </w:rPr>
        <w:t>1998 for his 1998 salary and 1997 bonus, and a total of 41,660 Restricted</w:t>
      </w:r>
    </w:p>
    <w:p>
      <w:pPr>
        <w:spacing w:after="0" w:line="238" w:lineRule="auto"/>
        <w:rPr>
          <w:sz w:val="20"/>
          <w:szCs w:val="20"/>
          <w:color w:val="auto"/>
        </w:rPr>
      </w:pPr>
      <w:r>
        <w:rPr>
          <w:rFonts w:ascii="Courier New" w:cs="Courier New" w:eastAsia="Courier New" w:hAnsi="Courier New"/>
          <w:sz w:val="17"/>
          <w:szCs w:val="17"/>
          <w:color w:val="auto"/>
        </w:rPr>
        <w:t>Shares were awarded in January and February 1999 for his 1999 salary and 1998</w:t>
      </w:r>
    </w:p>
    <w:p>
      <w:pPr>
        <w:spacing w:after="0"/>
        <w:rPr>
          <w:sz w:val="20"/>
          <w:szCs w:val="20"/>
          <w:color w:val="auto"/>
        </w:rPr>
      </w:pPr>
      <w:r>
        <w:rPr>
          <w:rFonts w:ascii="Courier New" w:cs="Courier New" w:eastAsia="Courier New" w:hAnsi="Courier New"/>
          <w:sz w:val="17"/>
          <w:szCs w:val="17"/>
          <w:color w:val="auto"/>
        </w:rPr>
        <w:t>bonus.</w:t>
      </w:r>
    </w:p>
    <w:p>
      <w:pPr>
        <w:spacing w:after="0" w:line="16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60" w:right="1440" w:bottom="1440" w:gutter="0" w:footer="0" w:header="0"/>
        </w:sectPr>
      </w:pPr>
    </w:p>
    <w:bookmarkStart w:id="16" w:name="page17"/>
    <w:bookmarkEnd w:id="16"/>
    <w:p>
      <w:pPr>
        <w:ind w:right="2859" w:firstLine="199"/>
        <w:spacing w:after="0" w:line="260" w:lineRule="auto"/>
        <w:rPr>
          <w:sz w:val="20"/>
          <w:szCs w:val="20"/>
          <w:color w:val="auto"/>
        </w:rPr>
      </w:pPr>
      <w:r>
        <w:rPr>
          <w:rFonts w:ascii="Courier New" w:cs="Courier New" w:eastAsia="Courier New" w:hAnsi="Courier New"/>
          <w:sz w:val="17"/>
          <w:szCs w:val="17"/>
          <w:color w:val="auto"/>
        </w:rPr>
        <w:t>Also in September 1997, the Compensation Committee awarded Mr. Guttman a performance share award of 300,000 Shares effective January 1, 1998, as described above in "Employment Agreements; Termination of Employment and Change in Control Arrangements." Since FFO per Share of the Trust did not equal or exceed 7% in 1998 on an as-reported basis, no Performance Shares vested.</w:t>
      </w:r>
    </w:p>
    <w:p>
      <w:pPr>
        <w:spacing w:after="0" w:line="87" w:lineRule="exact"/>
        <w:rPr>
          <w:sz w:val="20"/>
          <w:szCs w:val="20"/>
          <w:color w:val="auto"/>
        </w:rPr>
      </w:pPr>
    </w:p>
    <w:p>
      <w:pPr>
        <w:ind w:right="2559" w:firstLine="199"/>
        <w:spacing w:after="0" w:line="256" w:lineRule="auto"/>
        <w:rPr>
          <w:sz w:val="20"/>
          <w:szCs w:val="20"/>
          <w:color w:val="auto"/>
        </w:rPr>
      </w:pPr>
      <w:r>
        <w:rPr>
          <w:rFonts w:ascii="Courier New" w:cs="Courier New" w:eastAsia="Courier New" w:hAnsi="Courier New"/>
          <w:sz w:val="17"/>
          <w:szCs w:val="17"/>
          <w:color w:val="auto"/>
        </w:rPr>
        <w:t>The Compensation Committee believes that the compensation arrangements described above will fulfill the objective of linking Mr. Guttman's long-term compensation directly and closely to increasing shareholder value. Increasing Mr. Guttman's equity ownership in the Trust will align his interests with shareholders' long-term interests because the value of Mr. Guttman's options and restricted share and performance awards over time will increase only as Share value increases.</w:t>
      </w:r>
    </w:p>
    <w:p>
      <w:pPr>
        <w:spacing w:after="0" w:line="92"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Amended and Restated 1993 Long-Term Incentive Plan. In 1997, the Compensation Committee, the Board of Trustees and the shareholders approved revisions to the Amended Plan to improve and modify its terms and to qualify the Amended Plan under the performance-based compensation exception to Section 162(m) of the Code.</w:t>
      </w:r>
    </w:p>
    <w:p>
      <w:pPr>
        <w:spacing w:after="0" w:line="84" w:lineRule="exact"/>
        <w:rPr>
          <w:sz w:val="20"/>
          <w:szCs w:val="20"/>
          <w:color w:val="auto"/>
        </w:rPr>
      </w:pPr>
    </w:p>
    <w:p>
      <w:pPr>
        <w:ind w:right="2459" w:firstLine="199"/>
        <w:spacing w:after="0" w:line="246" w:lineRule="auto"/>
        <w:rPr>
          <w:sz w:val="20"/>
          <w:szCs w:val="20"/>
          <w:color w:val="auto"/>
        </w:rPr>
      </w:pPr>
      <w:r>
        <w:rPr>
          <w:rFonts w:ascii="Courier New" w:cs="Courier New" w:eastAsia="Courier New" w:hAnsi="Courier New"/>
          <w:sz w:val="17"/>
          <w:szCs w:val="17"/>
          <w:color w:val="auto"/>
        </w:rPr>
        <w:t>Deductibility of Executive Compensation in Excess of $1.0 Million. Section 162(m) of the Code generally disallows a federal income tax 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under the Amended Plan to take advantage of this Section 162(m) exception. However, the Committee does not believe that it is necessarily in the best interest of the Trust and its shareholders that all compensation meet the requirements of Section 162(m) for deductibility and the Committee may determine to award non-deductible compensation in such circumstances as it deems appropriate. Moreover, in light of the ambiguities and uncertainties under Section 162(m), no assurance can be given that compensation intended by the Company to satisfy the requirements for deductibility under Section 162(m) does in fact do so.</w:t>
      </w:r>
    </w:p>
    <w:p>
      <w:pPr>
        <w:spacing w:after="0" w:line="9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Walter F. Loeb (Chairman)</w:t>
      </w:r>
    </w:p>
    <w:p>
      <w:pPr>
        <w:spacing w:after="0" w:line="2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Kenneth D. Brody</w:t>
      </w:r>
    </w:p>
    <w:p>
      <w:pPr>
        <w:spacing w:after="0" w:line="16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Mark S. Ordan</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851" w:right="1440" w:bottom="1440" w:gutter="0" w:footer="0" w:header="0"/>
        </w:sectPr>
      </w:pPr>
    </w:p>
    <w:bookmarkStart w:id="17" w:name="page18"/>
    <w:bookmarkEnd w:id="17"/>
    <w:p>
      <w:pPr>
        <w:ind w:left="100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0" w:lineRule="exact"/>
        <w:rPr>
          <w:sz w:val="20"/>
          <w:szCs w:val="20"/>
          <w:color w:val="auto"/>
        </w:rPr>
      </w:pPr>
    </w:p>
    <w:p>
      <w:pPr>
        <w:ind w:right="2559" w:firstLine="199"/>
        <w:spacing w:after="0" w:line="274" w:lineRule="auto"/>
        <w:rPr>
          <w:sz w:val="20"/>
          <w:szCs w:val="20"/>
          <w:color w:val="auto"/>
        </w:rPr>
      </w:pPr>
      <w:r>
        <w:rPr>
          <w:rFonts w:ascii="Courier New" w:cs="Courier New" w:eastAsia="Courier New" w:hAnsi="Courier New"/>
          <w:sz w:val="17"/>
          <w:szCs w:val="17"/>
          <w:color w:val="auto"/>
        </w:rPr>
        <w:t>The Compensation Committee consists of Messrs. Brody, Loeb and Ordan. Ms. Gamble served as a member of the Compensation Committee until May 1998. There are no Compensation Committee interlocks and no Trust employees serve on the Compensation Committee.</w:t>
      </w:r>
    </w:p>
    <w:p>
      <w:pPr>
        <w:spacing w:after="0" w:line="7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Stock Price Performance</w:t>
      </w:r>
    </w:p>
    <w:p>
      <w:pPr>
        <w:spacing w:after="0" w:line="190" w:lineRule="exact"/>
        <w:rPr>
          <w:sz w:val="20"/>
          <w:szCs w:val="20"/>
          <w:color w:val="auto"/>
        </w:rPr>
      </w:pPr>
    </w:p>
    <w:p>
      <w:pPr>
        <w:ind w:right="2359" w:firstLine="199"/>
        <w:spacing w:after="0" w:line="269" w:lineRule="auto"/>
        <w:rPr>
          <w:sz w:val="20"/>
          <w:szCs w:val="20"/>
          <w:color w:val="auto"/>
        </w:rPr>
      </w:pPr>
      <w:r>
        <w:rPr>
          <w:rFonts w:ascii="Courier New" w:cs="Courier New" w:eastAsia="Courier New" w:hAnsi="Courier New"/>
          <w:sz w:val="16"/>
          <w:szCs w:val="16"/>
          <w:color w:val="auto"/>
        </w:rPr>
        <w:t>The following stock price performance chart compares the Trust's performance to the S&amp;P 500 and the index of equity real estate investment trusts prepared by the National Association of Real Estate Investment Trusts ("NAREIT").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price performance for the past five years is not necessarily indicative of future results. All stock price performance includes the reinvestment of dividends.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4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7"/>
                <w:szCs w:val="17"/>
                <w:color w:val="auto"/>
              </w:rPr>
              <w:t>[STOCK PERFORMANCE</w:t>
            </w:r>
          </w:p>
        </w:tc>
        <w:tc>
          <w:tcPr>
            <w:tcW w:w="24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CHART APPEARS HERE]</w:t>
            </w:r>
          </w:p>
        </w:tc>
      </w:tr>
      <w:tr>
        <w:trPr>
          <w:trHeight w:val="676"/>
        </w:trPr>
        <w:tc>
          <w:tcPr>
            <w:tcW w:w="1400" w:type="dxa"/>
            <w:vAlign w:val="bottom"/>
          </w:tcPr>
          <w:p>
            <w:pPr>
              <w:spacing w:after="0"/>
              <w:rPr>
                <w:sz w:val="24"/>
                <w:szCs w:val="24"/>
                <w:color w:val="auto"/>
              </w:rPr>
            </w:pPr>
          </w:p>
        </w:tc>
        <w:tc>
          <w:tcPr>
            <w:tcW w:w="2440" w:type="dxa"/>
            <w:vAlign w:val="bottom"/>
          </w:tcPr>
          <w:p>
            <w:pPr>
              <w:jc w:val="right"/>
              <w:ind w:right="877"/>
              <w:spacing w:after="0"/>
              <w:rPr>
                <w:sz w:val="20"/>
                <w:szCs w:val="20"/>
                <w:color w:val="auto"/>
              </w:rPr>
            </w:pPr>
            <w:r>
              <w:rPr>
                <w:rFonts w:ascii="Courier New" w:cs="Courier New" w:eastAsia="Courier New" w:hAnsi="Courier New"/>
                <w:sz w:val="17"/>
                <w:szCs w:val="17"/>
                <w:color w:val="auto"/>
              </w:rPr>
              <w:t>Equity</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S&amp;P 500</w:t>
            </w:r>
          </w:p>
        </w:tc>
        <w:tc>
          <w:tcPr>
            <w:tcW w:w="11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FRT</w:t>
            </w:r>
          </w:p>
        </w:tc>
      </w:tr>
      <w:tr>
        <w:trPr>
          <w:trHeight w:val="280"/>
        </w:trPr>
        <w:tc>
          <w:tcPr>
            <w:tcW w:w="1400" w:type="dxa"/>
            <w:vAlign w:val="bottom"/>
          </w:tcPr>
          <w:p>
            <w:pPr>
              <w:spacing w:after="0"/>
              <w:rPr>
                <w:sz w:val="24"/>
                <w:szCs w:val="24"/>
                <w:color w:val="auto"/>
              </w:rPr>
            </w:pPr>
          </w:p>
        </w:tc>
        <w:tc>
          <w:tcPr>
            <w:tcW w:w="2440" w:type="dxa"/>
            <w:vAlign w:val="bottom"/>
          </w:tcPr>
          <w:p>
            <w:pPr>
              <w:jc w:val="right"/>
              <w:ind w:right="877"/>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Dec 1994</w:t>
            </w:r>
          </w:p>
        </w:tc>
        <w:tc>
          <w:tcPr>
            <w:tcW w:w="2440" w:type="dxa"/>
            <w:vAlign w:val="bottom"/>
          </w:tcPr>
          <w:p>
            <w:pPr>
              <w:jc w:val="right"/>
              <w:ind w:right="877"/>
              <w:spacing w:after="0"/>
              <w:rPr>
                <w:sz w:val="20"/>
                <w:szCs w:val="20"/>
                <w:color w:val="auto"/>
              </w:rPr>
            </w:pPr>
            <w:r>
              <w:rPr>
                <w:rFonts w:ascii="Courier New" w:cs="Courier New" w:eastAsia="Courier New" w:hAnsi="Courier New"/>
                <w:sz w:val="17"/>
                <w:szCs w:val="17"/>
                <w:color w:val="auto"/>
              </w:rPr>
              <w:t>103.17</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101.31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88.01</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Dec 1995</w:t>
            </w:r>
          </w:p>
        </w:tc>
        <w:tc>
          <w:tcPr>
            <w:tcW w:w="2440" w:type="dxa"/>
            <w:vAlign w:val="bottom"/>
          </w:tcPr>
          <w:p>
            <w:pPr>
              <w:jc w:val="right"/>
              <w:ind w:right="877"/>
              <w:spacing w:after="0"/>
              <w:rPr>
                <w:sz w:val="20"/>
                <w:szCs w:val="20"/>
                <w:color w:val="auto"/>
              </w:rPr>
            </w:pPr>
            <w:r>
              <w:rPr>
                <w:rFonts w:ascii="Courier New" w:cs="Courier New" w:eastAsia="Courier New" w:hAnsi="Courier New"/>
                <w:sz w:val="17"/>
                <w:szCs w:val="17"/>
                <w:color w:val="auto"/>
              </w:rPr>
              <w:t>118.92</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138.23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104.46</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Dec 1996</w:t>
            </w:r>
          </w:p>
        </w:tc>
        <w:tc>
          <w:tcPr>
            <w:tcW w:w="2440" w:type="dxa"/>
            <w:vAlign w:val="bottom"/>
          </w:tcPr>
          <w:p>
            <w:pPr>
              <w:jc w:val="right"/>
              <w:ind w:right="877"/>
              <w:spacing w:after="0"/>
              <w:rPr>
                <w:sz w:val="20"/>
                <w:szCs w:val="20"/>
                <w:color w:val="auto"/>
              </w:rPr>
            </w:pPr>
            <w:r>
              <w:rPr>
                <w:rFonts w:ascii="Courier New" w:cs="Courier New" w:eastAsia="Courier New" w:hAnsi="Courier New"/>
                <w:sz w:val="17"/>
                <w:szCs w:val="17"/>
                <w:color w:val="auto"/>
              </w:rPr>
              <w:t>160.88</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171.18</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134.07</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Dec 1997</w:t>
            </w:r>
          </w:p>
        </w:tc>
        <w:tc>
          <w:tcPr>
            <w:tcW w:w="2440" w:type="dxa"/>
            <w:vAlign w:val="bottom"/>
          </w:tcPr>
          <w:p>
            <w:pPr>
              <w:jc w:val="right"/>
              <w:ind w:right="877"/>
              <w:spacing w:after="0"/>
              <w:rPr>
                <w:sz w:val="20"/>
                <w:szCs w:val="20"/>
                <w:color w:val="auto"/>
              </w:rPr>
            </w:pPr>
            <w:r>
              <w:rPr>
                <w:rFonts w:ascii="Courier New" w:cs="Courier New" w:eastAsia="Courier New" w:hAnsi="Courier New"/>
                <w:sz w:val="17"/>
                <w:szCs w:val="17"/>
                <w:color w:val="auto"/>
              </w:rPr>
              <w:t>193.45</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228.32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135.48</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Dec 1998</w:t>
            </w:r>
          </w:p>
        </w:tc>
        <w:tc>
          <w:tcPr>
            <w:tcW w:w="2440" w:type="dxa"/>
            <w:vAlign w:val="bottom"/>
          </w:tcPr>
          <w:p>
            <w:pPr>
              <w:jc w:val="right"/>
              <w:ind w:right="877"/>
              <w:spacing w:after="0"/>
              <w:rPr>
                <w:sz w:val="20"/>
                <w:szCs w:val="20"/>
                <w:color w:val="auto"/>
              </w:rPr>
            </w:pPr>
            <w:r>
              <w:rPr>
                <w:rFonts w:ascii="Courier New" w:cs="Courier New" w:eastAsia="Courier New" w:hAnsi="Courier New"/>
                <w:sz w:val="17"/>
                <w:szCs w:val="17"/>
                <w:color w:val="auto"/>
              </w:rPr>
              <w:t>159.59</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293.57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133.55</w:t>
            </w:r>
          </w:p>
        </w:tc>
      </w:tr>
      <w:tr>
        <w:trPr>
          <w:trHeight w:val="956"/>
        </w:trPr>
        <w:tc>
          <w:tcPr>
            <w:tcW w:w="1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15</w:t>
            </w:r>
          </w:p>
        </w:tc>
        <w:tc>
          <w:tcPr>
            <w:tcW w:w="1180" w:type="dxa"/>
            <w:vAlign w:val="bottom"/>
          </w:tcPr>
          <w:p>
            <w:pPr>
              <w:spacing w:after="0"/>
              <w:rPr>
                <w:sz w:val="24"/>
                <w:szCs w:val="24"/>
                <w:color w:val="auto"/>
              </w:rPr>
            </w:pPr>
          </w:p>
        </w:tc>
      </w:tr>
    </w:tbl>
    <w:p>
      <w:pPr>
        <w:sectPr>
          <w:pgSz w:w="11900" w:h="16838" w:orient="portrait"/>
          <w:cols w:equalWidth="0" w:num="1">
            <w:col w:w="10219"/>
          </w:cols>
          <w:pgMar w:left="240" w:top="660" w:right="1440" w:bottom="1440" w:gutter="0" w:footer="0" w:header="0"/>
        </w:sectPr>
      </w:pPr>
    </w:p>
    <w:bookmarkStart w:id="18" w:name="page19"/>
    <w:bookmarkEnd w:id="18"/>
    <w:p>
      <w:pPr>
        <w:jc w:val="center"/>
        <w:ind w:right="2459"/>
        <w:spacing w:after="0"/>
        <w:rPr>
          <w:sz w:val="20"/>
          <w:szCs w:val="20"/>
          <w:color w:val="auto"/>
        </w:rPr>
      </w:pPr>
      <w:r>
        <w:rPr>
          <w:rFonts w:ascii="Courier New" w:cs="Courier New" w:eastAsia="Courier New" w:hAnsi="Courier New"/>
          <w:sz w:val="17"/>
          <w:szCs w:val="17"/>
          <w:color w:val="auto"/>
        </w:rPr>
        <w:t>CERTAIN TRANSACTIONS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Pursuant to the terms of stock option plans, from 1984 through 1998 officers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key employees have exercised options and paid for some of the Shares by</w:t>
      </w:r>
    </w:p>
    <w:p>
      <w:pPr>
        <w:spacing w:after="0" w:line="238" w:lineRule="auto"/>
        <w:rPr>
          <w:sz w:val="20"/>
          <w:szCs w:val="20"/>
          <w:color w:val="auto"/>
        </w:rPr>
      </w:pPr>
      <w:r>
        <w:rPr>
          <w:rFonts w:ascii="Courier New" w:cs="Courier New" w:eastAsia="Courier New" w:hAnsi="Courier New"/>
          <w:sz w:val="17"/>
          <w:szCs w:val="17"/>
          <w:color w:val="auto"/>
        </w:rPr>
        <w:t>issuance of notes to the Trust. Notes accepted pursuant to the 1983 or 1985</w:t>
      </w:r>
    </w:p>
    <w:p>
      <w:pPr>
        <w:spacing w:after="0" w:line="238" w:lineRule="auto"/>
        <w:rPr>
          <w:sz w:val="20"/>
          <w:szCs w:val="20"/>
          <w:color w:val="auto"/>
        </w:rPr>
      </w:pPr>
      <w:r>
        <w:rPr>
          <w:rFonts w:ascii="Courier New" w:cs="Courier New" w:eastAsia="Courier New" w:hAnsi="Courier New"/>
          <w:sz w:val="17"/>
          <w:szCs w:val="17"/>
          <w:color w:val="auto"/>
        </w:rPr>
        <w:t>stock option plans are for a term extending to the employee's or officer's</w:t>
      </w:r>
    </w:p>
    <w:p>
      <w:pPr>
        <w:spacing w:after="0"/>
        <w:rPr>
          <w:sz w:val="20"/>
          <w:szCs w:val="20"/>
          <w:color w:val="auto"/>
        </w:rPr>
      </w:pPr>
      <w:r>
        <w:rPr>
          <w:rFonts w:ascii="Courier New" w:cs="Courier New" w:eastAsia="Courier New" w:hAnsi="Courier New"/>
          <w:sz w:val="17"/>
          <w:szCs w:val="17"/>
          <w:color w:val="auto"/>
        </w:rPr>
        <w:t>retirement date with interest payable quarterly at the per annum rate that is</w:t>
      </w:r>
    </w:p>
    <w:p>
      <w:pPr>
        <w:spacing w:after="0" w:line="238" w:lineRule="auto"/>
        <w:rPr>
          <w:sz w:val="20"/>
          <w:szCs w:val="20"/>
          <w:color w:val="auto"/>
        </w:rPr>
      </w:pPr>
      <w:r>
        <w:rPr>
          <w:rFonts w:ascii="Courier New" w:cs="Courier New" w:eastAsia="Courier New" w:hAnsi="Courier New"/>
          <w:sz w:val="17"/>
          <w:szCs w:val="17"/>
          <w:color w:val="auto"/>
        </w:rPr>
        <w:t>either the lesser of (i) the Trust's current borrowing rate or (ii) the</w:t>
      </w:r>
    </w:p>
    <w:p>
      <w:pPr>
        <w:spacing w:after="0" w:line="238" w:lineRule="auto"/>
        <w:rPr>
          <w:sz w:val="20"/>
          <w:szCs w:val="20"/>
          <w:color w:val="auto"/>
        </w:rPr>
      </w:pPr>
      <w:r>
        <w:rPr>
          <w:rFonts w:ascii="Courier New" w:cs="Courier New" w:eastAsia="Courier New" w:hAnsi="Courier New"/>
          <w:sz w:val="17"/>
          <w:szCs w:val="17"/>
          <w:color w:val="auto"/>
        </w:rPr>
        <w:t>current indicated annual dividend rate on the Shares acquired pursuant to the</w:t>
      </w:r>
    </w:p>
    <w:p>
      <w:pPr>
        <w:spacing w:after="0"/>
        <w:rPr>
          <w:sz w:val="20"/>
          <w:szCs w:val="20"/>
          <w:color w:val="auto"/>
        </w:rPr>
      </w:pPr>
      <w:r>
        <w:rPr>
          <w:rFonts w:ascii="Courier New" w:cs="Courier New" w:eastAsia="Courier New" w:hAnsi="Courier New"/>
          <w:sz w:val="17"/>
          <w:szCs w:val="17"/>
          <w:color w:val="auto"/>
        </w:rPr>
        <w:t>option divided by the purchase price of such Shares. Notes accepted pursuant</w:t>
      </w:r>
    </w:p>
    <w:p>
      <w:pPr>
        <w:spacing w:after="0" w:line="238" w:lineRule="auto"/>
        <w:rPr>
          <w:sz w:val="20"/>
          <w:szCs w:val="20"/>
          <w:color w:val="auto"/>
        </w:rPr>
      </w:pPr>
      <w:r>
        <w:rPr>
          <w:rFonts w:ascii="Courier New" w:cs="Courier New" w:eastAsia="Courier New" w:hAnsi="Courier New"/>
          <w:sz w:val="17"/>
          <w:szCs w:val="17"/>
          <w:color w:val="auto"/>
        </w:rPr>
        <w:t>to the Amended Plan are for a period extending to the employee's or officer's</w:t>
      </w:r>
    </w:p>
    <w:p>
      <w:pPr>
        <w:spacing w:after="0" w:line="238" w:lineRule="auto"/>
        <w:rPr>
          <w:sz w:val="20"/>
          <w:szCs w:val="20"/>
          <w:color w:val="auto"/>
        </w:rPr>
      </w:pPr>
      <w:r>
        <w:rPr>
          <w:rFonts w:ascii="Courier New" w:cs="Courier New" w:eastAsia="Courier New" w:hAnsi="Courier New"/>
          <w:sz w:val="17"/>
          <w:szCs w:val="17"/>
          <w:color w:val="auto"/>
        </w:rPr>
        <w:t>retirement date with interest payable quarterly at the per annum rate that is</w:t>
      </w:r>
    </w:p>
    <w:p>
      <w:pPr>
        <w:spacing w:after="0"/>
        <w:rPr>
          <w:sz w:val="20"/>
          <w:szCs w:val="20"/>
          <w:color w:val="auto"/>
        </w:rPr>
      </w:pPr>
      <w:r>
        <w:rPr>
          <w:rFonts w:ascii="Courier New" w:cs="Courier New" w:eastAsia="Courier New" w:hAnsi="Courier New"/>
          <w:sz w:val="17"/>
          <w:szCs w:val="17"/>
          <w:color w:val="auto"/>
        </w:rPr>
        <w:t>the lesser of (i) the Trust's borrowing rate on the date of exercise or (ii)</w:t>
      </w:r>
    </w:p>
    <w:p>
      <w:pPr>
        <w:spacing w:after="0" w:line="238" w:lineRule="auto"/>
        <w:rPr>
          <w:sz w:val="20"/>
          <w:szCs w:val="20"/>
          <w:color w:val="auto"/>
        </w:rPr>
      </w:pPr>
      <w:r>
        <w:rPr>
          <w:rFonts w:ascii="Courier New" w:cs="Courier New" w:eastAsia="Courier New" w:hAnsi="Courier New"/>
          <w:sz w:val="17"/>
          <w:szCs w:val="17"/>
          <w:color w:val="auto"/>
        </w:rPr>
        <w:t>the indicated annual dividend rate on the date of exercise of the option</w:t>
      </w:r>
    </w:p>
    <w:p>
      <w:pPr>
        <w:spacing w:after="0" w:line="238" w:lineRule="auto"/>
        <w:rPr>
          <w:sz w:val="20"/>
          <w:szCs w:val="20"/>
          <w:color w:val="auto"/>
        </w:rPr>
      </w:pPr>
      <w:r>
        <w:rPr>
          <w:rFonts w:ascii="Courier New" w:cs="Courier New" w:eastAsia="Courier New" w:hAnsi="Courier New"/>
          <w:sz w:val="17"/>
          <w:szCs w:val="17"/>
          <w:color w:val="auto"/>
        </w:rPr>
        <w:t>divided by the option price of such Shares. The stock option notes are secured</w:t>
      </w:r>
    </w:p>
    <w:p>
      <w:pPr>
        <w:spacing w:after="0"/>
        <w:rPr>
          <w:sz w:val="20"/>
          <w:szCs w:val="20"/>
          <w:color w:val="auto"/>
        </w:rPr>
      </w:pPr>
      <w:r>
        <w:rPr>
          <w:rFonts w:ascii="Courier New" w:cs="Courier New" w:eastAsia="Courier New" w:hAnsi="Courier New"/>
          <w:sz w:val="17"/>
          <w:szCs w:val="17"/>
          <w:color w:val="auto"/>
        </w:rPr>
        <w:t>by the Shares, which will not be released until the notes are paid in full.</w:t>
      </w:r>
    </w:p>
    <w:p>
      <w:pPr>
        <w:spacing w:after="0" w:line="238" w:lineRule="auto"/>
        <w:rPr>
          <w:sz w:val="20"/>
          <w:szCs w:val="20"/>
          <w:color w:val="auto"/>
        </w:rPr>
      </w:pPr>
      <w:r>
        <w:rPr>
          <w:rFonts w:ascii="Courier New" w:cs="Courier New" w:eastAsia="Courier New" w:hAnsi="Courier New"/>
          <w:sz w:val="17"/>
          <w:szCs w:val="17"/>
          <w:color w:val="auto"/>
        </w:rPr>
        <w:t>Pursuant to the terms of a restricted stock agreement, Mr. Guttman borrowed</w:t>
      </w:r>
    </w:p>
    <w:p>
      <w:pPr>
        <w:spacing w:after="0" w:line="238" w:lineRule="auto"/>
        <w:rPr>
          <w:sz w:val="20"/>
          <w:szCs w:val="20"/>
          <w:color w:val="auto"/>
        </w:rPr>
      </w:pPr>
      <w:r>
        <w:rPr>
          <w:rFonts w:ascii="Courier New" w:cs="Courier New" w:eastAsia="Courier New" w:hAnsi="Courier New"/>
          <w:sz w:val="17"/>
          <w:szCs w:val="17"/>
          <w:color w:val="auto"/>
        </w:rPr>
        <w:t>$210,000, $105,000 of which was repaid in 1992. The remaining balance of</w:t>
      </w:r>
    </w:p>
    <w:p>
      <w:pPr>
        <w:spacing w:after="0"/>
        <w:rPr>
          <w:sz w:val="20"/>
          <w:szCs w:val="20"/>
          <w:color w:val="auto"/>
        </w:rPr>
      </w:pPr>
      <w:r>
        <w:rPr>
          <w:rFonts w:ascii="Courier New" w:cs="Courier New" w:eastAsia="Courier New" w:hAnsi="Courier New"/>
          <w:sz w:val="17"/>
          <w:szCs w:val="17"/>
          <w:color w:val="auto"/>
        </w:rPr>
        <w:t>$105,000 is payable on April 15, 2001, with no interest. The note is secured</w:t>
      </w:r>
    </w:p>
    <w:p>
      <w:pPr>
        <w:spacing w:after="0"/>
        <w:rPr>
          <w:sz w:val="20"/>
          <w:szCs w:val="20"/>
          <w:color w:val="auto"/>
        </w:rPr>
      </w:pPr>
      <w:r>
        <w:rPr>
          <w:rFonts w:ascii="Courier New" w:cs="Courier New" w:eastAsia="Courier New" w:hAnsi="Courier New"/>
          <w:sz w:val="17"/>
          <w:szCs w:val="17"/>
          <w:color w:val="auto"/>
        </w:rPr>
        <w:t>by 18,975 Shares.</w:t>
      </w:r>
    </w:p>
    <w:p>
      <w:pPr>
        <w:spacing w:after="0" w:line="160" w:lineRule="exact"/>
        <w:rPr>
          <w:sz w:val="20"/>
          <w:szCs w:val="20"/>
          <w:color w:val="auto"/>
        </w:rPr>
      </w:pPr>
    </w:p>
    <w:p>
      <w:pPr>
        <w:ind w:right="2459" w:firstLine="199"/>
        <w:spacing w:after="0" w:line="247" w:lineRule="auto"/>
        <w:rPr>
          <w:sz w:val="20"/>
          <w:szCs w:val="20"/>
          <w:color w:val="auto"/>
        </w:rPr>
      </w:pPr>
      <w:r>
        <w:rPr>
          <w:rFonts w:ascii="Courier New" w:cs="Courier New" w:eastAsia="Courier New" w:hAnsi="Courier New"/>
          <w:sz w:val="17"/>
          <w:szCs w:val="17"/>
          <w:color w:val="auto"/>
        </w:rPr>
        <w:t>In 1991, the Trust accepted notes from Trust officers in connection with the 1991 Share Purchase Plan for $5,359,922. The current balance of the notes is $1,936,000. Up to 75% of the original principal balance of these loans may be forgiven by the Trust if certain conditions are met. In connection with the 1991 Share Purchase Plan, the Trust has loaned officers $909,000 with which to pay income taxes associated with the forgiveness. The interest rate on the share purchase loans and related tax loans is 9.39%. On January 1, 1994, the Trust lent Mr. Kaplan $1,000,000 to purchase 40,000 Shares. The current balance is $625,000 and he has been loaned $150,000 with which to pay income taxes associated with the forgiveness. Up to 75% of the original principal balance of the share purchase loan may be forgiven by the Trust if certain conditions are met. The interest rate on his share purchase loans and related tax loans is 6.24%.</w:t>
      </w:r>
    </w:p>
    <w:p>
      <w:pPr>
        <w:spacing w:after="0" w:line="101" w:lineRule="exact"/>
        <w:rPr>
          <w:sz w:val="20"/>
          <w:szCs w:val="20"/>
          <w:color w:val="auto"/>
        </w:rPr>
      </w:pPr>
    </w:p>
    <w:p>
      <w:pPr>
        <w:ind w:right="2559" w:firstLine="199"/>
        <w:spacing w:after="0" w:line="292" w:lineRule="auto"/>
        <w:rPr>
          <w:sz w:val="20"/>
          <w:szCs w:val="20"/>
          <w:color w:val="auto"/>
        </w:rPr>
      </w:pPr>
      <w:r>
        <w:rPr>
          <w:rFonts w:ascii="Courier New" w:cs="Courier New" w:eastAsia="Courier New" w:hAnsi="Courier New"/>
          <w:sz w:val="17"/>
          <w:szCs w:val="17"/>
          <w:color w:val="auto"/>
        </w:rPr>
        <w:t>The Trust has loaned Mr. Kaplan a total of $93,000 with which to pay income taxes associated with the vesting of Shares pursuant to his Service Awards. The interest rate on such loans is 6.36%.</w:t>
      </w:r>
    </w:p>
    <w:p>
      <w:pPr>
        <w:spacing w:after="0" w:line="62" w:lineRule="exact"/>
        <w:rPr>
          <w:sz w:val="20"/>
          <w:szCs w:val="20"/>
          <w:color w:val="auto"/>
        </w:rPr>
      </w:pPr>
    </w:p>
    <w:p>
      <w:pPr>
        <w:ind w:right="2459" w:firstLine="199"/>
        <w:spacing w:after="0" w:line="347" w:lineRule="auto"/>
        <w:rPr>
          <w:sz w:val="20"/>
          <w:szCs w:val="20"/>
          <w:color w:val="auto"/>
        </w:rPr>
      </w:pPr>
      <w:r>
        <w:rPr>
          <w:rFonts w:ascii="Courier New" w:cs="Courier New" w:eastAsia="Courier New" w:hAnsi="Courier New"/>
          <w:sz w:val="17"/>
          <w:szCs w:val="17"/>
          <w:color w:val="auto"/>
        </w:rPr>
        <w:t>The following table sets forth the indebtedness to the Trust of the officers as of March 25, 1999:</w:t>
      </w:r>
    </w:p>
    <w:p>
      <w:pPr>
        <w:spacing w:after="0" w:line="398"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19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40" w:type="dxa"/>
            <w:vAlign w:val="bottom"/>
          </w:tcPr>
          <w:p>
            <w:pPr>
              <w:ind w:left="840"/>
              <w:spacing w:after="0"/>
              <w:rPr>
                <w:sz w:val="20"/>
                <w:szCs w:val="20"/>
                <w:color w:val="auto"/>
              </w:rPr>
            </w:pPr>
            <w:r>
              <w:rPr>
                <w:rFonts w:ascii="Courier New" w:cs="Courier New" w:eastAsia="Courier New" w:hAnsi="Courier New"/>
                <w:sz w:val="17"/>
                <w:szCs w:val="17"/>
                <w:color w:val="auto"/>
              </w:rPr>
              <w:t>Maximum</w:t>
            </w:r>
          </w:p>
        </w:tc>
        <w:tc>
          <w:tcPr>
            <w:tcW w:w="9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Current</w:t>
            </w:r>
          </w:p>
        </w:tc>
        <w:tc>
          <w:tcPr>
            <w:tcW w:w="0" w:type="dxa"/>
            <w:vAlign w:val="bottom"/>
          </w:tcPr>
          <w:p>
            <w:pPr>
              <w:spacing w:after="0"/>
              <w:rPr>
                <w:sz w:val="1"/>
                <w:szCs w:val="1"/>
                <w:color w:val="auto"/>
              </w:rPr>
            </w:pPr>
          </w:p>
        </w:tc>
      </w:tr>
      <w:tr>
        <w:trPr>
          <w:trHeight w:val="191"/>
        </w:trPr>
        <w:tc>
          <w:tcPr>
            <w:tcW w:w="19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4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Outstanding</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2680" w:type="dxa"/>
            <w:vAlign w:val="bottom"/>
            <w:vMerge w:val="restart"/>
          </w:tcPr>
          <w:p>
            <w:pPr>
              <w:ind w:left="1540"/>
              <w:spacing w:after="0"/>
              <w:rPr>
                <w:sz w:val="20"/>
                <w:szCs w:val="20"/>
                <w:color w:val="auto"/>
              </w:rPr>
            </w:pPr>
            <w:r>
              <w:rPr>
                <w:rFonts w:ascii="Courier New" w:cs="Courier New" w:eastAsia="Courier New" w:hAnsi="Courier New"/>
                <w:sz w:val="17"/>
                <w:szCs w:val="17"/>
                <w:color w:val="auto"/>
              </w:rPr>
              <w:t>Title</w:t>
            </w:r>
          </w:p>
        </w:tc>
        <w:tc>
          <w:tcPr>
            <w:tcW w:w="184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during</w:t>
            </w:r>
          </w:p>
        </w:tc>
        <w:tc>
          <w:tcPr>
            <w:tcW w:w="9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Balance</w:t>
            </w:r>
          </w:p>
        </w:tc>
        <w:tc>
          <w:tcPr>
            <w:tcW w:w="0" w:type="dxa"/>
            <w:vAlign w:val="bottom"/>
          </w:tcPr>
          <w:p>
            <w:pPr>
              <w:spacing w:after="0"/>
              <w:rPr>
                <w:sz w:val="1"/>
                <w:szCs w:val="1"/>
                <w:color w:val="auto"/>
              </w:rPr>
            </w:pPr>
          </w:p>
        </w:tc>
      </w:tr>
      <w:tr>
        <w:trPr>
          <w:trHeight w:val="221"/>
        </w:trPr>
        <w:tc>
          <w:tcPr>
            <w:tcW w:w="194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18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1998</w:t>
            </w:r>
          </w:p>
        </w:tc>
        <w:tc>
          <w:tcPr>
            <w:tcW w:w="900" w:type="dxa"/>
            <w:vAlign w:val="bottom"/>
          </w:tcPr>
          <w:p>
            <w:pPr>
              <w:ind w:left="100"/>
              <w:spacing w:after="0"/>
              <w:rPr>
                <w:sz w:val="20"/>
                <w:szCs w:val="20"/>
                <w:color w:val="auto"/>
              </w:rPr>
            </w:pPr>
            <w:r>
              <w:rPr>
                <w:rFonts w:ascii="Courier New" w:cs="Courier New" w:eastAsia="Courier New" w:hAnsi="Courier New"/>
                <w:sz w:val="17"/>
                <w:szCs w:val="17"/>
                <w:color w:val="auto"/>
                <w:w w:val="95"/>
              </w:rPr>
              <w:t>of Notes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640" w:type="dxa"/>
            <w:vAlign w:val="bottom"/>
          </w:tcPr>
          <w:p>
            <w:pPr>
              <w:spacing w:after="0"/>
              <w:rPr>
                <w:sz w:val="20"/>
                <w:szCs w:val="20"/>
                <w:color w:val="auto"/>
              </w:rPr>
            </w:pPr>
            <w:r>
              <w:rPr>
                <w:rFonts w:ascii="Courier New" w:cs="Courier New" w:eastAsia="Courier New" w:hAnsi="Courier New"/>
                <w:sz w:val="17"/>
                <w:szCs w:val="17"/>
                <w:color w:val="auto"/>
                <w:w w:val="98"/>
              </w:rPr>
              <w:t>Steven J. Guttman.........</w:t>
            </w:r>
          </w:p>
        </w:tc>
        <w:tc>
          <w:tcPr>
            <w:tcW w:w="2780" w:type="dxa"/>
            <w:vAlign w:val="bottom"/>
          </w:tcPr>
          <w:p>
            <w:pPr>
              <w:ind w:left="40"/>
              <w:spacing w:after="0"/>
              <w:rPr>
                <w:sz w:val="20"/>
                <w:szCs w:val="20"/>
                <w:color w:val="auto"/>
              </w:rPr>
            </w:pPr>
            <w:r>
              <w:rPr>
                <w:rFonts w:ascii="Courier New" w:cs="Courier New" w:eastAsia="Courier New" w:hAnsi="Courier New"/>
                <w:sz w:val="17"/>
                <w:szCs w:val="17"/>
                <w:color w:val="auto"/>
              </w:rPr>
              <w:t>President and Chief</w:t>
            </w: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$2,717,000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$2,490,000</w:t>
            </w:r>
          </w:p>
        </w:tc>
        <w:tc>
          <w:tcPr>
            <w:tcW w:w="0" w:type="dxa"/>
            <w:vAlign w:val="bottom"/>
          </w:tcPr>
          <w:p>
            <w:pPr>
              <w:spacing w:after="0"/>
              <w:rPr>
                <w:sz w:val="1"/>
                <w:szCs w:val="1"/>
                <w:color w:val="auto"/>
              </w:rPr>
            </w:pPr>
          </w:p>
        </w:tc>
      </w:tr>
      <w:tr>
        <w:trPr>
          <w:trHeight w:val="191"/>
        </w:trPr>
        <w:tc>
          <w:tcPr>
            <w:tcW w:w="2640" w:type="dxa"/>
            <w:vAlign w:val="bottom"/>
            <w:vMerge w:val="restart"/>
          </w:tcPr>
          <w:p>
            <w:pPr>
              <w:spacing w:after="0"/>
              <w:rPr>
                <w:sz w:val="20"/>
                <w:szCs w:val="20"/>
                <w:color w:val="auto"/>
              </w:rPr>
            </w:pPr>
            <w:r>
              <w:rPr>
                <w:rFonts w:ascii="Courier New" w:cs="Courier New" w:eastAsia="Courier New" w:hAnsi="Courier New"/>
                <w:sz w:val="17"/>
                <w:szCs w:val="17"/>
                <w:color w:val="auto"/>
              </w:rPr>
              <w:t>Nathan P. Fishkin</w:t>
            </w:r>
          </w:p>
        </w:tc>
        <w:tc>
          <w:tcPr>
            <w:tcW w:w="27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Executive Officer</w:t>
            </w:r>
          </w:p>
        </w:tc>
        <w:tc>
          <w:tcPr>
            <w:tcW w:w="12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286,000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263,000</w:t>
            </w:r>
          </w:p>
        </w:tc>
        <w:tc>
          <w:tcPr>
            <w:tcW w:w="0" w:type="dxa"/>
            <w:vAlign w:val="bottom"/>
          </w:tcPr>
          <w:p>
            <w:pPr>
              <w:spacing w:after="0"/>
              <w:rPr>
                <w:sz w:val="1"/>
                <w:szCs w:val="1"/>
                <w:color w:val="auto"/>
              </w:rPr>
            </w:pPr>
          </w:p>
        </w:tc>
      </w:tr>
      <w:tr>
        <w:trPr>
          <w:trHeight w:val="191"/>
        </w:trPr>
        <w:tc>
          <w:tcPr>
            <w:tcW w:w="2640" w:type="dxa"/>
            <w:vAlign w:val="bottom"/>
            <w:vMerge w:val="continue"/>
          </w:tcPr>
          <w:p>
            <w:pPr>
              <w:ind w:left="1700"/>
              <w:spacing w:after="0" w:line="168" w:lineRule="exact"/>
              <w:rPr>
                <w:sz w:val="20"/>
                <w:szCs w:val="20"/>
                <w:color w:val="auto"/>
              </w:rPr>
            </w:pPr>
            <w:r>
              <w:rPr>
                <w:rFonts w:ascii="Courier New" w:cs="Courier New" w:eastAsia="Courier New" w:hAnsi="Courier New"/>
                <w:sz w:val="17"/>
                <w:szCs w:val="17"/>
                <w:color w:val="auto"/>
              </w:rPr>
              <w:t>.........</w:t>
            </w:r>
          </w:p>
        </w:tc>
        <w:tc>
          <w:tcPr>
            <w:tcW w:w="2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Senior Vice President,</w:t>
            </w:r>
          </w:p>
        </w:tc>
        <w:tc>
          <w:tcPr>
            <w:tcW w:w="12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40" w:type="dxa"/>
            <w:vAlign w:val="bottom"/>
            <w:vMerge w:val="restart"/>
          </w:tcPr>
          <w:p>
            <w:pPr>
              <w:spacing w:after="0"/>
              <w:rPr>
                <w:sz w:val="20"/>
                <w:szCs w:val="20"/>
                <w:color w:val="auto"/>
              </w:rPr>
            </w:pPr>
            <w:r>
              <w:rPr>
                <w:rFonts w:ascii="Courier New" w:cs="Courier New" w:eastAsia="Courier New" w:hAnsi="Courier New"/>
                <w:sz w:val="17"/>
                <w:szCs w:val="17"/>
                <w:color w:val="auto"/>
                <w:w w:val="98"/>
              </w:rPr>
              <w:t>Ron D. Kaplan.............</w:t>
            </w:r>
          </w:p>
        </w:tc>
        <w:tc>
          <w:tcPr>
            <w:tcW w:w="27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Acquisitions</w:t>
            </w:r>
          </w:p>
        </w:tc>
        <w:tc>
          <w:tcPr>
            <w:tcW w:w="12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2,010,000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1,973,000</w:t>
            </w:r>
          </w:p>
        </w:tc>
        <w:tc>
          <w:tcPr>
            <w:tcW w:w="0" w:type="dxa"/>
            <w:vAlign w:val="bottom"/>
          </w:tcPr>
          <w:p>
            <w:pPr>
              <w:spacing w:after="0"/>
              <w:rPr>
                <w:sz w:val="1"/>
                <w:szCs w:val="1"/>
                <w:color w:val="auto"/>
              </w:rPr>
            </w:pPr>
          </w:p>
        </w:tc>
      </w:tr>
      <w:tr>
        <w:trPr>
          <w:trHeight w:val="191"/>
        </w:trPr>
        <w:tc>
          <w:tcPr>
            <w:tcW w:w="2640" w:type="dxa"/>
            <w:vAlign w:val="bottom"/>
            <w:vMerge w:val="continue"/>
          </w:tcPr>
          <w:p>
            <w:pPr>
              <w:spacing w:after="0"/>
              <w:rPr>
                <w:sz w:val="16"/>
                <w:szCs w:val="16"/>
                <w:color w:val="auto"/>
              </w:rPr>
            </w:pPr>
          </w:p>
        </w:tc>
        <w:tc>
          <w:tcPr>
            <w:tcW w:w="2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Senior Vice President,</w:t>
            </w:r>
          </w:p>
        </w:tc>
        <w:tc>
          <w:tcPr>
            <w:tcW w:w="12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27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Capital Markets, Chief</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40" w:type="dxa"/>
            <w:vAlign w:val="bottom"/>
            <w:vMerge w:val="restart"/>
          </w:tcPr>
          <w:p>
            <w:pPr>
              <w:spacing w:after="0"/>
              <w:rPr>
                <w:sz w:val="20"/>
                <w:szCs w:val="20"/>
                <w:color w:val="auto"/>
              </w:rPr>
            </w:pPr>
            <w:r>
              <w:rPr>
                <w:rFonts w:ascii="Courier New" w:cs="Courier New" w:eastAsia="Courier New" w:hAnsi="Courier New"/>
                <w:sz w:val="17"/>
                <w:szCs w:val="17"/>
                <w:color w:val="auto"/>
                <w:w w:val="98"/>
              </w:rPr>
              <w:t>Cecily A. Ward............</w:t>
            </w:r>
          </w:p>
        </w:tc>
        <w:tc>
          <w:tcPr>
            <w:tcW w:w="27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Investment Officer</w:t>
            </w:r>
          </w:p>
        </w:tc>
        <w:tc>
          <w:tcPr>
            <w:tcW w:w="12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130,000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119,000</w:t>
            </w:r>
          </w:p>
        </w:tc>
        <w:tc>
          <w:tcPr>
            <w:tcW w:w="0" w:type="dxa"/>
            <w:vAlign w:val="bottom"/>
          </w:tcPr>
          <w:p>
            <w:pPr>
              <w:spacing w:after="0"/>
              <w:rPr>
                <w:sz w:val="1"/>
                <w:szCs w:val="1"/>
                <w:color w:val="auto"/>
              </w:rPr>
            </w:pPr>
          </w:p>
        </w:tc>
      </w:tr>
      <w:tr>
        <w:trPr>
          <w:trHeight w:val="280"/>
        </w:trPr>
        <w:tc>
          <w:tcPr>
            <w:tcW w:w="2640" w:type="dxa"/>
            <w:vAlign w:val="bottom"/>
            <w:vMerge w:val="continue"/>
          </w:tcPr>
          <w:p>
            <w:pPr>
              <w:spacing w:after="0"/>
              <w:rPr>
                <w:sz w:val="24"/>
                <w:szCs w:val="2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7"/>
                <w:szCs w:val="17"/>
                <w:color w:val="auto"/>
              </w:rPr>
              <w:t>Vice President, Controller</w:t>
            </w:r>
          </w:p>
        </w:tc>
        <w:tc>
          <w:tcPr>
            <w:tcW w:w="12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559" w:firstLine="199"/>
        <w:spacing w:after="0" w:line="250" w:lineRule="auto"/>
        <w:rPr>
          <w:sz w:val="20"/>
          <w:szCs w:val="20"/>
          <w:color w:val="auto"/>
        </w:rPr>
      </w:pPr>
      <w:r>
        <w:rPr>
          <w:rFonts w:ascii="Courier New" w:cs="Courier New" w:eastAsia="Courier New" w:hAnsi="Courier New"/>
          <w:sz w:val="17"/>
          <w:szCs w:val="17"/>
          <w:color w:val="auto"/>
        </w:rPr>
        <w:t>A retail women's clothing store in which Mr. Guttman had an ownership interest until February 1998 leases space at one of the Trust's properties. Terms of the lease were negotiated at arms length and reflected prevailing market conditions. Total payments in 1998 for rent, operating expenses and real estate taxes were $90,000. 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pacing w:after="0" w:line="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60" w:right="1440" w:bottom="1440" w:gutter="0" w:footer="0" w:header="0"/>
        </w:sectPr>
      </w:pPr>
    </w:p>
    <w:bookmarkStart w:id="19" w:name="page20"/>
    <w:bookmarkEnd w:id="19"/>
    <w:p>
      <w:pPr>
        <w:ind w:left="120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0" w:lineRule="exact"/>
        <w:rPr>
          <w:sz w:val="20"/>
          <w:szCs w:val="20"/>
          <w:color w:val="auto"/>
        </w:rPr>
      </w:pPr>
    </w:p>
    <w:p>
      <w:pPr>
        <w:ind w:right="2459" w:firstLine="199"/>
        <w:spacing w:after="0" w:line="267" w:lineRule="auto"/>
        <w:rPr>
          <w:sz w:val="20"/>
          <w:szCs w:val="20"/>
          <w:color w:val="auto"/>
        </w:rPr>
      </w:pPr>
      <w:r>
        <w:rPr>
          <w:rFonts w:ascii="Courier New" w:cs="Courier New" w:eastAsia="Courier New" w:hAnsi="Courier New"/>
          <w:sz w:val="16"/>
          <w:szCs w:val="16"/>
          <w:color w:val="auto"/>
        </w:rPr>
        <w:t>The Trustees and executive officers of the Trust are required by Section 16(a) of the Exchange Act to file reports of initial ownership and changes of ownership of the Trust's Shares with the Securities and Exchange Commission and with the New York Stock Exchange. To the Trust's best knowledge, based solely on review of copies of such reports furnished to the Trust and written representations that no other reports were required, the required filings of all such Trustees and executive officers were filed timely, except that Mr. Guttman and Mr. Kaplan each filed one report that was not filed on a timely basis; Mr. Guttman's report covered one transaction, and Mr. Kaplan's covered two transactions. Both reports were filed within 30 days after their due date.</w:t>
      </w:r>
    </w:p>
    <w:p>
      <w:pPr>
        <w:spacing w:after="0" w:line="8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PROPOSAL 2</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Proposal to Reorganize the Trust under the laws of the State of Maryland by</w:t>
      </w:r>
    </w:p>
    <w:p>
      <w:pPr>
        <w:spacing w:after="0" w:line="2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Amending and Restating the Trust's Declaration of Trust</w:t>
      </w:r>
    </w:p>
    <w:p>
      <w:pPr>
        <w:spacing w:after="0" w:line="160"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The Board of Trustees believes that it is in the best interests of Federal Realty and its shareholders to reorganize the Trust as a Maryland real estate investment trust ("REIT") by amending and restating the Trust's declaration of trust. To effect this reorganization (the "Reorganization"), the Board of Trustees is proposing to amend and restate Federal Realty's existing declaration of trust and bylaws in their entirety (the "Reorganization Proposal").</w:t>
      </w:r>
    </w:p>
    <w:p>
      <w:pPr>
        <w:spacing w:after="0" w:line="92" w:lineRule="exact"/>
        <w:rPr>
          <w:sz w:val="20"/>
          <w:szCs w:val="20"/>
          <w:color w:val="auto"/>
        </w:rPr>
      </w:pPr>
    </w:p>
    <w:p>
      <w:pPr>
        <w:ind w:right="2759" w:firstLine="199"/>
        <w:spacing w:after="0" w:line="265" w:lineRule="auto"/>
        <w:rPr>
          <w:sz w:val="20"/>
          <w:szCs w:val="20"/>
          <w:color w:val="auto"/>
        </w:rPr>
      </w:pPr>
      <w:r>
        <w:rPr>
          <w:rFonts w:ascii="Courier New" w:cs="Courier New" w:eastAsia="Courier New" w:hAnsi="Courier New"/>
          <w:sz w:val="17"/>
          <w:szCs w:val="17"/>
          <w:color w:val="auto"/>
        </w:rPr>
        <w:t>The form of Articles of Amendment and Restatement, including the form of amended and restated Declaration of Trust, and the form of amended and restated Bylaws are attached to this proxy statement as Appendices A and B. Please read these documents. They are the legal documents that will govern Federal Realty assuming the Reorganization is approved.</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the Reorganization</w:t>
      </w:r>
    </w:p>
    <w:p>
      <w:pPr>
        <w:spacing w:after="0" w:line="190" w:lineRule="exact"/>
        <w:rPr>
          <w:sz w:val="20"/>
          <w:szCs w:val="20"/>
          <w:color w:val="auto"/>
        </w:rPr>
      </w:pPr>
    </w:p>
    <w:p>
      <w:pPr>
        <w:ind w:right="2559" w:firstLine="199"/>
        <w:spacing w:after="0" w:line="256" w:lineRule="auto"/>
        <w:rPr>
          <w:sz w:val="20"/>
          <w:szCs w:val="20"/>
          <w:color w:val="auto"/>
        </w:rPr>
      </w:pPr>
      <w:r>
        <w:rPr>
          <w:rFonts w:ascii="Courier New" w:cs="Courier New" w:eastAsia="Courier New" w:hAnsi="Courier New"/>
          <w:sz w:val="17"/>
          <w:szCs w:val="17"/>
          <w:color w:val="auto"/>
        </w:rPr>
        <w:t>The Reorganization will become effective upon the later of (i) the time the Articles of Amendment and Restatement are filed with and recorded by the District of Columbia Recorder of Deeds and (ii) the time the Restated Declaration of Trust is filed with and accepted for record by the State Department of Assessments and Taxation (the "SDAT") of Maryland (the "Effective Time"). These filings are expected to be made as soon as practicable after the Annual Meeting. At the Effective Time:</w:t>
      </w:r>
    </w:p>
    <w:p>
      <w:pPr>
        <w:spacing w:after="0" w:line="92" w:lineRule="exact"/>
        <w:rPr>
          <w:sz w:val="20"/>
          <w:szCs w:val="20"/>
          <w:color w:val="auto"/>
        </w:rPr>
      </w:pPr>
    </w:p>
    <w:p>
      <w:pPr>
        <w:ind w:left="500" w:right="2559" w:hanging="299"/>
        <w:spacing w:after="0" w:line="260" w:lineRule="auto"/>
        <w:tabs>
          <w:tab w:leader="none" w:pos="5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declaration of trust of Federal Realty, as amended and in effect, including the Statement of Designation relating to the Trust's Series A Cumulative Redeemable Preferred Shares (the "Existing Declaration of Trust"), will be further amended and restated in its entirety to read as set forth in the Declaration of Trust attached hereto as Appendix A (the "Restated Declaration of Trust");</w:t>
      </w:r>
    </w:p>
    <w:p>
      <w:pPr>
        <w:spacing w:after="0" w:line="87" w:lineRule="exact"/>
        <w:rPr>
          <w:sz w:val="20"/>
          <w:szCs w:val="20"/>
          <w:color w:val="auto"/>
        </w:rPr>
      </w:pPr>
    </w:p>
    <w:p>
      <w:pPr>
        <w:ind w:left="500" w:right="2559" w:hanging="299"/>
        <w:spacing w:after="0" w:line="274" w:lineRule="auto"/>
        <w:tabs>
          <w:tab w:leader="none" w:pos="5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bylaws of Federal Realty, as amended and in effect (the "Existing Bylaws"), will be further amended and restated in their entirety to read as set forth in the Bylaws attached hereto as Appendix B (the "Restated Bylaws");</w:t>
      </w:r>
    </w:p>
    <w:p>
      <w:pPr>
        <w:spacing w:after="0" w:line="77" w:lineRule="exact"/>
        <w:rPr>
          <w:sz w:val="20"/>
          <w:szCs w:val="20"/>
          <w:color w:val="auto"/>
        </w:rPr>
      </w:pPr>
    </w:p>
    <w:p>
      <w:pPr>
        <w:ind w:left="500" w:right="2659" w:hanging="299"/>
        <w:spacing w:after="0" w:line="253" w:lineRule="auto"/>
        <w:tabs>
          <w:tab w:leader="none" w:pos="5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Federal Realty will cease to be governed by the laws of the District of Columbia and shall thereupon be subject to Title 8 of the Corporations and Associations Article of the Annotated Code of Maryland, as amended ("Title 8"), a general statute governing Maryland trust REITs and dealing with a wide variety of matters, including powers of REITs, rights and liabilities of shareholders, certain powers of trustees, and certain extraordinary actions, such as mergers and declaration of trust amendments;</w:t>
      </w:r>
    </w:p>
    <w:p>
      <w:pPr>
        <w:spacing w:after="0" w:line="97" w:lineRule="exact"/>
        <w:rPr>
          <w:sz w:val="20"/>
          <w:szCs w:val="20"/>
          <w:color w:val="auto"/>
        </w:rPr>
      </w:pPr>
    </w:p>
    <w:p>
      <w:pPr>
        <w:ind w:left="500" w:right="2559" w:hanging="299"/>
        <w:spacing w:after="0" w:line="279" w:lineRule="auto"/>
        <w:tabs>
          <w:tab w:leader="none" w:pos="5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Common Shares of beneficial interest, no par value, of Federal Realty which were issued and outstanding pursuant to the Existing Declaration of Trust immediately prior to the Effective Time ("Common Shares") will be reclassified and continue to exist as Common Shares of beneficial interest, $0.01 par value per share, of Federal Realty issued pursuant to the Restated Declaration of Trust ("New Common Shares");</w:t>
      </w:r>
    </w:p>
    <w:p>
      <w:pPr>
        <w:spacing w:after="0" w:line="75" w:lineRule="exact"/>
        <w:rPr>
          <w:sz w:val="20"/>
          <w:szCs w:val="20"/>
          <w:color w:val="auto"/>
        </w:rPr>
      </w:pPr>
    </w:p>
    <w:p>
      <w:pPr>
        <w:ind w:left="500" w:right="2759" w:hanging="299"/>
        <w:spacing w:after="0" w:line="253" w:lineRule="auto"/>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Series A Cumulative Redeemable Preferred Shares of beneficial interest, no par value, of Federal Realty which were issued and outstanding pursuant to the Existing Declaration of Trust immediately prior to the Effective Time ("Series A Preferred Shares") will be reclassified and continue to exist as Series A Cumulative Redeemable Preferred Shares of beneficial interest, $0.01 par value per share, of Federal Realty issued pursuant to the Restated Declaration of Trust ("New Series A Preferred Shares");</w:t>
      </w:r>
    </w:p>
    <w:p>
      <w:pPr>
        <w:spacing w:after="0" w:line="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60" w:right="1440" w:bottom="312" w:gutter="0" w:footer="0" w:header="0"/>
        </w:sectPr>
      </w:pPr>
    </w:p>
    <w:bookmarkStart w:id="20" w:name="page21"/>
    <w:bookmarkEnd w:id="20"/>
    <w:p>
      <w:pPr>
        <w:ind w:left="500" w:right="2759" w:hanging="299"/>
        <w:spacing w:after="0" w:line="265" w:lineRule="auto"/>
        <w:tabs>
          <w:tab w:leader="none" w:pos="5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 certificates which immediately prior to the Effective Time represented Common Shares or Series A Preferred Shares, without any action on the part of the holder thereof, will thereafter be deemed to represent a like number of New Common Shares or New Series A Preferred Shares, as the case may be; and</w:t>
      </w:r>
    </w:p>
    <w:p>
      <w:pPr>
        <w:spacing w:after="0" w:line="84" w:lineRule="exact"/>
        <w:rPr>
          <w:sz w:val="20"/>
          <w:szCs w:val="20"/>
          <w:color w:val="auto"/>
        </w:rPr>
      </w:pPr>
    </w:p>
    <w:p>
      <w:pPr>
        <w:ind w:left="500" w:right="2559" w:hanging="299"/>
        <w:spacing w:after="0" w:line="274"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options, rights, or warrants to purchase or subscribe for Common Shares, without any action on the part of the holder thereof, will thereafter entitle the holder to purchase or subscribe for a like number of New Common Shares on the same terms.</w:t>
      </w:r>
    </w:p>
    <w:p>
      <w:pPr>
        <w:spacing w:after="0" w:line="77" w:lineRule="exact"/>
        <w:rPr>
          <w:sz w:val="20"/>
          <w:szCs w:val="20"/>
          <w:color w:val="auto"/>
        </w:rPr>
      </w:pPr>
    </w:p>
    <w:p>
      <w:pPr>
        <w:ind w:right="2659" w:firstLine="199"/>
        <w:spacing w:after="0" w:line="292" w:lineRule="auto"/>
        <w:rPr>
          <w:sz w:val="20"/>
          <w:szCs w:val="20"/>
          <w:color w:val="auto"/>
        </w:rPr>
      </w:pPr>
      <w:r>
        <w:rPr>
          <w:rFonts w:ascii="Courier New" w:cs="Courier New" w:eastAsia="Courier New" w:hAnsi="Courier New"/>
          <w:sz w:val="17"/>
          <w:szCs w:val="17"/>
          <w:color w:val="auto"/>
        </w:rPr>
        <w:t>The Reorganization will not result in any change in Federal Realty's name, business, trustees, management, fiscal year, assets or liabilities, or the location of its principal offices.</w:t>
      </w:r>
    </w:p>
    <w:p>
      <w:pPr>
        <w:spacing w:after="0" w:line="62" w:lineRule="exact"/>
        <w:rPr>
          <w:sz w:val="20"/>
          <w:szCs w:val="20"/>
          <w:color w:val="auto"/>
        </w:rPr>
      </w:pPr>
    </w:p>
    <w:p>
      <w:pPr>
        <w:ind w:right="2459" w:firstLine="199"/>
        <w:spacing w:after="0" w:line="247" w:lineRule="auto"/>
        <w:rPr>
          <w:sz w:val="20"/>
          <w:szCs w:val="20"/>
          <w:color w:val="auto"/>
        </w:rPr>
      </w:pPr>
      <w:r>
        <w:rPr>
          <w:rFonts w:ascii="Courier New" w:cs="Courier New" w:eastAsia="Courier New" w:hAnsi="Courier New"/>
          <w:sz w:val="17"/>
          <w:szCs w:val="17"/>
          <w:color w:val="auto"/>
        </w:rPr>
        <w:t>Each New Common Share or New Series A Preferred Share outstanding after the Effective Time of the Reorganization will entitle the holder thereof to voting rights (except as provided below), dividend rights and liquidation rights equivalent to the rights of a holder of a Common Share or Series A Preferred Share, respectively, prior to the Effective Time. The Common Shares and Series A Preferred Shares are listed for trading on the New York Stock Exchange under the symbols "FRT" and "FRTpa," respectively. After the Reorganization, the New Common Shares and New Series A Preferred Shares will continue to be listed on the NYSE under the same trading symbols. The NYSE has advised the Trust that it will consider delivery of existing certificates representing Common Shares or Series A Preferred Shares as constituting "good delivery" of New Common Shares or New Series A Preferred Shares in transactions subsequent to the Effective Time.</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Reorganization</w:t>
      </w:r>
    </w:p>
    <w:p>
      <w:pPr>
        <w:spacing w:after="0" w:line="190" w:lineRule="exact"/>
        <w:rPr>
          <w:sz w:val="20"/>
          <w:szCs w:val="20"/>
          <w:color w:val="auto"/>
        </w:rPr>
      </w:pPr>
    </w:p>
    <w:p>
      <w:pPr>
        <w:ind w:right="2459" w:firstLine="199"/>
        <w:spacing w:after="0" w:line="247" w:lineRule="auto"/>
        <w:rPr>
          <w:sz w:val="20"/>
          <w:szCs w:val="20"/>
          <w:color w:val="auto"/>
        </w:rPr>
      </w:pPr>
      <w:r>
        <w:rPr>
          <w:rFonts w:ascii="Courier New" w:cs="Courier New" w:eastAsia="Courier New" w:hAnsi="Courier New"/>
          <w:sz w:val="17"/>
          <w:szCs w:val="17"/>
          <w:color w:val="auto"/>
        </w:rPr>
        <w:t>The Reorganization is intended to permit Federal Realty to avail itself of Title 8, the Maryland real estate investment trust statute. Title 8 contains provisions conducive to the operations of a REIT. Federal Realty currently is a common law trust under District of Columbia law and is not generally governed by a statutory framework. The District of Columbia common law is not well developed and very few shareholder rights are addressed. As a result, the rights of the Federal Realty's shareholders are governed primarily by Federal Realty's Declaration of Trust and Bylaws. Many REITs are organized under the laws of the State of Maryland and the Board of Trustees believes that this fact has resulted in the development of a more comprehensive and clearer body of law and practice than is available to common law trusts formed under District of Columbia law. In addition, Maryland law limits the liability of shareholders and trustees of REITs.</w:t>
      </w:r>
    </w:p>
    <w:p>
      <w:pPr>
        <w:spacing w:after="0" w:line="101" w:lineRule="exact"/>
        <w:rPr>
          <w:sz w:val="20"/>
          <w:szCs w:val="20"/>
          <w:color w:val="auto"/>
        </w:rPr>
      </w:pPr>
    </w:p>
    <w:p>
      <w:pPr>
        <w:ind w:right="2459" w:firstLine="199"/>
        <w:spacing w:after="0" w:line="245" w:lineRule="auto"/>
        <w:rPr>
          <w:sz w:val="20"/>
          <w:szCs w:val="20"/>
          <w:color w:val="auto"/>
        </w:rPr>
      </w:pPr>
      <w:r>
        <w:rPr>
          <w:rFonts w:ascii="Courier New" w:cs="Courier New" w:eastAsia="Courier New" w:hAnsi="Courier New"/>
          <w:sz w:val="17"/>
          <w:szCs w:val="17"/>
          <w:color w:val="auto"/>
        </w:rPr>
        <w:t>At the time of Federal Realty's organization in 1962, no state had statutory provisions pertaining to the organization or operation of a real estate investment trust and Federal Realty was headquartered in the District of Columbia. Since that time, Federal Realty has relocated its headquarters to Maryland, and Maryland has adopted and continues to improve statutory provisions pertaining to the organization and operation of real estate investment trusts. The Board of Trustees believes that Maryland law, including Title 8, will provide specific rights and powers in connection with the organization and operation of Federal Realty and will make clear, rights and powers which are not expressly granted to trusts under District of Columbia law. In addition, Maryland trust REITs are not subject to annual franchise or similar taxes imposed by many other states on corporate or trust entities. Currently approximately 117 publicly owned real estate investment trusts are believed to be organized under Maryland law. The Board of Trustees believes that reorganization as a Maryland trust REIT should provide greater predictability with respect to Federal Realty's affairs.</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Possible Disadvantages of the Reorganization</w:t>
      </w:r>
    </w:p>
    <w:p>
      <w:pPr>
        <w:spacing w:after="0" w:line="190"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Despite the belief of the Board of Trustees that the Reorganization is in the best interests of the Trust and its shareholders, it should be noted that District of Columbia and Maryland law differ in certain respects. Maryland law may not afford shareholders the same rights as District of Columbia law. For a comparison of shareholders' rights and the powers of management under Maryland and District of Columbia law, see "--Comparison of Rights of Shareholders Before and After the Reorganization."</w:t>
      </w:r>
    </w:p>
    <w:p>
      <w:pPr>
        <w:spacing w:after="0" w:line="28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60"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Comparison of Rights of Shareholders Before and After the Reorganization</w:t>
      </w:r>
    </w:p>
    <w:p>
      <w:pPr>
        <w:spacing w:after="0" w:line="190" w:lineRule="exact"/>
        <w:rPr>
          <w:sz w:val="20"/>
          <w:szCs w:val="20"/>
          <w:color w:val="auto"/>
        </w:rPr>
      </w:pPr>
    </w:p>
    <w:p>
      <w:pPr>
        <w:ind w:right="2859" w:firstLine="199"/>
        <w:spacing w:after="0" w:line="265" w:lineRule="auto"/>
        <w:rPr>
          <w:sz w:val="20"/>
          <w:szCs w:val="20"/>
          <w:color w:val="auto"/>
        </w:rPr>
      </w:pPr>
      <w:r>
        <w:rPr>
          <w:rFonts w:ascii="Courier New" w:cs="Courier New" w:eastAsia="Courier New" w:hAnsi="Courier New"/>
          <w:sz w:val="17"/>
          <w:szCs w:val="17"/>
          <w:color w:val="auto"/>
        </w:rPr>
        <w:t>Federal Realty is organized as a business trust under the laws of the District of Columbia and, if the Reorganization is approved, will be reorganized as a trust REIT under the laws of the State of Maryland. As a District of Columbia business trust, Federal Realty is not governed by any statutory framework but is subject to the following:</w:t>
      </w:r>
    </w:p>
    <w:p>
      <w:pPr>
        <w:spacing w:after="0" w:line="84" w:lineRule="exact"/>
        <w:rPr>
          <w:sz w:val="20"/>
          <w:szCs w:val="20"/>
          <w:color w:val="auto"/>
        </w:rPr>
      </w:pPr>
    </w:p>
    <w:p>
      <w:pPr>
        <w:ind w:left="500" w:right="3059" w:hanging="299"/>
        <w:spacing w:after="0" w:line="347" w:lineRule="auto"/>
        <w:tabs>
          <w:tab w:leader="none" w:pos="5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common law of the District of Columbia with respect to business trusts, which is not well developed;</w:t>
      </w:r>
    </w:p>
    <w:p>
      <w:pPr>
        <w:spacing w:after="0" w:line="17" w:lineRule="exact"/>
        <w:rPr>
          <w:sz w:val="20"/>
          <w:szCs w:val="20"/>
          <w:color w:val="auto"/>
        </w:rPr>
      </w:pPr>
    </w:p>
    <w:p>
      <w:pPr>
        <w:ind w:left="500" w:hanging="299"/>
        <w:spacing w:after="0"/>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Existing Declaration of Trust; and</w:t>
      </w:r>
    </w:p>
    <w:p>
      <w:pPr>
        <w:spacing w:after="0" w:line="189" w:lineRule="exact"/>
        <w:rPr>
          <w:rFonts w:ascii="Courier New" w:cs="Courier New" w:eastAsia="Courier New" w:hAnsi="Courier New"/>
          <w:sz w:val="17"/>
          <w:szCs w:val="17"/>
          <w:color w:val="auto"/>
        </w:rPr>
      </w:pPr>
    </w:p>
    <w:p>
      <w:pPr>
        <w:ind w:left="500" w:hanging="299"/>
        <w:spacing w:after="0"/>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Existing Bylaws.</w:t>
      </w:r>
    </w:p>
    <w:p>
      <w:pPr>
        <w:spacing w:after="0" w:line="381" w:lineRule="exact"/>
        <w:rPr>
          <w:sz w:val="20"/>
          <w:szCs w:val="20"/>
          <w:color w:val="auto"/>
        </w:rPr>
      </w:pPr>
    </w:p>
    <w:p>
      <w:pPr>
        <w:ind w:right="2959"/>
        <w:spacing w:after="0" w:line="347" w:lineRule="auto"/>
        <w:rPr>
          <w:sz w:val="20"/>
          <w:szCs w:val="20"/>
          <w:color w:val="auto"/>
        </w:rPr>
      </w:pPr>
      <w:r>
        <w:rPr>
          <w:rFonts w:ascii="Courier New" w:cs="Courier New" w:eastAsia="Courier New" w:hAnsi="Courier New"/>
          <w:sz w:val="17"/>
          <w:szCs w:val="17"/>
          <w:color w:val="auto"/>
        </w:rPr>
        <w:t>As a Maryland trust REIT, after the Reorganization Federal Realty will be governed by:</w:t>
      </w:r>
    </w:p>
    <w:p>
      <w:pPr>
        <w:spacing w:after="0" w:line="17" w:lineRule="exact"/>
        <w:rPr>
          <w:sz w:val="20"/>
          <w:szCs w:val="20"/>
          <w:color w:val="auto"/>
        </w:rPr>
      </w:pPr>
    </w:p>
    <w:p>
      <w:pPr>
        <w:ind w:left="500" w:hanging="299"/>
        <w:spacing w:after="0"/>
        <w:tabs>
          <w:tab w:leader="none" w:pos="5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8;</w:t>
      </w:r>
    </w:p>
    <w:p>
      <w:pPr>
        <w:spacing w:after="0" w:line="190" w:lineRule="exact"/>
        <w:rPr>
          <w:sz w:val="20"/>
          <w:szCs w:val="20"/>
          <w:color w:val="auto"/>
        </w:rPr>
      </w:pPr>
    </w:p>
    <w:p>
      <w:pPr>
        <w:ind w:left="500" w:hanging="299"/>
        <w:spacing w:after="0"/>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Restated Declaration of Trust; and</w:t>
      </w:r>
    </w:p>
    <w:p>
      <w:pPr>
        <w:spacing w:after="0" w:line="189" w:lineRule="exact"/>
        <w:rPr>
          <w:rFonts w:ascii="Courier New" w:cs="Courier New" w:eastAsia="Courier New" w:hAnsi="Courier New"/>
          <w:sz w:val="17"/>
          <w:szCs w:val="17"/>
          <w:color w:val="auto"/>
        </w:rPr>
      </w:pPr>
    </w:p>
    <w:p>
      <w:pPr>
        <w:ind w:left="500" w:hanging="299"/>
        <w:spacing w:after="0"/>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Restated Bylaws.</w:t>
      </w:r>
    </w:p>
    <w:p>
      <w:pPr>
        <w:spacing w:after="0" w:line="190" w:lineRule="exact"/>
        <w:rPr>
          <w:sz w:val="20"/>
          <w:szCs w:val="20"/>
          <w:color w:val="auto"/>
        </w:rPr>
      </w:pPr>
    </w:p>
    <w:p>
      <w:pPr>
        <w:ind w:right="2459" w:firstLine="199"/>
        <w:spacing w:after="0" w:line="249" w:lineRule="auto"/>
        <w:rPr>
          <w:sz w:val="20"/>
          <w:szCs w:val="20"/>
          <w:color w:val="auto"/>
        </w:rPr>
      </w:pPr>
      <w:r>
        <w:rPr>
          <w:rFonts w:ascii="Courier New" w:cs="Courier New" w:eastAsia="Courier New" w:hAnsi="Courier New"/>
          <w:sz w:val="17"/>
          <w:szCs w:val="17"/>
          <w:color w:val="auto"/>
        </w:rPr>
        <w:t>The material differences between the applicable District of Columbia law and Title 8 and among these various documents are summarized below. The comparison of certain rights of the shareholders of the Trust before and after the Reorganization set forth below does not purport to be complete and is subject to and qualified in its entirety by reference to the common law of the District of Columbia, Title 8, the Restated Declaration of Trust and the Restated Bylaws (which are attached as Appendices A and B to this proxy statement) and also to the Existing Declaration of Trust and the Existing Bylaws, copies of which may be obtained from the Trust by writing to the Trust at Federal Realty Investment Trust, 1626 E. Jefferson Street, Rockville, MD 20852-4041, Attention: Corporate Secretary.</w:t>
      </w:r>
    </w:p>
    <w:p>
      <w:pPr>
        <w:spacing w:after="0" w:line="97" w:lineRule="exact"/>
        <w:rPr>
          <w:sz w:val="20"/>
          <w:szCs w:val="20"/>
          <w:color w:val="auto"/>
        </w:rPr>
      </w:pPr>
    </w:p>
    <w:p>
      <w:pPr>
        <w:ind w:right="2559" w:firstLine="199"/>
        <w:spacing w:after="0" w:line="274" w:lineRule="auto"/>
        <w:rPr>
          <w:sz w:val="20"/>
          <w:szCs w:val="20"/>
          <w:color w:val="auto"/>
        </w:rPr>
      </w:pPr>
      <w:r>
        <w:rPr>
          <w:rFonts w:ascii="Courier New" w:cs="Courier New" w:eastAsia="Courier New" w:hAnsi="Courier New"/>
          <w:sz w:val="17"/>
          <w:szCs w:val="17"/>
          <w:color w:val="auto"/>
        </w:rPr>
        <w:t>The comparison below describes District of Columbia common law, if any, and provisions of the Existing Declaration of Trust and the Existing Bylaws, with respect to the rights discussed, and compares them to Title 8, the Restated Declaration of Trust and the Restated Bylaws.</w:t>
      </w:r>
    </w:p>
    <w:p>
      <w:pPr>
        <w:spacing w:after="0" w:line="200" w:lineRule="exact"/>
        <w:rPr>
          <w:sz w:val="20"/>
          <w:szCs w:val="20"/>
          <w:color w:val="auto"/>
        </w:rPr>
      </w:pPr>
    </w:p>
    <w:p>
      <w:pPr>
        <w:spacing w:after="0" w:line="25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60" w:right="1440" w:bottom="1440" w:gutter="0" w:footer="0" w:header="0"/>
        </w:sectPr>
      </w:pPr>
    </w:p>
    <w:bookmarkStart w:id="22" w:name="page23"/>
    <w:bookmarkEnd w:id="22"/>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000"/>
        <w:spacing w:after="0"/>
        <w:tabs>
          <w:tab w:leader="none" w:pos="64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0"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Authorized Shares of Beneficial Interest</w:t>
      </w:r>
    </w:p>
    <w:p>
      <w:pPr>
        <w:sectPr>
          <w:pgSz w:w="11900" w:h="16838" w:orient="portrait"/>
          <w:cols w:equalWidth="0" w:num="1">
            <w:col w:w="10219"/>
          </w:cols>
          <w:pgMar w:left="240" w:top="1042" w:right="1440" w:bottom="1440" w:gutter="0" w:footer="0" w:header="0"/>
        </w:sectPr>
      </w:pPr>
    </w:p>
    <w:p>
      <w:pPr>
        <w:spacing w:after="0" w:line="190" w:lineRule="exact"/>
        <w:rPr>
          <w:sz w:val="20"/>
          <w:szCs w:val="20"/>
          <w:color w:val="auto"/>
        </w:rPr>
      </w:pPr>
    </w:p>
    <w:p>
      <w:pPr>
        <w:spacing w:after="0" w:line="275" w:lineRule="auto"/>
        <w:rPr>
          <w:sz w:val="20"/>
          <w:szCs w:val="20"/>
          <w:color w:val="auto"/>
        </w:rPr>
      </w:pPr>
      <w:r>
        <w:rPr>
          <w:rFonts w:ascii="Courier New" w:cs="Courier New" w:eastAsia="Courier New" w:hAnsi="Courier New"/>
          <w:sz w:val="16"/>
          <w:szCs w:val="16"/>
          <w:color w:val="auto"/>
        </w:rPr>
        <w:t>The Existing Declaration of Trust authorizes the Trust to issue an unlimited number of common shares and a limited or unlimited number of shares other than common shares upon such terms and conditions and pursuant to such agreements as the Trustees may determine.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159"/>
        <w:spacing w:after="0" w:line="267" w:lineRule="auto"/>
        <w:rPr>
          <w:sz w:val="20"/>
          <w:szCs w:val="20"/>
          <w:color w:val="auto"/>
        </w:rPr>
      </w:pPr>
      <w:r>
        <w:rPr>
          <w:rFonts w:ascii="Courier New" w:cs="Courier New" w:eastAsia="Courier New" w:hAnsi="Courier New"/>
          <w:sz w:val="16"/>
          <w:szCs w:val="16"/>
          <w:color w:val="auto"/>
        </w:rPr>
        <w:t>The Restated Declaration of Trust authorizes the Trust to issue up to 115,000,000 shares, of which 100,000,000 have been designated common shares and 15,000,000 have been designated preferred shares. The Board of Trustees is authorized to increase or decrease the authorized aggregate number of Shares and the number of authorized shares in any class or series without shareholder approval.</w:t>
      </w:r>
    </w:p>
    <w:p>
      <w:pPr>
        <w:spacing w:after="0" w:line="87" w:lineRule="exact"/>
        <w:rPr>
          <w:sz w:val="20"/>
          <w:szCs w:val="20"/>
          <w:color w:val="auto"/>
        </w:rPr>
      </w:pPr>
    </w:p>
    <w:p>
      <w:pPr>
        <w:sectPr>
          <w:pgSz w:w="11900" w:h="16838" w:orient="portrait"/>
          <w:cols w:equalWidth="0" w:num="2">
            <w:col w:w="4180" w:space="500"/>
            <w:col w:w="5539"/>
          </w:cols>
          <w:pgMar w:left="240" w:top="1042"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6"/>
          <w:szCs w:val="16"/>
          <w:color w:val="auto"/>
        </w:rPr>
        <w:t>Shareholder Voting Rights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ind w:right="300"/>
        <w:spacing w:after="0" w:line="296" w:lineRule="auto"/>
        <w:rPr>
          <w:sz w:val="20"/>
          <w:szCs w:val="20"/>
          <w:color w:val="auto"/>
        </w:rPr>
      </w:pPr>
      <w:r>
        <w:rPr>
          <w:rFonts w:ascii="Courier New" w:cs="Courier New" w:eastAsia="Courier New" w:hAnsi="Courier New"/>
          <w:sz w:val="16"/>
          <w:szCs w:val="16"/>
          <w:color w:val="auto"/>
        </w:rPr>
        <w:t>Under the Existing Declaration of Trust, the affirmative vote of the holders of two-thirds of the shares entitled to vote on the matter is required for:</w:t>
      </w:r>
    </w:p>
    <w:p>
      <w:pPr>
        <w:spacing w:after="0" w:line="62" w:lineRule="exact"/>
        <w:rPr>
          <w:sz w:val="20"/>
          <w:szCs w:val="20"/>
          <w:color w:val="auto"/>
        </w:rPr>
      </w:pPr>
    </w:p>
    <w:p>
      <w:pPr>
        <w:ind w:left="400" w:hanging="299"/>
        <w:spacing w:after="0"/>
        <w:tabs>
          <w:tab w:leader="none" w:pos="4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removal of a trustee,</w:t>
      </w:r>
    </w:p>
    <w:p>
      <w:pPr>
        <w:spacing w:after="0" w:line="29" w:lineRule="exact"/>
        <w:rPr>
          <w:sz w:val="20"/>
          <w:szCs w:val="20"/>
          <w:color w:val="auto"/>
        </w:rPr>
      </w:pPr>
    </w:p>
    <w:p>
      <w:pPr>
        <w:ind w:left="300" w:hanging="199"/>
        <w:spacing w:after="0" w:line="238" w:lineRule="auto"/>
        <w:tabs>
          <w:tab w:leader="none" w:pos="399"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amendment to the Existing Declaration of Trust with Board of Trustees approval or at a meeting called for such purpose,</w:t>
      </w:r>
    </w:p>
    <w:p>
      <w:pPr>
        <w:ind w:left="400" w:hanging="299"/>
        <w:spacing w:after="0"/>
        <w:tabs>
          <w:tab w:leader="none" w:pos="4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termination of the Trust,</w:t>
      </w:r>
    </w:p>
    <w:p>
      <w:pPr>
        <w:ind w:left="300" w:right="100" w:hanging="199"/>
        <w:spacing w:after="0" w:line="238" w:lineRule="auto"/>
        <w:tabs>
          <w:tab w:leader="none" w:pos="399"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merger or consolidation of the Trust, or</w:t>
      </w:r>
    </w:p>
    <w:p>
      <w:pPr>
        <w:spacing w:after="0" w:line="1" w:lineRule="exact"/>
        <w:rPr>
          <w:sz w:val="20"/>
          <w:szCs w:val="20"/>
          <w:color w:val="auto"/>
        </w:rPr>
      </w:pPr>
    </w:p>
    <w:p>
      <w:pPr>
        <w:ind w:left="300" w:right="200" w:hanging="199"/>
        <w:spacing w:after="0" w:line="344" w:lineRule="auto"/>
        <w:tabs>
          <w:tab w:leader="none" w:pos="39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disposition of substantially all of the property of the Trust.</w:t>
      </w:r>
    </w:p>
    <w:p>
      <w:pPr>
        <w:spacing w:after="0" w:line="24" w:lineRule="exact"/>
        <w:rPr>
          <w:sz w:val="20"/>
          <w:szCs w:val="20"/>
          <w:color w:val="auto"/>
        </w:rPr>
      </w:pPr>
    </w:p>
    <w:p>
      <w:pPr>
        <w:ind w:right="200"/>
        <w:spacing w:after="0" w:line="296" w:lineRule="auto"/>
        <w:rPr>
          <w:sz w:val="20"/>
          <w:szCs w:val="20"/>
          <w:color w:val="auto"/>
        </w:rPr>
      </w:pPr>
      <w:r>
        <w:rPr>
          <w:rFonts w:ascii="Courier New" w:cs="Courier New" w:eastAsia="Courier New" w:hAnsi="Courier New"/>
          <w:sz w:val="16"/>
          <w:szCs w:val="16"/>
          <w:color w:val="auto"/>
        </w:rPr>
        <w:t>An amendment to the Existing Declaration of Trust without board approval requires the affirmative vote of holders of 80% of the shares entitled to vote on the matter.</w:t>
      </w:r>
    </w:p>
    <w:p>
      <w:pPr>
        <w:spacing w:after="0" w:line="62" w:lineRule="exact"/>
        <w:rPr>
          <w:sz w:val="20"/>
          <w:szCs w:val="20"/>
          <w:color w:val="auto"/>
        </w:rPr>
      </w:pPr>
    </w:p>
    <w:p>
      <w:pPr>
        <w:ind w:right="300"/>
        <w:spacing w:after="0" w:line="253" w:lineRule="auto"/>
        <w:rPr>
          <w:sz w:val="20"/>
          <w:szCs w:val="20"/>
          <w:color w:val="auto"/>
        </w:rPr>
      </w:pPr>
      <w:r>
        <w:rPr>
          <w:rFonts w:ascii="Courier New" w:cs="Courier New" w:eastAsia="Courier New" w:hAnsi="Courier New"/>
          <w:sz w:val="17"/>
          <w:szCs w:val="17"/>
          <w:color w:val="auto"/>
        </w:rPr>
        <w:t>The election of trustees requires the affirmative vote of holders of a majority of the Shares present in person or by proxy at an annual meeting duly called and at which a quorum is present. The Existing Declaration of Trust does not provide for cumulative voting in the election of trustees.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559"/>
        <w:spacing w:after="0" w:line="265" w:lineRule="auto"/>
        <w:rPr>
          <w:sz w:val="20"/>
          <w:szCs w:val="20"/>
          <w:color w:val="auto"/>
        </w:rPr>
      </w:pPr>
      <w:r>
        <w:rPr>
          <w:rFonts w:ascii="Courier New" w:cs="Courier New" w:eastAsia="Courier New" w:hAnsi="Courier New"/>
          <w:sz w:val="17"/>
          <w:szCs w:val="17"/>
          <w:color w:val="auto"/>
        </w:rPr>
        <w:t>In accordance with Title 8 and under the Restated Declaration of Trust, the affirmative vote of the holders of two-thirds of the shares entitled to vote on the matter is required for:</w:t>
      </w:r>
    </w:p>
    <w:p>
      <w:pPr>
        <w:spacing w:after="0" w:line="84" w:lineRule="exact"/>
        <w:rPr>
          <w:sz w:val="20"/>
          <w:szCs w:val="20"/>
          <w:color w:val="auto"/>
        </w:rPr>
      </w:pPr>
    </w:p>
    <w:p>
      <w:pPr>
        <w:ind w:left="400" w:hanging="304"/>
        <w:spacing w:after="0"/>
        <w:tabs>
          <w:tab w:leader="none" w:pos="4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removal of a trustee,</w:t>
      </w:r>
    </w:p>
    <w:p>
      <w:pPr>
        <w:spacing w:after="0" w:line="28" w:lineRule="exact"/>
        <w:rPr>
          <w:rFonts w:ascii="Courier New" w:cs="Courier New" w:eastAsia="Courier New" w:hAnsi="Courier New"/>
          <w:sz w:val="17"/>
          <w:szCs w:val="17"/>
          <w:color w:val="auto"/>
        </w:rPr>
      </w:pPr>
    </w:p>
    <w:p>
      <w:pPr>
        <w:ind w:left="300" w:right="1859" w:hanging="298"/>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an amendment to the Restated Declaration of Trust with Board of Trustees approval,</w:t>
      </w:r>
    </w:p>
    <w:p>
      <w:pPr>
        <w:ind w:left="400" w:hanging="304"/>
        <w:spacing w:after="0" w:line="238" w:lineRule="auto"/>
        <w:tabs>
          <w:tab w:leader="none" w:pos="4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termination of the Trust,</w:t>
      </w:r>
    </w:p>
    <w:p>
      <w:pPr>
        <w:ind w:left="300" w:right="1959" w:hanging="204"/>
        <w:spacing w:after="0" w:line="238" w:lineRule="auto"/>
        <w:tabs>
          <w:tab w:leader="none" w:pos="4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merger or consolidation of the Trust, or</w:t>
      </w:r>
    </w:p>
    <w:p>
      <w:pPr>
        <w:ind w:left="300" w:right="1359" w:hanging="204"/>
        <w:spacing w:after="0" w:line="344" w:lineRule="auto"/>
        <w:tabs>
          <w:tab w:leader="none" w:pos="4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disposition of substantially all of the property of the Trust.</w:t>
      </w:r>
    </w:p>
    <w:p>
      <w:pPr>
        <w:spacing w:after="0" w:line="24" w:lineRule="exact"/>
        <w:rPr>
          <w:sz w:val="20"/>
          <w:szCs w:val="20"/>
          <w:color w:val="auto"/>
        </w:rPr>
      </w:pPr>
    </w:p>
    <w:p>
      <w:pPr>
        <w:jc w:val="both"/>
        <w:ind w:right="1259"/>
        <w:spacing w:after="0" w:line="292" w:lineRule="auto"/>
        <w:rPr>
          <w:sz w:val="20"/>
          <w:szCs w:val="20"/>
          <w:color w:val="auto"/>
        </w:rPr>
      </w:pPr>
      <w:r>
        <w:rPr>
          <w:rFonts w:ascii="Courier New" w:cs="Courier New" w:eastAsia="Courier New" w:hAnsi="Courier New"/>
          <w:sz w:val="17"/>
          <w:szCs w:val="17"/>
          <w:color w:val="auto"/>
        </w:rPr>
        <w:t>The shareholders have no right to amend the Restated Declaration of Trust without prior approval of the Board of Trustees.</w:t>
      </w:r>
    </w:p>
    <w:p>
      <w:pPr>
        <w:spacing w:after="0" w:line="62" w:lineRule="exact"/>
        <w:rPr>
          <w:sz w:val="20"/>
          <w:szCs w:val="20"/>
          <w:color w:val="auto"/>
        </w:rPr>
      </w:pPr>
    </w:p>
    <w:p>
      <w:pPr>
        <w:ind w:right="1359"/>
        <w:spacing w:after="0" w:line="256" w:lineRule="auto"/>
        <w:rPr>
          <w:sz w:val="20"/>
          <w:szCs w:val="20"/>
          <w:color w:val="auto"/>
        </w:rPr>
      </w:pPr>
      <w:r>
        <w:rPr>
          <w:rFonts w:ascii="Courier New" w:cs="Courier New" w:eastAsia="Courier New" w:hAnsi="Courier New"/>
          <w:sz w:val="17"/>
          <w:szCs w:val="17"/>
          <w:color w:val="auto"/>
        </w:rPr>
        <w:t>The election of trustees requires a plurality of all the votes cast at the meeting of shareholders duly called and at which a quorum is present. The Restated Declaration of Trust does not provide for cumulative voting in the election of trustees.</w:t>
      </w:r>
    </w:p>
    <w:p>
      <w:pPr>
        <w:spacing w:after="0" w:line="474" w:lineRule="exact"/>
        <w:rPr>
          <w:sz w:val="20"/>
          <w:szCs w:val="20"/>
          <w:color w:val="auto"/>
        </w:rPr>
      </w:pPr>
    </w:p>
    <w:p>
      <w:pPr>
        <w:sectPr>
          <w:pgSz w:w="11900" w:h="16838" w:orient="portrait"/>
          <w:cols w:equalWidth="0" w:num="2">
            <w:col w:w="4380" w:space="300"/>
            <w:col w:w="5539"/>
          </w:cols>
          <w:pgMar w:left="240" w:top="1042"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6"/>
          <w:szCs w:val="16"/>
          <w:color w:val="auto"/>
        </w:rPr>
        <w:t>Pre-emptive Rights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292" w:lineRule="auto"/>
        <w:rPr>
          <w:sz w:val="20"/>
          <w:szCs w:val="20"/>
          <w:color w:val="auto"/>
        </w:rPr>
      </w:pPr>
      <w:r>
        <w:rPr>
          <w:rFonts w:ascii="Courier New" w:cs="Courier New" w:eastAsia="Courier New" w:hAnsi="Courier New"/>
          <w:sz w:val="17"/>
          <w:szCs w:val="17"/>
          <w:color w:val="auto"/>
        </w:rPr>
        <w:t>Neither the Existing Declaration of Trust nor the Existing Bylaws provides for pre-emptive rights.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59"/>
        <w:spacing w:after="0" w:line="253" w:lineRule="auto"/>
        <w:rPr>
          <w:sz w:val="20"/>
          <w:szCs w:val="20"/>
          <w:color w:val="auto"/>
        </w:rPr>
      </w:pPr>
      <w:r>
        <w:rPr>
          <w:rFonts w:ascii="Courier New" w:cs="Courier New" w:eastAsia="Courier New" w:hAnsi="Courier New"/>
          <w:sz w:val="17"/>
          <w:szCs w:val="17"/>
          <w:color w:val="auto"/>
        </w:rPr>
        <w:t>Under the Restated Declaration of Trust, except as provided by the Board of Trustees or set forth in the terms of any classified or reclassified shares, no holder of shares has any preemptive rights. Neither the holders of Series A Preferred Shares nor the holders of common shares have preemptive rights.</w:t>
      </w:r>
    </w:p>
    <w:p>
      <w:pPr>
        <w:spacing w:after="0" w:line="200" w:lineRule="exact"/>
        <w:rPr>
          <w:sz w:val="20"/>
          <w:szCs w:val="20"/>
          <w:color w:val="auto"/>
        </w:rPr>
      </w:pPr>
    </w:p>
    <w:p>
      <w:pPr>
        <w:sectPr>
          <w:pgSz w:w="11900" w:h="16838" w:orient="portrait"/>
          <w:cols w:equalWidth="0" w:num="2">
            <w:col w:w="4080" w:space="600"/>
            <w:col w:w="5539"/>
          </w:cols>
          <w:pgMar w:left="240" w:top="1042" w:right="1440" w:bottom="1440" w:gutter="0" w:footer="0" w:header="0"/>
          <w:type w:val="continuous"/>
        </w:sectPr>
      </w:pPr>
    </w:p>
    <w:p>
      <w:pPr>
        <w:spacing w:after="0" w:line="28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042" w:right="1440" w:bottom="1440" w:gutter="0" w:footer="0" w:header="0"/>
          <w:type w:val="continuous"/>
        </w:sectPr>
      </w:pPr>
    </w:p>
    <w:bookmarkStart w:id="23" w:name="page24"/>
    <w:bookmarkEnd w:id="23"/>
    <w:p>
      <w:pPr>
        <w:spacing w:after="0"/>
        <w:tabs>
          <w:tab w:leader="none" w:pos="49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000"/>
        <w:spacing w:after="0"/>
        <w:tabs>
          <w:tab w:leader="none" w:pos="63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0" w:lineRule="exact"/>
        <w:rPr>
          <w:sz w:val="20"/>
          <w:szCs w:val="20"/>
          <w:color w:val="auto"/>
        </w:rPr>
      </w:pPr>
    </w:p>
    <w:p>
      <w:pPr>
        <w:spacing w:after="0"/>
        <w:tabs>
          <w:tab w:leader="none" w:pos="49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Restrictions on Dividends and Other Distributions</w:t>
      </w:r>
    </w:p>
    <w:p>
      <w:pPr>
        <w:sectPr>
          <w:pgSz w:w="11900" w:h="16838" w:orient="portrait"/>
          <w:cols w:equalWidth="0" w:num="1">
            <w:col w:w="10219"/>
          </w:cols>
          <w:pgMar w:left="240" w:top="1042" w:right="1440" w:bottom="1440" w:gutter="0" w:footer="0" w:header="0"/>
        </w:sectPr>
      </w:pPr>
    </w:p>
    <w:p>
      <w:pPr>
        <w:spacing w:after="0" w:line="190" w:lineRule="exact"/>
        <w:rPr>
          <w:sz w:val="20"/>
          <w:szCs w:val="20"/>
          <w:color w:val="auto"/>
        </w:rPr>
      </w:pPr>
    </w:p>
    <w:p>
      <w:pPr>
        <w:spacing w:after="0" w:line="253" w:lineRule="auto"/>
        <w:rPr>
          <w:sz w:val="20"/>
          <w:szCs w:val="20"/>
          <w:color w:val="auto"/>
        </w:rPr>
      </w:pPr>
      <w:r>
        <w:rPr>
          <w:rFonts w:ascii="Courier New" w:cs="Courier New" w:eastAsia="Courier New" w:hAnsi="Courier New"/>
          <w:sz w:val="17"/>
          <w:szCs w:val="17"/>
          <w:color w:val="auto"/>
        </w:rPr>
        <w:t>Under the Existing Declaration of Trust, the Trustees have the right to declare and pay dividends from any source from time to time, but shall endeavor to pay dividends and distributions as shall be necessary for the Trust to qualify as a real estate investment trust under the Internal Revenue Code.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359"/>
        <w:spacing w:after="0" w:line="259" w:lineRule="auto"/>
        <w:rPr>
          <w:sz w:val="20"/>
          <w:szCs w:val="20"/>
          <w:color w:val="auto"/>
        </w:rPr>
      </w:pPr>
      <w:r>
        <w:rPr>
          <w:rFonts w:ascii="Courier New" w:cs="Courier New" w:eastAsia="Courier New" w:hAnsi="Courier New"/>
          <w:sz w:val="16"/>
          <w:szCs w:val="16"/>
          <w:color w:val="auto"/>
        </w:rPr>
        <w:t>Title 8 does not set forth any standards for dividends or other distribution to shareholders. The Restated Declaration of Trust allows the Board of Trustees to authorize the Trust to pay to shareholders dividends or distributions in cash, assets or securities of the trust or from any other source. The Trust may pay any dividend or make any other distribution to the shareholders as authorized in the Restated Declaration of Trust and by the Board of Trustees if, after giving effect to the dividend or distribution, the Trust would be able to pay its debts as they become due in the usual course of its business. The Restated Declaration of Trust requires the Board of Trustees to endeavor to authorize and cause the Trust to pay such dividends and distributions as may be necessary for the Trust to qualify as a REIT under the Code.</w:t>
      </w:r>
    </w:p>
    <w:p>
      <w:pPr>
        <w:spacing w:after="0" w:line="100" w:lineRule="exact"/>
        <w:rPr>
          <w:sz w:val="20"/>
          <w:szCs w:val="20"/>
          <w:color w:val="auto"/>
        </w:rPr>
      </w:pPr>
    </w:p>
    <w:p>
      <w:pPr>
        <w:sectPr>
          <w:pgSz w:w="11900" w:h="16838" w:orient="portrait"/>
          <w:cols w:equalWidth="0" w:num="2">
            <w:col w:w="4180" w:space="400"/>
            <w:col w:w="5639"/>
          </w:cols>
          <w:pgMar w:left="240" w:top="1042"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6"/>
          <w:szCs w:val="16"/>
          <w:color w:val="auto"/>
        </w:rPr>
        <w:t>Dissenting Shareholder's Appraisal Rights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292" w:lineRule="auto"/>
        <w:rPr>
          <w:sz w:val="20"/>
          <w:szCs w:val="20"/>
          <w:color w:val="auto"/>
        </w:rPr>
      </w:pPr>
      <w:r>
        <w:rPr>
          <w:rFonts w:ascii="Courier New" w:cs="Courier New" w:eastAsia="Courier New" w:hAnsi="Courier New"/>
          <w:sz w:val="17"/>
          <w:szCs w:val="17"/>
          <w:color w:val="auto"/>
        </w:rPr>
        <w:t>Neither the Existing Declaration of Trust nor the Existing Bylaws provides for appraisal rights.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359"/>
        <w:spacing w:after="0" w:line="256" w:lineRule="auto"/>
        <w:rPr>
          <w:sz w:val="20"/>
          <w:szCs w:val="20"/>
          <w:color w:val="auto"/>
        </w:rPr>
      </w:pPr>
      <w:r>
        <w:rPr>
          <w:rFonts w:ascii="Courier New" w:cs="Courier New" w:eastAsia="Courier New" w:hAnsi="Courier New"/>
          <w:sz w:val="17"/>
          <w:szCs w:val="17"/>
          <w:color w:val="auto"/>
        </w:rPr>
        <w:t>Title 8 does not provide appraisal rights to shareholders of a Maryland REIT if the Maryland REIT's shares, like the Trust's shares, are listed on a national securities exchange. Neither the Restated Declaration of Trust nor the Restated Bylaws provides for appraisal rights.</w:t>
      </w:r>
    </w:p>
    <w:p>
      <w:pPr>
        <w:spacing w:after="0" w:line="92" w:lineRule="exact"/>
        <w:rPr>
          <w:sz w:val="20"/>
          <w:szCs w:val="20"/>
          <w:color w:val="auto"/>
        </w:rPr>
      </w:pPr>
    </w:p>
    <w:p>
      <w:pPr>
        <w:sectPr>
          <w:pgSz w:w="11900" w:h="16838" w:orient="portrait"/>
          <w:cols w:equalWidth="0" w:num="2">
            <w:col w:w="4080" w:space="500"/>
            <w:col w:w="5639"/>
          </w:cols>
          <w:pgMar w:left="240" w:top="1042"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6"/>
          <w:szCs w:val="16"/>
          <w:color w:val="auto"/>
        </w:rPr>
        <w:t>Board of Trustees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256" w:lineRule="auto"/>
        <w:rPr>
          <w:sz w:val="20"/>
          <w:szCs w:val="20"/>
          <w:color w:val="auto"/>
        </w:rPr>
      </w:pPr>
      <w:r>
        <w:rPr>
          <w:rFonts w:ascii="Courier New" w:cs="Courier New" w:eastAsia="Courier New" w:hAnsi="Courier New"/>
          <w:sz w:val="17"/>
          <w:szCs w:val="17"/>
          <w:color w:val="auto"/>
        </w:rPr>
        <w:t>Under the Existing Declaration of Trust, Trustees are elected in three classes for staggered, three-year terms. The total number of Trustees must be at least three and not more than fifteen. Trustees shall be competent individuals at least 21 years of age.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559"/>
        <w:spacing w:after="0" w:line="279" w:lineRule="auto"/>
        <w:rPr>
          <w:sz w:val="20"/>
          <w:szCs w:val="20"/>
          <w:color w:val="auto"/>
        </w:rPr>
      </w:pPr>
      <w:r>
        <w:rPr>
          <w:rFonts w:ascii="Courier New" w:cs="Courier New" w:eastAsia="Courier New" w:hAnsi="Courier New"/>
          <w:sz w:val="16"/>
          <w:szCs w:val="16"/>
          <w:color w:val="auto"/>
        </w:rPr>
        <w:t>Under the Restated Declaration of Trust, Trustees are elected in three classes for staggered, three-year terms. The initial number of Trustees shall be seven but may be increased or decreased pursuant to the Restated Bylaws.</w:t>
      </w:r>
    </w:p>
    <w:p>
      <w:pPr>
        <w:spacing w:after="0" w:line="265" w:lineRule="exact"/>
        <w:rPr>
          <w:sz w:val="20"/>
          <w:szCs w:val="20"/>
          <w:color w:val="auto"/>
        </w:rPr>
      </w:pPr>
    </w:p>
    <w:p>
      <w:pPr>
        <w:sectPr>
          <w:pgSz w:w="11900" w:h="16838" w:orient="portrait"/>
          <w:cols w:equalWidth="0" w:num="2">
            <w:col w:w="4180" w:space="400"/>
            <w:col w:w="5639"/>
          </w:cols>
          <w:pgMar w:left="240" w:top="1042"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6"/>
          <w:szCs w:val="16"/>
          <w:color w:val="auto"/>
        </w:rPr>
        <w:t>Removal of Trustees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ind w:right="500"/>
        <w:spacing w:after="0" w:line="347" w:lineRule="auto"/>
        <w:rPr>
          <w:sz w:val="20"/>
          <w:szCs w:val="20"/>
          <w:color w:val="auto"/>
        </w:rPr>
      </w:pPr>
      <w:r>
        <w:rPr>
          <w:rFonts w:ascii="Courier New" w:cs="Courier New" w:eastAsia="Courier New" w:hAnsi="Courier New"/>
          <w:sz w:val="17"/>
          <w:szCs w:val="17"/>
          <w:color w:val="auto"/>
        </w:rPr>
        <w:t>Pursuant to the Existing Declaration of Trust, Trustees may be removed</w:t>
      </w:r>
    </w:p>
    <w:p>
      <w:pPr>
        <w:spacing w:after="0" w:line="17" w:lineRule="exact"/>
        <w:rPr>
          <w:sz w:val="20"/>
          <w:szCs w:val="20"/>
          <w:color w:val="auto"/>
        </w:rPr>
      </w:pPr>
    </w:p>
    <w:p>
      <w:pPr>
        <w:ind w:left="300" w:hanging="199"/>
        <w:spacing w:after="0" w:line="273" w:lineRule="auto"/>
        <w:tabs>
          <w:tab w:leader="none" w:pos="39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or without cause, at a shareholders meeting called for that purpose</w:t>
      </w:r>
    </w:p>
    <w:p>
      <w:pPr>
        <w:ind w:left="300" w:right="10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two-thirds of the Shares then outstanding and entitled to vote if such removal is approved by a vote of not less than two-thirds of the Trustees; or --by at least 80% of the Shares then outstanding if two-thirds of the Trustees do not approve such removal; or</w:t>
      </w:r>
    </w:p>
    <w:p>
      <w:pPr>
        <w:spacing w:after="0" w:line="1" w:lineRule="exact"/>
        <w:rPr>
          <w:sz w:val="20"/>
          <w:szCs w:val="20"/>
          <w:color w:val="auto"/>
        </w:rPr>
      </w:pPr>
    </w:p>
    <w:p>
      <w:pPr>
        <w:ind w:left="300" w:right="100" w:hanging="199"/>
        <w:spacing w:after="0" w:line="310" w:lineRule="auto"/>
        <w:tabs>
          <w:tab w:leader="none" w:pos="39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cause by the vote of all the other Trustees.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459"/>
        <w:spacing w:after="0" w:line="266" w:lineRule="auto"/>
        <w:rPr>
          <w:sz w:val="20"/>
          <w:szCs w:val="20"/>
          <w:color w:val="auto"/>
        </w:rPr>
      </w:pPr>
      <w:r>
        <w:rPr>
          <w:rFonts w:ascii="Courier New" w:cs="Courier New" w:eastAsia="Courier New" w:hAnsi="Courier New"/>
          <w:sz w:val="16"/>
          <w:szCs w:val="16"/>
          <w:color w:val="auto"/>
        </w:rPr>
        <w:t>Under the Restated Declaration of Trust, the shareholders of the Trust may remove a trustee only with cause (as defined in the</w:t>
      </w:r>
    </w:p>
    <w:p>
      <w:pPr>
        <w:spacing w:after="0" w:line="1" w:lineRule="exact"/>
        <w:rPr>
          <w:sz w:val="20"/>
          <w:szCs w:val="20"/>
          <w:color w:val="auto"/>
        </w:rPr>
      </w:pPr>
    </w:p>
    <w:p>
      <w:pPr>
        <w:ind w:right="1259" w:firstLine="100"/>
        <w:spacing w:after="0" w:line="262" w:lineRule="auto"/>
        <w:rPr>
          <w:sz w:val="20"/>
          <w:szCs w:val="20"/>
          <w:color w:val="auto"/>
        </w:rPr>
      </w:pPr>
      <w:r>
        <w:rPr>
          <w:rFonts w:ascii="Courier New" w:cs="Courier New" w:eastAsia="Courier New" w:hAnsi="Courier New"/>
          <w:sz w:val="17"/>
          <w:szCs w:val="17"/>
          <w:color w:val="auto"/>
        </w:rPr>
        <w:t>Restated Declaration of Trust) and upon the affirmative vote of the holders of not less than two-thirds of the shares entitled to vote on the matter.</w:t>
      </w:r>
    </w:p>
    <w:p>
      <w:pPr>
        <w:spacing w:after="0" w:line="1577" w:lineRule="exact"/>
        <w:rPr>
          <w:sz w:val="20"/>
          <w:szCs w:val="20"/>
          <w:color w:val="auto"/>
        </w:rPr>
      </w:pPr>
    </w:p>
    <w:p>
      <w:pPr>
        <w:sectPr>
          <w:pgSz w:w="11900" w:h="16838" w:orient="portrait"/>
          <w:cols w:equalWidth="0" w:num="2">
            <w:col w:w="4380" w:space="200"/>
            <w:col w:w="5639"/>
          </w:cols>
          <w:pgMar w:left="240" w:top="1042" w:right="1440"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042" w:right="1440" w:bottom="1440" w:gutter="0" w:footer="0" w:header="0"/>
          <w:type w:val="continuous"/>
        </w:sectPr>
      </w:pPr>
    </w:p>
    <w:bookmarkStart w:id="24" w:name="page25"/>
    <w:bookmarkEnd w:id="24"/>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100"/>
        <w:spacing w:after="0"/>
        <w:tabs>
          <w:tab w:leader="none" w:pos="64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0"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Vacancies on the Board of Trustees</w:t>
      </w:r>
    </w:p>
    <w:p>
      <w:pPr>
        <w:sectPr>
          <w:pgSz w:w="11900" w:h="16838" w:orient="portrait"/>
          <w:cols w:equalWidth="0" w:num="1">
            <w:col w:w="10219"/>
          </w:cols>
          <w:pgMar w:left="240" w:top="1042" w:right="1440" w:bottom="1440" w:gutter="0" w:footer="0" w:header="0"/>
        </w:sectPr>
      </w:pPr>
    </w:p>
    <w:p>
      <w:pPr>
        <w:spacing w:after="0" w:line="190" w:lineRule="exact"/>
        <w:rPr>
          <w:sz w:val="20"/>
          <w:szCs w:val="20"/>
          <w:color w:val="auto"/>
        </w:rPr>
      </w:pPr>
    </w:p>
    <w:p>
      <w:pPr>
        <w:spacing w:after="0" w:line="250" w:lineRule="auto"/>
        <w:rPr>
          <w:sz w:val="20"/>
          <w:szCs w:val="20"/>
          <w:color w:val="auto"/>
        </w:rPr>
      </w:pPr>
      <w:r>
        <w:rPr>
          <w:rFonts w:ascii="Courier New" w:cs="Courier New" w:eastAsia="Courier New" w:hAnsi="Courier New"/>
          <w:sz w:val="17"/>
          <w:szCs w:val="17"/>
          <w:color w:val="auto"/>
        </w:rPr>
        <w:t>The Existing Declaration of Trust provides that, subject to the provisions of any class or series of Shares at the time outstanding, any vacancy may be filled by a majority of the remaining Trustees or by the vote of holders of at least a majority of the Shares entitled to vote on the matter and present in person or by proxy at any meeting of the Shareholders called for that purpose.</w:t>
      </w:r>
    </w:p>
    <w:p>
      <w:pPr>
        <w:spacing w:after="0" w:line="98" w:lineRule="exact"/>
        <w:rPr>
          <w:sz w:val="20"/>
          <w:szCs w:val="20"/>
          <w:color w:val="auto"/>
        </w:rPr>
      </w:pPr>
    </w:p>
    <w:p>
      <w:pPr>
        <w:spacing w:after="0" w:line="267" w:lineRule="auto"/>
        <w:rPr>
          <w:sz w:val="20"/>
          <w:szCs w:val="20"/>
          <w:color w:val="auto"/>
        </w:rPr>
      </w:pPr>
      <w:r>
        <w:rPr>
          <w:rFonts w:ascii="Courier New" w:cs="Courier New" w:eastAsia="Courier New" w:hAnsi="Courier New"/>
          <w:sz w:val="16"/>
          <w:szCs w:val="16"/>
          <w:color w:val="auto"/>
        </w:rPr>
        <w:t>The Existing Declaration of Trust provides that when six consecutive quarterly dividends payable to Series A Preferred Shareholders are in arrears, Series A Preferred Shareholders, together with the holders of shares of every other series of Parity Shares (as defined therein), voting as a single class regardless of series, will be entitled to elect two additional Trustees to serve on the Board of Trustees.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259"/>
        <w:spacing w:after="0" w:line="251" w:lineRule="auto"/>
        <w:rPr>
          <w:sz w:val="20"/>
          <w:szCs w:val="20"/>
          <w:color w:val="auto"/>
        </w:rPr>
      </w:pPr>
      <w:r>
        <w:rPr>
          <w:rFonts w:ascii="Courier New" w:cs="Courier New" w:eastAsia="Courier New" w:hAnsi="Courier New"/>
          <w:sz w:val="17"/>
          <w:szCs w:val="17"/>
          <w:color w:val="auto"/>
        </w:rPr>
        <w:t>Title 8 does not address vacancies in a board of trustees. The Restated Bylaws provide that any vacancy (including a vacancy created by an increase in the number of trustees) in the Board of Trustees may be filled by a majority of the remaining trustees. Each trustee so elected shall serve for the unexpired term of the trustee he is replacing.</w:t>
      </w:r>
    </w:p>
    <w:p>
      <w:pPr>
        <w:spacing w:after="0" w:line="100" w:lineRule="exact"/>
        <w:rPr>
          <w:sz w:val="20"/>
          <w:szCs w:val="20"/>
          <w:color w:val="auto"/>
        </w:rPr>
      </w:pPr>
    </w:p>
    <w:p>
      <w:pPr>
        <w:ind w:right="1259"/>
        <w:spacing w:after="0" w:line="267" w:lineRule="auto"/>
        <w:rPr>
          <w:sz w:val="20"/>
          <w:szCs w:val="20"/>
          <w:color w:val="auto"/>
        </w:rPr>
      </w:pPr>
      <w:r>
        <w:rPr>
          <w:rFonts w:ascii="Courier New" w:cs="Courier New" w:eastAsia="Courier New" w:hAnsi="Courier New"/>
          <w:sz w:val="16"/>
          <w:szCs w:val="16"/>
          <w:color w:val="auto"/>
        </w:rPr>
        <w:t>The Restated Declaration of Trust provides that when six consecutive quarterly dividends payable to Series A Preferred Shareholders are in arrears, Series A Preferred Shareholders, together with the holders of shares of every other series of Parity Shares (as defined therein), voting as a single class regardless of series, will be entitled to elect two additional Trustees to serve on the Board of Trustees.</w:t>
      </w:r>
    </w:p>
    <w:p>
      <w:pPr>
        <w:spacing w:after="0" w:line="278"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6"/>
          <w:szCs w:val="16"/>
          <w:color w:val="auto"/>
        </w:rPr>
        <w:t>Annual Meetings of Shareholders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261" w:lineRule="auto"/>
        <w:rPr>
          <w:sz w:val="20"/>
          <w:szCs w:val="20"/>
          <w:color w:val="auto"/>
        </w:rPr>
      </w:pPr>
      <w:r>
        <w:rPr>
          <w:rFonts w:ascii="Courier New" w:cs="Courier New" w:eastAsia="Courier New" w:hAnsi="Courier New"/>
          <w:sz w:val="16"/>
          <w:szCs w:val="16"/>
          <w:color w:val="auto"/>
        </w:rPr>
        <w:t>Under the Existing Declaration of Trust and the Existing Bylaws, an annual meeting of shareholders must be held on such date as designated by the Trustees each year, after the delivery of the annual report. The Existing Bylaws provide procedures which must be followed relating to annual meetings, including the requirement that nominations for elections to the Board of Trustees and new business proposals be delivered to the secretary at the principal executive offices of the Trust not less than 60 days nor more than 90 days prior to the anniversary date of the preceding year's annual meeting. To be timely, a shareholder's notice must set forth:</w:t>
      </w:r>
    </w:p>
    <w:p>
      <w:pPr>
        <w:spacing w:after="0" w:line="97" w:lineRule="exact"/>
        <w:rPr>
          <w:sz w:val="20"/>
          <w:szCs w:val="20"/>
          <w:color w:val="auto"/>
        </w:rPr>
      </w:pPr>
    </w:p>
    <w:p>
      <w:pPr>
        <w:ind w:left="400" w:hanging="299"/>
        <w:spacing w:after="0"/>
        <w:tabs>
          <w:tab w:leader="none" w:pos="4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to each person:</w:t>
      </w:r>
    </w:p>
    <w:p>
      <w:pPr>
        <w:spacing w:after="0" w:line="28" w:lineRule="exact"/>
        <w:rPr>
          <w:rFonts w:ascii="Courier New" w:cs="Courier New" w:eastAsia="Courier New" w:hAnsi="Courier New"/>
          <w:sz w:val="17"/>
          <w:szCs w:val="17"/>
          <w:color w:val="auto"/>
        </w:rPr>
      </w:pPr>
    </w:p>
    <w:p>
      <w:pPr>
        <w:ind w:left="300" w:right="100"/>
        <w:spacing w:after="0" w:line="238" w:lineRule="auto"/>
        <w:tabs>
          <w:tab w:leader="none" w:pos="598"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and address of the shareholder who intends to make the nomination and of the person or persons to be nominated;</w:t>
      </w:r>
    </w:p>
    <w:p>
      <w:pPr>
        <w:spacing w:after="0" w:line="1" w:lineRule="exact"/>
        <w:rPr>
          <w:rFonts w:ascii="Courier New" w:cs="Courier New" w:eastAsia="Courier New" w:hAnsi="Courier New"/>
          <w:sz w:val="17"/>
          <w:szCs w:val="17"/>
          <w:color w:val="auto"/>
        </w:rPr>
      </w:pPr>
    </w:p>
    <w:p>
      <w:pPr>
        <w:ind w:left="300"/>
        <w:spacing w:after="0" w:line="238" w:lineRule="auto"/>
        <w:tabs>
          <w:tab w:leader="none" w:pos="598"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representation that the shareholder is a holder of record of shares of the Trust entitled to vote at such meeting and intends to appear in person or by proxy at the meeting to nominate the person or persons specified in the notice;</w:t>
      </w:r>
    </w:p>
    <w:p>
      <w:pPr>
        <w:spacing w:after="0" w:line="1" w:lineRule="exact"/>
        <w:rPr>
          <w:rFonts w:ascii="Courier New" w:cs="Courier New" w:eastAsia="Courier New" w:hAnsi="Courier New"/>
          <w:sz w:val="17"/>
          <w:szCs w:val="17"/>
          <w:color w:val="auto"/>
        </w:rPr>
      </w:pPr>
    </w:p>
    <w:p>
      <w:pPr>
        <w:ind w:left="300"/>
        <w:spacing w:after="0" w:line="283" w:lineRule="auto"/>
        <w:tabs>
          <w:tab w:leader="none" w:pos="598"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all arrangements or understandings between the shareholder and each nominee and any other person or persons (naming such person or persons);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59"/>
        <w:spacing w:after="0" w:line="257" w:lineRule="auto"/>
        <w:rPr>
          <w:sz w:val="20"/>
          <w:szCs w:val="20"/>
          <w:color w:val="auto"/>
        </w:rPr>
      </w:pPr>
      <w:r>
        <w:rPr>
          <w:rFonts w:ascii="Courier New" w:cs="Courier New" w:eastAsia="Courier New" w:hAnsi="Courier New"/>
          <w:sz w:val="16"/>
          <w:szCs w:val="16"/>
          <w:color w:val="auto"/>
        </w:rPr>
        <w:t>The Restated Bylaws provide that an annual meeting of shareholders for the election of trustees and the transaction of any business within the powers of the Trust must be held in the month of May of each year, after the delivery of the annual report. Failure to hold such a meeting does not invalidate the Trust's existence or affect any otherwise valid acts of the Trust. The Restated Bylaws provide procedures which must be followed relating to annual meetings, including the requirement that nominations for elections to the Board of Trustees and new business proposals be delivered to the secretary at the principal executive offices of the Trust not later than the close of business on the 90th day nor earlier than the close of business on the 120th day prior to the first anniversary of the preceding year's annual meeting; provided, however, that in the event that the date of the annual meeting is advanced by more than 30 days or delayed by more than 60 days from such anniversary date or if the Trust has not previously held an annual meeting, notice by the shareholder to be timely must be so delivered not earlier than the close of business on the 120th day prior to such annual meeting and not later than the close of business on the later of the 90th day prior to such annual meeting or the tenth day following the day on which public</w:t>
      </w:r>
    </w:p>
    <w:p>
      <w:pPr>
        <w:spacing w:after="0" w:line="420"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spacing w:after="0" w:line="6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1042" w:right="1440" w:bottom="1440" w:gutter="0" w:footer="0" w:header="0"/>
          <w:type w:val="continuous"/>
        </w:sectPr>
      </w:pPr>
    </w:p>
    <w:bookmarkStart w:id="25" w:name="page26"/>
    <w:bookmarkEnd w:id="25"/>
    <w:p>
      <w:pPr>
        <w:ind w:left="198" w:hanging="198"/>
        <w:spacing w:after="0"/>
        <w:tabs>
          <w:tab w:leader="none" w:pos="19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1" w:lineRule="exact"/>
        <w:rPr>
          <w:rFonts w:ascii="Courier New" w:cs="Courier New" w:eastAsia="Courier New" w:hAnsi="Courier New"/>
          <w:sz w:val="16"/>
          <w:szCs w:val="16"/>
          <w:color w:val="auto"/>
        </w:rPr>
      </w:pPr>
    </w:p>
    <w:p>
      <w:pPr>
        <w:ind w:left="1098"/>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District of Columbia</w:t>
      </w:r>
    </w:p>
    <w:p>
      <w:pPr>
        <w:spacing w:after="0" w:line="189" w:lineRule="exact"/>
        <w:rPr>
          <w:rFonts w:ascii="Courier New" w:cs="Courier New" w:eastAsia="Courier New" w:hAnsi="Courier New"/>
          <w:sz w:val="16"/>
          <w:szCs w:val="16"/>
          <w:color w:val="auto"/>
        </w:rPr>
      </w:pPr>
    </w:p>
    <w:p>
      <w:pPr>
        <w:ind w:left="198" w:hanging="198"/>
        <w:spacing w:after="0"/>
        <w:tabs>
          <w:tab w:leader="none" w:pos="19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1" w:lineRule="exact"/>
        <w:rPr>
          <w:sz w:val="20"/>
          <w:szCs w:val="20"/>
          <w:color w:val="auto"/>
        </w:rPr>
      </w:pPr>
    </w:p>
    <w:p>
      <w:pPr>
        <w:ind w:left="298" w:right="300" w:hanging="199"/>
        <w:spacing w:after="0" w:line="250" w:lineRule="auto"/>
        <w:tabs>
          <w:tab w:leader="none" w:pos="397"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to any other business that the shareholder proposes to bring before the meeting:</w:t>
      </w:r>
    </w:p>
    <w:p>
      <w:pPr>
        <w:spacing w:after="0" w:line="1" w:lineRule="exact"/>
        <w:rPr>
          <w:rFonts w:ascii="Courier New" w:cs="Courier New" w:eastAsia="Courier New" w:hAnsi="Courier New"/>
          <w:sz w:val="17"/>
          <w:szCs w:val="17"/>
          <w:color w:val="auto"/>
        </w:rPr>
      </w:pPr>
    </w:p>
    <w:p>
      <w:pPr>
        <w:ind w:left="298" w:right="500"/>
        <w:spacing w:after="0" w:line="238" w:lineRule="auto"/>
        <w:tabs>
          <w:tab w:leader="none" w:pos="596"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brief description of the business desired to be brought before the meeting,</w:t>
      </w:r>
    </w:p>
    <w:p>
      <w:pPr>
        <w:ind w:left="298" w:right="900"/>
        <w:spacing w:after="0" w:line="238" w:lineRule="auto"/>
        <w:tabs>
          <w:tab w:leader="none" w:pos="596"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reasons for conducting such business at the meeting and</w:t>
      </w:r>
    </w:p>
    <w:p>
      <w:pPr>
        <w:ind w:left="298" w:right="400"/>
        <w:spacing w:after="0" w:line="262" w:lineRule="auto"/>
        <w:tabs>
          <w:tab w:leader="none" w:pos="596"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interest in such business of such shareholder and of the beneficial owner, if any, on whose behalf the proposal is made; and</w:t>
      </w:r>
    </w:p>
    <w:p>
      <w:pPr>
        <w:spacing w:after="0" w:line="85" w:lineRule="exact"/>
        <w:rPr>
          <w:sz w:val="20"/>
          <w:szCs w:val="20"/>
          <w:color w:val="auto"/>
        </w:rPr>
      </w:pPr>
    </w:p>
    <w:p>
      <w:pPr>
        <w:ind w:left="298" w:right="300" w:hanging="199"/>
        <w:spacing w:after="0" w:line="247" w:lineRule="auto"/>
        <w:tabs>
          <w:tab w:leader="none" w:pos="397"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to the shareholder giving the notice and the beneficial owner, if any, on whose behalf the nomination or proposal is made,</w:t>
      </w:r>
    </w:p>
    <w:p>
      <w:pPr>
        <w:spacing w:after="0" w:line="2" w:lineRule="exact"/>
        <w:rPr>
          <w:rFonts w:ascii="Courier New" w:cs="Courier New" w:eastAsia="Courier New" w:hAnsi="Courier New"/>
          <w:sz w:val="17"/>
          <w:szCs w:val="17"/>
          <w:color w:val="auto"/>
        </w:rPr>
      </w:pPr>
    </w:p>
    <w:p>
      <w:pPr>
        <w:ind w:left="598" w:hanging="300"/>
        <w:spacing w:after="0" w:line="238" w:lineRule="auto"/>
        <w:tabs>
          <w:tab w:leader="none" w:pos="598"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and address of such</w:t>
      </w:r>
    </w:p>
    <w:p>
      <w:pPr>
        <w:ind w:left="298" w:right="6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as they appear on the Trust's books, and of such beneficial owner and</w:t>
      </w:r>
    </w:p>
    <w:p>
      <w:pPr>
        <w:ind w:left="298" w:right="300"/>
        <w:spacing w:after="0" w:line="262" w:lineRule="auto"/>
        <w:tabs>
          <w:tab w:leader="none" w:pos="596"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each class of shares of the Trust which are owned beneficially and of record by such shareholder and such beneficial owner.</w:t>
      </w:r>
    </w:p>
    <w:p>
      <w:pPr>
        <w:spacing w:after="0" w:line="20" w:lineRule="exact"/>
        <w:rPr>
          <w:sz w:val="20"/>
          <w:szCs w:val="20"/>
          <w:color w:val="auto"/>
        </w:rPr>
      </w:pPr>
      <w:r>
        <w:rPr>
          <w:sz w:val="20"/>
          <w:szCs w:val="20"/>
          <w:color w:val="auto"/>
        </w:rPr>
        <w:br w:type="column"/>
      </w:r>
    </w:p>
    <w:p>
      <w:pPr>
        <w:ind w:left="404"/>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1684"/>
        <w:spacing w:after="0"/>
        <w:rPr>
          <w:sz w:val="20"/>
          <w:szCs w:val="20"/>
          <w:color w:val="auto"/>
        </w:rPr>
      </w:pPr>
      <w:r>
        <w:rPr>
          <w:rFonts w:ascii="Courier New" w:cs="Courier New" w:eastAsia="Courier New" w:hAnsi="Courier New"/>
          <w:sz w:val="17"/>
          <w:szCs w:val="17"/>
          <w:color w:val="auto"/>
        </w:rPr>
        <w:t>Maryland</w:t>
      </w:r>
    </w:p>
    <w:p>
      <w:pPr>
        <w:spacing w:after="0" w:line="190" w:lineRule="exact"/>
        <w:rPr>
          <w:sz w:val="20"/>
          <w:szCs w:val="20"/>
          <w:color w:val="auto"/>
        </w:rPr>
      </w:pPr>
    </w:p>
    <w:p>
      <w:pPr>
        <w:ind w:left="404"/>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4" w:right="1159" w:firstLine="99"/>
        <w:spacing w:after="0" w:line="253" w:lineRule="auto"/>
        <w:rPr>
          <w:sz w:val="20"/>
          <w:szCs w:val="20"/>
          <w:color w:val="auto"/>
        </w:rPr>
      </w:pPr>
      <w:r>
        <w:rPr>
          <w:rFonts w:ascii="Courier New" w:cs="Courier New" w:eastAsia="Courier New" w:hAnsi="Courier New"/>
          <w:sz w:val="17"/>
          <w:szCs w:val="17"/>
          <w:color w:val="auto"/>
        </w:rPr>
        <w:t>announcement of the date of such meeting is first made by the Trust. In no event shall the public announcement of a postponement or adjournment of an annual meeting to a later date or time commence a new time period for the giving of a shareholder's notice as described above. Such shareholder's notice must set forth</w:t>
      </w:r>
    </w:p>
    <w:p>
      <w:pPr>
        <w:spacing w:after="0" w:line="97" w:lineRule="exact"/>
        <w:rPr>
          <w:sz w:val="20"/>
          <w:szCs w:val="20"/>
          <w:color w:val="auto"/>
        </w:rPr>
      </w:pPr>
    </w:p>
    <w:p>
      <w:pPr>
        <w:ind w:left="304" w:right="1259" w:hanging="304"/>
        <w:spacing w:after="0" w:line="263" w:lineRule="auto"/>
        <w:tabs>
          <w:tab w:leader="none" w:pos="30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each person whom the shareholder proposes to nominate for election or reelection as a Trustee all information relating to such person that is required</w:t>
      </w:r>
    </w:p>
    <w:p>
      <w:pPr>
        <w:ind w:left="304" w:right="1259" w:firstLine="100"/>
        <w:spacing w:after="0" w:line="24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to be disclosed in solicitations of proxies for election of Trustees in an election contest, or is otherwise required, in each case pursuant to Regulation 14A under the Exchange Act (including such person's written consent to being named in the proxy statement as a nominee and to serving as a Trustee if elected);</w:t>
      </w:r>
    </w:p>
    <w:p>
      <w:pPr>
        <w:spacing w:after="0" w:line="99" w:lineRule="exact"/>
        <w:rPr>
          <w:sz w:val="20"/>
          <w:szCs w:val="20"/>
          <w:color w:val="auto"/>
        </w:rPr>
      </w:pPr>
    </w:p>
    <w:p>
      <w:pPr>
        <w:ind w:left="304" w:right="1259" w:hanging="304"/>
        <w:spacing w:after="0" w:line="242" w:lineRule="auto"/>
        <w:tabs>
          <w:tab w:leader="none" w:pos="304"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w:t>
      </w:r>
    </w:p>
    <w:p>
      <w:pPr>
        <w:spacing w:after="0" w:line="1" w:lineRule="exact"/>
        <w:rPr>
          <w:sz w:val="20"/>
          <w:szCs w:val="20"/>
          <w:color w:val="auto"/>
        </w:rPr>
      </w:pPr>
    </w:p>
    <w:p>
      <w:pPr>
        <w:ind w:left="304" w:right="1359" w:hanging="304"/>
        <w:spacing w:after="0" w:line="238" w:lineRule="auto"/>
        <w:tabs>
          <w:tab w:leader="none" w:pos="304"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to the shareholder giving the notice and the beneficial owner, if any, on whose behalf the nomination or proposal is made:</w:t>
      </w:r>
    </w:p>
    <w:p>
      <w:pPr>
        <w:spacing w:after="0" w:line="1" w:lineRule="exact"/>
        <w:rPr>
          <w:rFonts w:ascii="Courier New" w:cs="Courier New" w:eastAsia="Courier New" w:hAnsi="Courier New"/>
          <w:sz w:val="17"/>
          <w:szCs w:val="17"/>
          <w:color w:val="auto"/>
        </w:rPr>
      </w:pPr>
    </w:p>
    <w:p>
      <w:pPr>
        <w:ind w:left="304" w:right="155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and address of such shareholder, as they appear on the Trust's books, and of such beneficial owner, and</w:t>
      </w:r>
    </w:p>
    <w:p>
      <w:pPr>
        <w:spacing w:after="0" w:line="1" w:lineRule="exact"/>
        <w:rPr>
          <w:rFonts w:ascii="Courier New" w:cs="Courier New" w:eastAsia="Courier New" w:hAnsi="Courier New"/>
          <w:sz w:val="17"/>
          <w:szCs w:val="17"/>
          <w:color w:val="auto"/>
        </w:rPr>
      </w:pPr>
    </w:p>
    <w:p>
      <w:pPr>
        <w:ind w:left="304" w:right="1359"/>
        <w:spacing w:after="0" w:line="26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each class of shares of the Trust which are owned beneficially and of record by such shareholder and such beneficial owner.</w:t>
      </w:r>
    </w:p>
    <w:p>
      <w:pPr>
        <w:spacing w:after="0" w:line="85" w:lineRule="exact"/>
        <w:rPr>
          <w:sz w:val="20"/>
          <w:szCs w:val="20"/>
          <w:color w:val="auto"/>
        </w:rPr>
      </w:pPr>
    </w:p>
    <w:p>
      <w:pPr>
        <w:ind w:left="4" w:right="1259"/>
        <w:spacing w:after="0" w:line="267" w:lineRule="auto"/>
        <w:rPr>
          <w:sz w:val="20"/>
          <w:szCs w:val="20"/>
          <w:color w:val="auto"/>
        </w:rPr>
      </w:pPr>
      <w:r>
        <w:rPr>
          <w:rFonts w:ascii="Courier New" w:cs="Courier New" w:eastAsia="Courier New" w:hAnsi="Courier New"/>
          <w:sz w:val="16"/>
          <w:szCs w:val="16"/>
          <w:color w:val="auto"/>
        </w:rPr>
        <w:t>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shall also be considered timely, but only with</w:t>
      </w:r>
    </w:p>
    <w:p>
      <w:pPr>
        <w:spacing w:after="0" w:line="200" w:lineRule="exact"/>
        <w:rPr>
          <w:sz w:val="20"/>
          <w:szCs w:val="20"/>
          <w:color w:val="auto"/>
        </w:rPr>
      </w:pPr>
    </w:p>
    <w:p>
      <w:pPr>
        <w:sectPr>
          <w:pgSz w:w="11900" w:h="16838" w:orient="portrait"/>
          <w:cols w:equalWidth="0" w:num="2">
            <w:col w:w="4578" w:space="96"/>
            <w:col w:w="5543"/>
          </w:cols>
          <w:pgMar w:left="242" w:top="1042" w:right="1440" w:bottom="1440" w:gutter="0" w:footer="0" w:header="0"/>
        </w:sectPr>
      </w:pPr>
    </w:p>
    <w:p>
      <w:pPr>
        <w:spacing w:after="0" w:line="79" w:lineRule="exact"/>
        <w:rPr>
          <w:sz w:val="20"/>
          <w:szCs w:val="20"/>
          <w:color w:val="auto"/>
        </w:rPr>
      </w:pPr>
    </w:p>
    <w:p>
      <w:pPr>
        <w:ind w:left="3878"/>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7"/>
          </w:cols>
          <w:pgMar w:left="242" w:top="1042" w:right="1440" w:bottom="1440" w:gutter="0" w:footer="0" w:header="0"/>
          <w:type w:val="continuous"/>
        </w:sectPr>
      </w:pPr>
    </w:p>
    <w:bookmarkStart w:id="26" w:name="page27"/>
    <w:bookmarkEnd w:id="26"/>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100"/>
        <w:spacing w:after="0"/>
        <w:tabs>
          <w:tab w:leader="none" w:pos="64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0"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2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respect to nominees for any new positions</w:t>
      </w:r>
    </w:p>
    <w:p>
      <w:pPr>
        <w:ind w:left="4680"/>
        <w:spacing w:after="0" w:line="238" w:lineRule="auto"/>
        <w:rPr>
          <w:sz w:val="20"/>
          <w:szCs w:val="20"/>
          <w:color w:val="auto"/>
        </w:rPr>
      </w:pPr>
      <w:r>
        <w:rPr>
          <w:rFonts w:ascii="Courier New" w:cs="Courier New" w:eastAsia="Courier New" w:hAnsi="Courier New"/>
          <w:sz w:val="17"/>
          <w:szCs w:val="17"/>
          <w:color w:val="auto"/>
        </w:rPr>
        <w:t>created by such increase, if it is</w:t>
      </w:r>
    </w:p>
    <w:p>
      <w:pPr>
        <w:ind w:left="4680"/>
        <w:spacing w:after="0" w:line="238" w:lineRule="auto"/>
        <w:rPr>
          <w:sz w:val="20"/>
          <w:szCs w:val="20"/>
          <w:color w:val="auto"/>
        </w:rPr>
      </w:pPr>
      <w:r>
        <w:rPr>
          <w:rFonts w:ascii="Courier New" w:cs="Courier New" w:eastAsia="Courier New" w:hAnsi="Courier New"/>
          <w:sz w:val="17"/>
          <w:szCs w:val="17"/>
          <w:color w:val="auto"/>
        </w:rPr>
        <w:t>delivered to the secretary at the principal</w:t>
      </w:r>
    </w:p>
    <w:p>
      <w:pPr>
        <w:ind w:left="4680"/>
        <w:spacing w:after="0"/>
        <w:rPr>
          <w:sz w:val="20"/>
          <w:szCs w:val="20"/>
          <w:color w:val="auto"/>
        </w:rPr>
      </w:pPr>
      <w:r>
        <w:rPr>
          <w:rFonts w:ascii="Courier New" w:cs="Courier New" w:eastAsia="Courier New" w:hAnsi="Courier New"/>
          <w:sz w:val="17"/>
          <w:szCs w:val="17"/>
          <w:color w:val="auto"/>
        </w:rPr>
        <w:t>executive offices of the Trust not later</w:t>
      </w:r>
    </w:p>
    <w:p>
      <w:pPr>
        <w:ind w:left="4680"/>
        <w:spacing w:after="0" w:line="238" w:lineRule="auto"/>
        <w:rPr>
          <w:sz w:val="20"/>
          <w:szCs w:val="20"/>
          <w:color w:val="auto"/>
        </w:rPr>
      </w:pPr>
      <w:r>
        <w:rPr>
          <w:rFonts w:ascii="Courier New" w:cs="Courier New" w:eastAsia="Courier New" w:hAnsi="Courier New"/>
          <w:sz w:val="17"/>
          <w:szCs w:val="17"/>
          <w:color w:val="auto"/>
        </w:rPr>
        <w:t>than the close of business on the tenth day</w:t>
      </w:r>
    </w:p>
    <w:p>
      <w:pPr>
        <w:ind w:left="4680"/>
        <w:spacing w:after="0" w:line="238" w:lineRule="auto"/>
        <w:rPr>
          <w:sz w:val="20"/>
          <w:szCs w:val="20"/>
          <w:color w:val="auto"/>
        </w:rPr>
      </w:pPr>
      <w:r>
        <w:rPr>
          <w:rFonts w:ascii="Courier New" w:cs="Courier New" w:eastAsia="Courier New" w:hAnsi="Courier New"/>
          <w:sz w:val="17"/>
          <w:szCs w:val="17"/>
          <w:color w:val="auto"/>
        </w:rPr>
        <w:t>following the day on which such public</w:t>
      </w:r>
    </w:p>
    <w:p>
      <w:pPr>
        <w:spacing w:after="0" w:line="1"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announcement is first made by the Trust.</w:t>
      </w:r>
    </w:p>
    <w:p>
      <w:pPr>
        <w:spacing w:after="0" w:line="16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Special Meetings of Shareholders</w:t>
      </w:r>
    </w:p>
    <w:p>
      <w:pPr>
        <w:sectPr>
          <w:pgSz w:w="11900" w:h="16838" w:orient="portrait"/>
          <w:cols w:equalWidth="0" w:num="1">
            <w:col w:w="10219"/>
          </w:cols>
          <w:pgMar w:left="240" w:top="1042" w:right="1440" w:bottom="1440" w:gutter="0" w:footer="0" w:header="0"/>
        </w:sectPr>
      </w:pPr>
    </w:p>
    <w:p>
      <w:pPr>
        <w:spacing w:after="0" w:line="190" w:lineRule="exact"/>
        <w:rPr>
          <w:sz w:val="20"/>
          <w:szCs w:val="20"/>
          <w:color w:val="auto"/>
        </w:rPr>
      </w:pPr>
    </w:p>
    <w:p>
      <w:pPr>
        <w:spacing w:after="0" w:line="262" w:lineRule="auto"/>
        <w:rPr>
          <w:sz w:val="20"/>
          <w:szCs w:val="20"/>
          <w:color w:val="auto"/>
        </w:rPr>
      </w:pPr>
      <w:r>
        <w:rPr>
          <w:rFonts w:ascii="Courier New" w:cs="Courier New" w:eastAsia="Courier New" w:hAnsi="Courier New"/>
          <w:sz w:val="16"/>
          <w:szCs w:val="16"/>
          <w:color w:val="auto"/>
        </w:rPr>
        <w:t>Pursuant to the Existing Declaration of Trust, special meetings of Shareholders may be called by the Trustees, or upon the written request of Shareholders holding not less than 25% of the outstanding Shares entitled to vote at such meeting. The Bylaws provide procedures which must be followed for both the request for a special meeting by shareholders and the conduct of the special meeting, including the requirement that nominations for elections to the Board of Trustees must be delivered to the secretary not later than the tenth day following the day on which notice of such meeting is first given to shareholders.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259"/>
        <w:spacing w:after="0" w:line="258" w:lineRule="auto"/>
        <w:rPr>
          <w:sz w:val="20"/>
          <w:szCs w:val="20"/>
          <w:color w:val="auto"/>
        </w:rPr>
      </w:pPr>
      <w:r>
        <w:rPr>
          <w:rFonts w:ascii="Courier New" w:cs="Courier New" w:eastAsia="Courier New" w:hAnsi="Courier New"/>
          <w:sz w:val="16"/>
          <w:szCs w:val="16"/>
          <w:color w:val="auto"/>
        </w:rPr>
        <w:t>Title 8 does not address special meetings of shareholders. The Restated Bylaws provide that a special meeting of shareholders may be called by the President or by one-third of the trustees, and must be called upon the written request of the holders of shares entitled to cast not less than twenty-five percent of all of the votes entitled to be cast at such a meeting. The Restated Bylaws provide procedures which must be followed for both the request for a special meeting by shareholders and the conduct of the special meeting, including the requirement that nominations for elections to the Board of Trustees and new business proposals must be delivered to the secretary not earlier than the close of business on the 120th day prior to the special meeting and not later than the close of business on the later of the 90th day prior to the special meeting or the tenth day following the day on which public announcement is first made of the special meeting.</w:t>
      </w:r>
    </w:p>
    <w:p>
      <w:pPr>
        <w:spacing w:after="0" w:line="200"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spacing w:after="0" w:line="100"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Shareholders Action by Written Consent</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266" w:lineRule="auto"/>
        <w:rPr>
          <w:sz w:val="20"/>
          <w:szCs w:val="20"/>
          <w:color w:val="auto"/>
        </w:rPr>
      </w:pPr>
      <w:r>
        <w:rPr>
          <w:rFonts w:ascii="Courier New" w:cs="Courier New" w:eastAsia="Courier New" w:hAnsi="Courier New"/>
          <w:sz w:val="16"/>
          <w:szCs w:val="16"/>
          <w:color w:val="auto"/>
        </w:rPr>
        <w:t>The Existing Declaration of Trust provides that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 Such consent shall have the effect of a vote taken at a meeting of Shareholders.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59"/>
        <w:spacing w:after="0" w:line="249" w:lineRule="auto"/>
        <w:rPr>
          <w:sz w:val="20"/>
          <w:szCs w:val="20"/>
          <w:color w:val="auto"/>
        </w:rPr>
      </w:pPr>
      <w:r>
        <w:rPr>
          <w:rFonts w:ascii="Courier New" w:cs="Courier New" w:eastAsia="Courier New" w:hAnsi="Courier New"/>
          <w:sz w:val="17"/>
          <w:szCs w:val="17"/>
          <w:color w:val="auto"/>
        </w:rPr>
        <w:t>Title 8 does not address actions by written consent of shareholders. The Restated Declaration of Trust provides that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 of Shareholders.</w:t>
      </w:r>
    </w:p>
    <w:p>
      <w:pPr>
        <w:spacing w:after="0" w:line="96"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Amendments to Declaration of Trust and Bylaws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ind w:right="200"/>
        <w:spacing w:after="0" w:line="265" w:lineRule="auto"/>
        <w:rPr>
          <w:sz w:val="20"/>
          <w:szCs w:val="20"/>
          <w:color w:val="auto"/>
        </w:rPr>
      </w:pPr>
      <w:r>
        <w:rPr>
          <w:rFonts w:ascii="Courier New" w:cs="Courier New" w:eastAsia="Courier New" w:hAnsi="Courier New"/>
          <w:sz w:val="17"/>
          <w:szCs w:val="17"/>
          <w:color w:val="auto"/>
        </w:rPr>
        <w:t>The Existing Declaration of Trust provides that certain specific sections of the Existing Declaration of Trust may be amended at a meeting called for such purpose:</w:t>
      </w:r>
    </w:p>
    <w:p>
      <w:pPr>
        <w:spacing w:after="0" w:line="84" w:lineRule="exact"/>
        <w:rPr>
          <w:sz w:val="20"/>
          <w:szCs w:val="20"/>
          <w:color w:val="auto"/>
        </w:rPr>
      </w:pPr>
    </w:p>
    <w:p>
      <w:pPr>
        <w:ind w:left="300" w:hanging="199"/>
        <w:spacing w:after="0" w:line="265" w:lineRule="auto"/>
        <w:tabs>
          <w:tab w:leader="none" w:pos="399"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affirmative vote of at least two-thirds of the Shares then outstanding and entitled to vote, if the Trustees approved or recommended the amendment, or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59"/>
        <w:spacing w:after="0" w:line="265" w:lineRule="auto"/>
        <w:rPr>
          <w:sz w:val="20"/>
          <w:szCs w:val="20"/>
          <w:color w:val="auto"/>
        </w:rPr>
      </w:pPr>
      <w:r>
        <w:rPr>
          <w:rFonts w:ascii="Courier New" w:cs="Courier New" w:eastAsia="Courier New" w:hAnsi="Courier New"/>
          <w:sz w:val="16"/>
          <w:szCs w:val="16"/>
          <w:color w:val="auto"/>
        </w:rPr>
        <w:t>Under Title 8, an amendment to a declaration of trust must be approved by at least a majority of the board of trustees and the affirmative vote of the holders of two-thirds of the shares entitled to vote on such matter unless otherwise provided in the declaration of trust. The Restated Declaration of Trust provides for amendments to the Restated Declaration of Trust by the affirmative vote of the holders of a majority of the shares entitled to vote on the matter if the</w:t>
      </w:r>
    </w:p>
    <w:p>
      <w:pPr>
        <w:spacing w:after="0" w:line="200" w:lineRule="exact"/>
        <w:rPr>
          <w:sz w:val="20"/>
          <w:szCs w:val="20"/>
          <w:color w:val="auto"/>
        </w:rPr>
      </w:pPr>
    </w:p>
    <w:p>
      <w:pPr>
        <w:sectPr>
          <w:pgSz w:w="11900" w:h="16838" w:orient="portrait"/>
          <w:cols w:equalWidth="0" w:num="2">
            <w:col w:w="4380" w:space="300"/>
            <w:col w:w="5539"/>
          </w:cols>
          <w:pgMar w:left="240" w:top="1042" w:right="1440" w:bottom="1440" w:gutter="0" w:footer="0" w:header="0"/>
          <w:type w:val="continuous"/>
        </w:sectPr>
      </w:pPr>
    </w:p>
    <w:p>
      <w:pPr>
        <w:spacing w:after="0" w:line="7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1042" w:right="1440" w:bottom="1440" w:gutter="0" w:footer="0" w:header="0"/>
          <w:type w:val="continuous"/>
        </w:sectPr>
      </w:pPr>
    </w:p>
    <w:bookmarkStart w:id="27" w:name="page28"/>
    <w:bookmarkEnd w:id="27"/>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100"/>
        <w:spacing w:after="0"/>
        <w:tabs>
          <w:tab w:leader="none" w:pos="64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0"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042" w:right="1440" w:bottom="1440" w:gutter="0" w:footer="0" w:header="0"/>
        </w:sectPr>
      </w:pPr>
    </w:p>
    <w:p>
      <w:pPr>
        <w:spacing w:after="0" w:line="190" w:lineRule="exact"/>
        <w:rPr>
          <w:sz w:val="20"/>
          <w:szCs w:val="20"/>
          <w:color w:val="auto"/>
        </w:rPr>
      </w:pPr>
    </w:p>
    <w:p>
      <w:pPr>
        <w:ind w:left="300" w:right="100" w:hanging="199"/>
        <w:spacing w:after="0" w:line="318" w:lineRule="auto"/>
        <w:tabs>
          <w:tab w:leader="none" w:pos="39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80% or more of the shares then outstanding and entitled to vote absent Trustee approval or recommendation.</w:t>
      </w:r>
    </w:p>
    <w:p>
      <w:pPr>
        <w:spacing w:after="0" w:line="45" w:lineRule="exact"/>
        <w:rPr>
          <w:sz w:val="20"/>
          <w:szCs w:val="20"/>
          <w:color w:val="auto"/>
        </w:rPr>
      </w:pPr>
    </w:p>
    <w:p>
      <w:pPr>
        <w:ind w:right="700"/>
        <w:spacing w:after="0" w:line="379" w:lineRule="auto"/>
        <w:rPr>
          <w:sz w:val="20"/>
          <w:szCs w:val="20"/>
          <w:color w:val="auto"/>
        </w:rPr>
      </w:pPr>
      <w:r>
        <w:rPr>
          <w:rFonts w:ascii="Courier New" w:cs="Courier New" w:eastAsia="Courier New" w:hAnsi="Courier New"/>
          <w:sz w:val="16"/>
          <w:szCs w:val="16"/>
          <w:color w:val="auto"/>
        </w:rPr>
        <w:t>All other sections of the Existing Declaration of Trust may be amended:</w:t>
      </w:r>
    </w:p>
    <w:p>
      <w:pPr>
        <w:spacing w:after="0" w:line="1" w:lineRule="exact"/>
        <w:rPr>
          <w:sz w:val="20"/>
          <w:szCs w:val="20"/>
          <w:color w:val="auto"/>
        </w:rPr>
      </w:pPr>
    </w:p>
    <w:p>
      <w:pPr>
        <w:ind w:left="300" w:hanging="199"/>
        <w:spacing w:after="0" w:line="292" w:lineRule="auto"/>
        <w:tabs>
          <w:tab w:leader="none" w:pos="399"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 meeting called for the purpose, by a two-thirds vote of the Shares then outstanding and entitled to vote; or</w:t>
      </w:r>
    </w:p>
    <w:p>
      <w:pPr>
        <w:spacing w:after="0" w:line="62" w:lineRule="exact"/>
        <w:rPr>
          <w:sz w:val="20"/>
          <w:szCs w:val="20"/>
          <w:color w:val="auto"/>
        </w:rPr>
      </w:pPr>
    </w:p>
    <w:p>
      <w:pPr>
        <w:ind w:left="300" w:right="300" w:hanging="199"/>
        <w:spacing w:after="0" w:line="274" w:lineRule="auto"/>
        <w:tabs>
          <w:tab w:leader="none" w:pos="399"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a meeting, by the written consent signed by the majority of the Trustees and by two-thirds or more of such outstanding Shares.</w:t>
      </w:r>
    </w:p>
    <w:p>
      <w:pPr>
        <w:spacing w:after="0" w:line="77" w:lineRule="exact"/>
        <w:rPr>
          <w:sz w:val="20"/>
          <w:szCs w:val="20"/>
          <w:color w:val="auto"/>
        </w:rPr>
      </w:pPr>
    </w:p>
    <w:p>
      <w:pPr>
        <w:ind w:right="200"/>
        <w:spacing w:after="0" w:line="296" w:lineRule="auto"/>
        <w:rPr>
          <w:sz w:val="20"/>
          <w:szCs w:val="20"/>
          <w:color w:val="auto"/>
        </w:rPr>
      </w:pPr>
      <w:r>
        <w:rPr>
          <w:rFonts w:ascii="Courier New" w:cs="Courier New" w:eastAsia="Courier New" w:hAnsi="Courier New"/>
          <w:sz w:val="16"/>
          <w:szCs w:val="16"/>
          <w:color w:val="auto"/>
        </w:rPr>
        <w:t>The Existing Declaration of Trust also gives the Trustees the power to amend the Existing Declaration of Trust without the vote or consent of any Shareholders</w:t>
      </w:r>
    </w:p>
    <w:p>
      <w:pPr>
        <w:spacing w:after="0" w:line="62" w:lineRule="exact"/>
        <w:rPr>
          <w:sz w:val="20"/>
          <w:szCs w:val="20"/>
          <w:color w:val="auto"/>
        </w:rPr>
      </w:pPr>
    </w:p>
    <w:p>
      <w:pPr>
        <w:ind w:left="300" w:right="300" w:hanging="199"/>
        <w:spacing w:after="0" w:line="274" w:lineRule="auto"/>
        <w:tabs>
          <w:tab w:leader="none" w:pos="399"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they deem necessary to qualify the Trust as a real estate investment trust under the Internal Revenue Code, or</w:t>
      </w:r>
    </w:p>
    <w:p>
      <w:pPr>
        <w:spacing w:after="0" w:line="77" w:lineRule="exact"/>
        <w:rPr>
          <w:sz w:val="20"/>
          <w:szCs w:val="20"/>
          <w:color w:val="auto"/>
        </w:rPr>
      </w:pPr>
    </w:p>
    <w:p>
      <w:pPr>
        <w:jc w:val="both"/>
        <w:ind w:left="300" w:right="100" w:hanging="199"/>
        <w:spacing w:after="0" w:line="318" w:lineRule="auto"/>
        <w:tabs>
          <w:tab w:leader="none" w:pos="39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conform the Existing Declaration of Trust to the requirements of applicable federal or state laws or regulations.</w:t>
      </w:r>
    </w:p>
    <w:p>
      <w:pPr>
        <w:spacing w:after="0" w:line="45" w:lineRule="exact"/>
        <w:rPr>
          <w:sz w:val="20"/>
          <w:szCs w:val="20"/>
          <w:color w:val="auto"/>
        </w:rPr>
      </w:pPr>
    </w:p>
    <w:p>
      <w:pPr>
        <w:ind w:right="100"/>
        <w:spacing w:after="0" w:line="292" w:lineRule="auto"/>
        <w:rPr>
          <w:sz w:val="20"/>
          <w:szCs w:val="20"/>
          <w:color w:val="auto"/>
        </w:rPr>
      </w:pPr>
      <w:r>
        <w:rPr>
          <w:rFonts w:ascii="Courier New" w:cs="Courier New" w:eastAsia="Courier New" w:hAnsi="Courier New"/>
          <w:sz w:val="17"/>
          <w:szCs w:val="17"/>
          <w:color w:val="auto"/>
        </w:rPr>
        <w:t>Generally, the Existing Bylaws may be amended, modified or repealed by a vote of two-thirds or more of the Trustees.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359" w:firstLine="99"/>
        <w:spacing w:after="0" w:line="285" w:lineRule="auto"/>
        <w:rPr>
          <w:sz w:val="20"/>
          <w:szCs w:val="20"/>
          <w:color w:val="auto"/>
        </w:rPr>
      </w:pPr>
      <w:r>
        <w:rPr>
          <w:rFonts w:ascii="Courier New" w:cs="Courier New" w:eastAsia="Courier New" w:hAnsi="Courier New"/>
          <w:sz w:val="16"/>
          <w:szCs w:val="16"/>
          <w:color w:val="auto"/>
        </w:rPr>
        <w:t>Trustees have unanimously approved a shareholder vote on the matter. The Board of Trustees has the authority to increase the authorized shares of the trust without the approval of the shareholders.</w:t>
      </w:r>
    </w:p>
    <w:p>
      <w:pPr>
        <w:spacing w:after="0" w:line="71" w:lineRule="exact"/>
        <w:rPr>
          <w:sz w:val="20"/>
          <w:szCs w:val="20"/>
          <w:color w:val="auto"/>
        </w:rPr>
      </w:pPr>
    </w:p>
    <w:p>
      <w:pPr>
        <w:ind w:right="1359"/>
        <w:spacing w:after="0" w:line="253" w:lineRule="auto"/>
        <w:rPr>
          <w:sz w:val="20"/>
          <w:szCs w:val="20"/>
          <w:color w:val="auto"/>
        </w:rPr>
      </w:pPr>
      <w:r>
        <w:rPr>
          <w:rFonts w:ascii="Courier New" w:cs="Courier New" w:eastAsia="Courier New" w:hAnsi="Courier New"/>
          <w:sz w:val="17"/>
          <w:szCs w:val="17"/>
          <w:color w:val="auto"/>
        </w:rPr>
        <w:t>The Restated Declaration of Trust provides that the Trustees may amend the Restated Declaration of Trust, in the manner provided by Title 8, without any action by the Shareholders, to qualify as a REIT under the Code or under Title 8 and as otherwise provided in the Declaration of Trust.</w:t>
      </w:r>
    </w:p>
    <w:p>
      <w:pPr>
        <w:spacing w:after="0" w:line="97" w:lineRule="exact"/>
        <w:rPr>
          <w:sz w:val="20"/>
          <w:szCs w:val="20"/>
          <w:color w:val="auto"/>
        </w:rPr>
      </w:pPr>
    </w:p>
    <w:p>
      <w:pPr>
        <w:ind w:right="1259"/>
        <w:spacing w:after="0" w:line="274" w:lineRule="auto"/>
        <w:rPr>
          <w:sz w:val="20"/>
          <w:szCs w:val="20"/>
          <w:color w:val="auto"/>
        </w:rPr>
      </w:pPr>
      <w:r>
        <w:rPr>
          <w:rFonts w:ascii="Courier New" w:cs="Courier New" w:eastAsia="Courier New" w:hAnsi="Courier New"/>
          <w:sz w:val="17"/>
          <w:szCs w:val="17"/>
          <w:color w:val="auto"/>
        </w:rPr>
        <w:t>The Restated Bylaws provide that the Board of Trustees has the exclusive power to adopt, amend or repeal any provision of the Bylaws and to make new bylaws.</w:t>
      </w:r>
    </w:p>
    <w:p>
      <w:pPr>
        <w:spacing w:after="0" w:line="2754"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ind w:left="2780"/>
        <w:spacing w:after="0"/>
        <w:rPr>
          <w:sz w:val="20"/>
          <w:szCs w:val="20"/>
          <w:color w:val="auto"/>
        </w:rPr>
      </w:pPr>
      <w:r>
        <w:rPr>
          <w:rFonts w:ascii="Courier New" w:cs="Courier New" w:eastAsia="Courier New" w:hAnsi="Courier New"/>
          <w:sz w:val="16"/>
          <w:szCs w:val="16"/>
          <w:color w:val="auto"/>
        </w:rPr>
        <w:t>Limit on Share Ownership</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263" w:lineRule="auto"/>
        <w:rPr>
          <w:sz w:val="20"/>
          <w:szCs w:val="20"/>
          <w:color w:val="auto"/>
        </w:rPr>
      </w:pPr>
      <w:r>
        <w:rPr>
          <w:rFonts w:ascii="Courier New" w:cs="Courier New" w:eastAsia="Courier New" w:hAnsi="Courier New"/>
          <w:sz w:val="16"/>
          <w:szCs w:val="16"/>
          <w:color w:val="auto"/>
        </w:rPr>
        <w:t>The Existing Declaration of Trust prohibits any Person (as defined therein) from owning greater than 9.8% in fair market value of the Trust's Shares outstanding at any time. The Trustees may authorize a single Person (as defined therein) to own up to a maximum of 20% in fair market value of outstanding Shares. The share ownership limit does not prohibit the completion of a tender offer for all of the outstanding Shares, provided that the consideration offered is in cash or voting securities of a public company and the offer is approved by the Trustees or 80% of the Shareholders.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59"/>
        <w:spacing w:after="0" w:line="262" w:lineRule="auto"/>
        <w:rPr>
          <w:sz w:val="20"/>
          <w:szCs w:val="20"/>
          <w:color w:val="auto"/>
        </w:rPr>
      </w:pPr>
      <w:r>
        <w:rPr>
          <w:rFonts w:ascii="Courier New" w:cs="Courier New" w:eastAsia="Courier New" w:hAnsi="Courier New"/>
          <w:sz w:val="16"/>
          <w:szCs w:val="16"/>
          <w:color w:val="auto"/>
        </w:rPr>
        <w:t>Title 8 does not limit share ownership. The Restated Declaration of Trust prohibits the ownership by any person of greater than 9.8% in value of the aggregate of the outstanding equity shares and 9.8% (in value or in number of shares, whichever is more restrictive) of the aggregate number of the outstanding common shares. Subject to certain exceptions and requirements, the Board of Trustees, in its sole discretion, may exempt a Person from the Aggregate Share Ownership Limit and the Common Share Ownership Limit, as the case may be, and may establish or increase an Excepted Holder Limit for such Person.</w:t>
      </w:r>
    </w:p>
    <w:p>
      <w:pPr>
        <w:spacing w:after="0" w:line="200"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spacing w:after="0" w:line="8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1042" w:right="1440" w:bottom="1440" w:gutter="0" w:footer="0" w:header="0"/>
          <w:type w:val="continuous"/>
        </w:sectPr>
      </w:pPr>
    </w:p>
    <w:bookmarkStart w:id="28" w:name="page29"/>
    <w:bookmarkEnd w:id="28"/>
    <w:p>
      <w:pPr>
        <w:ind w:left="200" w:hanging="198"/>
        <w:spacing w:after="0"/>
        <w:tabs>
          <w:tab w:leader="none" w:pos="20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1" w:lineRule="exact"/>
        <w:rPr>
          <w:rFonts w:ascii="Courier New" w:cs="Courier New" w:eastAsia="Courier New" w:hAnsi="Courier New"/>
          <w:sz w:val="16"/>
          <w:szCs w:val="16"/>
          <w:color w:val="auto"/>
        </w:rPr>
      </w:pPr>
    </w:p>
    <w:p>
      <w:pPr>
        <w:ind w:left="1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District of Columbia</w:t>
      </w:r>
    </w:p>
    <w:p>
      <w:pPr>
        <w:spacing w:after="0" w:line="189"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1" w:lineRule="exact"/>
        <w:rPr>
          <w:sz w:val="20"/>
          <w:szCs w:val="20"/>
          <w:color w:val="auto"/>
        </w:rPr>
      </w:pPr>
    </w:p>
    <w:p>
      <w:pPr>
        <w:ind w:right="300"/>
        <w:spacing w:after="0" w:line="263" w:lineRule="auto"/>
        <w:rPr>
          <w:sz w:val="20"/>
          <w:szCs w:val="20"/>
          <w:color w:val="auto"/>
        </w:rPr>
      </w:pPr>
      <w:r>
        <w:rPr>
          <w:rFonts w:ascii="Courier New" w:cs="Courier New" w:eastAsia="Courier New" w:hAnsi="Courier New"/>
          <w:sz w:val="16"/>
          <w:szCs w:val="16"/>
          <w:color w:val="auto"/>
        </w:rPr>
        <w:t>Under the Existing Declaration of Trust, certain "business combinations" (including certain mergers, consolidations, dispositions of assets and issuances of securities) between the Trust and any person who beneficially owns 9.8% of the outstanding Shares entitled to vote require the affirmative vote of the holders of 80% of the Shares then outstanding and entitled to vote on the matter, unless the consideration received by shareholders in the business combination satisfies certain fair price conditions and certain other conditions are satisfied.</w:t>
      </w:r>
    </w:p>
    <w:p>
      <w:pPr>
        <w:spacing w:after="0" w:line="8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Maryland</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jc w:val="both"/>
        <w:ind w:right="1259"/>
        <w:spacing w:after="0" w:line="263" w:lineRule="auto"/>
        <w:rPr>
          <w:sz w:val="20"/>
          <w:szCs w:val="20"/>
          <w:color w:val="auto"/>
        </w:rPr>
      </w:pPr>
      <w:r>
        <w:rPr>
          <w:rFonts w:ascii="Courier New" w:cs="Courier New" w:eastAsia="Courier New" w:hAnsi="Courier New"/>
          <w:sz w:val="16"/>
          <w:szCs w:val="16"/>
          <w:color w:val="auto"/>
        </w:rPr>
        <w:t>Under the Maryland General Corporation Law, as amended ("MGCL"), as applicable to real estate investment trusts formed under Title 8, certain "business combinations"</w:t>
      </w:r>
    </w:p>
    <w:p>
      <w:pPr>
        <w:spacing w:after="0" w:line="1" w:lineRule="exact"/>
        <w:rPr>
          <w:sz w:val="20"/>
          <w:szCs w:val="20"/>
          <w:color w:val="auto"/>
        </w:rPr>
      </w:pPr>
    </w:p>
    <w:p>
      <w:pPr>
        <w:ind w:right="1259"/>
        <w:spacing w:after="0" w:line="256" w:lineRule="auto"/>
        <w:rPr>
          <w:sz w:val="20"/>
          <w:szCs w:val="20"/>
          <w:color w:val="auto"/>
        </w:rPr>
      </w:pPr>
      <w:r>
        <w:rPr>
          <w:rFonts w:ascii="Courier New" w:cs="Courier New" w:eastAsia="Courier New" w:hAnsi="Courier New"/>
          <w:sz w:val="16"/>
          <w:szCs w:val="16"/>
          <w:color w:val="auto"/>
        </w:rPr>
        <w:t>(including certain mergers, asset transfers and issuances of equity securities) between a Maryland REIT and any person who beneficially owns 10% or more of the voting power of the trust's shares or certain affiliates or associates (as defined in the MGCL) of the trust (an "Interested Shareholder") or an affiliate thereof are prohibited for five years after the most recent date on which the Interested Shareholder becomes an Interested Shareholder. Thereafter, any such business combination must be recommended by the board of trustees and approved by two super-majority shareholder votes unless, among other conditions, the trust's common shareholders receive a minimum price (as defined in the MGCL) for their shares and the consideration is received in cash or in the same form as previously paid by the Interested Shareholder for its common shares. These provisions do not apply, however, to business combinations that are approved or exempted by the board of trustees before the Interested Shareholder becomes an Interested Shareholder.</w:t>
      </w:r>
    </w:p>
    <w:p>
      <w:pPr>
        <w:spacing w:after="0" w:line="107" w:lineRule="exact"/>
        <w:rPr>
          <w:sz w:val="20"/>
          <w:szCs w:val="20"/>
          <w:color w:val="auto"/>
        </w:rPr>
      </w:pPr>
    </w:p>
    <w:p>
      <w:pPr>
        <w:sectPr>
          <w:pgSz w:w="11900" w:h="16838" w:orient="portrait"/>
          <w:cols w:equalWidth="0" w:num="2">
            <w:col w:w="4580" w:space="100"/>
            <w:col w:w="5539"/>
          </w:cols>
          <w:pgMar w:left="240" w:top="1042" w:right="1440" w:bottom="1440" w:gutter="0" w:footer="0" w:header="0"/>
        </w:sectPr>
      </w:pPr>
    </w:p>
    <w:p>
      <w:pPr>
        <w:ind w:left="2680"/>
        <w:spacing w:after="0"/>
        <w:rPr>
          <w:sz w:val="20"/>
          <w:szCs w:val="20"/>
          <w:color w:val="auto"/>
        </w:rPr>
      </w:pPr>
      <w:r>
        <w:rPr>
          <w:rFonts w:ascii="Courier New" w:cs="Courier New" w:eastAsia="Courier New" w:hAnsi="Courier New"/>
          <w:sz w:val="16"/>
          <w:szCs w:val="16"/>
          <w:color w:val="auto"/>
        </w:rPr>
        <w:t>Control Share Acquisitions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318" w:lineRule="auto"/>
        <w:rPr>
          <w:sz w:val="20"/>
          <w:szCs w:val="20"/>
          <w:color w:val="auto"/>
        </w:rPr>
      </w:pPr>
      <w:r>
        <w:rPr>
          <w:rFonts w:ascii="Courier New" w:cs="Courier New" w:eastAsia="Courier New" w:hAnsi="Courier New"/>
          <w:sz w:val="16"/>
          <w:szCs w:val="16"/>
          <w:color w:val="auto"/>
        </w:rPr>
        <w:t>Neither the Existing Declaration of Trust nor the Existing Bylaws contain provisions governing acquisitions of control shares.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59"/>
        <w:spacing w:after="0" w:line="260" w:lineRule="auto"/>
        <w:rPr>
          <w:sz w:val="20"/>
          <w:szCs w:val="20"/>
          <w:color w:val="auto"/>
        </w:rPr>
      </w:pPr>
      <w:r>
        <w:rPr>
          <w:rFonts w:ascii="Courier New" w:cs="Courier New" w:eastAsia="Courier New" w:hAnsi="Courier New"/>
          <w:sz w:val="16"/>
          <w:szCs w:val="16"/>
          <w:color w:val="auto"/>
        </w:rPr>
        <w:t>The MGCL, as applicable to Maryland REITs, provides that "control shares" of a Maryland REIT acquired in a "control share acquisition" have no voting rights except to the extent approved by a vote of two-thirds of the votes entitled to be cast on the matter, excluding shares of beneficial interest owned by the acquiror, by officers or by trustees who are employees of the trust. "Control Shares" are voting shares of beneficial interest which, if aggregated with all other such shares of beneficial interest previously acquired by the acquiror, or in respect of which the acquiror is able to exercise or direct the exercise of voting power (except solely by virtue of a revocable proxy), would entitle the acquiror to exercise voting power in electing trustees within one of the following ranges of voting power:</w:t>
      </w:r>
    </w:p>
    <w:p>
      <w:pPr>
        <w:spacing w:after="0" w:line="89"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one-fifth or more but less than one-third,</w:t>
      </w:r>
    </w:p>
    <w:p>
      <w:pPr>
        <w:spacing w:after="0" w:line="200" w:lineRule="exact"/>
        <w:rPr>
          <w:sz w:val="20"/>
          <w:szCs w:val="20"/>
          <w:color w:val="auto"/>
        </w:rPr>
      </w:pPr>
    </w:p>
    <w:p>
      <w:pPr>
        <w:sectPr>
          <w:pgSz w:w="11900" w:h="16838" w:orient="portrait"/>
          <w:cols w:equalWidth="0" w:num="2">
            <w:col w:w="4180" w:space="500"/>
            <w:col w:w="5539"/>
          </w:cols>
          <w:pgMar w:left="240" w:top="1042" w:right="1440" w:bottom="1440" w:gutter="0" w:footer="0" w:header="0"/>
          <w:type w:val="continuous"/>
        </w:sectPr>
      </w:pP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1042" w:right="1440"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80"/>
        </w:trPr>
        <w:tc>
          <w:tcPr>
            <w:tcW w:w="488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7"/>
              </w:rPr>
              <w:t>- - ------------------------------------------</w:t>
            </w:r>
          </w:p>
        </w:tc>
        <w:tc>
          <w:tcPr>
            <w:tcW w:w="4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3"/>
        </w:trPr>
        <w:tc>
          <w:tcPr>
            <w:tcW w:w="4880" w:type="dxa"/>
            <w:vAlign w:val="bottom"/>
          </w:tcPr>
          <w:p>
            <w:pPr>
              <w:ind w:left="1100"/>
              <w:spacing w:after="0"/>
              <w:rPr>
                <w:sz w:val="20"/>
                <w:szCs w:val="20"/>
                <w:color w:val="auto"/>
              </w:rPr>
            </w:pPr>
            <w:r>
              <w:rPr>
                <w:rFonts w:ascii="Courier New" w:cs="Courier New" w:eastAsia="Courier New" w:hAnsi="Courier New"/>
                <w:sz w:val="17"/>
                <w:szCs w:val="17"/>
                <w:color w:val="auto"/>
              </w:rPr>
              <w:t>District of Columbia</w:t>
            </w:r>
          </w:p>
        </w:tc>
        <w:tc>
          <w:tcPr>
            <w:tcW w:w="4560" w:type="dxa"/>
            <w:vAlign w:val="bottom"/>
          </w:tcPr>
          <w:p>
            <w:pPr>
              <w:ind w:left="1580"/>
              <w:spacing w:after="0"/>
              <w:rPr>
                <w:sz w:val="20"/>
                <w:szCs w:val="20"/>
                <w:color w:val="auto"/>
              </w:rPr>
            </w:pPr>
            <w:r>
              <w:rPr>
                <w:rFonts w:ascii="Courier New" w:cs="Courier New" w:eastAsia="Courier New" w:hAnsi="Courier New"/>
                <w:sz w:val="17"/>
                <w:szCs w:val="17"/>
                <w:color w:val="auto"/>
              </w:rPr>
              <w:t>Maryland</w:t>
            </w:r>
          </w:p>
        </w:tc>
        <w:tc>
          <w:tcPr>
            <w:tcW w:w="0" w:type="dxa"/>
            <w:vAlign w:val="bottom"/>
          </w:tcPr>
          <w:p>
            <w:pPr>
              <w:spacing w:after="0"/>
              <w:rPr>
                <w:sz w:val="1"/>
                <w:szCs w:val="1"/>
                <w:color w:val="auto"/>
              </w:rPr>
            </w:pPr>
          </w:p>
        </w:tc>
      </w:tr>
      <w:tr>
        <w:trPr>
          <w:trHeight w:val="383"/>
        </w:trPr>
        <w:tc>
          <w:tcPr>
            <w:tcW w:w="488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7"/>
              </w:rPr>
              <w:t>- - ------------------------------------------</w:t>
            </w:r>
          </w:p>
        </w:tc>
        <w:tc>
          <w:tcPr>
            <w:tcW w:w="4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9440" w:type="dxa"/>
            <w:vAlign w:val="bottom"/>
            <w:gridSpan w:val="2"/>
          </w:tcPr>
          <w:p>
            <w:pPr>
              <w:ind w:left="4680"/>
              <w:spacing w:after="0"/>
              <w:rPr>
                <w:sz w:val="20"/>
                <w:szCs w:val="20"/>
                <w:color w:val="auto"/>
              </w:rPr>
            </w:pPr>
            <w:r>
              <w:rPr>
                <w:rFonts w:ascii="Courier New" w:cs="Courier New" w:eastAsia="Courier New" w:hAnsi="Courier New"/>
                <w:sz w:val="17"/>
                <w:szCs w:val="17"/>
                <w:color w:val="auto"/>
              </w:rPr>
              <w:t>.  one-third or more but less than a</w:t>
            </w:r>
          </w:p>
        </w:tc>
        <w:tc>
          <w:tcPr>
            <w:tcW w:w="0" w:type="dxa"/>
            <w:vAlign w:val="bottom"/>
          </w:tcPr>
          <w:p>
            <w:pPr>
              <w:spacing w:after="0"/>
              <w:rPr>
                <w:sz w:val="1"/>
                <w:szCs w:val="1"/>
                <w:color w:val="auto"/>
              </w:rPr>
            </w:pPr>
          </w:p>
        </w:tc>
      </w:tr>
      <w:tr>
        <w:trPr>
          <w:trHeight w:val="191"/>
        </w:trPr>
        <w:tc>
          <w:tcPr>
            <w:tcW w:w="4880" w:type="dxa"/>
            <w:vAlign w:val="bottom"/>
            <w:vMerge w:val="restart"/>
          </w:tcPr>
          <w:p>
            <w:pPr>
              <w:ind w:left="4680"/>
              <w:spacing w:after="0"/>
              <w:rPr>
                <w:sz w:val="20"/>
                <w:szCs w:val="20"/>
                <w:color w:val="auto"/>
              </w:rPr>
            </w:pPr>
            <w:r>
              <w:rPr>
                <w:rFonts w:ascii="Courier New" w:cs="Courier New" w:eastAsia="Courier New" w:hAnsi="Courier New"/>
                <w:sz w:val="17"/>
                <w:szCs w:val="17"/>
                <w:color w:val="auto"/>
              </w:rPr>
              <w:t>.</w:t>
            </w:r>
          </w:p>
        </w:tc>
        <w:tc>
          <w:tcPr>
            <w:tcW w:w="4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majority, or</w:t>
            </w:r>
          </w:p>
        </w:tc>
        <w:tc>
          <w:tcPr>
            <w:tcW w:w="0" w:type="dxa"/>
            <w:vAlign w:val="bottom"/>
          </w:tcPr>
          <w:p>
            <w:pPr>
              <w:spacing w:after="0"/>
              <w:rPr>
                <w:sz w:val="1"/>
                <w:szCs w:val="1"/>
                <w:color w:val="auto"/>
              </w:rPr>
            </w:pPr>
          </w:p>
        </w:tc>
      </w:tr>
      <w:tr>
        <w:trPr>
          <w:trHeight w:val="280"/>
        </w:trPr>
        <w:tc>
          <w:tcPr>
            <w:tcW w:w="4880" w:type="dxa"/>
            <w:vAlign w:val="bottom"/>
            <w:vMerge w:val="continue"/>
          </w:tcPr>
          <w:p>
            <w:pPr>
              <w:spacing w:after="0"/>
              <w:rPr>
                <w:sz w:val="24"/>
                <w:szCs w:val="2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rPr>
              <w:t>a majority or more of all voting power.</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Control shares do not include shares the</w:t>
      </w:r>
    </w:p>
    <w:p>
      <w:pPr>
        <w:spacing w:after="0" w:line="2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acquiring person is then entitled to vote</w:t>
      </w:r>
    </w:p>
    <w:p>
      <w:pPr>
        <w:ind w:left="4680"/>
        <w:spacing w:after="0" w:line="238" w:lineRule="auto"/>
        <w:rPr>
          <w:sz w:val="20"/>
          <w:szCs w:val="20"/>
          <w:color w:val="auto"/>
        </w:rPr>
      </w:pPr>
      <w:r>
        <w:rPr>
          <w:rFonts w:ascii="Courier New" w:cs="Courier New" w:eastAsia="Courier New" w:hAnsi="Courier New"/>
          <w:sz w:val="17"/>
          <w:szCs w:val="17"/>
          <w:color w:val="auto"/>
        </w:rPr>
        <w:t>as a result of having previously obtained</w:t>
      </w:r>
    </w:p>
    <w:p>
      <w:pPr>
        <w:ind w:left="4680"/>
        <w:spacing w:after="0" w:line="238" w:lineRule="auto"/>
        <w:rPr>
          <w:sz w:val="20"/>
          <w:szCs w:val="20"/>
          <w:color w:val="auto"/>
        </w:rPr>
      </w:pPr>
      <w:r>
        <w:rPr>
          <w:rFonts w:ascii="Courier New" w:cs="Courier New" w:eastAsia="Courier New" w:hAnsi="Courier New"/>
          <w:sz w:val="17"/>
          <w:szCs w:val="17"/>
          <w:color w:val="auto"/>
        </w:rPr>
        <w:t>shareholder approval. A "control share</w:t>
      </w:r>
    </w:p>
    <w:p>
      <w:pPr>
        <w:ind w:left="4680"/>
        <w:spacing w:after="0"/>
        <w:rPr>
          <w:sz w:val="20"/>
          <w:szCs w:val="20"/>
          <w:color w:val="auto"/>
        </w:rPr>
      </w:pPr>
      <w:r>
        <w:rPr>
          <w:rFonts w:ascii="Courier New" w:cs="Courier New" w:eastAsia="Courier New" w:hAnsi="Courier New"/>
          <w:sz w:val="17"/>
          <w:szCs w:val="17"/>
          <w:color w:val="auto"/>
        </w:rPr>
        <w:t>acquisition" means the acquisition of</w:t>
      </w:r>
    </w:p>
    <w:p>
      <w:pPr>
        <w:ind w:left="4680"/>
        <w:spacing w:after="0" w:line="238" w:lineRule="auto"/>
        <w:rPr>
          <w:sz w:val="20"/>
          <w:szCs w:val="20"/>
          <w:color w:val="auto"/>
        </w:rPr>
      </w:pPr>
      <w:r>
        <w:rPr>
          <w:rFonts w:ascii="Courier New" w:cs="Courier New" w:eastAsia="Courier New" w:hAnsi="Courier New"/>
          <w:sz w:val="17"/>
          <w:szCs w:val="17"/>
          <w:color w:val="auto"/>
        </w:rPr>
        <w:t>control shares, subject to certain</w:t>
      </w:r>
    </w:p>
    <w:p>
      <w:pPr>
        <w:ind w:left="4680"/>
        <w:spacing w:after="0"/>
        <w:rPr>
          <w:sz w:val="20"/>
          <w:szCs w:val="20"/>
          <w:color w:val="auto"/>
        </w:rPr>
      </w:pPr>
      <w:r>
        <w:rPr>
          <w:rFonts w:ascii="Courier New" w:cs="Courier New" w:eastAsia="Courier New" w:hAnsi="Courier New"/>
          <w:sz w:val="17"/>
          <w:szCs w:val="17"/>
          <w:color w:val="auto"/>
        </w:rPr>
        <w:t>exceptions.</w:t>
      </w:r>
    </w:p>
    <w:p>
      <w:pPr>
        <w:spacing w:after="0" w:line="160"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A person who has made or proposes to make a</w:t>
      </w:r>
    </w:p>
    <w:p>
      <w:pPr>
        <w:spacing w:after="0" w:line="2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control share acquisition, upon</w:t>
      </w:r>
    </w:p>
    <w:p>
      <w:pPr>
        <w:ind w:left="4680"/>
        <w:spacing w:after="0" w:line="238" w:lineRule="auto"/>
        <w:rPr>
          <w:sz w:val="20"/>
          <w:szCs w:val="20"/>
          <w:color w:val="auto"/>
        </w:rPr>
      </w:pPr>
      <w:r>
        <w:rPr>
          <w:rFonts w:ascii="Courier New" w:cs="Courier New" w:eastAsia="Courier New" w:hAnsi="Courier New"/>
          <w:sz w:val="17"/>
          <w:szCs w:val="17"/>
          <w:color w:val="auto"/>
        </w:rPr>
        <w:t>satisfaction of certain conditions</w:t>
      </w:r>
    </w:p>
    <w:p>
      <w:pPr>
        <w:ind w:left="4680"/>
        <w:spacing w:after="0" w:line="238" w:lineRule="auto"/>
        <w:rPr>
          <w:sz w:val="20"/>
          <w:szCs w:val="20"/>
          <w:color w:val="auto"/>
        </w:rPr>
      </w:pPr>
      <w:r>
        <w:rPr>
          <w:rFonts w:ascii="Courier New" w:cs="Courier New" w:eastAsia="Courier New" w:hAnsi="Courier New"/>
          <w:sz w:val="17"/>
          <w:szCs w:val="17"/>
          <w:color w:val="auto"/>
        </w:rPr>
        <w:t>(including an undertaking to pay expenses),</w:t>
      </w:r>
    </w:p>
    <w:p>
      <w:pPr>
        <w:ind w:left="4680"/>
        <w:spacing w:after="0"/>
        <w:rPr>
          <w:sz w:val="20"/>
          <w:szCs w:val="20"/>
          <w:color w:val="auto"/>
        </w:rPr>
      </w:pPr>
      <w:r>
        <w:rPr>
          <w:rFonts w:ascii="Courier New" w:cs="Courier New" w:eastAsia="Courier New" w:hAnsi="Courier New"/>
          <w:sz w:val="17"/>
          <w:szCs w:val="17"/>
          <w:color w:val="auto"/>
        </w:rPr>
        <w:t>may compel the board of trustees of the</w:t>
      </w:r>
    </w:p>
    <w:p>
      <w:pPr>
        <w:ind w:left="4680"/>
        <w:spacing w:after="0" w:line="238" w:lineRule="auto"/>
        <w:rPr>
          <w:sz w:val="20"/>
          <w:szCs w:val="20"/>
          <w:color w:val="auto"/>
        </w:rPr>
      </w:pPr>
      <w:r>
        <w:rPr>
          <w:rFonts w:ascii="Courier New" w:cs="Courier New" w:eastAsia="Courier New" w:hAnsi="Courier New"/>
          <w:sz w:val="17"/>
          <w:szCs w:val="17"/>
          <w:color w:val="auto"/>
        </w:rPr>
        <w:t>trust to call a special meeting of</w:t>
      </w:r>
    </w:p>
    <w:p>
      <w:pPr>
        <w:ind w:left="4680"/>
        <w:spacing w:after="0" w:line="238" w:lineRule="auto"/>
        <w:rPr>
          <w:sz w:val="20"/>
          <w:szCs w:val="20"/>
          <w:color w:val="auto"/>
        </w:rPr>
      </w:pPr>
      <w:r>
        <w:rPr>
          <w:rFonts w:ascii="Courier New" w:cs="Courier New" w:eastAsia="Courier New" w:hAnsi="Courier New"/>
          <w:sz w:val="17"/>
          <w:szCs w:val="17"/>
          <w:color w:val="auto"/>
        </w:rPr>
        <w:t>shareholders to be held within 50 days of</w:t>
      </w:r>
    </w:p>
    <w:p>
      <w:pPr>
        <w:ind w:left="4680"/>
        <w:spacing w:after="0"/>
        <w:rPr>
          <w:sz w:val="20"/>
          <w:szCs w:val="20"/>
          <w:color w:val="auto"/>
        </w:rPr>
      </w:pPr>
      <w:r>
        <w:rPr>
          <w:rFonts w:ascii="Courier New" w:cs="Courier New" w:eastAsia="Courier New" w:hAnsi="Courier New"/>
          <w:sz w:val="17"/>
          <w:szCs w:val="17"/>
          <w:color w:val="auto"/>
        </w:rPr>
        <w:t>demand to consider the voting rights of the</w:t>
      </w:r>
    </w:p>
    <w:p>
      <w:pPr>
        <w:ind w:left="4680"/>
        <w:spacing w:after="0" w:line="238" w:lineRule="auto"/>
        <w:rPr>
          <w:sz w:val="20"/>
          <w:szCs w:val="20"/>
          <w:color w:val="auto"/>
        </w:rPr>
      </w:pPr>
      <w:r>
        <w:rPr>
          <w:rFonts w:ascii="Courier New" w:cs="Courier New" w:eastAsia="Courier New" w:hAnsi="Courier New"/>
          <w:sz w:val="17"/>
          <w:szCs w:val="17"/>
          <w:color w:val="auto"/>
        </w:rPr>
        <w:t>shares. If no request for a meeting is</w:t>
      </w:r>
    </w:p>
    <w:p>
      <w:pPr>
        <w:ind w:left="4680"/>
        <w:spacing w:after="0" w:line="238" w:lineRule="auto"/>
        <w:rPr>
          <w:sz w:val="20"/>
          <w:szCs w:val="20"/>
          <w:color w:val="auto"/>
        </w:rPr>
      </w:pPr>
      <w:r>
        <w:rPr>
          <w:rFonts w:ascii="Courier New" w:cs="Courier New" w:eastAsia="Courier New" w:hAnsi="Courier New"/>
          <w:sz w:val="17"/>
          <w:szCs w:val="17"/>
          <w:color w:val="auto"/>
        </w:rPr>
        <w:t>made, the trust may itself present the</w:t>
      </w:r>
    </w:p>
    <w:p>
      <w:pPr>
        <w:spacing w:after="0" w:line="1"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question at any shareholders meeting.</w:t>
      </w:r>
    </w:p>
    <w:p>
      <w:pPr>
        <w:spacing w:after="0" w:line="160"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If voting rights are not approved at the</w:t>
      </w:r>
    </w:p>
    <w:p>
      <w:pPr>
        <w:spacing w:after="0" w:line="2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meeting or if the acquiring person does not</w:t>
      </w:r>
    </w:p>
    <w:p>
      <w:pPr>
        <w:ind w:left="4680"/>
        <w:spacing w:after="0" w:line="238" w:lineRule="auto"/>
        <w:rPr>
          <w:sz w:val="20"/>
          <w:szCs w:val="20"/>
          <w:color w:val="auto"/>
        </w:rPr>
      </w:pPr>
      <w:r>
        <w:rPr>
          <w:rFonts w:ascii="Courier New" w:cs="Courier New" w:eastAsia="Courier New" w:hAnsi="Courier New"/>
          <w:sz w:val="17"/>
          <w:szCs w:val="17"/>
          <w:color w:val="auto"/>
        </w:rPr>
        <w:t>deliver an acquiring person statement as</w:t>
      </w:r>
    </w:p>
    <w:p>
      <w:pPr>
        <w:ind w:left="4680"/>
        <w:spacing w:after="0" w:line="238" w:lineRule="auto"/>
        <w:rPr>
          <w:sz w:val="20"/>
          <w:szCs w:val="20"/>
          <w:color w:val="auto"/>
        </w:rPr>
      </w:pPr>
      <w:r>
        <w:rPr>
          <w:rFonts w:ascii="Courier New" w:cs="Courier New" w:eastAsia="Courier New" w:hAnsi="Courier New"/>
          <w:sz w:val="17"/>
          <w:szCs w:val="17"/>
          <w:color w:val="auto"/>
        </w:rPr>
        <w:t>required by the statute, then, subject to</w:t>
      </w:r>
    </w:p>
    <w:p>
      <w:pPr>
        <w:ind w:left="4680"/>
        <w:spacing w:after="0"/>
        <w:rPr>
          <w:sz w:val="20"/>
          <w:szCs w:val="20"/>
          <w:color w:val="auto"/>
        </w:rPr>
      </w:pPr>
      <w:r>
        <w:rPr>
          <w:rFonts w:ascii="Courier New" w:cs="Courier New" w:eastAsia="Courier New" w:hAnsi="Courier New"/>
          <w:sz w:val="17"/>
          <w:szCs w:val="17"/>
          <w:color w:val="auto"/>
        </w:rPr>
        <w:t>certain conditions and limitations, the</w:t>
      </w:r>
    </w:p>
    <w:p>
      <w:pPr>
        <w:ind w:left="4680"/>
        <w:spacing w:after="0" w:line="238" w:lineRule="auto"/>
        <w:rPr>
          <w:sz w:val="20"/>
          <w:szCs w:val="20"/>
          <w:color w:val="auto"/>
        </w:rPr>
      </w:pPr>
      <w:r>
        <w:rPr>
          <w:rFonts w:ascii="Courier New" w:cs="Courier New" w:eastAsia="Courier New" w:hAnsi="Courier New"/>
          <w:sz w:val="17"/>
          <w:szCs w:val="17"/>
          <w:color w:val="auto"/>
        </w:rPr>
        <w:t>trust may redeem any or all of the control</w:t>
      </w:r>
    </w:p>
    <w:p>
      <w:pPr>
        <w:ind w:left="4680"/>
        <w:spacing w:after="0" w:line="238" w:lineRule="auto"/>
        <w:rPr>
          <w:sz w:val="20"/>
          <w:szCs w:val="20"/>
          <w:color w:val="auto"/>
        </w:rPr>
      </w:pPr>
      <w:r>
        <w:rPr>
          <w:rFonts w:ascii="Courier New" w:cs="Courier New" w:eastAsia="Courier New" w:hAnsi="Courier New"/>
          <w:sz w:val="17"/>
          <w:szCs w:val="17"/>
          <w:color w:val="auto"/>
        </w:rPr>
        <w:t>shares (except those for which voting</w:t>
      </w:r>
    </w:p>
    <w:p>
      <w:pPr>
        <w:ind w:left="4680"/>
        <w:spacing w:after="0"/>
        <w:rPr>
          <w:sz w:val="20"/>
          <w:szCs w:val="20"/>
          <w:color w:val="auto"/>
        </w:rPr>
      </w:pPr>
      <w:r>
        <w:rPr>
          <w:rFonts w:ascii="Courier New" w:cs="Courier New" w:eastAsia="Courier New" w:hAnsi="Courier New"/>
          <w:sz w:val="17"/>
          <w:szCs w:val="17"/>
          <w:color w:val="auto"/>
        </w:rPr>
        <w:t>rights have previously been approved) for</w:t>
      </w:r>
    </w:p>
    <w:p>
      <w:pPr>
        <w:ind w:left="4680"/>
        <w:spacing w:after="0" w:line="238" w:lineRule="auto"/>
        <w:rPr>
          <w:sz w:val="20"/>
          <w:szCs w:val="20"/>
          <w:color w:val="auto"/>
        </w:rPr>
      </w:pPr>
      <w:r>
        <w:rPr>
          <w:rFonts w:ascii="Courier New" w:cs="Courier New" w:eastAsia="Courier New" w:hAnsi="Courier New"/>
          <w:sz w:val="17"/>
          <w:szCs w:val="17"/>
          <w:color w:val="auto"/>
        </w:rPr>
        <w:t>fair value determined, without regard to</w:t>
      </w:r>
    </w:p>
    <w:p>
      <w:pPr>
        <w:ind w:left="4680"/>
        <w:spacing w:after="0" w:line="238" w:lineRule="auto"/>
        <w:rPr>
          <w:sz w:val="20"/>
          <w:szCs w:val="20"/>
          <w:color w:val="auto"/>
        </w:rPr>
      </w:pPr>
      <w:r>
        <w:rPr>
          <w:rFonts w:ascii="Courier New" w:cs="Courier New" w:eastAsia="Courier New" w:hAnsi="Courier New"/>
          <w:sz w:val="17"/>
          <w:szCs w:val="17"/>
          <w:color w:val="auto"/>
        </w:rPr>
        <w:t>the absence of voting rights for the</w:t>
      </w:r>
    </w:p>
    <w:p>
      <w:pPr>
        <w:ind w:left="4680"/>
        <w:spacing w:after="0"/>
        <w:rPr>
          <w:sz w:val="20"/>
          <w:szCs w:val="20"/>
          <w:color w:val="auto"/>
        </w:rPr>
      </w:pPr>
      <w:r>
        <w:rPr>
          <w:rFonts w:ascii="Courier New" w:cs="Courier New" w:eastAsia="Courier New" w:hAnsi="Courier New"/>
          <w:sz w:val="17"/>
          <w:szCs w:val="17"/>
          <w:color w:val="auto"/>
        </w:rPr>
        <w:t>control shares, as of the date of the last</w:t>
      </w:r>
    </w:p>
    <w:p>
      <w:pPr>
        <w:ind w:left="4680"/>
        <w:spacing w:after="0" w:line="238" w:lineRule="auto"/>
        <w:rPr>
          <w:sz w:val="20"/>
          <w:szCs w:val="20"/>
          <w:color w:val="auto"/>
        </w:rPr>
      </w:pPr>
      <w:r>
        <w:rPr>
          <w:rFonts w:ascii="Courier New" w:cs="Courier New" w:eastAsia="Courier New" w:hAnsi="Courier New"/>
          <w:sz w:val="17"/>
          <w:szCs w:val="17"/>
          <w:color w:val="auto"/>
        </w:rPr>
        <w:t>control share acquisition by the acquiror</w:t>
      </w:r>
    </w:p>
    <w:p>
      <w:pPr>
        <w:ind w:left="4680"/>
        <w:spacing w:after="0" w:line="238" w:lineRule="auto"/>
        <w:rPr>
          <w:sz w:val="20"/>
          <w:szCs w:val="20"/>
          <w:color w:val="auto"/>
        </w:rPr>
      </w:pPr>
      <w:r>
        <w:rPr>
          <w:rFonts w:ascii="Courier New" w:cs="Courier New" w:eastAsia="Courier New" w:hAnsi="Courier New"/>
          <w:sz w:val="17"/>
          <w:szCs w:val="17"/>
          <w:color w:val="auto"/>
        </w:rPr>
        <w:t>or of any meeting of shareholders at which</w:t>
      </w:r>
    </w:p>
    <w:p>
      <w:pPr>
        <w:ind w:left="4680"/>
        <w:spacing w:after="0"/>
        <w:rPr>
          <w:sz w:val="20"/>
          <w:szCs w:val="20"/>
          <w:color w:val="auto"/>
        </w:rPr>
      </w:pPr>
      <w:r>
        <w:rPr>
          <w:rFonts w:ascii="Courier New" w:cs="Courier New" w:eastAsia="Courier New" w:hAnsi="Courier New"/>
          <w:sz w:val="17"/>
          <w:szCs w:val="17"/>
          <w:color w:val="auto"/>
        </w:rPr>
        <w:t>the voting rights of such shares are</w:t>
      </w:r>
    </w:p>
    <w:p>
      <w:pPr>
        <w:ind w:left="4680"/>
        <w:spacing w:after="0" w:line="238" w:lineRule="auto"/>
        <w:rPr>
          <w:sz w:val="20"/>
          <w:szCs w:val="20"/>
          <w:color w:val="auto"/>
        </w:rPr>
      </w:pPr>
      <w:r>
        <w:rPr>
          <w:rFonts w:ascii="Courier New" w:cs="Courier New" w:eastAsia="Courier New" w:hAnsi="Courier New"/>
          <w:sz w:val="17"/>
          <w:szCs w:val="17"/>
          <w:color w:val="auto"/>
        </w:rPr>
        <w:t>considered and not approved. If voting</w:t>
      </w:r>
    </w:p>
    <w:p>
      <w:pPr>
        <w:ind w:left="4680"/>
        <w:spacing w:after="0" w:line="238" w:lineRule="auto"/>
        <w:rPr>
          <w:sz w:val="20"/>
          <w:szCs w:val="20"/>
          <w:color w:val="auto"/>
        </w:rPr>
      </w:pPr>
      <w:r>
        <w:rPr>
          <w:rFonts w:ascii="Courier New" w:cs="Courier New" w:eastAsia="Courier New" w:hAnsi="Courier New"/>
          <w:sz w:val="17"/>
          <w:szCs w:val="17"/>
          <w:color w:val="auto"/>
        </w:rPr>
        <w:t>rights for control shares are approved at a</w:t>
      </w:r>
    </w:p>
    <w:p>
      <w:pPr>
        <w:ind w:left="4680"/>
        <w:spacing w:after="0"/>
        <w:rPr>
          <w:sz w:val="20"/>
          <w:szCs w:val="20"/>
          <w:color w:val="auto"/>
        </w:rPr>
      </w:pPr>
      <w:r>
        <w:rPr>
          <w:rFonts w:ascii="Courier New" w:cs="Courier New" w:eastAsia="Courier New" w:hAnsi="Courier New"/>
          <w:sz w:val="17"/>
          <w:szCs w:val="17"/>
          <w:color w:val="auto"/>
        </w:rPr>
        <w:t>shareholders meeting and the acquiror</w:t>
      </w:r>
    </w:p>
    <w:p>
      <w:pPr>
        <w:ind w:left="4680"/>
        <w:spacing w:after="0" w:line="238" w:lineRule="auto"/>
        <w:rPr>
          <w:sz w:val="20"/>
          <w:szCs w:val="20"/>
          <w:color w:val="auto"/>
        </w:rPr>
      </w:pPr>
      <w:r>
        <w:rPr>
          <w:rFonts w:ascii="Courier New" w:cs="Courier New" w:eastAsia="Courier New" w:hAnsi="Courier New"/>
          <w:sz w:val="17"/>
          <w:szCs w:val="17"/>
          <w:color w:val="auto"/>
        </w:rPr>
        <w:t>becomes entitled to vote a majority of the</w:t>
      </w:r>
    </w:p>
    <w:p>
      <w:pPr>
        <w:ind w:left="4680"/>
        <w:spacing w:after="0" w:line="238" w:lineRule="auto"/>
        <w:rPr>
          <w:sz w:val="20"/>
          <w:szCs w:val="20"/>
          <w:color w:val="auto"/>
        </w:rPr>
      </w:pPr>
      <w:r>
        <w:rPr>
          <w:rFonts w:ascii="Courier New" w:cs="Courier New" w:eastAsia="Courier New" w:hAnsi="Courier New"/>
          <w:sz w:val="17"/>
          <w:szCs w:val="17"/>
          <w:color w:val="auto"/>
        </w:rPr>
        <w:t>shares entitled to vote, all other</w:t>
      </w:r>
    </w:p>
    <w:p>
      <w:pPr>
        <w:ind w:left="4680"/>
        <w:spacing w:after="0"/>
        <w:rPr>
          <w:sz w:val="20"/>
          <w:szCs w:val="20"/>
          <w:color w:val="auto"/>
        </w:rPr>
      </w:pPr>
      <w:r>
        <w:rPr>
          <w:rFonts w:ascii="Courier New" w:cs="Courier New" w:eastAsia="Courier New" w:hAnsi="Courier New"/>
          <w:sz w:val="17"/>
          <w:szCs w:val="17"/>
          <w:color w:val="auto"/>
        </w:rPr>
        <w:t>shareholders may exercise appraisal rights.</w:t>
      </w:r>
    </w:p>
    <w:p>
      <w:pPr>
        <w:ind w:left="4680"/>
        <w:spacing w:after="0" w:line="238" w:lineRule="auto"/>
        <w:rPr>
          <w:sz w:val="20"/>
          <w:szCs w:val="20"/>
          <w:color w:val="auto"/>
        </w:rPr>
      </w:pPr>
      <w:r>
        <w:rPr>
          <w:rFonts w:ascii="Courier New" w:cs="Courier New" w:eastAsia="Courier New" w:hAnsi="Courier New"/>
          <w:sz w:val="17"/>
          <w:szCs w:val="17"/>
          <w:color w:val="auto"/>
        </w:rPr>
        <w:t>The fair value of the shares as determined</w:t>
      </w:r>
    </w:p>
    <w:p>
      <w:pPr>
        <w:ind w:left="4680"/>
        <w:spacing w:after="0" w:line="238" w:lineRule="auto"/>
        <w:rPr>
          <w:sz w:val="20"/>
          <w:szCs w:val="20"/>
          <w:color w:val="auto"/>
        </w:rPr>
      </w:pPr>
      <w:r>
        <w:rPr>
          <w:rFonts w:ascii="Courier New" w:cs="Courier New" w:eastAsia="Courier New" w:hAnsi="Courier New"/>
          <w:sz w:val="17"/>
          <w:szCs w:val="17"/>
          <w:color w:val="auto"/>
        </w:rPr>
        <w:t>for purposes of such appraisal rights may</w:t>
      </w:r>
    </w:p>
    <w:p>
      <w:pPr>
        <w:ind w:left="4680"/>
        <w:spacing w:after="0"/>
        <w:rPr>
          <w:sz w:val="20"/>
          <w:szCs w:val="20"/>
          <w:color w:val="auto"/>
        </w:rPr>
      </w:pPr>
      <w:r>
        <w:rPr>
          <w:rFonts w:ascii="Courier New" w:cs="Courier New" w:eastAsia="Courier New" w:hAnsi="Courier New"/>
          <w:sz w:val="17"/>
          <w:szCs w:val="17"/>
          <w:color w:val="auto"/>
        </w:rPr>
        <w:t>not be less than the highest price per</w:t>
      </w:r>
    </w:p>
    <w:p>
      <w:pPr>
        <w:ind w:left="4680"/>
        <w:spacing w:after="0" w:line="238" w:lineRule="auto"/>
        <w:rPr>
          <w:sz w:val="20"/>
          <w:szCs w:val="20"/>
          <w:color w:val="auto"/>
        </w:rPr>
      </w:pPr>
      <w:r>
        <w:rPr>
          <w:rFonts w:ascii="Courier New" w:cs="Courier New" w:eastAsia="Courier New" w:hAnsi="Courier New"/>
          <w:sz w:val="17"/>
          <w:szCs w:val="17"/>
          <w:color w:val="auto"/>
        </w:rPr>
        <w:t>share paid by the acquiror in the control</w:t>
      </w:r>
    </w:p>
    <w:p>
      <w:pPr>
        <w:ind w:left="4680"/>
        <w:spacing w:after="0"/>
        <w:rPr>
          <w:sz w:val="20"/>
          <w:szCs w:val="20"/>
          <w:color w:val="auto"/>
        </w:rPr>
      </w:pPr>
      <w:r>
        <w:rPr>
          <w:rFonts w:ascii="Courier New" w:cs="Courier New" w:eastAsia="Courier New" w:hAnsi="Courier New"/>
          <w:sz w:val="17"/>
          <w:szCs w:val="17"/>
          <w:color w:val="auto"/>
        </w:rPr>
        <w:t>share acquisition.</w:t>
      </w:r>
    </w:p>
    <w:p>
      <w:pPr>
        <w:spacing w:after="0" w:line="160"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The control share acquisition statute does</w:t>
      </w:r>
    </w:p>
    <w:p>
      <w:pPr>
        <w:spacing w:after="0" w:line="2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not apply (a) to shares acquired in a</w:t>
      </w:r>
    </w:p>
    <w:p>
      <w:pPr>
        <w:ind w:left="4680"/>
        <w:spacing w:after="0" w:line="238" w:lineRule="auto"/>
        <w:rPr>
          <w:sz w:val="20"/>
          <w:szCs w:val="20"/>
          <w:color w:val="auto"/>
        </w:rPr>
      </w:pPr>
      <w:r>
        <w:rPr>
          <w:rFonts w:ascii="Courier New" w:cs="Courier New" w:eastAsia="Courier New" w:hAnsi="Courier New"/>
          <w:sz w:val="17"/>
          <w:szCs w:val="17"/>
          <w:color w:val="auto"/>
        </w:rPr>
        <w:t>merger, consolidation or share exchange if</w:t>
      </w:r>
    </w:p>
    <w:p>
      <w:pPr>
        <w:ind w:left="4680"/>
        <w:spacing w:after="0" w:line="238" w:lineRule="auto"/>
        <w:rPr>
          <w:sz w:val="20"/>
          <w:szCs w:val="20"/>
          <w:color w:val="auto"/>
        </w:rPr>
      </w:pPr>
      <w:r>
        <w:rPr>
          <w:rFonts w:ascii="Courier New" w:cs="Courier New" w:eastAsia="Courier New" w:hAnsi="Courier New"/>
          <w:sz w:val="17"/>
          <w:szCs w:val="17"/>
          <w:color w:val="auto"/>
        </w:rPr>
        <w:t>the trust is a party to the transaction or</w:t>
      </w:r>
    </w:p>
    <w:p>
      <w:pPr>
        <w:ind w:left="4680"/>
        <w:spacing w:after="0"/>
        <w:rPr>
          <w:sz w:val="20"/>
          <w:szCs w:val="20"/>
          <w:color w:val="auto"/>
        </w:rPr>
      </w:pPr>
      <w:r>
        <w:rPr>
          <w:rFonts w:ascii="Courier New" w:cs="Courier New" w:eastAsia="Courier New" w:hAnsi="Courier New"/>
          <w:sz w:val="17"/>
          <w:szCs w:val="17"/>
          <w:color w:val="auto"/>
        </w:rPr>
        <w:t>(b) to acquisitions approved or exempted by</w:t>
      </w:r>
    </w:p>
    <w:p>
      <w:pPr>
        <w:ind w:left="4680"/>
        <w:spacing w:after="0" w:line="238" w:lineRule="auto"/>
        <w:rPr>
          <w:sz w:val="20"/>
          <w:szCs w:val="20"/>
          <w:color w:val="auto"/>
        </w:rPr>
      </w:pPr>
      <w:r>
        <w:rPr>
          <w:rFonts w:ascii="Courier New" w:cs="Courier New" w:eastAsia="Courier New" w:hAnsi="Courier New"/>
          <w:sz w:val="17"/>
          <w:szCs w:val="17"/>
          <w:color w:val="auto"/>
        </w:rPr>
        <w:t>the declaration of trust or bylaws of the</w:t>
      </w:r>
    </w:p>
    <w:p>
      <w:pPr>
        <w:ind w:left="4680"/>
        <w:spacing w:after="0"/>
        <w:rPr>
          <w:sz w:val="20"/>
          <w:szCs w:val="20"/>
          <w:color w:val="auto"/>
        </w:rPr>
      </w:pPr>
      <w:r>
        <w:rPr>
          <w:rFonts w:ascii="Courier New" w:cs="Courier New" w:eastAsia="Courier New" w:hAnsi="Courier New"/>
          <w:sz w:val="17"/>
          <w:szCs w:val="17"/>
          <w:color w:val="auto"/>
        </w:rPr>
        <w:t>trust.</w:t>
      </w:r>
    </w:p>
    <w:p>
      <w:pPr>
        <w:spacing w:after="0" w:line="160"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The Restated Bylaws contain a provision</w:t>
      </w:r>
    </w:p>
    <w:p>
      <w:pPr>
        <w:spacing w:after="0" w:line="2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exempting from the control share</w:t>
      </w:r>
    </w:p>
    <w:p>
      <w:pPr>
        <w:ind w:left="4680"/>
        <w:spacing w:after="0"/>
        <w:rPr>
          <w:sz w:val="20"/>
          <w:szCs w:val="20"/>
          <w:color w:val="auto"/>
        </w:rPr>
      </w:pPr>
      <w:r>
        <w:rPr>
          <w:rFonts w:ascii="Courier New" w:cs="Courier New" w:eastAsia="Courier New" w:hAnsi="Courier New"/>
          <w:sz w:val="17"/>
          <w:szCs w:val="17"/>
          <w:color w:val="auto"/>
        </w:rPr>
        <w:t>acquisition statute any and all</w:t>
      </w:r>
    </w:p>
    <w:p>
      <w:pPr>
        <w:spacing w:after="0" w:line="35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1042" w:right="1440" w:bottom="1440" w:gutter="0" w:footer="0" w:header="0"/>
        </w:sectPr>
      </w:pPr>
    </w:p>
    <w:bookmarkStart w:id="30" w:name="page31"/>
    <w:bookmarkEnd w:id="30"/>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100"/>
        <w:spacing w:after="0"/>
        <w:tabs>
          <w:tab w:leader="none" w:pos="64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0"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acquisitions by any person of the Trust's</w:t>
      </w:r>
    </w:p>
    <w:p>
      <w:pPr>
        <w:spacing w:after="0" w:line="2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shares of beneficial interest. There can be</w:t>
      </w:r>
    </w:p>
    <w:p>
      <w:pPr>
        <w:ind w:left="4680"/>
        <w:spacing w:after="0" w:line="238" w:lineRule="auto"/>
        <w:rPr>
          <w:sz w:val="20"/>
          <w:szCs w:val="20"/>
          <w:color w:val="auto"/>
        </w:rPr>
      </w:pPr>
      <w:r>
        <w:rPr>
          <w:rFonts w:ascii="Courier New" w:cs="Courier New" w:eastAsia="Courier New" w:hAnsi="Courier New"/>
          <w:sz w:val="17"/>
          <w:szCs w:val="17"/>
          <w:color w:val="auto"/>
        </w:rPr>
        <w:t>no assurance that such provision will not</w:t>
      </w:r>
    </w:p>
    <w:p>
      <w:pPr>
        <w:ind w:left="4680"/>
        <w:spacing w:after="0" w:line="238" w:lineRule="auto"/>
        <w:rPr>
          <w:sz w:val="20"/>
          <w:szCs w:val="20"/>
          <w:color w:val="auto"/>
        </w:rPr>
      </w:pPr>
      <w:r>
        <w:rPr>
          <w:rFonts w:ascii="Courier New" w:cs="Courier New" w:eastAsia="Courier New" w:hAnsi="Courier New"/>
          <w:sz w:val="17"/>
          <w:szCs w:val="17"/>
          <w:color w:val="auto"/>
        </w:rPr>
        <w:t>be amended or eliminated at any time in the</w:t>
      </w:r>
    </w:p>
    <w:p>
      <w:pPr>
        <w:spacing w:after="0" w:line="1"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future.</w:t>
      </w:r>
    </w:p>
    <w:p>
      <w:pPr>
        <w:spacing w:after="0" w:line="16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Limitation of Trustees' and Officers' Liability</w:t>
      </w:r>
    </w:p>
    <w:p>
      <w:pPr>
        <w:sectPr>
          <w:pgSz w:w="11900" w:h="16838" w:orient="portrait"/>
          <w:cols w:equalWidth="0" w:num="1">
            <w:col w:w="10219"/>
          </w:cols>
          <w:pgMar w:left="240" w:top="1042" w:right="1440" w:bottom="1440" w:gutter="0" w:footer="0" w:header="0"/>
        </w:sectPr>
      </w:pPr>
    </w:p>
    <w:p>
      <w:pPr>
        <w:spacing w:after="0" w:line="190" w:lineRule="exact"/>
        <w:rPr>
          <w:sz w:val="20"/>
          <w:szCs w:val="20"/>
          <w:color w:val="auto"/>
        </w:rPr>
      </w:pPr>
    </w:p>
    <w:p>
      <w:pPr>
        <w:spacing w:after="0" w:line="260" w:lineRule="auto"/>
        <w:rPr>
          <w:sz w:val="20"/>
          <w:szCs w:val="20"/>
          <w:color w:val="auto"/>
        </w:rPr>
      </w:pPr>
      <w:r>
        <w:rPr>
          <w:rFonts w:ascii="Courier New" w:cs="Courier New" w:eastAsia="Courier New" w:hAnsi="Courier New"/>
          <w:sz w:val="16"/>
          <w:szCs w:val="16"/>
          <w:color w:val="auto"/>
        </w:rPr>
        <w:t>The Existing Declaration of Trust provides that the Trustees, officers, employees or agents of the Trust shall not be personally liable to the Trust or to any Shareholder, Trustee, officer, employee or agent of the Trust or to any other Person except arising from such person's bad faith, willful mis-conduct, gross negligence or reckless dis-regard of his or her duties or for his or her failure to act in good faith in the reasonable belief that his or her action was in the best interests of the Trust. Trustees, officers, employees or agents of the Trust shall not be subject to any per-sonal liability whatsoever, in tort, con-tract or otherwise, to the Trust or to any other person in connection with Trust Prop-erty or the affairs of the Trust.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259"/>
        <w:spacing w:after="0" w:line="262" w:lineRule="auto"/>
        <w:rPr>
          <w:sz w:val="20"/>
          <w:szCs w:val="20"/>
          <w:color w:val="auto"/>
        </w:rPr>
      </w:pPr>
      <w:r>
        <w:rPr>
          <w:rFonts w:ascii="Courier New" w:cs="Courier New" w:eastAsia="Courier New" w:hAnsi="Courier New"/>
          <w:sz w:val="16"/>
          <w:szCs w:val="16"/>
          <w:color w:val="auto"/>
        </w:rPr>
        <w:t>The Maryland REIT Law permits a Maryland REIT to include in its Declaration of Trust a provision limiting the liability of its trustees and officers to the trust and its shareholders for money damages except for liability resulting from (a) actual receipt of an improper benefit or profit in money, property or services or (b) active and deliberate dishonesty established by a final judgment as being material to the cause of action. The Declaration of Trust of the Trust contains such a provision which eliminates such liability to the maximum extent permitted by the Maryland REIT Law.</w:t>
      </w:r>
    </w:p>
    <w:p>
      <w:pPr>
        <w:spacing w:after="0" w:line="863"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6"/>
          <w:szCs w:val="16"/>
          <w:color w:val="auto"/>
        </w:rPr>
        <w:t>Limitation of Shareholder Liability</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267" w:lineRule="auto"/>
        <w:rPr>
          <w:sz w:val="20"/>
          <w:szCs w:val="20"/>
          <w:color w:val="auto"/>
        </w:rPr>
      </w:pPr>
      <w:r>
        <w:rPr>
          <w:rFonts w:ascii="Courier New" w:cs="Courier New" w:eastAsia="Courier New" w:hAnsi="Courier New"/>
          <w:sz w:val="16"/>
          <w:szCs w:val="16"/>
          <w:color w:val="auto"/>
        </w:rPr>
        <w:t>The Existing Declaration of Trust provides that no Shareholder shall be liable for any debt, claim, demand, judgment or obligation of any kind of, against or with respect to the Trust by reason of being a Shareholder, nor shall any Shareholder be subject to any personal liability whatsoever, in tort, contract or otherwise, to any Person in connection with the Trust Property or the affairs of the Trust.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59"/>
        <w:spacing w:after="0" w:line="269" w:lineRule="auto"/>
        <w:rPr>
          <w:sz w:val="20"/>
          <w:szCs w:val="20"/>
          <w:color w:val="auto"/>
        </w:rPr>
      </w:pPr>
      <w:r>
        <w:rPr>
          <w:rFonts w:ascii="Courier New" w:cs="Courier New" w:eastAsia="Courier New" w:hAnsi="Courier New"/>
          <w:sz w:val="16"/>
          <w:szCs w:val="16"/>
          <w:color w:val="auto"/>
        </w:rPr>
        <w:t>Pursuant to Title 8, a shareholder of a Maryland REIT may not be held personally liable for the obligations of the Maryland REIT. The Restated Declaration of Trust provides that no shareholder shall be liable for and debt, claim, demand, judgment or obligation of any kind, against or with respect to the Trust by reason of his being a shareholder.</w:t>
      </w:r>
    </w:p>
    <w:p>
      <w:pPr>
        <w:spacing w:after="0" w:line="275"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Indemnification of Trustees and Officers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271" w:lineRule="auto"/>
        <w:rPr>
          <w:sz w:val="20"/>
          <w:szCs w:val="20"/>
          <w:color w:val="auto"/>
        </w:rPr>
      </w:pPr>
      <w:r>
        <w:rPr>
          <w:rFonts w:ascii="Courier New" w:cs="Courier New" w:eastAsia="Courier New" w:hAnsi="Courier New"/>
          <w:sz w:val="16"/>
          <w:szCs w:val="16"/>
          <w:color w:val="auto"/>
        </w:rPr>
        <w:t>The Existing Declaration of Trust provides that the Trust shall indemnify and hold harmless each of its Trustees, officers, employees and agents (including those who serve at its request as directors, officers or trustees of another organization in which it has any interest as a shareholder, creditor or otherwise)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59"/>
        <w:spacing w:after="0" w:line="253" w:lineRule="auto"/>
        <w:rPr>
          <w:sz w:val="20"/>
          <w:szCs w:val="20"/>
          <w:color w:val="auto"/>
        </w:rPr>
      </w:pPr>
      <w:r>
        <w:rPr>
          <w:rFonts w:ascii="Courier New" w:cs="Courier New" w:eastAsia="Courier New" w:hAnsi="Courier New"/>
          <w:sz w:val="17"/>
          <w:szCs w:val="17"/>
          <w:color w:val="auto"/>
        </w:rPr>
        <w:t>The Restated Declaration of Trust authorizes the Trust, to the maximum extent permitted by Maryland law, to obligate itself to indemnify and to pay or reimburse reasonable expenses in advance of final disposition of a proceeding to (a) any present or former trustee or officer or (b) any individual</w:t>
      </w:r>
    </w:p>
    <w:p>
      <w:pPr>
        <w:spacing w:after="0" w:line="213"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spacing w:after="0" w:line="7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1042" w:right="1440" w:bottom="1440" w:gutter="0" w:footer="0" w:header="0"/>
          <w:type w:val="continuous"/>
        </w:sectPr>
      </w:pPr>
    </w:p>
    <w:bookmarkStart w:id="31" w:name="page32"/>
    <w:bookmarkEnd w:id="31"/>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100"/>
        <w:spacing w:after="0"/>
        <w:tabs>
          <w:tab w:leader="none" w:pos="64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0"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042" w:right="1440" w:bottom="1440" w:gutter="0" w:footer="0" w:header="0"/>
        </w:sectPr>
      </w:pPr>
    </w:p>
    <w:p>
      <w:pPr>
        <w:spacing w:after="0" w:line="190" w:lineRule="exact"/>
        <w:rPr>
          <w:sz w:val="20"/>
          <w:szCs w:val="20"/>
          <w:color w:val="auto"/>
        </w:rPr>
      </w:pPr>
    </w:p>
    <w:p>
      <w:pPr>
        <w:spacing w:after="0" w:line="257" w:lineRule="auto"/>
        <w:rPr>
          <w:sz w:val="20"/>
          <w:szCs w:val="20"/>
          <w:color w:val="auto"/>
        </w:rPr>
      </w:pPr>
      <w:r>
        <w:rPr>
          <w:rFonts w:ascii="Courier New" w:cs="Courier New" w:eastAsia="Courier New" w:hAnsi="Courier New"/>
          <w:sz w:val="16"/>
          <w:szCs w:val="16"/>
          <w:color w:val="auto"/>
        </w:rPr>
        <w:t>against, and reimburse such indemnified Person for, any claim, liability or expense in connection with the defense or disposition of any action, suit or other proceeding by the Trust or any other Person, whether civil, administrative or criminal, pending or threatened by reason of being or having been a Trustee, officer, employee or agent of the Trust and so long as certain notice requirements are met and he, she, or it was not guilty of bad faith, gross negligence, willful misconduct, or reckless disregard of duty or failure to act in good faith in the reasonable belief that such action was in the best interest of the Trust. In the event of any settlement of any claim, liability or expense as to any matter, no indemnification or reimbursement shall be provided to any Trustee, officer, employee or agent of the Trust if a determination is made by (i) a majority vote of the Trustees who were not parties to such action, suit or proceeding, or (ii) a written opinion of the Trust's legal counsel, that such matter arose out of or was based upon the willful misconduct, bad faith, gross negligence or reckless disregard of duty of such Trustee, officer, employee or agent or his failure to act in good faith in reasonable belief that his action was in the best interests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29</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259"/>
        <w:spacing w:after="0" w:line="256" w:lineRule="auto"/>
        <w:rPr>
          <w:sz w:val="20"/>
          <w:szCs w:val="20"/>
          <w:color w:val="auto"/>
        </w:rPr>
      </w:pPr>
      <w:r>
        <w:rPr>
          <w:rFonts w:ascii="Courier New" w:cs="Courier New" w:eastAsia="Courier New" w:hAnsi="Courier New"/>
          <w:sz w:val="16"/>
          <w:szCs w:val="16"/>
          <w:color w:val="auto"/>
        </w:rPr>
        <w:t>who, while a trustee of the Trust and at the request of the Trust, serves or has served as a trustee, director, officer or partner of another real estate investment trust, corporation, partnership, joint venture, trust, employee benefit plan or other enterprise from and against any claim or liability to which such person may become subject or which such person may incur by reason of such status. The Bylaws of the Trust obligate it, to the maximum extent permitted by Maryland law, to indemnify and to pay or reimburse reasonable expenses in advance of final disposition of a proceeding to (a) any present or former trustee or officer who is made a party to the proceeding by reason of his service in that capacity or (b) any individual who, while a trustee or officer of the Trust and at the request of the Trust, serves or has served as a trustee, director, officer or partner of another real estate investment trust, corporation, partnership, joint venture, trust, employee benefit plan or other enterprise and who is made a party to the proceeding by reason of his service in that capacity, against any claim or liability to which he may become subject by reason of such status. The Declaration of Trust and Bylaws also permit the Trust to indemnify and advance expenses to any person who served a predecessor of the Trust in any of the capacities described above and to any employee or agent of the Trust or a predecessor of the Trust. The Bylaws require the Trust to indemnify a trustee or officer who has been successful, on the merits or otherwise, in the defense of any proceeding to which he is made a party by reason of his service in that capacity.</w:t>
      </w:r>
    </w:p>
    <w:p>
      <w:pPr>
        <w:spacing w:after="0" w:line="299" w:lineRule="exact"/>
        <w:rPr>
          <w:sz w:val="20"/>
          <w:szCs w:val="20"/>
          <w:color w:val="auto"/>
        </w:rPr>
      </w:pPr>
    </w:p>
    <w:p>
      <w:pPr>
        <w:ind w:right="1459"/>
        <w:spacing w:after="0" w:line="267" w:lineRule="auto"/>
        <w:rPr>
          <w:sz w:val="20"/>
          <w:szCs w:val="20"/>
          <w:color w:val="auto"/>
        </w:rPr>
      </w:pPr>
      <w:r>
        <w:rPr>
          <w:rFonts w:ascii="Courier New" w:cs="Courier New" w:eastAsia="Courier New" w:hAnsi="Courier New"/>
          <w:sz w:val="16"/>
          <w:szCs w:val="16"/>
          <w:color w:val="auto"/>
        </w:rPr>
        <w:t>The Maryland REIT Law permits a Maryland REIT to indemnify and advance expenses to its trustees, officers, employees and agents to the same extent as permitted by the MGCL for directors and officers of Maryland corporations. The MGCL permits a corporation to indemnify its present and former directors and officers, among others, against judgments, penalties, fines, settlements and</w:t>
      </w:r>
    </w:p>
    <w:p>
      <w:pPr>
        <w:sectPr>
          <w:pgSz w:w="11900" w:h="16838" w:orient="portrait"/>
          <w:cols w:equalWidth="0" w:num="2">
            <w:col w:w="4280" w:space="400"/>
            <w:col w:w="5539"/>
          </w:cols>
          <w:pgMar w:left="240" w:top="1042" w:right="1440" w:bottom="1440" w:gutter="0" w:footer="0" w:header="0"/>
          <w:type w:val="continuous"/>
        </w:sectPr>
      </w:pPr>
    </w:p>
    <w:bookmarkStart w:id="32" w:name="page33"/>
    <w:bookmarkEnd w:id="32"/>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100"/>
        <w:spacing w:after="0"/>
        <w:tabs>
          <w:tab w:leader="none" w:pos="64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0"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reasonable expenses actually incurred by</w:t>
      </w:r>
    </w:p>
    <w:p>
      <w:pPr>
        <w:spacing w:after="0" w:line="2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them in connection with any proceeding to</w:t>
      </w:r>
    </w:p>
    <w:p>
      <w:pPr>
        <w:ind w:left="4680"/>
        <w:spacing w:after="0" w:line="238" w:lineRule="auto"/>
        <w:rPr>
          <w:sz w:val="20"/>
          <w:szCs w:val="20"/>
          <w:color w:val="auto"/>
        </w:rPr>
      </w:pPr>
      <w:r>
        <w:rPr>
          <w:rFonts w:ascii="Courier New" w:cs="Courier New" w:eastAsia="Courier New" w:hAnsi="Courier New"/>
          <w:sz w:val="17"/>
          <w:szCs w:val="17"/>
          <w:color w:val="auto"/>
        </w:rPr>
        <w:t>which they may be made a party by reason of</w:t>
      </w:r>
    </w:p>
    <w:p>
      <w:pPr>
        <w:ind w:left="4680"/>
        <w:spacing w:after="0" w:line="238" w:lineRule="auto"/>
        <w:rPr>
          <w:sz w:val="20"/>
          <w:szCs w:val="20"/>
          <w:color w:val="auto"/>
        </w:rPr>
      </w:pPr>
      <w:r>
        <w:rPr>
          <w:rFonts w:ascii="Courier New" w:cs="Courier New" w:eastAsia="Courier New" w:hAnsi="Courier New"/>
          <w:sz w:val="17"/>
          <w:szCs w:val="17"/>
          <w:color w:val="auto"/>
        </w:rPr>
        <w:t>their service in those or other capacities</w:t>
      </w:r>
    </w:p>
    <w:p>
      <w:pPr>
        <w:ind w:left="4680"/>
        <w:spacing w:after="0"/>
        <w:rPr>
          <w:sz w:val="20"/>
          <w:szCs w:val="20"/>
          <w:color w:val="auto"/>
        </w:rPr>
      </w:pPr>
      <w:r>
        <w:rPr>
          <w:rFonts w:ascii="Courier New" w:cs="Courier New" w:eastAsia="Courier New" w:hAnsi="Courier New"/>
          <w:sz w:val="17"/>
          <w:szCs w:val="17"/>
          <w:color w:val="auto"/>
        </w:rPr>
        <w:t>unless it is established that (a) the act</w:t>
      </w:r>
    </w:p>
    <w:p>
      <w:pPr>
        <w:ind w:left="4680"/>
        <w:spacing w:after="0" w:line="238" w:lineRule="auto"/>
        <w:rPr>
          <w:sz w:val="20"/>
          <w:szCs w:val="20"/>
          <w:color w:val="auto"/>
        </w:rPr>
      </w:pPr>
      <w:r>
        <w:rPr>
          <w:rFonts w:ascii="Courier New" w:cs="Courier New" w:eastAsia="Courier New" w:hAnsi="Courier New"/>
          <w:sz w:val="17"/>
          <w:szCs w:val="17"/>
          <w:color w:val="auto"/>
        </w:rPr>
        <w:t>or omission of the director or officer was</w:t>
      </w:r>
    </w:p>
    <w:p>
      <w:pPr>
        <w:ind w:left="4680"/>
        <w:spacing w:after="0" w:line="238" w:lineRule="auto"/>
        <w:rPr>
          <w:sz w:val="20"/>
          <w:szCs w:val="20"/>
          <w:color w:val="auto"/>
        </w:rPr>
      </w:pPr>
      <w:r>
        <w:rPr>
          <w:rFonts w:ascii="Courier New" w:cs="Courier New" w:eastAsia="Courier New" w:hAnsi="Courier New"/>
          <w:sz w:val="17"/>
          <w:szCs w:val="17"/>
          <w:color w:val="auto"/>
        </w:rPr>
        <w:t>material to the matter giving rise to the</w:t>
      </w:r>
    </w:p>
    <w:p>
      <w:pPr>
        <w:ind w:left="4680"/>
        <w:spacing w:after="0"/>
        <w:rPr>
          <w:sz w:val="20"/>
          <w:szCs w:val="20"/>
          <w:color w:val="auto"/>
        </w:rPr>
      </w:pPr>
      <w:r>
        <w:rPr>
          <w:rFonts w:ascii="Courier New" w:cs="Courier New" w:eastAsia="Courier New" w:hAnsi="Courier New"/>
          <w:sz w:val="17"/>
          <w:szCs w:val="17"/>
          <w:color w:val="auto"/>
        </w:rPr>
        <w:t>proceeding and (i) was committed in bad</w:t>
      </w:r>
    </w:p>
    <w:p>
      <w:pPr>
        <w:ind w:left="4680"/>
        <w:spacing w:after="0" w:line="238" w:lineRule="auto"/>
        <w:rPr>
          <w:sz w:val="20"/>
          <w:szCs w:val="20"/>
          <w:color w:val="auto"/>
        </w:rPr>
      </w:pPr>
      <w:r>
        <w:rPr>
          <w:rFonts w:ascii="Courier New" w:cs="Courier New" w:eastAsia="Courier New" w:hAnsi="Courier New"/>
          <w:sz w:val="17"/>
          <w:szCs w:val="17"/>
          <w:color w:val="auto"/>
        </w:rPr>
        <w:t>faith or (ii) was the result of active and</w:t>
      </w:r>
    </w:p>
    <w:p>
      <w:pPr>
        <w:ind w:left="4680"/>
        <w:spacing w:after="0" w:line="238" w:lineRule="auto"/>
        <w:rPr>
          <w:sz w:val="20"/>
          <w:szCs w:val="20"/>
          <w:color w:val="auto"/>
        </w:rPr>
      </w:pPr>
      <w:r>
        <w:rPr>
          <w:rFonts w:ascii="Courier New" w:cs="Courier New" w:eastAsia="Courier New" w:hAnsi="Courier New"/>
          <w:sz w:val="17"/>
          <w:szCs w:val="17"/>
          <w:color w:val="auto"/>
        </w:rPr>
        <w:t>deliberate dishonesty, (b) the director or</w:t>
      </w:r>
    </w:p>
    <w:p>
      <w:pPr>
        <w:ind w:left="4680"/>
        <w:spacing w:after="0"/>
        <w:rPr>
          <w:sz w:val="20"/>
          <w:szCs w:val="20"/>
          <w:color w:val="auto"/>
        </w:rPr>
      </w:pPr>
      <w:r>
        <w:rPr>
          <w:rFonts w:ascii="Courier New" w:cs="Courier New" w:eastAsia="Courier New" w:hAnsi="Courier New"/>
          <w:sz w:val="17"/>
          <w:szCs w:val="17"/>
          <w:color w:val="auto"/>
        </w:rPr>
        <w:t>officer actually received an improper</w:t>
      </w:r>
    </w:p>
    <w:p>
      <w:pPr>
        <w:ind w:left="4680"/>
        <w:spacing w:after="0" w:line="238" w:lineRule="auto"/>
        <w:rPr>
          <w:sz w:val="20"/>
          <w:szCs w:val="20"/>
          <w:color w:val="auto"/>
        </w:rPr>
      </w:pPr>
      <w:r>
        <w:rPr>
          <w:rFonts w:ascii="Courier New" w:cs="Courier New" w:eastAsia="Courier New" w:hAnsi="Courier New"/>
          <w:sz w:val="17"/>
          <w:szCs w:val="17"/>
          <w:color w:val="auto"/>
        </w:rPr>
        <w:t>personal benefit in money, property or</w:t>
      </w:r>
    </w:p>
    <w:p>
      <w:pPr>
        <w:ind w:left="4680"/>
        <w:spacing w:after="0" w:line="238" w:lineRule="auto"/>
        <w:rPr>
          <w:sz w:val="20"/>
          <w:szCs w:val="20"/>
          <w:color w:val="auto"/>
        </w:rPr>
      </w:pPr>
      <w:r>
        <w:rPr>
          <w:rFonts w:ascii="Courier New" w:cs="Courier New" w:eastAsia="Courier New" w:hAnsi="Courier New"/>
          <w:sz w:val="17"/>
          <w:szCs w:val="17"/>
          <w:color w:val="auto"/>
        </w:rPr>
        <w:t>services or (c) in the case of any criminal</w:t>
      </w:r>
    </w:p>
    <w:p>
      <w:pPr>
        <w:ind w:left="4680"/>
        <w:spacing w:after="0"/>
        <w:rPr>
          <w:sz w:val="20"/>
          <w:szCs w:val="20"/>
          <w:color w:val="auto"/>
        </w:rPr>
      </w:pPr>
      <w:r>
        <w:rPr>
          <w:rFonts w:ascii="Courier New" w:cs="Courier New" w:eastAsia="Courier New" w:hAnsi="Courier New"/>
          <w:sz w:val="17"/>
          <w:szCs w:val="17"/>
          <w:color w:val="auto"/>
        </w:rPr>
        <w:t>proceeding, the director or officer had</w:t>
      </w:r>
    </w:p>
    <w:p>
      <w:pPr>
        <w:ind w:left="4680"/>
        <w:spacing w:after="0" w:line="238" w:lineRule="auto"/>
        <w:rPr>
          <w:sz w:val="20"/>
          <w:szCs w:val="20"/>
          <w:color w:val="auto"/>
        </w:rPr>
      </w:pPr>
      <w:r>
        <w:rPr>
          <w:rFonts w:ascii="Courier New" w:cs="Courier New" w:eastAsia="Courier New" w:hAnsi="Courier New"/>
          <w:sz w:val="17"/>
          <w:szCs w:val="17"/>
          <w:color w:val="auto"/>
        </w:rPr>
        <w:t>reasonable cause to believe that the act or</w:t>
      </w:r>
    </w:p>
    <w:p>
      <w:pPr>
        <w:ind w:left="4680"/>
        <w:spacing w:after="0" w:line="238" w:lineRule="auto"/>
        <w:rPr>
          <w:sz w:val="20"/>
          <w:szCs w:val="20"/>
          <w:color w:val="auto"/>
        </w:rPr>
      </w:pPr>
      <w:r>
        <w:rPr>
          <w:rFonts w:ascii="Courier New" w:cs="Courier New" w:eastAsia="Courier New" w:hAnsi="Courier New"/>
          <w:sz w:val="17"/>
          <w:szCs w:val="17"/>
          <w:color w:val="auto"/>
        </w:rPr>
        <w:t>omission was unlawful. However, under the</w:t>
      </w:r>
    </w:p>
    <w:p>
      <w:pPr>
        <w:ind w:left="4680"/>
        <w:spacing w:after="0"/>
        <w:rPr>
          <w:sz w:val="20"/>
          <w:szCs w:val="20"/>
          <w:color w:val="auto"/>
        </w:rPr>
      </w:pPr>
      <w:r>
        <w:rPr>
          <w:rFonts w:ascii="Courier New" w:cs="Courier New" w:eastAsia="Courier New" w:hAnsi="Courier New"/>
          <w:sz w:val="17"/>
          <w:szCs w:val="17"/>
          <w:color w:val="auto"/>
        </w:rPr>
        <w:t>MGCL, a Maryland corporation may not</w:t>
      </w:r>
    </w:p>
    <w:p>
      <w:pPr>
        <w:ind w:left="4680"/>
        <w:spacing w:after="0" w:line="238" w:lineRule="auto"/>
        <w:rPr>
          <w:sz w:val="20"/>
          <w:szCs w:val="20"/>
          <w:color w:val="auto"/>
        </w:rPr>
      </w:pPr>
      <w:r>
        <w:rPr>
          <w:rFonts w:ascii="Courier New" w:cs="Courier New" w:eastAsia="Courier New" w:hAnsi="Courier New"/>
          <w:sz w:val="17"/>
          <w:szCs w:val="17"/>
          <w:color w:val="auto"/>
        </w:rPr>
        <w:t>indemnify for an adverse judgment in a suit</w:t>
      </w:r>
    </w:p>
    <w:p>
      <w:pPr>
        <w:ind w:left="4680"/>
        <w:spacing w:after="0" w:line="238" w:lineRule="auto"/>
        <w:rPr>
          <w:sz w:val="20"/>
          <w:szCs w:val="20"/>
          <w:color w:val="auto"/>
        </w:rPr>
      </w:pPr>
      <w:r>
        <w:rPr>
          <w:rFonts w:ascii="Courier New" w:cs="Courier New" w:eastAsia="Courier New" w:hAnsi="Courier New"/>
          <w:sz w:val="17"/>
          <w:szCs w:val="17"/>
          <w:color w:val="auto"/>
        </w:rPr>
        <w:t>by or in the right of the corporation or</w:t>
      </w:r>
    </w:p>
    <w:p>
      <w:pPr>
        <w:ind w:left="4680"/>
        <w:spacing w:after="0"/>
        <w:rPr>
          <w:sz w:val="20"/>
          <w:szCs w:val="20"/>
          <w:color w:val="auto"/>
        </w:rPr>
      </w:pPr>
      <w:r>
        <w:rPr>
          <w:rFonts w:ascii="Courier New" w:cs="Courier New" w:eastAsia="Courier New" w:hAnsi="Courier New"/>
          <w:sz w:val="17"/>
          <w:szCs w:val="17"/>
          <w:color w:val="auto"/>
        </w:rPr>
        <w:t>for a judgment of liability on the basis</w:t>
      </w:r>
    </w:p>
    <w:p>
      <w:pPr>
        <w:ind w:left="4680"/>
        <w:spacing w:after="0" w:line="238" w:lineRule="auto"/>
        <w:rPr>
          <w:sz w:val="20"/>
          <w:szCs w:val="20"/>
          <w:color w:val="auto"/>
        </w:rPr>
      </w:pPr>
      <w:r>
        <w:rPr>
          <w:rFonts w:ascii="Courier New" w:cs="Courier New" w:eastAsia="Courier New" w:hAnsi="Courier New"/>
          <w:sz w:val="17"/>
          <w:szCs w:val="17"/>
          <w:color w:val="auto"/>
        </w:rPr>
        <w:t>that personal benefit was improperly</w:t>
      </w:r>
    </w:p>
    <w:p>
      <w:pPr>
        <w:ind w:left="4680"/>
        <w:spacing w:after="0" w:line="238" w:lineRule="auto"/>
        <w:rPr>
          <w:sz w:val="20"/>
          <w:szCs w:val="20"/>
          <w:color w:val="auto"/>
        </w:rPr>
      </w:pPr>
      <w:r>
        <w:rPr>
          <w:rFonts w:ascii="Courier New" w:cs="Courier New" w:eastAsia="Courier New" w:hAnsi="Courier New"/>
          <w:sz w:val="17"/>
          <w:szCs w:val="17"/>
          <w:color w:val="auto"/>
        </w:rPr>
        <w:t>received, unless in either case a court</w:t>
      </w:r>
    </w:p>
    <w:p>
      <w:pPr>
        <w:ind w:left="4680"/>
        <w:spacing w:after="0"/>
        <w:rPr>
          <w:sz w:val="20"/>
          <w:szCs w:val="20"/>
          <w:color w:val="auto"/>
        </w:rPr>
      </w:pPr>
      <w:r>
        <w:rPr>
          <w:rFonts w:ascii="Courier New" w:cs="Courier New" w:eastAsia="Courier New" w:hAnsi="Courier New"/>
          <w:sz w:val="17"/>
          <w:szCs w:val="17"/>
          <w:color w:val="auto"/>
        </w:rPr>
        <w:t>orders indemnification and then only for</w:t>
      </w:r>
    </w:p>
    <w:p>
      <w:pPr>
        <w:ind w:left="4680"/>
        <w:spacing w:after="0" w:line="238" w:lineRule="auto"/>
        <w:rPr>
          <w:sz w:val="20"/>
          <w:szCs w:val="20"/>
          <w:color w:val="auto"/>
        </w:rPr>
      </w:pPr>
      <w:r>
        <w:rPr>
          <w:rFonts w:ascii="Courier New" w:cs="Courier New" w:eastAsia="Courier New" w:hAnsi="Courier New"/>
          <w:sz w:val="17"/>
          <w:szCs w:val="17"/>
          <w:color w:val="auto"/>
        </w:rPr>
        <w:t>expenses. In addition, the MGCL permits a</w:t>
      </w:r>
    </w:p>
    <w:p>
      <w:pPr>
        <w:ind w:left="4680"/>
        <w:spacing w:after="0" w:line="238" w:lineRule="auto"/>
        <w:rPr>
          <w:sz w:val="20"/>
          <w:szCs w:val="20"/>
          <w:color w:val="auto"/>
        </w:rPr>
      </w:pPr>
      <w:r>
        <w:rPr>
          <w:rFonts w:ascii="Courier New" w:cs="Courier New" w:eastAsia="Courier New" w:hAnsi="Courier New"/>
          <w:sz w:val="17"/>
          <w:szCs w:val="17"/>
          <w:color w:val="auto"/>
        </w:rPr>
        <w:t>corporation to advance reasonable expenses</w:t>
      </w:r>
    </w:p>
    <w:p>
      <w:pPr>
        <w:ind w:left="4680"/>
        <w:spacing w:after="0"/>
        <w:rPr>
          <w:sz w:val="20"/>
          <w:szCs w:val="20"/>
          <w:color w:val="auto"/>
        </w:rPr>
      </w:pPr>
      <w:r>
        <w:rPr>
          <w:rFonts w:ascii="Courier New" w:cs="Courier New" w:eastAsia="Courier New" w:hAnsi="Courier New"/>
          <w:sz w:val="17"/>
          <w:szCs w:val="17"/>
          <w:color w:val="auto"/>
        </w:rPr>
        <w:t>to a director or officer upon the</w:t>
      </w:r>
    </w:p>
    <w:p>
      <w:pPr>
        <w:ind w:left="4680"/>
        <w:spacing w:after="0" w:line="238" w:lineRule="auto"/>
        <w:rPr>
          <w:sz w:val="20"/>
          <w:szCs w:val="20"/>
          <w:color w:val="auto"/>
        </w:rPr>
      </w:pPr>
      <w:r>
        <w:rPr>
          <w:rFonts w:ascii="Courier New" w:cs="Courier New" w:eastAsia="Courier New" w:hAnsi="Courier New"/>
          <w:sz w:val="17"/>
          <w:szCs w:val="17"/>
          <w:color w:val="auto"/>
        </w:rPr>
        <w:t>corporation's receipt of (a) a written</w:t>
      </w:r>
    </w:p>
    <w:p>
      <w:pPr>
        <w:ind w:left="4680"/>
        <w:spacing w:after="0" w:line="238" w:lineRule="auto"/>
        <w:rPr>
          <w:sz w:val="20"/>
          <w:szCs w:val="20"/>
          <w:color w:val="auto"/>
        </w:rPr>
      </w:pPr>
      <w:r>
        <w:rPr>
          <w:rFonts w:ascii="Courier New" w:cs="Courier New" w:eastAsia="Courier New" w:hAnsi="Courier New"/>
          <w:sz w:val="17"/>
          <w:szCs w:val="17"/>
          <w:color w:val="auto"/>
        </w:rPr>
        <w:t>affirmation by the director or officer of</w:t>
      </w:r>
    </w:p>
    <w:p>
      <w:pPr>
        <w:ind w:left="4680"/>
        <w:spacing w:after="0"/>
        <w:rPr>
          <w:sz w:val="20"/>
          <w:szCs w:val="20"/>
          <w:color w:val="auto"/>
        </w:rPr>
      </w:pPr>
      <w:r>
        <w:rPr>
          <w:rFonts w:ascii="Courier New" w:cs="Courier New" w:eastAsia="Courier New" w:hAnsi="Courier New"/>
          <w:sz w:val="17"/>
          <w:szCs w:val="17"/>
          <w:color w:val="auto"/>
        </w:rPr>
        <w:t>his good faith belief that he has met the</w:t>
      </w:r>
    </w:p>
    <w:p>
      <w:pPr>
        <w:ind w:left="4680"/>
        <w:spacing w:after="0" w:line="238" w:lineRule="auto"/>
        <w:rPr>
          <w:sz w:val="20"/>
          <w:szCs w:val="20"/>
          <w:color w:val="auto"/>
        </w:rPr>
      </w:pPr>
      <w:r>
        <w:rPr>
          <w:rFonts w:ascii="Courier New" w:cs="Courier New" w:eastAsia="Courier New" w:hAnsi="Courier New"/>
          <w:sz w:val="17"/>
          <w:szCs w:val="17"/>
          <w:color w:val="auto"/>
        </w:rPr>
        <w:t>standard of conduct necessary for</w:t>
      </w:r>
    </w:p>
    <w:p>
      <w:pPr>
        <w:ind w:left="4680"/>
        <w:spacing w:after="0" w:line="238" w:lineRule="auto"/>
        <w:rPr>
          <w:sz w:val="20"/>
          <w:szCs w:val="20"/>
          <w:color w:val="auto"/>
        </w:rPr>
      </w:pPr>
      <w:r>
        <w:rPr>
          <w:rFonts w:ascii="Courier New" w:cs="Courier New" w:eastAsia="Courier New" w:hAnsi="Courier New"/>
          <w:sz w:val="17"/>
          <w:szCs w:val="17"/>
          <w:color w:val="auto"/>
        </w:rPr>
        <w:t>indemnification by the corporation and (b)</w:t>
      </w:r>
    </w:p>
    <w:p>
      <w:pPr>
        <w:ind w:left="4680"/>
        <w:spacing w:after="0"/>
        <w:rPr>
          <w:sz w:val="20"/>
          <w:szCs w:val="20"/>
          <w:color w:val="auto"/>
        </w:rPr>
      </w:pPr>
      <w:r>
        <w:rPr>
          <w:rFonts w:ascii="Courier New" w:cs="Courier New" w:eastAsia="Courier New" w:hAnsi="Courier New"/>
          <w:sz w:val="17"/>
          <w:szCs w:val="17"/>
          <w:color w:val="auto"/>
        </w:rPr>
        <w:t>a written undertaking by him or on his</w:t>
      </w:r>
    </w:p>
    <w:p>
      <w:pPr>
        <w:ind w:left="4680"/>
        <w:spacing w:after="0" w:line="238" w:lineRule="auto"/>
        <w:rPr>
          <w:sz w:val="20"/>
          <w:szCs w:val="20"/>
          <w:color w:val="auto"/>
        </w:rPr>
      </w:pPr>
      <w:r>
        <w:rPr>
          <w:rFonts w:ascii="Courier New" w:cs="Courier New" w:eastAsia="Courier New" w:hAnsi="Courier New"/>
          <w:sz w:val="17"/>
          <w:szCs w:val="17"/>
          <w:color w:val="auto"/>
        </w:rPr>
        <w:t>behalf to repay the amount paid or</w:t>
      </w:r>
    </w:p>
    <w:p>
      <w:pPr>
        <w:ind w:left="4680"/>
        <w:spacing w:after="0" w:line="238" w:lineRule="auto"/>
        <w:rPr>
          <w:sz w:val="20"/>
          <w:szCs w:val="20"/>
          <w:color w:val="auto"/>
        </w:rPr>
      </w:pPr>
      <w:r>
        <w:rPr>
          <w:rFonts w:ascii="Courier New" w:cs="Courier New" w:eastAsia="Courier New" w:hAnsi="Courier New"/>
          <w:sz w:val="17"/>
          <w:szCs w:val="17"/>
          <w:color w:val="auto"/>
        </w:rPr>
        <w:t>reimbursed by the corporation if it shall</w:t>
      </w:r>
    </w:p>
    <w:p>
      <w:pPr>
        <w:ind w:left="4680"/>
        <w:spacing w:after="0"/>
        <w:rPr>
          <w:sz w:val="20"/>
          <w:szCs w:val="20"/>
          <w:color w:val="auto"/>
        </w:rPr>
      </w:pPr>
      <w:r>
        <w:rPr>
          <w:rFonts w:ascii="Courier New" w:cs="Courier New" w:eastAsia="Courier New" w:hAnsi="Courier New"/>
          <w:sz w:val="17"/>
          <w:szCs w:val="17"/>
          <w:color w:val="auto"/>
        </w:rPr>
        <w:t>ultimately be determined that the standard</w:t>
      </w:r>
    </w:p>
    <w:p>
      <w:pPr>
        <w:ind w:left="4680"/>
        <w:spacing w:after="0"/>
        <w:rPr>
          <w:sz w:val="20"/>
          <w:szCs w:val="20"/>
          <w:color w:val="auto"/>
        </w:rPr>
      </w:pPr>
      <w:r>
        <w:rPr>
          <w:rFonts w:ascii="Courier New" w:cs="Courier New" w:eastAsia="Courier New" w:hAnsi="Courier New"/>
          <w:sz w:val="17"/>
          <w:szCs w:val="17"/>
          <w:color w:val="auto"/>
        </w:rPr>
        <w:t>of conduct was not met.</w:t>
      </w:r>
    </w:p>
    <w:p>
      <w:pPr>
        <w:spacing w:after="0" w:line="16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Indemnification of Shareholders</w:t>
      </w:r>
    </w:p>
    <w:p>
      <w:pPr>
        <w:sectPr>
          <w:pgSz w:w="11900" w:h="16838" w:orient="portrait"/>
          <w:cols w:equalWidth="0" w:num="1">
            <w:col w:w="10219"/>
          </w:cols>
          <w:pgMar w:left="240" w:top="1042" w:right="1440" w:bottom="1440" w:gutter="0" w:footer="0" w:header="0"/>
        </w:sectPr>
      </w:pPr>
    </w:p>
    <w:p>
      <w:pPr>
        <w:spacing w:after="0" w:line="190" w:lineRule="exact"/>
        <w:rPr>
          <w:sz w:val="20"/>
          <w:szCs w:val="20"/>
          <w:color w:val="auto"/>
        </w:rPr>
      </w:pPr>
    </w:p>
    <w:p>
      <w:pPr>
        <w:spacing w:after="0" w:line="262" w:lineRule="auto"/>
        <w:rPr>
          <w:sz w:val="20"/>
          <w:szCs w:val="20"/>
          <w:color w:val="auto"/>
        </w:rPr>
      </w:pPr>
      <w:r>
        <w:rPr>
          <w:rFonts w:ascii="Courier New" w:cs="Courier New" w:eastAsia="Courier New" w:hAnsi="Courier New"/>
          <w:sz w:val="16"/>
          <w:szCs w:val="16"/>
          <w:color w:val="auto"/>
        </w:rPr>
        <w:t>The Existing Declaration of Trust provides that the Trust, upon prompt notice, shall indemnify Shareholders against all claims, liabilities and expenses, including amounts paid in satisfaction of judgments or in settlement or as fines and penalties, and attorneys' fees, reasonably incurred by him in connection with the defense or disposition of any action, suit or other proceeding by the Trust or any other Person, whether civil, administrative or criminal, in which he may be involved or with which he may be threatened, while in such capacity or thereafter, by reason of his being or having been a Shareholder.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right="1359"/>
        <w:spacing w:after="0" w:line="296" w:lineRule="auto"/>
        <w:rPr>
          <w:sz w:val="20"/>
          <w:szCs w:val="20"/>
          <w:color w:val="auto"/>
        </w:rPr>
      </w:pPr>
      <w:r>
        <w:rPr>
          <w:rFonts w:ascii="Courier New" w:cs="Courier New" w:eastAsia="Courier New" w:hAnsi="Courier New"/>
          <w:sz w:val="16"/>
          <w:szCs w:val="16"/>
          <w:color w:val="auto"/>
        </w:rPr>
        <w:t>The Restated Declaration of Trust provides for the indemnification of Shareholders of the Trust against all liabilities incurred by virtue of being a shareholder.</w:t>
      </w:r>
    </w:p>
    <w:p>
      <w:pPr>
        <w:spacing w:after="0" w:line="2273"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spacing w:after="0" w:line="8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1042" w:right="1440" w:bottom="1440" w:gutter="0" w:footer="0" w:header="0"/>
          <w:type w:val="continuous"/>
        </w:sectPr>
      </w:pPr>
    </w:p>
    <w:bookmarkStart w:id="33" w:name="page34"/>
    <w:bookmarkEnd w:id="33"/>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1100"/>
        <w:spacing w:after="0"/>
        <w:tabs>
          <w:tab w:leader="none" w:pos="64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0"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7"/>
          <w:szCs w:val="17"/>
          <w:color w:val="auto"/>
        </w:rPr>
        <w:t>- - ------------------------------------------</w:t>
      </w:r>
      <w:r>
        <w:rPr>
          <w:sz w:val="20"/>
          <w:szCs w:val="20"/>
          <w:color w:val="auto"/>
        </w:rPr>
        <w:tab/>
      </w:r>
      <w:r>
        <w:rPr>
          <w:rFonts w:ascii="Courier New" w:cs="Courier New" w:eastAsia="Courier New" w:hAnsi="Courier New"/>
          <w:sz w:val="16"/>
          <w:szCs w:val="16"/>
          <w:color w:val="auto"/>
        </w:rPr>
        <w:t>--------------------------------------------</w:t>
      </w:r>
    </w:p>
    <w:p>
      <w:pPr>
        <w:spacing w:after="0" w:line="29"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Inspection of Books and Records</w:t>
      </w:r>
    </w:p>
    <w:p>
      <w:pPr>
        <w:sectPr>
          <w:pgSz w:w="11900" w:h="16838" w:orient="portrait"/>
          <w:cols w:equalWidth="0" w:num="1">
            <w:col w:w="10219"/>
          </w:cols>
          <w:pgMar w:left="240" w:top="1042" w:right="1440" w:bottom="1440" w:gutter="0" w:footer="0" w:header="0"/>
        </w:sectPr>
      </w:pPr>
    </w:p>
    <w:p>
      <w:pPr>
        <w:spacing w:after="0" w:line="160"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Under the Existing Bylaws, any person who is a record owner of 10% or more of the outstanding Shares may upon demand inspect the share register, the books of accounts and the minutes of the proceedings of the Trust's shareholders and its Trustees.</w:t>
      </w:r>
    </w:p>
    <w:p>
      <w:pPr>
        <w:spacing w:after="0" w:line="75" w:lineRule="exact"/>
        <w:rPr>
          <w:sz w:val="20"/>
          <w:szCs w:val="20"/>
          <w:color w:val="auto"/>
        </w:rPr>
      </w:pPr>
    </w:p>
    <w:p>
      <w:pPr>
        <w:ind w:right="500"/>
        <w:spacing w:after="0" w:line="318" w:lineRule="auto"/>
        <w:rPr>
          <w:sz w:val="20"/>
          <w:szCs w:val="20"/>
          <w:color w:val="auto"/>
        </w:rPr>
      </w:pPr>
      <w:r>
        <w:rPr>
          <w:rFonts w:ascii="Courier New" w:cs="Courier New" w:eastAsia="Courier New" w:hAnsi="Courier New"/>
          <w:sz w:val="16"/>
          <w:szCs w:val="16"/>
          <w:color w:val="auto"/>
        </w:rPr>
        <w:t>Demand of inspection other than a shareholder's meeting must be made in writing and delivered to the Trust.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259"/>
        <w:spacing w:after="0" w:line="246" w:lineRule="auto"/>
        <w:rPr>
          <w:sz w:val="20"/>
          <w:szCs w:val="20"/>
          <w:color w:val="auto"/>
        </w:rPr>
      </w:pPr>
      <w:r>
        <w:rPr>
          <w:rFonts w:ascii="Courier New" w:cs="Courier New" w:eastAsia="Courier New" w:hAnsi="Courier New"/>
          <w:sz w:val="17"/>
          <w:szCs w:val="17"/>
          <w:color w:val="auto"/>
        </w:rPr>
        <w:t>Title 8 provides a right to inspect and copy a Maryland REIT's books of account and stock ledger to persons who have been shareholders for more than six months and own at least 5% of any class of a Maryland REIT's outstanding shares. In addition, any shareholder of a Maryland REIT has a right to inspect the bylaws, minutes of the shareholder's meetings, annual statements of affairs and voting trust agreements and to request that the REIT provide a sworn statement showing all stock and securities issued and all consideration received by the Maryland REIT within the preceding twelve months.</w:t>
      </w:r>
    </w:p>
    <w:p>
      <w:pPr>
        <w:spacing w:after="0" w:line="99" w:lineRule="exact"/>
        <w:rPr>
          <w:sz w:val="20"/>
          <w:szCs w:val="20"/>
          <w:color w:val="auto"/>
        </w:rPr>
      </w:pPr>
    </w:p>
    <w:p>
      <w:pPr>
        <w:sectPr>
          <w:pgSz w:w="11900" w:h="16838" w:orient="portrait"/>
          <w:cols w:equalWidth="0" w:num="2">
            <w:col w:w="4180" w:space="500"/>
            <w:col w:w="5539"/>
          </w:cols>
          <w:pgMar w:left="240" w:top="1042"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6"/>
          <w:szCs w:val="16"/>
          <w:color w:val="auto"/>
        </w:rPr>
        <w:t>Interested Trustee Transactions</w:t>
      </w:r>
    </w:p>
    <w:p>
      <w:pPr>
        <w:sectPr>
          <w:pgSz w:w="11900" w:h="16838" w:orient="portrait"/>
          <w:cols w:equalWidth="0" w:num="1">
            <w:col w:w="10219"/>
          </w:cols>
          <w:pgMar w:left="240" w:top="1042" w:right="1440" w:bottom="1440" w:gutter="0" w:footer="0" w:header="0"/>
          <w:type w:val="continuous"/>
        </w:sectPr>
      </w:pPr>
    </w:p>
    <w:p>
      <w:pPr>
        <w:spacing w:after="0" w:line="201" w:lineRule="exact"/>
        <w:rPr>
          <w:sz w:val="20"/>
          <w:szCs w:val="20"/>
          <w:color w:val="auto"/>
        </w:rPr>
      </w:pPr>
    </w:p>
    <w:p>
      <w:pPr>
        <w:spacing w:after="0" w:line="260" w:lineRule="auto"/>
        <w:rPr>
          <w:sz w:val="20"/>
          <w:szCs w:val="20"/>
          <w:color w:val="auto"/>
        </w:rPr>
      </w:pPr>
      <w:r>
        <w:rPr>
          <w:rFonts w:ascii="Courier New" w:cs="Courier New" w:eastAsia="Courier New" w:hAnsi="Courier New"/>
          <w:sz w:val="17"/>
          <w:szCs w:val="17"/>
          <w:color w:val="auto"/>
        </w:rPr>
        <w:t>Generally, the Existing Declaration of Trust prohibits contracts or transactions for the transfer of property (including loans) in which one or more of the Trustees holds beneficially a majority equity interest.</w:t>
      </w:r>
    </w:p>
    <w:p>
      <w:pPr>
        <w:spacing w:after="0" w:line="87" w:lineRule="exact"/>
        <w:rPr>
          <w:sz w:val="20"/>
          <w:szCs w:val="20"/>
          <w:color w:val="auto"/>
        </w:rPr>
      </w:pPr>
    </w:p>
    <w:p>
      <w:pPr>
        <w:ind w:right="100"/>
        <w:spacing w:after="0" w:line="250" w:lineRule="auto"/>
        <w:rPr>
          <w:sz w:val="20"/>
          <w:szCs w:val="20"/>
          <w:color w:val="auto"/>
        </w:rPr>
      </w:pPr>
      <w:r>
        <w:rPr>
          <w:rFonts w:ascii="Courier New" w:cs="Courier New" w:eastAsia="Courier New" w:hAnsi="Courier New"/>
          <w:sz w:val="17"/>
          <w:szCs w:val="17"/>
          <w:color w:val="auto"/>
        </w:rPr>
        <w:t>However, the Existing Declaration of Trust permits such interested trustee transactions provided that a majority of the disinterested Trustees (a) ratifies or authorizes the transaction, after disclosure of any such affiliation or interest by a Trustee, and (b) determines that the transaction was or is on terms fair and reasonable to the Trust and its Shareholders.</w:t>
      </w:r>
    </w:p>
    <w:p>
      <w:pPr>
        <w:spacing w:after="0" w:line="98" w:lineRule="exact"/>
        <w:rPr>
          <w:sz w:val="20"/>
          <w:szCs w:val="20"/>
          <w:color w:val="auto"/>
        </w:rPr>
      </w:pPr>
    </w:p>
    <w:p>
      <w:pPr>
        <w:ind w:right="100"/>
        <w:spacing w:after="0" w:line="256" w:lineRule="auto"/>
        <w:rPr>
          <w:sz w:val="20"/>
          <w:szCs w:val="20"/>
          <w:color w:val="auto"/>
        </w:rPr>
      </w:pPr>
      <w:r>
        <w:rPr>
          <w:rFonts w:ascii="Courier New" w:cs="Courier New" w:eastAsia="Courier New" w:hAnsi="Courier New"/>
          <w:sz w:val="17"/>
          <w:szCs w:val="17"/>
          <w:color w:val="auto"/>
        </w:rPr>
        <w:t>Trustees shall not be entitled to receive any commission or other remuneration, directly or indirectly, in connection with the purchase or sale by the Trust of any Real Property, unless an independent appraisal of such real property is done by the Trust.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59"/>
        <w:spacing w:after="0" w:line="267" w:lineRule="auto"/>
        <w:rPr>
          <w:sz w:val="20"/>
          <w:szCs w:val="20"/>
          <w:color w:val="auto"/>
        </w:rPr>
      </w:pPr>
      <w:r>
        <w:rPr>
          <w:rFonts w:ascii="Courier New" w:cs="Courier New" w:eastAsia="Courier New" w:hAnsi="Courier New"/>
          <w:sz w:val="16"/>
          <w:szCs w:val="16"/>
          <w:color w:val="auto"/>
        </w:rPr>
        <w:t>Title 8 does not address interested trustee transactions. Pursuant to the Restated Declaration of Trust,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3063" w:lineRule="exact"/>
        <w:rPr>
          <w:sz w:val="20"/>
          <w:szCs w:val="20"/>
          <w:color w:val="auto"/>
        </w:rPr>
      </w:pPr>
    </w:p>
    <w:p>
      <w:pPr>
        <w:sectPr>
          <w:pgSz w:w="11900" w:h="16838" w:orient="portrait"/>
          <w:cols w:equalWidth="0" w:num="2">
            <w:col w:w="4280" w:space="400"/>
            <w:col w:w="5539"/>
          </w:cols>
          <w:pgMar w:left="240" w:top="1042" w:right="1440" w:bottom="1440" w:gutter="0" w:footer="0" w:header="0"/>
          <w:type w:val="continuous"/>
        </w:sectPr>
      </w:pPr>
    </w:p>
    <w:p>
      <w:pPr>
        <w:spacing w:after="0" w:line="27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1042" w:right="1440" w:bottom="1440" w:gutter="0" w:footer="0" w:header="0"/>
          <w:type w:val="continuous"/>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 - ------------------------------------------------------------------------------------</w:t>
      </w:r>
    </w:p>
    <w:p>
      <w:pPr>
        <w:spacing w:after="0" w:line="39" w:lineRule="exact"/>
        <w:rPr>
          <w:sz w:val="20"/>
          <w:szCs w:val="20"/>
          <w:color w:val="auto"/>
        </w:rPr>
      </w:pPr>
    </w:p>
    <w:p>
      <w:pPr>
        <w:ind w:left="1000"/>
        <w:spacing w:after="0"/>
        <w:tabs>
          <w:tab w:leader="none" w:pos="59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Maryland</w:t>
      </w:r>
    </w:p>
    <w:p>
      <w:pPr>
        <w:ind w:left="200" w:hanging="198"/>
        <w:spacing w:after="0"/>
        <w:tabs>
          <w:tab w:leader="none" w:pos="2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0" w:lineRule="exact"/>
        <w:rPr>
          <w:rFonts w:ascii="Courier New" w:cs="Courier New" w:eastAsia="Courier New" w:hAnsi="Courier New"/>
          <w:sz w:val="16"/>
          <w:szCs w:val="16"/>
          <w:color w:val="auto"/>
        </w:rPr>
      </w:pPr>
    </w:p>
    <w:p>
      <w:pPr>
        <w:ind w:left="268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Restrictions on Investments</w:t>
      </w:r>
    </w:p>
    <w:p>
      <w:pPr>
        <w:sectPr>
          <w:pgSz w:w="11900" w:h="16838" w:orient="portrait"/>
          <w:cols w:equalWidth="0" w:num="1">
            <w:col w:w="10219"/>
          </w:cols>
          <w:pgMar w:left="240" w:top="851" w:right="1440" w:bottom="1440" w:gutter="0" w:footer="0" w:header="0"/>
        </w:sectPr>
      </w:pPr>
    </w:p>
    <w:p>
      <w:pPr>
        <w:spacing w:after="0" w:line="160" w:lineRule="exact"/>
        <w:rPr>
          <w:sz w:val="20"/>
          <w:szCs w:val="20"/>
          <w:color w:val="auto"/>
        </w:rPr>
      </w:pPr>
    </w:p>
    <w:p>
      <w:pPr>
        <w:ind w:right="100"/>
        <w:spacing w:after="0" w:line="384" w:lineRule="auto"/>
        <w:rPr>
          <w:sz w:val="20"/>
          <w:szCs w:val="20"/>
          <w:color w:val="auto"/>
        </w:rPr>
      </w:pPr>
      <w:r>
        <w:rPr>
          <w:rFonts w:ascii="Courier New" w:cs="Courier New" w:eastAsia="Courier New" w:hAnsi="Courier New"/>
          <w:sz w:val="16"/>
          <w:szCs w:val="16"/>
          <w:color w:val="auto"/>
        </w:rPr>
        <w:t>Under the Existing Declaration of Trust and the Existing Bylaws, the Trust may not: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right="700" w:hanging="199"/>
        <w:spacing w:after="0" w:line="250" w:lineRule="auto"/>
        <w:tabs>
          <w:tab w:leader="none" w:pos="399"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 in commodities, foreign currencies (except in the ordinary course of business);</w:t>
      </w:r>
    </w:p>
    <w:p>
      <w:pPr>
        <w:spacing w:after="0" w:line="2" w:lineRule="exact"/>
        <w:rPr>
          <w:sz w:val="20"/>
          <w:szCs w:val="20"/>
          <w:color w:val="auto"/>
        </w:rPr>
      </w:pPr>
    </w:p>
    <w:p>
      <w:pPr>
        <w:ind w:left="300" w:right="200" w:hanging="199"/>
        <w:spacing w:after="0" w:line="238" w:lineRule="auto"/>
        <w:tabs>
          <w:tab w:leader="none" w:pos="399"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 for the sale of real property over a certain limit;</w:t>
      </w:r>
    </w:p>
    <w:p>
      <w:pPr>
        <w:ind w:left="400" w:hanging="299"/>
        <w:spacing w:after="0"/>
        <w:tabs>
          <w:tab w:leader="none" w:pos="4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 in short sales;</w:t>
      </w:r>
    </w:p>
    <w:p>
      <w:pPr>
        <w:ind w:left="300" w:right="600" w:hanging="199"/>
        <w:spacing w:after="0" w:line="238" w:lineRule="auto"/>
        <w:tabs>
          <w:tab w:leader="none" w:pos="399"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 in trading, underwriting or distributing securities;</w:t>
      </w:r>
    </w:p>
    <w:p>
      <w:pPr>
        <w:spacing w:after="0" w:line="1" w:lineRule="exact"/>
        <w:rPr>
          <w:sz w:val="20"/>
          <w:szCs w:val="20"/>
          <w:color w:val="auto"/>
        </w:rPr>
      </w:pPr>
    </w:p>
    <w:p>
      <w:pPr>
        <w:ind w:left="300" w:right="100" w:hanging="199"/>
        <w:spacing w:after="0" w:line="238" w:lineRule="auto"/>
        <w:tabs>
          <w:tab w:leader="none" w:pos="399"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 property primarily for the sale to customers in the ordinary course of business;</w:t>
      </w:r>
    </w:p>
    <w:p>
      <w:pPr>
        <w:spacing w:after="0" w:line="1" w:lineRule="exact"/>
        <w:rPr>
          <w:sz w:val="20"/>
          <w:szCs w:val="20"/>
          <w:color w:val="auto"/>
        </w:rPr>
      </w:pPr>
    </w:p>
    <w:p>
      <w:pPr>
        <w:ind w:left="300" w:right="100" w:hanging="199"/>
        <w:spacing w:after="0" w:line="253" w:lineRule="auto"/>
        <w:tabs>
          <w:tab w:leader="none" w:pos="39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more than 10% of the total value of the Trust property in unimproved non-income-producing real property or mortgage loans securing such property;</w:t>
      </w:r>
    </w:p>
    <w:p>
      <w:pPr>
        <w:spacing w:after="0" w:line="1" w:lineRule="exact"/>
        <w:rPr>
          <w:sz w:val="20"/>
          <w:szCs w:val="20"/>
          <w:color w:val="auto"/>
        </w:rPr>
      </w:pPr>
    </w:p>
    <w:p>
      <w:pPr>
        <w:jc w:val="both"/>
        <w:ind w:left="300" w:right="100" w:hanging="199"/>
        <w:spacing w:after="0" w:line="238" w:lineRule="auto"/>
        <w:tabs>
          <w:tab w:leader="none" w:pos="399"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 more than 10% of the total value of the Trust property in junior mortgage loans;</w:t>
      </w:r>
    </w:p>
    <w:p>
      <w:pPr>
        <w:spacing w:after="0" w:line="1" w:lineRule="exact"/>
        <w:rPr>
          <w:sz w:val="20"/>
          <w:szCs w:val="20"/>
          <w:color w:val="auto"/>
        </w:rPr>
      </w:pPr>
    </w:p>
    <w:p>
      <w:pPr>
        <w:ind w:left="400" w:hanging="299"/>
        <w:spacing w:after="0"/>
        <w:tabs>
          <w:tab w:leader="none" w:pos="4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knowingly invest in equity securities of</w:t>
      </w:r>
    </w:p>
    <w:p>
      <w:pPr>
        <w:spacing w:after="0" w:line="10" w:lineRule="exact"/>
        <w:rPr>
          <w:sz w:val="20"/>
          <w:szCs w:val="20"/>
          <w:color w:val="auto"/>
        </w:rPr>
      </w:pPr>
    </w:p>
    <w:p>
      <w:pPr>
        <w:ind w:left="300" w:right="1100"/>
        <w:spacing w:after="0" w:line="253" w:lineRule="auto"/>
        <w:rPr>
          <w:sz w:val="20"/>
          <w:szCs w:val="20"/>
          <w:color w:val="auto"/>
        </w:rPr>
      </w:pPr>
      <w:r>
        <w:rPr>
          <w:rFonts w:ascii="Courier New" w:cs="Courier New" w:eastAsia="Courier New" w:hAnsi="Courier New"/>
          <w:sz w:val="16"/>
          <w:szCs w:val="16"/>
          <w:color w:val="auto"/>
        </w:rPr>
        <w:t>entities engaged in activities prohibited by the Trust;</w:t>
      </w:r>
    </w:p>
    <w:p>
      <w:pPr>
        <w:ind w:left="400" w:hanging="299"/>
        <w:spacing w:after="0"/>
        <w:tabs>
          <w:tab w:leader="none" w:pos="4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 in bullion;</w:t>
      </w:r>
    </w:p>
    <w:p>
      <w:pPr>
        <w:ind w:left="400" w:hanging="299"/>
        <w:spacing w:after="0" w:line="238" w:lineRule="auto"/>
        <w:tabs>
          <w:tab w:leader="none" w:pos="4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certain debt securities;</w:t>
      </w:r>
    </w:p>
    <w:p>
      <w:pPr>
        <w:ind w:left="300" w:right="200" w:hanging="199"/>
        <w:spacing w:after="0" w:line="238" w:lineRule="auto"/>
        <w:tabs>
          <w:tab w:leader="none" w:pos="399"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 in real property subject to mortgages or other encumbrance to other than a bank, insurance company, pension fund, institutional lender or corporation engaged in the business of mortgage investments; and</w:t>
      </w:r>
    </w:p>
    <w:p>
      <w:pPr>
        <w:spacing w:after="0" w:line="2" w:lineRule="exact"/>
        <w:rPr>
          <w:sz w:val="20"/>
          <w:szCs w:val="20"/>
          <w:color w:val="auto"/>
        </w:rPr>
      </w:pPr>
    </w:p>
    <w:p>
      <w:pPr>
        <w:ind w:left="300" w:right="300" w:hanging="199"/>
        <w:spacing w:after="0" w:line="268" w:lineRule="auto"/>
        <w:tabs>
          <w:tab w:leader="none" w:pos="39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any mortgage on unimproved real property or in any mortgage other than a first mortgage not in a greater percentage of value as confirmed by an independent appraiser, than permitted under local law to a savings and loan institution.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459"/>
        <w:spacing w:after="0" w:line="275" w:lineRule="auto"/>
        <w:rPr>
          <w:sz w:val="20"/>
          <w:szCs w:val="20"/>
          <w:color w:val="auto"/>
        </w:rPr>
      </w:pPr>
      <w:r>
        <w:rPr>
          <w:rFonts w:ascii="Courier New" w:cs="Courier New" w:eastAsia="Courier New" w:hAnsi="Courier New"/>
          <w:sz w:val="16"/>
          <w:szCs w:val="16"/>
          <w:color w:val="auto"/>
        </w:rPr>
        <w:t>Under Title 8 a Maryland REIT must hold at least 75 percent of the value of its assets in real estate assets, government securities, cash and cash items, including receivables, and a Maryland REIT may not use or apply land for farming, agriculture, horticulture or similar purposes.</w:t>
      </w:r>
    </w:p>
    <w:p>
      <w:pPr>
        <w:spacing w:after="0" w:line="7077" w:lineRule="exact"/>
        <w:rPr>
          <w:sz w:val="20"/>
          <w:szCs w:val="20"/>
          <w:color w:val="auto"/>
        </w:rPr>
      </w:pPr>
    </w:p>
    <w:p>
      <w:pPr>
        <w:sectPr>
          <w:pgSz w:w="11900" w:h="16838" w:orient="portrait"/>
          <w:cols w:equalWidth="0" w:num="2">
            <w:col w:w="4380" w:space="100"/>
            <w:col w:w="5739"/>
          </w:cols>
          <w:pgMar w:left="240" w:top="851" w:right="1440" w:bottom="1440" w:gutter="0" w:footer="0" w:header="0"/>
          <w:type w:val="continuous"/>
        </w:sectPr>
      </w:pPr>
    </w:p>
    <w:p>
      <w:pPr>
        <w:spacing w:after="0" w:line="26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851"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Certain Federal Income Tax Consequences of the Reorganization</w:t>
      </w:r>
    </w:p>
    <w:p>
      <w:pPr>
        <w:spacing w:after="0" w:line="190" w:lineRule="exact"/>
        <w:rPr>
          <w:sz w:val="20"/>
          <w:szCs w:val="20"/>
          <w:color w:val="auto"/>
        </w:rPr>
      </w:pPr>
    </w:p>
    <w:p>
      <w:pPr>
        <w:ind w:right="2459" w:firstLine="199"/>
        <w:spacing w:after="0" w:line="246" w:lineRule="auto"/>
        <w:rPr>
          <w:sz w:val="20"/>
          <w:szCs w:val="20"/>
          <w:color w:val="auto"/>
        </w:rPr>
      </w:pPr>
      <w:r>
        <w:rPr>
          <w:rFonts w:ascii="Courier New" w:cs="Courier New" w:eastAsia="Courier New" w:hAnsi="Courier New"/>
          <w:sz w:val="17"/>
          <w:szCs w:val="17"/>
          <w:color w:val="auto"/>
        </w:rPr>
        <w:t>The following summary of certain federal income tax consequences of the Reorganization is for general information only, and shall not be considered as tax or investment advice. The summary is based upon the Internal Revenue Code of 1986, as amended (the "Code"), applicable Treasury regulations thereunder, and interpretations of the Code and such regulations by the courts and the Internal Revenue Service (the "IRS"), all as they are in effect and exist as of the date hereof. There can be no assurance that future legislative, judicial and administrative changes or interpretations will not adversely effect the accuracy of the statements and conclusions set forth herein. Any such changes or interpretations could be applied retroactively and, accordingly, could cause the tax consequences to vary substantially from the consequences described below. No ruling from the IRS or opinion from counsel with respect to the matters discussed herein has been requested. There is no assurance that the IRS would agree with the conclusions set forth in this discussion.</w:t>
      </w:r>
    </w:p>
    <w:p>
      <w:pPr>
        <w:spacing w:after="0" w:line="99"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Shareholders are urged to consult their tax advisors as to the particular tax consequences to them of the Reorganization, including the applicability of any state, local or foreign tax laws, changes in applicable tax laws and any pending or proposed legislation.</w:t>
      </w:r>
    </w:p>
    <w:p>
      <w:pPr>
        <w:spacing w:after="0" w:line="77" w:lineRule="exact"/>
        <w:rPr>
          <w:sz w:val="20"/>
          <w:szCs w:val="20"/>
          <w:color w:val="auto"/>
        </w:rPr>
      </w:pPr>
    </w:p>
    <w:p>
      <w:pPr>
        <w:ind w:right="2459" w:firstLine="199"/>
        <w:spacing w:after="0" w:line="251" w:lineRule="auto"/>
        <w:rPr>
          <w:sz w:val="20"/>
          <w:szCs w:val="20"/>
          <w:color w:val="auto"/>
        </w:rPr>
      </w:pPr>
      <w:r>
        <w:rPr>
          <w:rFonts w:ascii="Courier New" w:cs="Courier New" w:eastAsia="Courier New" w:hAnsi="Courier New"/>
          <w:sz w:val="17"/>
          <w:szCs w:val="17"/>
          <w:color w:val="auto"/>
        </w:rPr>
        <w:t>The Reorganization will constitute a reorganization under section 368 of the Code. Pursuant to the Reorganization, holders of Shares will be treated as having exchanged their Shares for New Shares. Holders of Shares will not recognize gain or loss for federal income tax purposes solely as a result of this deemed exchange. For federal income tax purposes, a holder's aggregate basis in the New Shares will equal such holder's adjusted basis in the Shares deemed to be exchanged therefor and such holder's holding period for the New Shares will include such holder's holding period in the Shares deemed exchanged therefor.</w:t>
      </w:r>
    </w:p>
    <w:p>
      <w:pPr>
        <w:spacing w:after="0" w:line="100" w:lineRule="exact"/>
        <w:rPr>
          <w:sz w:val="20"/>
          <w:szCs w:val="20"/>
          <w:color w:val="auto"/>
        </w:rPr>
      </w:pPr>
    </w:p>
    <w:p>
      <w:pPr>
        <w:ind w:right="2659" w:firstLine="199"/>
        <w:spacing w:after="0" w:line="347" w:lineRule="auto"/>
        <w:rPr>
          <w:sz w:val="20"/>
          <w:szCs w:val="20"/>
          <w:color w:val="auto"/>
        </w:rPr>
      </w:pPr>
      <w:r>
        <w:rPr>
          <w:rFonts w:ascii="Courier New" w:cs="Courier New" w:eastAsia="Courier New" w:hAnsi="Courier New"/>
          <w:sz w:val="17"/>
          <w:szCs w:val="17"/>
          <w:color w:val="auto"/>
        </w:rPr>
        <w:t>Likewise, the Trust will not recognize any gain or loss for federal income tax purposes as a result of the Reorganization.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Anti-Takeover Effects of the Reorganization</w:t>
      </w:r>
    </w:p>
    <w:p>
      <w:pPr>
        <w:spacing w:after="0" w:line="190" w:lineRule="exact"/>
        <w:rPr>
          <w:sz w:val="20"/>
          <w:szCs w:val="20"/>
          <w:color w:val="auto"/>
        </w:rPr>
      </w:pPr>
    </w:p>
    <w:p>
      <w:pPr>
        <w:ind w:right="2459" w:firstLine="199"/>
        <w:spacing w:after="0" w:line="259" w:lineRule="auto"/>
        <w:rPr>
          <w:sz w:val="20"/>
          <w:szCs w:val="20"/>
          <w:color w:val="auto"/>
        </w:rPr>
      </w:pPr>
      <w:r>
        <w:rPr>
          <w:rFonts w:ascii="Courier New" w:cs="Courier New" w:eastAsia="Courier New" w:hAnsi="Courier New"/>
          <w:sz w:val="16"/>
          <w:szCs w:val="16"/>
          <w:color w:val="auto"/>
        </w:rPr>
        <w:t>Certain provisions of Maryland law, the Restated Declaration of Trust and the Restated Bylaws could have the effect of delaying, deferring or preventing a takeover or other transaction in which holders of some, or a majority, of the Common Shares might receive a premium over the then prevailing market price or which such holders might believe to be in their best interests. For example, after the Effective Time, shareholders will not have the power to remove trustees, except for cause. In addition, after the Reorganization is effective, Federal Realty will become subject to the Maryland business combination and control share acquisition statutes and any new legislation that may be adopted from time to time in Maryland, which may have anti-takeover effects. New legislation has been proposed in Maryland that could have the effect of delaying, deferring or preventing a takeover of a Maryland REIT. If adopted in its present form, the proposed legislation would, among other things, (1) validate shareholder rights plans and the "just say no" defense, (2) establish a presumption that trustees' action satisfies their statutory standards of conduct, (3) clarify that the Unocal decision of the Delaware Supreme Court is not the law in Maryland, (4) clarify that the board has the sole power to establish various procedures for special shareholders meetings, and (5) validate certain advance notice bylaws. Whether or in what form the proposed legislation will be adopted cannot be predicted. See "-- Comparison of Rights of Shareholders Before and After the Reorganization."</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w:t>
      </w:r>
    </w:p>
    <w:p>
      <w:pPr>
        <w:spacing w:after="0" w:line="190" w:lineRule="exact"/>
        <w:rPr>
          <w:sz w:val="20"/>
          <w:szCs w:val="20"/>
          <w:color w:val="auto"/>
        </w:rPr>
      </w:pPr>
    </w:p>
    <w:p>
      <w:pPr>
        <w:ind w:right="2559" w:firstLine="199"/>
        <w:spacing w:after="0" w:line="260" w:lineRule="auto"/>
        <w:rPr>
          <w:sz w:val="20"/>
          <w:szCs w:val="20"/>
          <w:color w:val="auto"/>
        </w:rPr>
      </w:pPr>
      <w:r>
        <w:rPr>
          <w:rFonts w:ascii="Courier New" w:cs="Courier New" w:eastAsia="Courier New" w:hAnsi="Courier New"/>
          <w:sz w:val="17"/>
          <w:szCs w:val="17"/>
          <w:color w:val="auto"/>
        </w:rPr>
        <w:t>The affirmative vote of holders of two-thirds of the outstanding Common Shares is required to approve the Reorganization Proposal. The Board of Trustees does not believe that any vote of holders of the Series A Preferred Shares is required to approve the Reorganization Proposal because it does not materially and adversely affect the voting powers, rights or preferences of such holders.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Dissenters' Appraisal Rights</w:t>
      </w:r>
    </w:p>
    <w:p>
      <w:pPr>
        <w:spacing w:after="0" w:line="190" w:lineRule="exact"/>
        <w:rPr>
          <w:sz w:val="20"/>
          <w:szCs w:val="20"/>
          <w:color w:val="auto"/>
        </w:rPr>
      </w:pPr>
    </w:p>
    <w:p>
      <w:pPr>
        <w:ind w:right="2459" w:firstLine="199"/>
        <w:spacing w:after="0" w:line="347" w:lineRule="auto"/>
        <w:rPr>
          <w:sz w:val="20"/>
          <w:szCs w:val="20"/>
          <w:color w:val="auto"/>
        </w:rPr>
      </w:pPr>
      <w:r>
        <w:rPr>
          <w:rFonts w:ascii="Courier New" w:cs="Courier New" w:eastAsia="Courier New" w:hAnsi="Courier New"/>
          <w:sz w:val="17"/>
          <w:szCs w:val="17"/>
          <w:color w:val="auto"/>
        </w:rPr>
        <w:t>Shareholders do not have dissenters' appraisal rights in connection with the Reorganization.</w:t>
      </w:r>
    </w:p>
    <w:p>
      <w:pPr>
        <w:spacing w:after="0" w:line="17" w:lineRule="exact"/>
        <w:rPr>
          <w:sz w:val="20"/>
          <w:szCs w:val="20"/>
          <w:color w:val="auto"/>
        </w:rPr>
      </w:pPr>
    </w:p>
    <w:p>
      <w:pPr>
        <w:ind w:right="2759" w:firstLine="199"/>
        <w:spacing w:after="0" w:line="347" w:lineRule="auto"/>
        <w:rPr>
          <w:sz w:val="20"/>
          <w:szCs w:val="20"/>
          <w:color w:val="auto"/>
        </w:rPr>
      </w:pPr>
      <w:r>
        <w:rPr>
          <w:rFonts w:ascii="Courier New" w:cs="Courier New" w:eastAsia="Courier New" w:hAnsi="Courier New"/>
          <w:sz w:val="17"/>
          <w:szCs w:val="17"/>
          <w:color w:val="auto"/>
        </w:rPr>
        <w:t>THE BOARD OF TRUSTEES UNANIMOUSLY RECOMMENDS A VOTE "FOR" APPROVAL OF THE REORGANIZATION PROPOSAL.</w:t>
      </w:r>
    </w:p>
    <w:p>
      <w:pPr>
        <w:spacing w:after="0" w:line="1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60" w:right="1440" w:bottom="695" w:gutter="0" w:footer="0" w:header="0"/>
        </w:sectPr>
      </w:pPr>
    </w:p>
    <w:bookmarkStart w:id="36" w:name="page37"/>
    <w:bookmarkEnd w:id="36"/>
    <w:p>
      <w:pPr>
        <w:jc w:val="center"/>
        <w:ind w:right="2459"/>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190"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7"/>
          <w:szCs w:val="17"/>
          <w:color w:val="auto"/>
        </w:rPr>
        <w:t>Grant Thornton LLP has been selected as independent public accountants for the Trust for the current year, and examined the Trust's financial statements for the year ended December 31, 1998. Grant Thornton LLP also provided limited reviews of the Trust's quarterly financial information and assisted in connection with certain other filings with the Securities and Exchange Commission.</w:t>
      </w:r>
    </w:p>
    <w:p>
      <w:pPr>
        <w:spacing w:after="0" w:line="87" w:lineRule="exact"/>
        <w:rPr>
          <w:sz w:val="20"/>
          <w:szCs w:val="20"/>
          <w:color w:val="auto"/>
        </w:rPr>
      </w:pPr>
    </w:p>
    <w:p>
      <w:pPr>
        <w:ind w:right="2459" w:firstLine="199"/>
        <w:spacing w:after="0" w:line="292" w:lineRule="auto"/>
        <w:rPr>
          <w:sz w:val="20"/>
          <w:szCs w:val="20"/>
          <w:color w:val="auto"/>
        </w:rPr>
      </w:pPr>
      <w:r>
        <w:rPr>
          <w:rFonts w:ascii="Courier New" w:cs="Courier New" w:eastAsia="Courier New" w:hAnsi="Courier New"/>
          <w:sz w:val="17"/>
          <w:szCs w:val="17"/>
          <w:color w:val="auto"/>
        </w:rPr>
        <w:t>A representative of Grant Thornton LLP will be present at the Annual Meeting and will have the opportunity to make a statement and answer appropriate questions from shareholders.</w:t>
      </w:r>
    </w:p>
    <w:p>
      <w:pPr>
        <w:spacing w:after="0" w:line="6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ANNUAL REPORT</w:t>
      </w:r>
    </w:p>
    <w:p>
      <w:pPr>
        <w:spacing w:after="0" w:line="190"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A COPY OF THE TRUST'S ANNUAL REPORT ON FORM 10-K FOR THE YEAR ENDED DECEMBER 31, 1998, AS FILED WITH THE SECURITIES AND EXCHANGE COMMISSION, WILL BE MAILED WITHOUT CHARGE TO SHAREHOLDERS UPON REQUEST. REQUESTS SHOULD BE ADDRESSED TO THE TRUST, 1626 EAST JEFFERSON STREET, ROCKVILLE, MARYLAND 20852, ATTENTION: MS. KATHY KLEIN, VICE PRESIDENT--CORPORATE COMMUNICATIONS. THE FORM 10-K INCLUDES CERTAIN EXHIBITS, WHICH WILL BE PROVIDED ONLY UPON PAYMENT OF A FEE COVERING THE TRUST'S REASONABLE EXPENSES.</w:t>
      </w:r>
    </w:p>
    <w:p>
      <w:pPr>
        <w:spacing w:after="0" w:line="92"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190" w:lineRule="exact"/>
        <w:rPr>
          <w:sz w:val="20"/>
          <w:szCs w:val="20"/>
          <w:color w:val="auto"/>
        </w:rPr>
      </w:pPr>
    </w:p>
    <w:p>
      <w:pPr>
        <w:ind w:right="2559" w:firstLine="199"/>
        <w:spacing w:after="0" w:line="251"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telegraph or facsimile, and may request brokerage houses and other custodians, nominees and fiduciaries to forward soliciting materials to the beneficial owners of Shares. In addition, the Trust has retained D.F. King &amp; Co., Inc. to assist in soliciting proxies and to provide proxy materials to banks, brokerage firms, nominees, fiduciaries and other custodians. For such services, the Trust will pay to D.F. King a fee of approximately $5,000, plus expenses.</w:t>
      </w:r>
    </w:p>
    <w:p>
      <w:pPr>
        <w:spacing w:after="0" w:line="100" w:lineRule="exact"/>
        <w:rPr>
          <w:sz w:val="20"/>
          <w:szCs w:val="20"/>
          <w:color w:val="auto"/>
        </w:rPr>
      </w:pPr>
    </w:p>
    <w:p>
      <w:pPr>
        <w:ind w:right="2859" w:firstLine="199"/>
        <w:spacing w:after="0" w:line="274" w:lineRule="auto"/>
        <w:rPr>
          <w:sz w:val="20"/>
          <w:szCs w:val="20"/>
          <w:color w:val="auto"/>
        </w:rPr>
      </w:pPr>
      <w:r>
        <w:rPr>
          <w:rFonts w:ascii="Courier New" w:cs="Courier New" w:eastAsia="Courier New" w:hAnsi="Courier New"/>
          <w:sz w:val="17"/>
          <w:szCs w:val="17"/>
          <w:color w:val="auto"/>
        </w:rPr>
        <w:t>Proposals of shareholders intended to be presented at the 2000 Annual Meeting must be received by the Trust no later than December 2, 1999 to be considered for inclusion in the Trust's proxy statement and form of proxy relating to such meeting.</w:t>
      </w:r>
    </w:p>
    <w:p>
      <w:pPr>
        <w:spacing w:after="0" w:line="77" w:lineRule="exact"/>
        <w:rPr>
          <w:sz w:val="20"/>
          <w:szCs w:val="20"/>
          <w:color w:val="auto"/>
        </w:rPr>
      </w:pPr>
    </w:p>
    <w:p>
      <w:pPr>
        <w:ind w:right="2559" w:firstLine="199"/>
        <w:spacing w:after="0" w:line="292" w:lineRule="auto"/>
        <w:rPr>
          <w:sz w:val="20"/>
          <w:szCs w:val="20"/>
          <w:color w:val="auto"/>
        </w:rPr>
      </w:pPr>
      <w:r>
        <w:rPr>
          <w:rFonts w:ascii="Courier New" w:cs="Courier New" w:eastAsia="Courier New" w:hAnsi="Courier New"/>
          <w:sz w:val="17"/>
          <w:szCs w:val="17"/>
          <w:color w:val="auto"/>
        </w:rPr>
        <w:t>The Trustees know of no other business to be presented at the Annual Meeting. If other matters properly come before the meeting, the persons named as proxies will vote on them in accordance with their discretion.</w:t>
      </w:r>
    </w:p>
    <w:p>
      <w:pPr>
        <w:spacing w:after="0" w:line="62" w:lineRule="exact"/>
        <w:rPr>
          <w:sz w:val="20"/>
          <w:szCs w:val="20"/>
          <w:color w:val="auto"/>
        </w:rPr>
      </w:pPr>
    </w:p>
    <w:p>
      <w:pPr>
        <w:ind w:right="2459" w:firstLine="199"/>
        <w:spacing w:after="0" w:line="274"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w:t>
      </w:r>
    </w:p>
    <w:p>
      <w:pPr>
        <w:spacing w:after="0" w:line="77"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For the Trustees,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 NANCY J. HERMAN</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Nancy J. Herman</w:t>
      </w:r>
    </w:p>
    <w:p>
      <w:pPr>
        <w:spacing w:after="0" w:line="27"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Vice President--General</w:t>
      </w:r>
    </w:p>
    <w:p>
      <w:pPr>
        <w:ind w:left="4180"/>
        <w:spacing w:after="0"/>
        <w:rPr>
          <w:sz w:val="20"/>
          <w:szCs w:val="20"/>
          <w:color w:val="auto"/>
        </w:rPr>
      </w:pPr>
      <w:r>
        <w:rPr>
          <w:rFonts w:ascii="Courier New" w:cs="Courier New" w:eastAsia="Courier New" w:hAnsi="Courier New"/>
          <w:sz w:val="17"/>
          <w:szCs w:val="17"/>
          <w:color w:val="auto"/>
        </w:rPr>
        <w:t>Counsel and Secretary</w:t>
      </w:r>
    </w:p>
    <w:p>
      <w:pPr>
        <w:spacing w:after="0" w:line="16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spacing w:after="0" w:line="190"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PLEASE COMPLETE, SIGN, DATE AND MAIL IT TODAY.</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660" w:right="1440" w:bottom="1440" w:gutter="0" w:footer="0" w:header="0"/>
        </w:sectPr>
      </w:pPr>
    </w:p>
    <w:bookmarkStart w:id="37" w:name="page38"/>
    <w:bookmarkEnd w:id="37"/>
    <w:p>
      <w:pPr>
        <w:jc w:val="right"/>
        <w:ind w:right="2359"/>
        <w:spacing w:after="0"/>
        <w:rPr>
          <w:sz w:val="20"/>
          <w:szCs w:val="20"/>
          <w:color w:val="auto"/>
        </w:rPr>
      </w:pPr>
      <w:r>
        <w:rPr>
          <w:rFonts w:ascii="Courier New" w:cs="Courier New" w:eastAsia="Courier New" w:hAnsi="Courier New"/>
          <w:sz w:val="17"/>
          <w:szCs w:val="17"/>
          <w:color w:val="auto"/>
        </w:rPr>
        <w:t>APPENDIX A</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ARTICLES OF</w:t>
      </w:r>
    </w:p>
    <w:p>
      <w:pPr>
        <w:spacing w:after="0" w:line="2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AMENDMENT AND RESTATEMENT</w:t>
      </w:r>
    </w:p>
    <w:p>
      <w:pPr>
        <w:jc w:val="center"/>
        <w:ind w:right="2459"/>
        <w:spacing w:after="0" w:line="238" w:lineRule="auto"/>
        <w:rPr>
          <w:sz w:val="20"/>
          <w:szCs w:val="20"/>
          <w:color w:val="auto"/>
        </w:rPr>
      </w:pPr>
      <w:r>
        <w:rPr>
          <w:rFonts w:ascii="Courier New" w:cs="Courier New" w:eastAsia="Courier New" w:hAnsi="Courier New"/>
          <w:sz w:val="17"/>
          <w:szCs w:val="17"/>
          <w:color w:val="auto"/>
        </w:rPr>
        <w:t>OF</w:t>
      </w:r>
    </w:p>
    <w:p>
      <w:pPr>
        <w:jc w:val="center"/>
        <w:ind w:right="2459"/>
        <w:spacing w:after="0" w:line="238" w:lineRule="auto"/>
        <w:rPr>
          <w:sz w:val="20"/>
          <w:szCs w:val="20"/>
          <w:color w:val="auto"/>
        </w:rPr>
      </w:pPr>
      <w:r>
        <w:rPr>
          <w:rFonts w:ascii="Courier New" w:cs="Courier New" w:eastAsia="Courier New" w:hAnsi="Courier New"/>
          <w:sz w:val="17"/>
          <w:szCs w:val="17"/>
          <w:color w:val="auto"/>
        </w:rPr>
        <w:t>DECLARATION OF TRUST</w:t>
      </w:r>
    </w:p>
    <w:p>
      <w:pPr>
        <w:jc w:val="center"/>
        <w:ind w:right="2459"/>
        <w:spacing w:after="0"/>
        <w:rPr>
          <w:sz w:val="20"/>
          <w:szCs w:val="20"/>
          <w:color w:val="auto"/>
        </w:rPr>
      </w:pPr>
      <w:r>
        <w:rPr>
          <w:rFonts w:ascii="Courier New" w:cs="Courier New" w:eastAsia="Courier New" w:hAnsi="Courier New"/>
          <w:sz w:val="17"/>
          <w:szCs w:val="17"/>
          <w:color w:val="auto"/>
        </w:rPr>
        <w:t>OF</w:t>
      </w:r>
    </w:p>
    <w:p>
      <w:pPr>
        <w:jc w:val="center"/>
        <w:ind w:right="23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60" w:lineRule="exact"/>
        <w:rPr>
          <w:sz w:val="20"/>
          <w:szCs w:val="20"/>
          <w:color w:val="auto"/>
        </w:rPr>
      </w:pPr>
    </w:p>
    <w:p>
      <w:pPr>
        <w:jc w:val="both"/>
        <w:ind w:right="2459" w:firstLine="199"/>
        <w:spacing w:after="0" w:line="292" w:lineRule="auto"/>
        <w:rPr>
          <w:sz w:val="20"/>
          <w:szCs w:val="20"/>
          <w:color w:val="auto"/>
        </w:rPr>
      </w:pPr>
      <w:r>
        <w:rPr>
          <w:rFonts w:ascii="Courier New" w:cs="Courier New" w:eastAsia="Courier New" w:hAnsi="Courier New"/>
          <w:sz w:val="17"/>
          <w:szCs w:val="17"/>
          <w:color w:val="auto"/>
        </w:rPr>
        <w:t>Federal Realty Investment Trust, an unincorporated business trust having its principal place of business at 1626 East Jefferson Street, Rockville, Maryland 20852 (the "Trust") hereby certifies that:</w:t>
      </w:r>
    </w:p>
    <w:p>
      <w:pPr>
        <w:spacing w:after="0" w:line="62"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FIRST: The Trust was formed pursuant to a Declaration of Trust first made in the District of Columbia on May 25, 1962, filed in the office of, and recorded by, the Recorder of Deeds, Washington, D.C., which declaration of trust was thereafter amended and restated in its entirety on May 24, 1984, pursuant to a Third Amended and Restated Declaration of Trust of Federal Realty Investment Trust, filed in the office of, and recorded by, the Recorder of Deeds, Washington, D.C.</w:t>
      </w:r>
    </w:p>
    <w:p>
      <w:pPr>
        <w:spacing w:after="0" w:line="92"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SECOND: Upon the later of (i) the time these Articles of Amendment and Restatement are filed with and recorded by the District of Columbia Recorder of Deeds and (ii) the time the Restated Declaration of Trust is filed with and accepted by the State Department of Assessments and Taxation of the State of Maryland (the "Effective Time"):</w:t>
      </w:r>
    </w:p>
    <w:p>
      <w:pPr>
        <w:spacing w:after="0" w:line="84" w:lineRule="exact"/>
        <w:rPr>
          <w:sz w:val="20"/>
          <w:szCs w:val="20"/>
          <w:color w:val="auto"/>
        </w:rPr>
      </w:pPr>
    </w:p>
    <w:p>
      <w:pPr>
        <w:ind w:left="600" w:right="2559" w:hanging="399"/>
        <w:spacing w:after="0" w:line="260" w:lineRule="auto"/>
        <w:tabs>
          <w:tab w:leader="none" w:pos="6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declaration of trust of the Trust, as amended and in effect, including the Statement of Designation relating to the Trust's Series A Cumulative Redeemable Preferred Shares (the "Existing Declaration of Trust"), shall be further amended and restated in its entirety to read as set forth in the Declaration of Trust attached hereto as Exhibit A (the "Restated Declaration of Trust");</w:t>
      </w:r>
    </w:p>
    <w:p>
      <w:pPr>
        <w:spacing w:after="0" w:line="87" w:lineRule="exact"/>
        <w:rPr>
          <w:rFonts w:ascii="Courier New" w:cs="Courier New" w:eastAsia="Courier New" w:hAnsi="Courier New"/>
          <w:sz w:val="17"/>
          <w:szCs w:val="17"/>
          <w:color w:val="auto"/>
        </w:rPr>
      </w:pPr>
    </w:p>
    <w:p>
      <w:pPr>
        <w:ind w:left="700" w:right="2559" w:hanging="499"/>
        <w:spacing w:after="0" w:line="318" w:lineRule="auto"/>
        <w:tabs>
          <w:tab w:leader="none" w:pos="7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shall cease to be governed by the laws of the District of Columbia and shall thereupon be subject to Title 8 of the Corporations and Associations Article of the Annotated Code of Maryland;</w:t>
      </w:r>
    </w:p>
    <w:p>
      <w:pPr>
        <w:spacing w:after="0" w:line="44" w:lineRule="exact"/>
        <w:rPr>
          <w:rFonts w:ascii="Courier New" w:cs="Courier New" w:eastAsia="Courier New" w:hAnsi="Courier New"/>
          <w:sz w:val="16"/>
          <w:szCs w:val="16"/>
          <w:color w:val="auto"/>
        </w:rPr>
      </w:pPr>
    </w:p>
    <w:p>
      <w:pPr>
        <w:ind w:left="700" w:right="2559" w:hanging="499"/>
        <w:spacing w:after="0" w:line="279" w:lineRule="auto"/>
        <w:tabs>
          <w:tab w:leader="none" w:pos="7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Common Shares of beneficial interest, no par value, of the Trust which were issued and outstanding pursuant to the Existing Declaration of Trust immediately prior to the Effective Time ("Common Shares") shall be reclassified and continue to exist as Common Shares of beneficial interest, $0.01 par value per share, of the Trust issued pursuant to the Restated Declaration of Trust ("New Common Shares");</w:t>
      </w:r>
    </w:p>
    <w:p>
      <w:pPr>
        <w:spacing w:after="0" w:line="74" w:lineRule="exact"/>
        <w:rPr>
          <w:rFonts w:ascii="Courier New" w:cs="Courier New" w:eastAsia="Courier New" w:hAnsi="Courier New"/>
          <w:sz w:val="16"/>
          <w:szCs w:val="16"/>
          <w:color w:val="auto"/>
        </w:rPr>
      </w:pPr>
    </w:p>
    <w:p>
      <w:pPr>
        <w:ind w:left="700" w:right="2559" w:hanging="499"/>
        <w:spacing w:after="0" w:line="253" w:lineRule="auto"/>
        <w:tabs>
          <w:tab w:leader="none" w:pos="7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Series A Cumulative Redeemable Preferred Shares of beneficial interest, no par value, of the Trust which were issued and outstanding pursuant to the Existing Declaration of Trust immediately prior to the Effective Time ("Series A Preferred Shares") shall be reclassified and continue to exist as Series A Cumulative Redeemable Preferred Shares of beneficial interest, $0.01 par value per share, of the Trust issued pursuant to the Restated Declaration of Trust and("New Series A Preferred Shares");</w:t>
      </w:r>
    </w:p>
    <w:p>
      <w:pPr>
        <w:spacing w:after="0" w:line="97" w:lineRule="exact"/>
        <w:rPr>
          <w:rFonts w:ascii="Courier New" w:cs="Courier New" w:eastAsia="Courier New" w:hAnsi="Courier New"/>
          <w:sz w:val="17"/>
          <w:szCs w:val="17"/>
          <w:color w:val="auto"/>
        </w:rPr>
      </w:pPr>
    </w:p>
    <w:p>
      <w:pPr>
        <w:ind w:left="700" w:right="2559" w:hanging="499"/>
        <w:spacing w:after="0" w:line="296" w:lineRule="auto"/>
        <w:tabs>
          <w:tab w:leader="none" w:pos="7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 certificates theretofore representing Common Shares or Series A Preferred Shares, without any action on the part of the holder thereof, shall thereafter represent a like number of New Common Shares or New Series A Preferred Shares, as the case may be; and</w:t>
      </w:r>
    </w:p>
    <w:p>
      <w:pPr>
        <w:spacing w:after="0" w:line="62" w:lineRule="exact"/>
        <w:rPr>
          <w:rFonts w:ascii="Courier New" w:cs="Courier New" w:eastAsia="Courier New" w:hAnsi="Courier New"/>
          <w:sz w:val="16"/>
          <w:szCs w:val="16"/>
          <w:color w:val="auto"/>
        </w:rPr>
      </w:pPr>
    </w:p>
    <w:p>
      <w:pPr>
        <w:ind w:left="700" w:right="2759" w:hanging="499"/>
        <w:spacing w:after="0" w:line="296" w:lineRule="auto"/>
        <w:tabs>
          <w:tab w:leader="none" w:pos="7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rights, or warrants to purchase or subscribe for Common Shares, without any action on the part of the holder thereof, shall thereafter entitle the holder to purchase or subscribe for a like number of New Common Shares on the same terms.</w:t>
      </w:r>
    </w:p>
    <w:p>
      <w:pPr>
        <w:spacing w:after="0" w:line="62" w:lineRule="exact"/>
        <w:rPr>
          <w:sz w:val="20"/>
          <w:szCs w:val="20"/>
          <w:color w:val="auto"/>
        </w:rPr>
      </w:pPr>
    </w:p>
    <w:p>
      <w:pPr>
        <w:ind w:right="2759" w:firstLine="199"/>
        <w:spacing w:after="0" w:line="273" w:lineRule="auto"/>
        <w:rPr>
          <w:sz w:val="20"/>
          <w:szCs w:val="20"/>
          <w:color w:val="auto"/>
        </w:rPr>
      </w:pPr>
      <w:r>
        <w:rPr>
          <w:rFonts w:ascii="Courier New" w:cs="Courier New" w:eastAsia="Courier New" w:hAnsi="Courier New"/>
          <w:sz w:val="16"/>
          <w:szCs w:val="16"/>
          <w:color w:val="auto"/>
        </w:rPr>
        <w:t>THIRD: The terms of these Articles of Amendment and Restatement were duly advised, authorized and approved by the Trust in the manner and by the vote</w:t>
      </w:r>
    </w:p>
    <w:p>
      <w:pPr>
        <w:jc w:val="both"/>
        <w:ind w:right="2559"/>
        <w:spacing w:after="0" w:line="274" w:lineRule="auto"/>
        <w:rPr>
          <w:sz w:val="20"/>
          <w:szCs w:val="20"/>
          <w:color w:val="auto"/>
        </w:rPr>
      </w:pPr>
      <w:r>
        <w:rPr>
          <w:rFonts w:ascii="Courier New" w:cs="Courier New" w:eastAsia="Courier New" w:hAnsi="Courier New"/>
          <w:sz w:val="17"/>
          <w:szCs w:val="17"/>
          <w:color w:val="auto"/>
        </w:rPr>
        <w:t>required under the Existing Declaration of Trust. On , 1999, the Board of Trustees duly adopted a resolution setting forth the terms of these Articles</w:t>
      </w:r>
    </w:p>
    <w:p>
      <w:pPr>
        <w:sectPr>
          <w:pgSz w:w="11900" w:h="16838" w:orient="portrait"/>
          <w:cols w:equalWidth="0" w:num="1">
            <w:col w:w="10219"/>
          </w:cols>
          <w:pgMar w:left="240" w:top="660" w:right="1440" w:bottom="1440" w:gutter="0" w:footer="0" w:header="0"/>
        </w:sectPr>
      </w:pPr>
    </w:p>
    <w:bookmarkStart w:id="38" w:name="page39"/>
    <w:bookmarkEnd w:id="38"/>
    <w:p>
      <w:pPr>
        <w:ind w:right="2859"/>
        <w:spacing w:after="0" w:line="273" w:lineRule="auto"/>
        <w:rPr>
          <w:sz w:val="20"/>
          <w:szCs w:val="20"/>
          <w:color w:val="auto"/>
        </w:rPr>
      </w:pPr>
      <w:r>
        <w:rPr>
          <w:rFonts w:ascii="Courier New" w:cs="Courier New" w:eastAsia="Courier New" w:hAnsi="Courier New"/>
          <w:sz w:val="16"/>
          <w:szCs w:val="16"/>
          <w:color w:val="auto"/>
        </w:rPr>
        <w:t>of Amendment and Restatement, declaring the advisability thereof, and directing that such Articles of Amendment and Restatement be submitted for</w:t>
      </w:r>
    </w:p>
    <w:p>
      <w:pPr>
        <w:ind w:right="2559"/>
        <w:spacing w:after="0" w:line="256" w:lineRule="auto"/>
        <w:rPr>
          <w:sz w:val="20"/>
          <w:szCs w:val="20"/>
          <w:color w:val="auto"/>
        </w:rPr>
      </w:pPr>
      <w:r>
        <w:rPr>
          <w:rFonts w:ascii="Courier New" w:cs="Courier New" w:eastAsia="Courier New" w:hAnsi="Courier New"/>
          <w:sz w:val="17"/>
          <w:szCs w:val="17"/>
          <w:color w:val="auto"/>
        </w:rPr>
        <w:t>approval by the shareholders of the Trust. On , 1999, the shareholders of the Trust approved and authorized the terms of these Articles of Amendment and Restatement by the affirmative vote of holders of more than two-thirds of the issued and outstanding shares entitled to vote, at a duly held meeting of shareholders.</w:t>
      </w:r>
    </w:p>
    <w:p>
      <w:pPr>
        <w:spacing w:after="0" w:line="90" w:lineRule="exact"/>
        <w:rPr>
          <w:sz w:val="20"/>
          <w:szCs w:val="20"/>
          <w:color w:val="auto"/>
        </w:rPr>
      </w:pPr>
    </w:p>
    <w:p>
      <w:pPr>
        <w:ind w:right="2559" w:firstLine="199"/>
        <w:spacing w:after="0" w:line="266" w:lineRule="auto"/>
        <w:rPr>
          <w:sz w:val="20"/>
          <w:szCs w:val="20"/>
          <w:color w:val="auto"/>
        </w:rPr>
      </w:pPr>
      <w:r>
        <w:rPr>
          <w:rFonts w:ascii="Courier New" w:cs="Courier New" w:eastAsia="Courier New" w:hAnsi="Courier New"/>
          <w:sz w:val="16"/>
          <w:szCs w:val="16"/>
          <w:color w:val="auto"/>
        </w:rPr>
        <w:t>IN WITNESS WHEREOF, FEDERAL REALTY INVESTMENT TRUST has caused these Articles of Amendment and Restatement to be signed in its name and on its behalf by its Chief Executive Officer and attested to by its Secretary on the</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80"/>
        </w:trPr>
        <w:tc>
          <w:tcPr>
            <w:tcW w:w="1600" w:type="dxa"/>
            <w:vAlign w:val="bottom"/>
          </w:tcPr>
          <w:p>
            <w:pPr>
              <w:spacing w:after="0"/>
              <w:rPr>
                <w:sz w:val="20"/>
                <w:szCs w:val="20"/>
                <w:color w:val="auto"/>
              </w:rPr>
            </w:pPr>
            <w:r>
              <w:rPr>
                <w:rFonts w:ascii="Courier New" w:cs="Courier New" w:eastAsia="Courier New" w:hAnsi="Courier New"/>
                <w:sz w:val="17"/>
                <w:szCs w:val="17"/>
                <w:color w:val="auto"/>
              </w:rPr>
              <w:t>day of</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 1999.</w:t>
            </w:r>
          </w:p>
        </w:tc>
      </w:tr>
    </w:tbl>
    <w:p>
      <w:pPr>
        <w:spacing w:after="0" w:line="72"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9"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Steven J. Guttman</w:t>
      </w:r>
    </w:p>
    <w:p>
      <w:pPr>
        <w:ind w:left="4380"/>
        <w:spacing w:after="0"/>
        <w:rPr>
          <w:sz w:val="20"/>
          <w:szCs w:val="20"/>
          <w:color w:val="auto"/>
        </w:rPr>
      </w:pPr>
      <w:r>
        <w:rPr>
          <w:rFonts w:ascii="Courier New" w:cs="Courier New" w:eastAsia="Courier New" w:hAnsi="Courier New"/>
          <w:sz w:val="17"/>
          <w:szCs w:val="17"/>
          <w:color w:val="auto"/>
        </w:rPr>
        <w:t>Chief Executive Officer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Nancy J. Herman, Secretary</w:t>
      </w:r>
    </w:p>
    <w:p>
      <w:pPr>
        <w:spacing w:after="0" w:line="35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660" w:right="1440" w:bottom="1440" w:gutter="0" w:footer="0" w:header="0"/>
        </w:sectPr>
      </w:pPr>
    </w:p>
    <w:bookmarkStart w:id="39" w:name="page40"/>
    <w:bookmarkEnd w:id="39"/>
    <w:p>
      <w:pPr>
        <w:jc w:val="right"/>
        <w:ind w:right="2359"/>
        <w:spacing w:after="0"/>
        <w:rPr>
          <w:sz w:val="20"/>
          <w:szCs w:val="20"/>
          <w:color w:val="auto"/>
        </w:rPr>
      </w:pPr>
      <w:r>
        <w:rPr>
          <w:rFonts w:ascii="Courier New" w:cs="Courier New" w:eastAsia="Courier New" w:hAnsi="Courier New"/>
          <w:sz w:val="17"/>
          <w:szCs w:val="17"/>
          <w:color w:val="auto"/>
        </w:rPr>
        <w:t>EXHIBIT A TO</w:t>
      </w:r>
    </w:p>
    <w:p>
      <w:pPr>
        <w:spacing w:after="0" w:line="29" w:lineRule="exact"/>
        <w:rPr>
          <w:sz w:val="20"/>
          <w:szCs w:val="20"/>
          <w:color w:val="auto"/>
        </w:rPr>
      </w:pPr>
    </w:p>
    <w:p>
      <w:pPr>
        <w:jc w:val="right"/>
        <w:ind w:right="2359"/>
        <w:spacing w:after="0"/>
        <w:rPr>
          <w:sz w:val="20"/>
          <w:szCs w:val="20"/>
          <w:color w:val="auto"/>
        </w:rPr>
      </w:pPr>
      <w:r>
        <w:rPr>
          <w:rFonts w:ascii="Courier New" w:cs="Courier New" w:eastAsia="Courier New" w:hAnsi="Courier New"/>
          <w:sz w:val="17"/>
          <w:szCs w:val="17"/>
          <w:color w:val="auto"/>
        </w:rPr>
        <w:t>APPENDIX A</w:t>
      </w:r>
    </w:p>
    <w:p>
      <w:pPr>
        <w:spacing w:after="0" w:line="16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DECLARATION OF TRUST</w:t>
      </w:r>
    </w:p>
    <w:p>
      <w:pPr>
        <w:spacing w:after="0" w:line="190" w:lineRule="exact"/>
        <w:rPr>
          <w:sz w:val="20"/>
          <w:szCs w:val="20"/>
          <w:color w:val="auto"/>
        </w:rPr>
      </w:pPr>
    </w:p>
    <w:p>
      <w:pPr>
        <w:ind w:left="2980"/>
        <w:spacing w:after="0"/>
        <w:tabs>
          <w:tab w:leader="none" w:pos="42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 1999</w:t>
      </w:r>
    </w:p>
    <w:p>
      <w:pPr>
        <w:spacing w:after="0" w:line="190" w:lineRule="exact"/>
        <w:rPr>
          <w:sz w:val="20"/>
          <w:szCs w:val="20"/>
          <w:color w:val="auto"/>
        </w:rPr>
      </w:pPr>
    </w:p>
    <w:p>
      <w:pPr>
        <w:ind w:right="2559" w:firstLine="199"/>
        <w:spacing w:after="0" w:line="318" w:lineRule="auto"/>
        <w:rPr>
          <w:sz w:val="20"/>
          <w:szCs w:val="20"/>
          <w:color w:val="auto"/>
        </w:rPr>
      </w:pPr>
      <w:r>
        <w:rPr>
          <w:rFonts w:ascii="Courier New" w:cs="Courier New" w:eastAsia="Courier New" w:hAnsi="Courier New"/>
          <w:sz w:val="16"/>
          <w:szCs w:val="16"/>
          <w:color w:val="auto"/>
        </w:rPr>
        <w:t>This DECLARATION OF TRUST is made as of the date set forth above by the undersigned Trustees (as defined herein) and amends and restates the Third Amended and Restated Declaration of Trust of Federal Realty Investment Trust.</w:t>
      </w:r>
    </w:p>
    <w:p>
      <w:pPr>
        <w:spacing w:after="0" w:line="45"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I</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NAME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name of the Trust (as hereinafter defined) is:</w:t>
      </w:r>
    </w:p>
    <w:p>
      <w:pPr>
        <w:spacing w:after="0" w:line="16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ind w:right="2559" w:firstLine="199"/>
        <w:spacing w:after="0" w:line="274" w:lineRule="auto"/>
        <w:rPr>
          <w:sz w:val="20"/>
          <w:szCs w:val="20"/>
          <w:color w:val="auto"/>
        </w:rPr>
      </w:pPr>
      <w:r>
        <w:rPr>
          <w:rFonts w:ascii="Courier New" w:cs="Courier New" w:eastAsia="Courier New" w:hAnsi="Courier New"/>
          <w:sz w:val="17"/>
          <w:szCs w:val="17"/>
          <w:color w:val="auto"/>
        </w:rPr>
        <w:t>Under circumstances in which the Board of Trustees of the Trust (the "Board of Trustees" or "Board") determines that the use of the name of the Trust is not practicable, the Trust may use any other designation or name for the Trust.</w:t>
      </w:r>
    </w:p>
    <w:p>
      <w:pPr>
        <w:spacing w:after="0" w:line="7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ARTICLE II</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FORMATION</w:t>
      </w:r>
    </w:p>
    <w:p>
      <w:pPr>
        <w:spacing w:after="0" w:line="190"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The Trust (the "Trust") is a real estate investment trust within the meaning of Title 8 of the Corporations and Associations Article of the Annotated Code of Maryland ("Title 8"). The Trust shall not be deemed to be a general partnership, limited partnership, joint venture, joint stock company or a corporation but nothing herein shall preclude the Trust from being treated for tax purposes as an association under the Internal Revenue Code of 1986, as amended (the "Code").</w:t>
      </w:r>
    </w:p>
    <w:p>
      <w:pPr>
        <w:spacing w:after="0" w:line="9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III</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PURPOSES AND POWERS</w:t>
      </w:r>
    </w:p>
    <w:p>
      <w:pPr>
        <w:spacing w:after="0" w:line="190" w:lineRule="exact"/>
        <w:rPr>
          <w:sz w:val="20"/>
          <w:szCs w:val="20"/>
          <w:color w:val="auto"/>
        </w:rPr>
      </w:pPr>
    </w:p>
    <w:p>
      <w:pPr>
        <w:ind w:right="2459" w:firstLine="199"/>
        <w:spacing w:after="0" w:line="279" w:lineRule="auto"/>
        <w:rPr>
          <w:sz w:val="20"/>
          <w:szCs w:val="20"/>
          <w:color w:val="auto"/>
        </w:rPr>
      </w:pPr>
      <w:r>
        <w:rPr>
          <w:rFonts w:ascii="Courier New" w:cs="Courier New" w:eastAsia="Courier New" w:hAnsi="Courier New"/>
          <w:sz w:val="16"/>
          <w:szCs w:val="16"/>
          <w:color w:val="auto"/>
        </w:rPr>
        <w:t>Section 3.1 Purposes. The purposes for which the Trust has been formed are to invest in and to acquire, hold, develop, redevelop, manage, administer, control, lease and dispose of interests in property, including, without limitation or obligation, engaging in business as a real estate investment trust under the Code or any other lawful activity for which real estate investment trusts may be organized under Title 8 as now or hereafter in force.</w:t>
      </w:r>
    </w:p>
    <w:p>
      <w:pPr>
        <w:spacing w:after="0" w:line="75" w:lineRule="exact"/>
        <w:rPr>
          <w:sz w:val="20"/>
          <w:szCs w:val="20"/>
          <w:color w:val="auto"/>
        </w:rPr>
      </w:pPr>
    </w:p>
    <w:p>
      <w:pPr>
        <w:ind w:right="2459" w:firstLine="199"/>
        <w:spacing w:after="0" w:line="274" w:lineRule="auto"/>
        <w:rPr>
          <w:sz w:val="20"/>
          <w:szCs w:val="20"/>
          <w:color w:val="auto"/>
        </w:rPr>
      </w:pPr>
      <w:r>
        <w:rPr>
          <w:rFonts w:ascii="Courier New" w:cs="Courier New" w:eastAsia="Courier New" w:hAnsi="Courier New"/>
          <w:sz w:val="17"/>
          <w:szCs w:val="17"/>
          <w:color w:val="auto"/>
        </w:rPr>
        <w:t>Section 3.2 Powers. The Trust has all of the powers granted to real estate investment trusts by Title 8 and all other powers set forth in the Declaration of Trust which are not inconsistent with law and are appropriate to promote and attain the purposes set forth in the Declaration of Trust.</w:t>
      </w:r>
    </w:p>
    <w:p>
      <w:pPr>
        <w:spacing w:after="0" w:line="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ARTICLE IV</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RESIDENT AGENT</w:t>
      </w:r>
    </w:p>
    <w:p>
      <w:pPr>
        <w:spacing w:after="0" w:line="190"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7"/>
          <w:szCs w:val="17"/>
          <w:color w:val="auto"/>
        </w:rPr>
        <w:t>The name of the resident agent of the Trust in the State of Maryland is CSC Lawyers Incorporating Service Company, whose post office address is 11 E. Chase Street, Baltimore, Maryland 21202. The resident agent is a resident of the State of Maryland. The Trust may have such offices or places of business within or outside the State of Maryland as the Board of Trustees may from time to time determine.</w:t>
      </w:r>
    </w:p>
    <w:p>
      <w:pPr>
        <w:spacing w:after="0" w:line="2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660" w:right="1440" w:bottom="1440" w:gutter="0" w:footer="0" w:header="0"/>
        </w:sectPr>
      </w:pPr>
    </w:p>
    <w:bookmarkStart w:id="40" w:name="page41"/>
    <w:bookmarkEnd w:id="40"/>
    <w:p>
      <w:pPr>
        <w:jc w:val="center"/>
        <w:ind w:right="2359"/>
        <w:spacing w:after="0"/>
        <w:rPr>
          <w:sz w:val="20"/>
          <w:szCs w:val="20"/>
          <w:color w:val="auto"/>
        </w:rPr>
      </w:pPr>
      <w:r>
        <w:rPr>
          <w:rFonts w:ascii="Courier New" w:cs="Courier New" w:eastAsia="Courier New" w:hAnsi="Courier New"/>
          <w:sz w:val="17"/>
          <w:szCs w:val="17"/>
          <w:color w:val="auto"/>
        </w:rPr>
        <w:t>ARTICLE V</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BOARD OF TRUSTEES</w:t>
      </w:r>
    </w:p>
    <w:p>
      <w:pPr>
        <w:spacing w:after="0" w:line="190" w:lineRule="exact"/>
        <w:rPr>
          <w:sz w:val="20"/>
          <w:szCs w:val="20"/>
          <w:color w:val="auto"/>
        </w:rPr>
      </w:pPr>
    </w:p>
    <w:p>
      <w:pPr>
        <w:ind w:right="2459" w:firstLine="199"/>
        <w:spacing w:after="0" w:line="262" w:lineRule="auto"/>
        <w:rPr>
          <w:sz w:val="20"/>
          <w:szCs w:val="20"/>
          <w:color w:val="auto"/>
        </w:rPr>
      </w:pPr>
      <w:r>
        <w:rPr>
          <w:rFonts w:ascii="Courier New" w:cs="Courier New" w:eastAsia="Courier New" w:hAnsi="Courier New"/>
          <w:sz w:val="16"/>
          <w:szCs w:val="16"/>
          <w:color w:val="auto"/>
        </w:rPr>
        <w:t>Section 5.1 Powers. Subject to any express limitations contained in the Declaration of Trust or in the Bylaws, (a) the business and affairs of the Trust shall be managed under the direction of the Board of Trustees and (b) the Board shall have full, exclusive and absolute power, control and authority over any and all property of the Trust. The Board may take any action as in its sole judgment and discretion is necessary or appropriate to conduct the business and affairs of the Trust. The Declaration of Trust shall be construed with the presumption in favor of the grant of power and authority to the Board. Any construction of the Declaration of Trust or determination made in good faith by the Board concerning its powers and authority hereunder shall be conclusive. The enumeration and definition of particular powers of the Trustees included in the Declaration of Trust or in the Bylaws shall in no way be construed or deemed by inference or otherwise in any manner to exclude or limit the powers conferred upon the Board or the Trustees under the general laws of the State of Maryland or any other applicable laws.</w:t>
      </w:r>
    </w:p>
    <w:p>
      <w:pPr>
        <w:spacing w:after="0" w:line="92" w:lineRule="exact"/>
        <w:rPr>
          <w:sz w:val="20"/>
          <w:szCs w:val="20"/>
          <w:color w:val="auto"/>
        </w:rPr>
      </w:pPr>
    </w:p>
    <w:p>
      <w:pPr>
        <w:ind w:right="2459" w:firstLine="199"/>
        <w:spacing w:after="0" w:line="249" w:lineRule="auto"/>
        <w:rPr>
          <w:sz w:val="20"/>
          <w:szCs w:val="20"/>
          <w:color w:val="auto"/>
        </w:rPr>
      </w:pPr>
      <w:r>
        <w:rPr>
          <w:rFonts w:ascii="Courier New" w:cs="Courier New" w:eastAsia="Courier New" w:hAnsi="Courier New"/>
          <w:sz w:val="17"/>
          <w:szCs w:val="17"/>
          <w:color w:val="auto"/>
        </w:rPr>
        <w:t>The Board, without any action by the shareholders of the Trust, shall have and may exercise, on behalf of the Trust, without limitation, the power to terminate the status of the Trust as a real estate investment trust under the Code; to determine that compliance with any restriction or limitations on ownership and transfers of shares of the Trust's beneficial interest set forth in Article VII of the Declaration of Trust is no longer required in order for the Trust to qualify as a REIT; to adopt, amend and repeal Bylaws; to elect officers in the manner prescribed in the Bylaws; to solicit proxies from holders of shares of beneficial interest of the Trust; and to do any other acts and deliver any other documents necessary or appropriate to the foregoing powers.</w:t>
      </w:r>
    </w:p>
    <w:p>
      <w:pPr>
        <w:spacing w:after="0" w:line="97" w:lineRule="exact"/>
        <w:rPr>
          <w:sz w:val="20"/>
          <w:szCs w:val="20"/>
          <w:color w:val="auto"/>
        </w:rPr>
      </w:pPr>
    </w:p>
    <w:p>
      <w:pPr>
        <w:ind w:right="2459" w:firstLine="199"/>
        <w:spacing w:after="0" w:line="267" w:lineRule="auto"/>
        <w:rPr>
          <w:sz w:val="20"/>
          <w:szCs w:val="20"/>
          <w:color w:val="auto"/>
        </w:rPr>
      </w:pPr>
      <w:r>
        <w:rPr>
          <w:rFonts w:ascii="Courier New" w:cs="Courier New" w:eastAsia="Courier New" w:hAnsi="Courier New"/>
          <w:sz w:val="16"/>
          <w:szCs w:val="16"/>
          <w:color w:val="auto"/>
        </w:rPr>
        <w:t>Section 5.2 Number and Classification. Upon acceptance for record of this Declaration of Trust, the number of Trustees (hereinafter the "Trustees") is seven, which number may be increased or decreased pursuant to the Bylaws of the Trust. Except for Trustees elected solely by holders of one or more series of Preferred Shares, the Trustees shall be elected at every third annual meeting of shareholders in the manner provided in the Bylaws or, in order to fill any vacancy on the Board of Trustees, in the manner provided in the Bylaws. The names and classes of the Trustees who shall serve until the annual meeting of shareholders at which their class comes up for reelection (as provided herein) and until their successors are duly elected and qualify are:</w:t>
      </w:r>
    </w:p>
    <w:p>
      <w:pPr>
        <w:spacing w:after="0" w:line="200" w:lineRule="exact"/>
        <w:rPr>
          <w:sz w:val="20"/>
          <w:szCs w:val="20"/>
          <w:color w:val="auto"/>
        </w:rPr>
      </w:pPr>
    </w:p>
    <w:p>
      <w:pPr>
        <w:spacing w:after="0" w:line="269" w:lineRule="exact"/>
        <w:rPr>
          <w:sz w:val="20"/>
          <w:szCs w:val="20"/>
          <w:color w:val="auto"/>
        </w:rPr>
      </w:pPr>
    </w:p>
    <w:tbl>
      <w:tblPr>
        <w:tblLayout w:type="fixed"/>
        <w:tblInd w:w="1300" w:type="dxa"/>
        <w:tblCellMar>
          <w:top w:w="0" w:type="dxa"/>
          <w:left w:w="0" w:type="dxa"/>
          <w:bottom w:w="0" w:type="dxa"/>
          <w:right w:w="0" w:type="dxa"/>
        </w:tblCellMar>
      </w:tblPr>
      <w:tr>
        <w:trPr>
          <w:trHeight w:val="193"/>
        </w:trPr>
        <w:tc>
          <w:tcPr>
            <w:tcW w:w="23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Class</w:t>
            </w:r>
          </w:p>
        </w:tc>
      </w:tr>
      <w:tr>
        <w:trPr>
          <w:trHeight w:val="280"/>
        </w:trPr>
        <w:tc>
          <w:tcPr>
            <w:tcW w:w="23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I</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 Cornet de Ways Ruart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Walter F. Loeb</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Dennis L. Berman</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II</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Kristin Gamble</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II</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Steven J. Guttman</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III</w:t>
            </w:r>
          </w:p>
        </w:tc>
      </w:tr>
      <w:tr>
        <w:trPr>
          <w:trHeight w:val="280"/>
        </w:trPr>
        <w:tc>
          <w:tcPr>
            <w:tcW w:w="2380" w:type="dxa"/>
            <w:vAlign w:val="bottom"/>
          </w:tcPr>
          <w:p>
            <w:pPr>
              <w:spacing w:after="0"/>
              <w:rPr>
                <w:sz w:val="20"/>
                <w:szCs w:val="20"/>
                <w:color w:val="auto"/>
              </w:rPr>
            </w:pPr>
            <w:r>
              <w:rPr>
                <w:rFonts w:ascii="Courier New" w:cs="Courier New" w:eastAsia="Courier New" w:hAnsi="Courier New"/>
                <w:sz w:val="17"/>
                <w:szCs w:val="17"/>
                <w:color w:val="auto"/>
              </w:rPr>
              <w:t>Mark S. Ordan</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III</w:t>
            </w:r>
          </w:p>
        </w:tc>
      </w:tr>
    </w:tbl>
    <w:p>
      <w:pPr>
        <w:spacing w:after="0" w:line="294" w:lineRule="exact"/>
        <w:rPr>
          <w:sz w:val="20"/>
          <w:szCs w:val="20"/>
          <w:color w:val="auto"/>
        </w:rPr>
      </w:pPr>
    </w:p>
    <w:p>
      <w:pPr>
        <w:ind w:right="2559" w:firstLine="199"/>
        <w:spacing w:after="0" w:line="265" w:lineRule="auto"/>
        <w:rPr>
          <w:sz w:val="20"/>
          <w:szCs w:val="20"/>
          <w:color w:val="auto"/>
        </w:rPr>
      </w:pPr>
      <w:r>
        <w:rPr>
          <w:rFonts w:ascii="Courier New" w:cs="Courier New" w:eastAsia="Courier New" w:hAnsi="Courier New"/>
          <w:sz w:val="17"/>
          <w:szCs w:val="17"/>
          <w:color w:val="auto"/>
        </w:rPr>
        <w:t>These Trustees may increase the number of Trustees and fill any vacancy, whether resulting from an increase in the number of Trustees or otherwise, on the Board of Trustees in the manner provided in the Bylaws. It shall not be necessary to list in the Declaration of Trust the names and addresses of any Trustees hereinafter elected.</w:t>
      </w:r>
    </w:p>
    <w:p>
      <w:pPr>
        <w:spacing w:after="0" w:line="84" w:lineRule="exact"/>
        <w:rPr>
          <w:sz w:val="20"/>
          <w:szCs w:val="20"/>
          <w:color w:val="auto"/>
        </w:rPr>
      </w:pPr>
    </w:p>
    <w:p>
      <w:pPr>
        <w:ind w:right="2559" w:firstLine="199"/>
        <w:spacing w:after="0" w:line="249" w:lineRule="auto"/>
        <w:rPr>
          <w:sz w:val="20"/>
          <w:szCs w:val="20"/>
          <w:color w:val="auto"/>
        </w:rPr>
      </w:pPr>
      <w:r>
        <w:rPr>
          <w:rFonts w:ascii="Courier New" w:cs="Courier New" w:eastAsia="Courier New" w:hAnsi="Courier New"/>
          <w:sz w:val="17"/>
          <w:szCs w:val="17"/>
          <w:color w:val="auto"/>
        </w:rPr>
        <w:t>Class I Trustees shall hold office initially for a term expiring at the annual meeting of shareholders in 2000, Class II Trustees shall hold office initially for a term expiring at the annual meeting of shareholders in 2001 and Class III Trustees shall hold office initially for a term expiring at the annual meeting of shareholders in 2002, with the Trustees of each class to hold office until their successors are duly elected and qualify. At each annual meeting of shareholders, the successors to the class of Trustees whose term expires at such meeting shall be elected to hold office for a term expiring at the annual meeting of shareholders held in the third year following the year of their election and until their successors are duly elected and qualify.</w:t>
      </w:r>
    </w:p>
    <w:p>
      <w:pPr>
        <w:spacing w:after="0" w:line="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660" w:right="1440" w:bottom="1077" w:gutter="0" w:footer="0" w:header="0"/>
        </w:sectPr>
      </w:pPr>
    </w:p>
    <w:bookmarkStart w:id="41" w:name="page42"/>
    <w:bookmarkEnd w:id="41"/>
    <w:p>
      <w:pPr>
        <w:ind w:right="2459" w:firstLine="199"/>
        <w:spacing w:after="0" w:line="261" w:lineRule="auto"/>
        <w:rPr>
          <w:sz w:val="20"/>
          <w:szCs w:val="20"/>
          <w:color w:val="auto"/>
        </w:rPr>
      </w:pPr>
      <w:r>
        <w:rPr>
          <w:rFonts w:ascii="Courier New" w:cs="Courier New" w:eastAsia="Courier New" w:hAnsi="Courier New"/>
          <w:sz w:val="16"/>
          <w:szCs w:val="16"/>
          <w:color w:val="auto"/>
        </w:rPr>
        <w:t>Section 5.3 Resignation or Removal. Any Trustee may resign by written notice to the Board, effective upon execution and delivery to the Trust of such written notice or upon any future date specified in the notice. Subject to the rights of holders of one or more classes or series of Preferred Shares to elect or remove one or more Trustees, a Trustee may be removed at any time, with cause, at a meeting of the shareholders, by the affirmative vote of the holders of not less than two-thirds of the Shares then outstanding and entitled to vote generally in the election of Trustees. For purposes of this Declaration, "cause", with respect to the removal of any Trustee, shall mean only (i) conviction of a felony, (ii) declaration of unsound mind by order of a court, (iii) gross dereliction of duty, (iv) conviction of any crime involving moral turpitude, (v) commission of an act that constitutes intentional misconduct or a knowing violation of law if such action in either event results both in an improper substantial personal benefit to such Trustee and a material injury to the Trust or (vi) a unanimous determination by the remaining Trustees that "cause" exists for the removal of the Trustee.</w:t>
      </w:r>
    </w:p>
    <w:p>
      <w:pPr>
        <w:spacing w:after="0" w:line="9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ARTICLE VI</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SHARES OF BENEFICIAL INTEREST</w:t>
      </w:r>
    </w:p>
    <w:p>
      <w:pPr>
        <w:spacing w:after="0" w:line="190"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6"/>
          <w:szCs w:val="16"/>
          <w:color w:val="auto"/>
        </w:rPr>
        <w:t>Section 6.1 Authorized Shares. The beneficial interest of the Trust shall be divided into shares of beneficial interest (the "Shares"). The Trust has authority to issue 100,000,000 common shares of beneficial interest, $.01 par value per share ("Common Shares"), and 15,000,000 preferred shares of beneficial interest, $.01 par value per share ("Preferred Shares"), of which 4,000,000 shares are Series A Cumulative Redeemable Preferred Shares (the "Series A Preferred Shares"). If shares of one class are classified or reclassified into shares of another class of shares pursuant to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beneficial interest of all classes that the Trust has authority to issue shall not be more than the total number of shares of beneficial interest set forth in the second sentence of this paragraph. The Board of Trustees, without any action by the shareholders of the Trust, may amend the Declaration of Trust from time to time to increase or decrease the aggregate number of Shares or the number of Shares of any class or series that the Trust has authority to issue.</w:t>
      </w:r>
    </w:p>
    <w:p>
      <w:pPr>
        <w:spacing w:after="0" w:line="99"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Section 6.2 Common Shares. Subject to the provisions of Article VII, each Common Share entitles the holder thereof to one vote on each matter upon which holders of Common Shares are entitled to vote. The Board of Trustees may reclassify any unissued Common Shares from time to time in one or more classes or series of Shares.</w:t>
      </w:r>
    </w:p>
    <w:p>
      <w:pPr>
        <w:spacing w:after="0" w:line="84" w:lineRule="exact"/>
        <w:rPr>
          <w:sz w:val="20"/>
          <w:szCs w:val="20"/>
          <w:color w:val="auto"/>
        </w:rPr>
      </w:pPr>
    </w:p>
    <w:p>
      <w:pPr>
        <w:ind w:right="2959" w:firstLine="199"/>
        <w:spacing w:after="0" w:line="274" w:lineRule="auto"/>
        <w:rPr>
          <w:sz w:val="20"/>
          <w:szCs w:val="20"/>
          <w:color w:val="auto"/>
        </w:rPr>
      </w:pPr>
      <w:r>
        <w:rPr>
          <w:rFonts w:ascii="Courier New" w:cs="Courier New" w:eastAsia="Courier New" w:hAnsi="Courier New"/>
          <w:sz w:val="17"/>
          <w:szCs w:val="17"/>
          <w:color w:val="auto"/>
        </w:rPr>
        <w:t>Section 6.3 Preferred Shares. The Board of Trustees may classify any unissued Preferred Shares and reclassify any previously classified but unissued Preferred Shares of any series from time to time, in one or more series of Shares.</w:t>
      </w:r>
    </w:p>
    <w:p>
      <w:pPr>
        <w:spacing w:after="0" w:line="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6.4 Series A Preferred Shares</w:t>
      </w:r>
    </w:p>
    <w:p>
      <w:pPr>
        <w:spacing w:after="0" w:line="190" w:lineRule="exact"/>
        <w:rPr>
          <w:sz w:val="20"/>
          <w:szCs w:val="20"/>
          <w:color w:val="auto"/>
        </w:rPr>
      </w:pPr>
    </w:p>
    <w:p>
      <w:pPr>
        <w:ind w:right="2659" w:firstLine="199"/>
        <w:spacing w:after="0" w:line="347" w:lineRule="auto"/>
        <w:rPr>
          <w:sz w:val="20"/>
          <w:szCs w:val="20"/>
          <w:color w:val="auto"/>
        </w:rPr>
      </w:pPr>
      <w:r>
        <w:rPr>
          <w:rFonts w:ascii="Courier New" w:cs="Courier New" w:eastAsia="Courier New" w:hAnsi="Courier New"/>
          <w:sz w:val="17"/>
          <w:szCs w:val="17"/>
          <w:color w:val="auto"/>
        </w:rPr>
        <w:t>Section 6.4.1 Number of Shares. The number of shares of Series A Preferred Shares is 4,000,000.</w:t>
      </w:r>
    </w:p>
    <w:p>
      <w:pPr>
        <w:spacing w:after="0" w:line="17" w:lineRule="exact"/>
        <w:rPr>
          <w:sz w:val="20"/>
          <w:szCs w:val="20"/>
          <w:color w:val="auto"/>
        </w:rPr>
      </w:pPr>
    </w:p>
    <w:p>
      <w:pPr>
        <w:ind w:right="2759" w:firstLine="199"/>
        <w:spacing w:after="0" w:line="347" w:lineRule="auto"/>
        <w:rPr>
          <w:sz w:val="20"/>
          <w:szCs w:val="20"/>
          <w:color w:val="auto"/>
        </w:rPr>
      </w:pPr>
      <w:r>
        <w:rPr>
          <w:rFonts w:ascii="Courier New" w:cs="Courier New" w:eastAsia="Courier New" w:hAnsi="Courier New"/>
          <w:sz w:val="17"/>
          <w:szCs w:val="17"/>
          <w:color w:val="auto"/>
        </w:rPr>
        <w:t>Section 6.4.2 Definitions. In this Section 6.4, the following terms shall have the following meanings herein:</w:t>
      </w:r>
    </w:p>
    <w:p>
      <w:pPr>
        <w:spacing w:after="0" w:line="17" w:lineRule="exact"/>
        <w:rPr>
          <w:sz w:val="20"/>
          <w:szCs w:val="20"/>
          <w:color w:val="auto"/>
        </w:rPr>
      </w:pPr>
    </w:p>
    <w:p>
      <w:pPr>
        <w:ind w:right="2459" w:firstLine="201"/>
        <w:spacing w:after="0" w:line="292" w:lineRule="auto"/>
        <w:tabs>
          <w:tab w:leader="none" w:pos="597"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of Trustees" shall mean the Board of Trustees of the Trust or any committee authorized by the Board of Trustees to perform any of its responsibilities with respect to the Series A Preferred Shares.</w:t>
      </w:r>
    </w:p>
    <w:p>
      <w:pPr>
        <w:spacing w:after="0" w:line="62" w:lineRule="exact"/>
        <w:rPr>
          <w:rFonts w:ascii="Courier New" w:cs="Courier New" w:eastAsia="Courier New" w:hAnsi="Courier New"/>
          <w:sz w:val="17"/>
          <w:szCs w:val="17"/>
          <w:color w:val="auto"/>
        </w:rPr>
      </w:pPr>
    </w:p>
    <w:p>
      <w:pPr>
        <w:jc w:val="both"/>
        <w:ind w:right="2659" w:firstLine="201"/>
        <w:spacing w:after="0" w:line="292" w:lineRule="auto"/>
        <w:tabs>
          <w:tab w:leader="none" w:pos="597"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Day" shall mean any day other than a Saturday, Sunday or day on which state or federally chartered banking institutions in New York City, New York are not required to be open.</w:t>
      </w:r>
    </w:p>
    <w:p>
      <w:pPr>
        <w:spacing w:after="0" w:line="62" w:lineRule="exact"/>
        <w:rPr>
          <w:rFonts w:ascii="Courier New" w:cs="Courier New" w:eastAsia="Courier New" w:hAnsi="Courier New"/>
          <w:sz w:val="17"/>
          <w:szCs w:val="17"/>
          <w:color w:val="auto"/>
        </w:rPr>
      </w:pPr>
    </w:p>
    <w:p>
      <w:pPr>
        <w:ind w:left="600" w:hanging="399"/>
        <w:spacing w:after="0"/>
        <w:tabs>
          <w:tab w:leader="none" w:pos="6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"Call Date" shall have the meaning set forth in Section 6.4.6(b).</w:t>
      </w:r>
    </w:p>
    <w:p>
      <w:pPr>
        <w:spacing w:after="0" w:line="189" w:lineRule="exact"/>
        <w:rPr>
          <w:rFonts w:ascii="Courier New" w:cs="Courier New" w:eastAsia="Courier New" w:hAnsi="Courier New"/>
          <w:sz w:val="17"/>
          <w:szCs w:val="17"/>
          <w:color w:val="auto"/>
        </w:rPr>
      </w:pPr>
    </w:p>
    <w:p>
      <w:pPr>
        <w:ind w:left="600" w:hanging="399"/>
        <w:spacing w:after="0"/>
        <w:tabs>
          <w:tab w:leader="none" w:pos="6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Gains Amount" shall have the meaning set forth in Section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6.4.3(d).</w:t>
      </w:r>
    </w:p>
    <w:p>
      <w:pPr>
        <w:spacing w:after="0" w:line="160" w:lineRule="exact"/>
        <w:rPr>
          <w:sz w:val="20"/>
          <w:szCs w:val="20"/>
          <w:color w:val="auto"/>
        </w:rPr>
      </w:pPr>
    </w:p>
    <w:p>
      <w:pPr>
        <w:ind w:right="2559" w:firstLine="201"/>
        <w:spacing w:after="0" w:line="292" w:lineRule="auto"/>
        <w:tabs>
          <w:tab w:leader="none" w:pos="597"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 Payment Date" shall mean the last calendar day (or, if such day is not a Business Day, the next Business Day thereafter) of each January, April, July and October, commencing on October 31, 1997.</w:t>
      </w:r>
    </w:p>
    <w:p>
      <w:pPr>
        <w:spacing w:after="0" w:line="6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660" w:right="1440" w:bottom="886" w:gutter="0" w:footer="0" w:header="0"/>
        </w:sectPr>
      </w:pPr>
    </w:p>
    <w:bookmarkStart w:id="42" w:name="page43"/>
    <w:bookmarkEnd w:id="42"/>
    <w:p>
      <w:pPr>
        <w:ind w:right="2459" w:firstLine="201"/>
        <w:spacing w:after="0" w:line="256" w:lineRule="auto"/>
        <w:tabs>
          <w:tab w:leader="none" w:pos="597"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A Preferred Shares shall be redeemed pursuant to Section 6.4.6, which shall end on and include the Call Date with respect to the Series A Preferred Shares being redeemed).</w:t>
      </w:r>
    </w:p>
    <w:p>
      <w:pPr>
        <w:spacing w:after="0" w:line="92" w:lineRule="exact"/>
        <w:rPr>
          <w:rFonts w:ascii="Courier New" w:cs="Courier New" w:eastAsia="Courier New" w:hAnsi="Courier New"/>
          <w:sz w:val="17"/>
          <w:szCs w:val="17"/>
          <w:color w:val="auto"/>
        </w:rPr>
      </w:pPr>
    </w:p>
    <w:p>
      <w:pPr>
        <w:ind w:right="2459" w:firstLine="201"/>
        <w:spacing w:after="0" w:line="285" w:lineRule="auto"/>
        <w:tabs>
          <w:tab w:leader="none" w:pos="59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"Fully Junior Shares" shall mean the Common Shares and any other class or series of shares of beneficial interest of the Trust now or hereafter issued and outstanding over which the Series A Preferred Shares has preference or priority in both (i) the payment of dividends and (ii) the distribution of assets on any liquidation, dissolution or winding up of the Trust.</w:t>
      </w:r>
    </w:p>
    <w:p>
      <w:pPr>
        <w:spacing w:after="0" w:line="71" w:lineRule="exact"/>
        <w:rPr>
          <w:sz w:val="20"/>
          <w:szCs w:val="20"/>
          <w:color w:val="auto"/>
        </w:rPr>
      </w:pPr>
    </w:p>
    <w:p>
      <w:pPr>
        <w:ind w:right="2759" w:firstLine="199"/>
        <w:spacing w:after="0" w:line="347" w:lineRule="auto"/>
        <w:rPr>
          <w:sz w:val="20"/>
          <w:szCs w:val="20"/>
          <w:color w:val="auto"/>
        </w:rPr>
      </w:pPr>
      <w:r>
        <w:rPr>
          <w:rFonts w:ascii="Courier New" w:cs="Courier New" w:eastAsia="Courier New" w:hAnsi="Courier New"/>
          <w:sz w:val="17"/>
          <w:szCs w:val="17"/>
          <w:color w:val="auto"/>
        </w:rPr>
        <w:t>(h)"Issue Date" shall mean the first date on which the pertinent Series A Preferred Shares are issued and sold.</w:t>
      </w:r>
    </w:p>
    <w:p>
      <w:pPr>
        <w:spacing w:after="0" w:line="17" w:lineRule="exact"/>
        <w:rPr>
          <w:sz w:val="20"/>
          <w:szCs w:val="20"/>
          <w:color w:val="auto"/>
        </w:rPr>
      </w:pPr>
    </w:p>
    <w:p>
      <w:pPr>
        <w:ind w:right="2659" w:firstLine="201"/>
        <w:spacing w:after="0" w:line="265" w:lineRule="auto"/>
        <w:tabs>
          <w:tab w:leader="none" w:pos="597"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"Junior Shares" shall mean the Common Shares and any other class or series of shares of beneficial interest of the Trust now or hereafter issued and outstanding over which the Series A Preferred Shares has preference or priority in the payment of dividends or in the distribution of assets on any liquidation, dissolution or winding up of the Trust.</w:t>
      </w:r>
    </w:p>
    <w:p>
      <w:pPr>
        <w:spacing w:after="0" w:line="84" w:lineRule="exact"/>
        <w:rPr>
          <w:rFonts w:ascii="Courier New" w:cs="Courier New" w:eastAsia="Courier New" w:hAnsi="Courier New"/>
          <w:sz w:val="17"/>
          <w:szCs w:val="17"/>
          <w:color w:val="auto"/>
        </w:rPr>
      </w:pPr>
    </w:p>
    <w:p>
      <w:pPr>
        <w:ind w:left="600" w:hanging="399"/>
        <w:spacing w:after="0"/>
        <w:tabs>
          <w:tab w:leader="none" w:pos="60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"Parity Shares" shall have the meaning set forth in Section 6.4.8(b).</w:t>
      </w:r>
    </w:p>
    <w:p>
      <w:pPr>
        <w:spacing w:after="0" w:line="189" w:lineRule="exact"/>
        <w:rPr>
          <w:rFonts w:ascii="Courier New" w:cs="Courier New" w:eastAsia="Courier New" w:hAnsi="Courier New"/>
          <w:sz w:val="17"/>
          <w:szCs w:val="17"/>
          <w:color w:val="auto"/>
        </w:rPr>
      </w:pPr>
    </w:p>
    <w:p>
      <w:pPr>
        <w:ind w:right="2759" w:firstLine="201"/>
        <w:spacing w:after="0" w:line="347" w:lineRule="auto"/>
        <w:tabs>
          <w:tab w:leader="none" w:pos="597"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"Preferred Shares" shall mean the preferred shares of the Trust, $.01 par value per share.</w:t>
      </w:r>
    </w:p>
    <w:p>
      <w:pPr>
        <w:spacing w:after="0" w:line="16" w:lineRule="exact"/>
        <w:rPr>
          <w:rFonts w:ascii="Courier New" w:cs="Courier New" w:eastAsia="Courier New" w:hAnsi="Courier New"/>
          <w:sz w:val="17"/>
          <w:szCs w:val="17"/>
          <w:color w:val="auto"/>
        </w:rPr>
      </w:pPr>
    </w:p>
    <w:p>
      <w:pPr>
        <w:ind w:left="600" w:hanging="399"/>
        <w:spacing w:after="0"/>
        <w:tabs>
          <w:tab w:leader="none" w:pos="60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Preferred Shares" shall have the meaning set forth in Section</w:t>
      </w:r>
    </w:p>
    <w:p>
      <w:pPr>
        <w:spacing w:after="0" w:line="4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6.1.</w:t>
      </w:r>
    </w:p>
    <w:p>
      <w:pPr>
        <w:spacing w:after="0" w:line="159" w:lineRule="exact"/>
        <w:rPr>
          <w:rFonts w:ascii="Courier New" w:cs="Courier New" w:eastAsia="Courier New" w:hAnsi="Courier New"/>
          <w:sz w:val="16"/>
          <w:szCs w:val="16"/>
          <w:color w:val="auto"/>
        </w:rPr>
      </w:pPr>
    </w:p>
    <w:p>
      <w:pPr>
        <w:ind w:right="2459" w:firstLine="201"/>
        <w:spacing w:after="0" w:line="247" w:lineRule="auto"/>
        <w:tabs>
          <w:tab w:leader="none" w:pos="597"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A Preferred Shares as to the payment of dividends are placed in a separate account of the Trust or delivered to a disbursing, paying or other similar agent, then "set apart for payment" with respect to the Series A Preferred Shares shall mean placing such funds in such separate account or delivering such funds to a disbursing, paying or other similar agent.</w:t>
      </w:r>
    </w:p>
    <w:p>
      <w:pPr>
        <w:spacing w:after="0" w:line="100" w:lineRule="exact"/>
        <w:rPr>
          <w:rFonts w:ascii="Courier New" w:cs="Courier New" w:eastAsia="Courier New" w:hAnsi="Courier New"/>
          <w:sz w:val="17"/>
          <w:szCs w:val="17"/>
          <w:color w:val="auto"/>
        </w:rPr>
      </w:pPr>
    </w:p>
    <w:p>
      <w:pPr>
        <w:ind w:left="600" w:hanging="399"/>
        <w:spacing w:after="0"/>
        <w:tabs>
          <w:tab w:leader="none" w:pos="60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Dividends" shall have the meaning set forth in Section 6.4.3(d).</w:t>
      </w:r>
    </w:p>
    <w:p>
      <w:pPr>
        <w:spacing w:after="0" w:line="201" w:lineRule="exact"/>
        <w:rPr>
          <w:rFonts w:ascii="Courier New" w:cs="Courier New" w:eastAsia="Courier New" w:hAnsi="Courier New"/>
          <w:sz w:val="16"/>
          <w:szCs w:val="16"/>
          <w:color w:val="auto"/>
        </w:rPr>
      </w:pPr>
    </w:p>
    <w:p>
      <w:pPr>
        <w:ind w:right="2559" w:firstLine="201"/>
        <w:spacing w:after="0" w:line="274" w:lineRule="auto"/>
        <w:tabs>
          <w:tab w:leader="none" w:pos="597"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Agent" means American Stock Transfer &amp; Trust Company, or such other agent or agents of the Trust as may be designated by the Board of Trustees or their designee as the transfer agent, registrar and dividend disbursing agent for the Series A Preferred Shares.</w:t>
      </w:r>
    </w:p>
    <w:p>
      <w:pPr>
        <w:spacing w:after="0" w:line="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6.4.3 Dividends.</w:t>
      </w:r>
    </w:p>
    <w:p>
      <w:pPr>
        <w:spacing w:after="0" w:line="190" w:lineRule="exact"/>
        <w:rPr>
          <w:sz w:val="20"/>
          <w:szCs w:val="20"/>
          <w:color w:val="auto"/>
        </w:rPr>
      </w:pPr>
    </w:p>
    <w:p>
      <w:pPr>
        <w:ind w:right="2459" w:firstLine="201"/>
        <w:spacing w:after="0" w:line="243" w:lineRule="auto"/>
        <w:tabs>
          <w:tab w:leader="none" w:pos="597"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Series A Preferred Shares shall be entitled to receive, when, as and if authorized by the Board of Trustees out of funds legally available for that purpose, cumulative, preferential dividends payable in cash at the rate of $1.9875 per annum per share. Such dividend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A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A Preferred Shares shall first be credited against the earliest accrued but unpaid dividend due with respect to the Series A Preferred Shares which remains payable.</w:t>
      </w:r>
    </w:p>
    <w:p>
      <w:pPr>
        <w:spacing w:after="0" w:line="11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660" w:right="1440" w:bottom="886" w:gutter="0" w:footer="0" w:header="0"/>
        </w:sectPr>
      </w:pPr>
    </w:p>
    <w:bookmarkStart w:id="43" w:name="page44"/>
    <w:bookmarkEnd w:id="43"/>
    <w:p>
      <w:pPr>
        <w:ind w:left="-200" w:right="2459" w:firstLine="201"/>
        <w:spacing w:after="0" w:line="248" w:lineRule="auto"/>
        <w:tabs>
          <w:tab w:leader="none" w:pos="397"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dividends referred to in Section 6.4.3(a) payable for each full Dividend Period for the Series A Preferred Shares shall be computed by dividing the annual dividend rate by four, except that the amount of dividends payable for the initial Dividend Period, and for any Dividend Period shorter than a full Dividend Period, for the Series A Preferred Shares shall be computed on the basis of the actual number of days in such Dividend Period. Holders of Series A Preferred Shares shall not be entitled to any dividends, whether payable in cash, property or shares of stock, in excess of cumulative dividends, as herein provided, on the Series A Preferred Shares. No interest, or sum of money in lieu of interest, shall be payable in respect of any dividend payment or payments on the Series A Preferred Shares that may be in arrears.</w:t>
      </w:r>
    </w:p>
    <w:p>
      <w:pPr>
        <w:spacing w:after="0" w:line="98" w:lineRule="exact"/>
        <w:rPr>
          <w:rFonts w:ascii="Courier New" w:cs="Courier New" w:eastAsia="Courier New" w:hAnsi="Courier New"/>
          <w:sz w:val="17"/>
          <w:szCs w:val="17"/>
          <w:color w:val="auto"/>
        </w:rPr>
      </w:pPr>
    </w:p>
    <w:p>
      <w:pPr>
        <w:ind w:left="-200" w:right="2659" w:firstLine="201"/>
        <w:spacing w:after="0" w:line="318" w:lineRule="auto"/>
        <w:tabs>
          <w:tab w:leader="none" w:pos="39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Series A Preferred Shares will accrue whether or not the Trust has earnings, whether or not there are funds legally available for the payment of such dividends and whether or not such dividends are declared.</w:t>
      </w:r>
    </w:p>
    <w:p>
      <w:pPr>
        <w:spacing w:after="0" w:line="44" w:lineRule="exact"/>
        <w:rPr>
          <w:rFonts w:ascii="Courier New" w:cs="Courier New" w:eastAsia="Courier New" w:hAnsi="Courier New"/>
          <w:sz w:val="16"/>
          <w:szCs w:val="16"/>
          <w:color w:val="auto"/>
        </w:rPr>
      </w:pPr>
    </w:p>
    <w:p>
      <w:pPr>
        <w:ind w:left="-200" w:right="2459" w:firstLine="201"/>
        <w:spacing w:after="0" w:line="251" w:lineRule="auto"/>
        <w:tabs>
          <w:tab w:leader="none" w:pos="397"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A Preferred Shares shall be in the same portion that the Total Dividends paid or made available to the holders of Series A Preferred Shares for the year bears to the Total Dividends.</w:t>
      </w:r>
    </w:p>
    <w:p>
      <w:pPr>
        <w:spacing w:after="0" w:line="99" w:lineRule="exact"/>
        <w:rPr>
          <w:rFonts w:ascii="Courier New" w:cs="Courier New" w:eastAsia="Courier New" w:hAnsi="Courier New"/>
          <w:sz w:val="17"/>
          <w:szCs w:val="17"/>
          <w:color w:val="auto"/>
        </w:rPr>
      </w:pPr>
    </w:p>
    <w:p>
      <w:pPr>
        <w:ind w:left="-200" w:right="2459" w:firstLine="201"/>
        <w:spacing w:after="0" w:line="264" w:lineRule="auto"/>
        <w:tabs>
          <w:tab w:leader="none" w:pos="39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any Series A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A Preferred Shares for all Dividend Periods terminating on or prior to the dividend payment date for such class or series of Parity Shares. When dividends are not paid in full or a sum sufficient for such payment is not set apart, as aforesaid, all dividends declared upon Series A Preferred Shares and all dividends declared upon any other class or series of Parity Shares shall be declared ratably in proportion to the respective amounts of dividends accumulated and unpaid on the Series A Preferred Shares and accumulated and unpaid on such Parity Shares.</w:t>
      </w:r>
    </w:p>
    <w:p>
      <w:pPr>
        <w:spacing w:after="0" w:line="85" w:lineRule="exact"/>
        <w:rPr>
          <w:rFonts w:ascii="Courier New" w:cs="Courier New" w:eastAsia="Courier New" w:hAnsi="Courier New"/>
          <w:sz w:val="16"/>
          <w:szCs w:val="16"/>
          <w:color w:val="auto"/>
        </w:rPr>
      </w:pPr>
    </w:p>
    <w:p>
      <w:pPr>
        <w:ind w:left="-200" w:right="2459" w:firstLine="201"/>
        <w:spacing w:after="0" w:line="243" w:lineRule="auto"/>
        <w:tabs>
          <w:tab w:leader="none" w:pos="397"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 long as any Series A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A Preferred Shares and any other Parity Shares of the Trust shall have been or contemporaneously are declared and paid or declared and set apart for payment for all past Dividend Periods with respect to the Series A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A Preferred Shares and the current dividend period with respect to such Parity Shares.</w:t>
      </w:r>
    </w:p>
    <w:p>
      <w:pPr>
        <w:spacing w:after="0" w:line="112" w:lineRule="exact"/>
        <w:rPr>
          <w:rFonts w:ascii="Courier New" w:cs="Courier New" w:eastAsia="Courier New" w:hAnsi="Courier New"/>
          <w:sz w:val="17"/>
          <w:szCs w:val="17"/>
          <w:color w:val="auto"/>
        </w:rPr>
      </w:pPr>
    </w:p>
    <w:p>
      <w:pPr>
        <w:ind w:left="-200" w:right="2559" w:firstLine="201"/>
        <w:spacing w:after="0" w:line="253" w:lineRule="auto"/>
        <w:tabs>
          <w:tab w:leader="none" w:pos="397"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dividends on Series A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6.4.4 Liquidation Rights.</w:t>
      </w:r>
    </w:p>
    <w:p>
      <w:pPr>
        <w:spacing w:after="0" w:line="190" w:lineRule="exact"/>
        <w:rPr>
          <w:sz w:val="20"/>
          <w:szCs w:val="20"/>
          <w:color w:val="auto"/>
        </w:rPr>
      </w:pPr>
    </w:p>
    <w:p>
      <w:pPr>
        <w:ind w:left="-200" w:right="2459" w:firstLine="201"/>
        <w:spacing w:after="0" w:line="292" w:lineRule="auto"/>
        <w:tabs>
          <w:tab w:leader="none" w:pos="397"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any liquidation, dissolution or winding up of the Trust, whether voluntary or involuntary, before any payment or distribution of the assets of the Trust (whether capital or surplus) shall be made to or</w:t>
      </w:r>
    </w:p>
    <w:p>
      <w:pPr>
        <w:spacing w:after="0" w:line="6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019"/>
          </w:cols>
          <w:pgMar w:left="440" w:top="660" w:right="1440" w:bottom="503" w:gutter="0" w:footer="0" w:header="0"/>
        </w:sectPr>
      </w:pPr>
    </w:p>
    <w:bookmarkStart w:id="44" w:name="page45"/>
    <w:bookmarkEnd w:id="44"/>
    <w:p>
      <w:pPr>
        <w:ind w:right="2459"/>
        <w:spacing w:after="0" w:line="244" w:lineRule="auto"/>
        <w:rPr>
          <w:sz w:val="20"/>
          <w:szCs w:val="20"/>
          <w:color w:val="auto"/>
        </w:rPr>
      </w:pPr>
      <w:r>
        <w:rPr>
          <w:rFonts w:ascii="Courier New" w:cs="Courier New" w:eastAsia="Courier New" w:hAnsi="Courier New"/>
          <w:sz w:val="17"/>
          <w:szCs w:val="17"/>
          <w:color w:val="auto"/>
        </w:rPr>
        <w:t>set apart for the holders of Junior Shares, the holders of the Series A Preferred Shares shall be entitled to receive Twenty Five Dollars ($25.00) per share of Series A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A Preferred Shares shall be insufficient to pay in full the preferential amount aforesaid and liquidating payments on any other shares of any class or series of Parity Shares, then such assets, or the proceeds thereof, shall be distributed among the holders of the Series A Preferred Shares and any such other Parity Shares ratably in accordance with the respective amounts that would be payable on such Series A Preferred Shares and any such other Parity Shares if all amounts payable thereon were paid in full. For the purposes of this Section 6.4.4,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101" w:lineRule="exact"/>
        <w:rPr>
          <w:sz w:val="20"/>
          <w:szCs w:val="20"/>
          <w:color w:val="auto"/>
        </w:rPr>
      </w:pPr>
    </w:p>
    <w:p>
      <w:pPr>
        <w:ind w:right="2459" w:firstLine="201"/>
        <w:spacing w:after="0" w:line="250" w:lineRule="auto"/>
        <w:tabs>
          <w:tab w:leader="none" w:pos="597"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rights of the holders of shares of any series or class of beneficial interest ranking on a parity with or prior to the Series A Preferred Shares upon liquidation, dissolution or winding up, upon any liquidation, dissolution or winding up of the Trust, after payment shall have been made in full to the holders of the Series A Preferred Shares, as provided in this Section 6.4.4, any other series or class of Junior Shares or Fully Junior Shares shall, subject to the respective terms and provisions (if any) applying thereto, be entitled to receive any and all assets remaining to be paid or distributed, and the holders of the Series A Preferred Shares shall not be entitled to share therein.</w:t>
      </w:r>
    </w:p>
    <w:p>
      <w:pPr>
        <w:spacing w:after="0" w:line="98" w:lineRule="exact"/>
        <w:rPr>
          <w:sz w:val="20"/>
          <w:szCs w:val="20"/>
          <w:color w:val="auto"/>
        </w:rPr>
      </w:pPr>
    </w:p>
    <w:p>
      <w:pPr>
        <w:ind w:right="2559" w:firstLine="199"/>
        <w:spacing w:after="0" w:line="379" w:lineRule="auto"/>
        <w:rPr>
          <w:sz w:val="20"/>
          <w:szCs w:val="20"/>
          <w:color w:val="auto"/>
        </w:rPr>
      </w:pPr>
      <w:r>
        <w:rPr>
          <w:rFonts w:ascii="Courier New" w:cs="Courier New" w:eastAsia="Courier New" w:hAnsi="Courier New"/>
          <w:sz w:val="16"/>
          <w:szCs w:val="16"/>
          <w:color w:val="auto"/>
        </w:rPr>
        <w:t>Section 6.4.5 Conversion. The Series A Preferred Shares are not convertible or exchangeable for any other property or securities of the Trust.</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6.4.6 Redemption at the Option of the Trust.</w:t>
      </w:r>
    </w:p>
    <w:p>
      <w:pPr>
        <w:spacing w:after="0" w:line="190" w:lineRule="exact"/>
        <w:rPr>
          <w:sz w:val="20"/>
          <w:szCs w:val="20"/>
          <w:color w:val="auto"/>
        </w:rPr>
      </w:pPr>
    </w:p>
    <w:p>
      <w:pPr>
        <w:ind w:right="2459" w:firstLine="201"/>
        <w:spacing w:after="0" w:line="285" w:lineRule="auto"/>
        <w:tabs>
          <w:tab w:leader="none" w:pos="59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Series A Preferred Shares shall not be redeemable by the Trust prior to October 6, 2002. On and after October 6, 2002, the Trust, at its option, may redeem the Series A Preferred Shares, in whole or in part at any time or from time to time, at a redemption price of Twenty-Five Dollars ($25.00) per share of Series A Preferred Shares, plus the amounts indicated in Section (b).</w:t>
      </w:r>
    </w:p>
    <w:p>
      <w:pPr>
        <w:spacing w:after="0" w:line="71" w:lineRule="exact"/>
        <w:rPr>
          <w:rFonts w:ascii="Courier New" w:cs="Courier New" w:eastAsia="Courier New" w:hAnsi="Courier New"/>
          <w:sz w:val="16"/>
          <w:szCs w:val="16"/>
          <w:color w:val="auto"/>
        </w:rPr>
      </w:pPr>
    </w:p>
    <w:p>
      <w:pPr>
        <w:ind w:right="2559" w:firstLine="201"/>
        <w:spacing w:after="0" w:line="266" w:lineRule="auto"/>
        <w:tabs>
          <w:tab w:leader="none" w:pos="59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redemption of the Series A Preferred Shares pursuant to this Section 6.4.6,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A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A Preferred Shares called for redemption.</w:t>
      </w:r>
    </w:p>
    <w:p>
      <w:pPr>
        <w:spacing w:after="0" w:line="85" w:lineRule="exact"/>
        <w:rPr>
          <w:rFonts w:ascii="Courier New" w:cs="Courier New" w:eastAsia="Courier New" w:hAnsi="Courier New"/>
          <w:sz w:val="16"/>
          <w:szCs w:val="16"/>
          <w:color w:val="auto"/>
        </w:rPr>
      </w:pPr>
    </w:p>
    <w:p>
      <w:pPr>
        <w:ind w:right="2459" w:firstLine="201"/>
        <w:spacing w:after="0" w:line="253" w:lineRule="auto"/>
        <w:tabs>
          <w:tab w:leader="none" w:pos="597"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full cumulative dividends on the Series A Preferred Shares and any other class or series of Parity Shares of the Trust have not been declared and paid or declared and set apart for payment, the Series A Preferred Shares or Parity Shares may not be redeemed under this Section 6.4.6 in part and the Trust may not purchase or acquire the Series A Preferred Shares or any Parity Shares, otherwise than pursuant to a purchase or exchange offer made on the same terms to all holders of Series A Preferred Shares or Parity Shares, as the case may be.</w:t>
      </w:r>
    </w:p>
    <w:p>
      <w:pPr>
        <w:spacing w:after="0" w:line="97" w:lineRule="exact"/>
        <w:rPr>
          <w:rFonts w:ascii="Courier New" w:cs="Courier New" w:eastAsia="Courier New" w:hAnsi="Courier New"/>
          <w:sz w:val="17"/>
          <w:szCs w:val="17"/>
          <w:color w:val="auto"/>
        </w:rPr>
      </w:pPr>
    </w:p>
    <w:p>
      <w:pPr>
        <w:ind w:right="2459" w:firstLine="201"/>
        <w:spacing w:after="0" w:line="248" w:lineRule="auto"/>
        <w:tabs>
          <w:tab w:leader="none" w:pos="597"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the redemption of any Series A Preferred Shares under this Section 6.4.6 shall be mailed by first-class mail to each holder of record of Series A Preferred Shares to be redeemed at the address of each such holder as shown on the Trust's records, not less than 30 nor more than 90 days prior to the Call Date. Neither the failure to mail any notice required by this Section 6.4.6(d),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A</w:t>
      </w:r>
    </w:p>
    <w:p>
      <w:pPr>
        <w:spacing w:after="0" w:line="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660" w:right="1440" w:bottom="695" w:gutter="0" w:footer="0" w:header="0"/>
        </w:sectPr>
      </w:pPr>
    </w:p>
    <w:bookmarkStart w:id="45" w:name="page46"/>
    <w:bookmarkEnd w:id="45"/>
    <w:p>
      <w:pPr>
        <w:ind w:right="2459"/>
        <w:spacing w:after="0" w:line="258" w:lineRule="auto"/>
        <w:rPr>
          <w:sz w:val="20"/>
          <w:szCs w:val="20"/>
          <w:color w:val="auto"/>
        </w:rPr>
      </w:pPr>
      <w:r>
        <w:rPr>
          <w:rFonts w:ascii="Courier New" w:cs="Courier New" w:eastAsia="Courier New" w:hAnsi="Courier New"/>
          <w:sz w:val="16"/>
          <w:szCs w:val="16"/>
          <w:color w:val="auto"/>
        </w:rPr>
        <w:t>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A Preferred Shares so called for redemption shall cease to accrue, (ii) shares of such Series A Preferred Shares shall no longer be deemed to be outstanding, and (iii) all rights of the holders thereof as holders of Series A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A Preferred Shares so called for redemption. No interest shall accrue for the benefit of the holders of Series A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91"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6"/>
          <w:szCs w:val="16"/>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A Preferred Shares are to be redeemed, shares to be redeemed shall be selected by the Trust from outstanding Series A Preferred Shares not previously called for redemption by lot or pro rata (as nearly as may be) or by any other method determined by the Trust in its sole discretion to be equitable. If fewer than all the Series A Preferred Shares represented by any certificate are redeemed, then new certificates representing the unredeemed shares shall be issued without cost to the holder thereof.</w:t>
      </w:r>
    </w:p>
    <w:p>
      <w:pPr>
        <w:spacing w:after="0" w:line="85" w:lineRule="exact"/>
        <w:rPr>
          <w:sz w:val="20"/>
          <w:szCs w:val="20"/>
          <w:color w:val="auto"/>
        </w:rPr>
      </w:pPr>
    </w:p>
    <w:p>
      <w:pPr>
        <w:ind w:right="2759" w:firstLine="199"/>
        <w:spacing w:after="0" w:line="274" w:lineRule="auto"/>
        <w:rPr>
          <w:sz w:val="20"/>
          <w:szCs w:val="20"/>
          <w:color w:val="auto"/>
        </w:rPr>
      </w:pPr>
      <w:r>
        <w:rPr>
          <w:rFonts w:ascii="Courier New" w:cs="Courier New" w:eastAsia="Courier New" w:hAnsi="Courier New"/>
          <w:sz w:val="17"/>
          <w:szCs w:val="17"/>
          <w:color w:val="auto"/>
        </w:rPr>
        <w:t>Section 6.4.7 Shares to be Retired. All Series A Preferred Shares which shall have been issued and reacquired in any manner by the Trust shall be restored to the status of authorized but unissued Preferred Shares, without designation as to class or series.</w:t>
      </w:r>
    </w:p>
    <w:p>
      <w:pPr>
        <w:spacing w:after="0" w:line="77" w:lineRule="exact"/>
        <w:rPr>
          <w:sz w:val="20"/>
          <w:szCs w:val="20"/>
          <w:color w:val="auto"/>
        </w:rPr>
      </w:pPr>
    </w:p>
    <w:p>
      <w:pPr>
        <w:ind w:right="2559" w:firstLine="199"/>
        <w:spacing w:after="0" w:line="347" w:lineRule="auto"/>
        <w:rPr>
          <w:sz w:val="20"/>
          <w:szCs w:val="20"/>
          <w:color w:val="auto"/>
        </w:rPr>
      </w:pPr>
      <w:r>
        <w:rPr>
          <w:rFonts w:ascii="Courier New" w:cs="Courier New" w:eastAsia="Courier New" w:hAnsi="Courier New"/>
          <w:sz w:val="17"/>
          <w:szCs w:val="17"/>
          <w:color w:val="auto"/>
        </w:rPr>
        <w:t>Section 6.4.8 Ranking. Any class or series of shares of beneficial interest of the Trust shall be deemed to rank:</w:t>
      </w:r>
    </w:p>
    <w:p>
      <w:pPr>
        <w:spacing w:after="0" w:line="17" w:lineRule="exact"/>
        <w:rPr>
          <w:sz w:val="20"/>
          <w:szCs w:val="20"/>
          <w:color w:val="auto"/>
        </w:rPr>
      </w:pPr>
    </w:p>
    <w:p>
      <w:pPr>
        <w:ind w:right="2459" w:firstLine="201"/>
        <w:spacing w:after="0" w:line="260" w:lineRule="auto"/>
        <w:tabs>
          <w:tab w:leader="none" w:pos="597"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Series A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Shares;</w:t>
      </w:r>
    </w:p>
    <w:p>
      <w:pPr>
        <w:spacing w:after="0" w:line="87" w:lineRule="exact"/>
        <w:rPr>
          <w:rFonts w:ascii="Courier New" w:cs="Courier New" w:eastAsia="Courier New" w:hAnsi="Courier New"/>
          <w:sz w:val="17"/>
          <w:szCs w:val="17"/>
          <w:color w:val="auto"/>
        </w:rPr>
      </w:pPr>
    </w:p>
    <w:p>
      <w:pPr>
        <w:ind w:right="2459" w:firstLine="201"/>
        <w:spacing w:after="0" w:line="250" w:lineRule="auto"/>
        <w:tabs>
          <w:tab w:leader="none" w:pos="597"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 parity with the Series A Preferred Shares, as to the payment of dividends and as to distribution of assets upon liquidation, dissolution or winding up, whether or not the dividend rates, dividend payment dates or redemption or liquidation prices per share thereof be different from those of the Series A Preferred Shares, if the holders of such class or series of shares and the Series A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97" w:lineRule="exact"/>
        <w:rPr>
          <w:rFonts w:ascii="Courier New" w:cs="Courier New" w:eastAsia="Courier New" w:hAnsi="Courier New"/>
          <w:sz w:val="17"/>
          <w:szCs w:val="17"/>
          <w:color w:val="auto"/>
        </w:rPr>
      </w:pPr>
    </w:p>
    <w:p>
      <w:pPr>
        <w:ind w:right="2559" w:firstLine="201"/>
        <w:spacing w:after="0" w:line="292" w:lineRule="auto"/>
        <w:tabs>
          <w:tab w:leader="none" w:pos="597"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junior to the Series A Preferred Shares, as to the payment of dividends or as to the distribution of assets upon liquidation, dissolution or winding up, if such shares shall be Junior Shares; and</w:t>
      </w:r>
    </w:p>
    <w:p>
      <w:pPr>
        <w:spacing w:after="0" w:line="62" w:lineRule="exact"/>
        <w:rPr>
          <w:rFonts w:ascii="Courier New" w:cs="Courier New" w:eastAsia="Courier New" w:hAnsi="Courier New"/>
          <w:sz w:val="17"/>
          <w:szCs w:val="17"/>
          <w:color w:val="auto"/>
        </w:rPr>
      </w:pPr>
    </w:p>
    <w:p>
      <w:pPr>
        <w:jc w:val="both"/>
        <w:ind w:right="2559" w:firstLine="201"/>
        <w:spacing w:after="0" w:line="292" w:lineRule="auto"/>
        <w:tabs>
          <w:tab w:leader="none" w:pos="597"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junior to the Series A Preferred Shares, as to the payment of dividends and as to the distribution of assets upon liquidation, dissolution or winding up, if such shares shall be Fully Junior Shares.</w:t>
      </w:r>
    </w:p>
    <w:p>
      <w:pPr>
        <w:spacing w:after="0" w:line="6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219"/>
          </w:cols>
          <w:pgMar w:left="240" w:top="660" w:right="1440" w:bottom="886" w:gutter="0" w:footer="0" w:header="0"/>
        </w:sectPr>
      </w:pPr>
    </w:p>
    <w:bookmarkStart w:id="46" w:name="page47"/>
    <w:bookmarkEnd w:id="46"/>
    <w:p>
      <w:pPr>
        <w:ind w:right="2459" w:firstLine="199"/>
        <w:spacing w:after="0" w:line="256" w:lineRule="auto"/>
        <w:rPr>
          <w:sz w:val="20"/>
          <w:szCs w:val="20"/>
          <w:color w:val="auto"/>
        </w:rPr>
      </w:pPr>
      <w:r>
        <w:rPr>
          <w:rFonts w:ascii="Courier New" w:cs="Courier New" w:eastAsia="Courier New" w:hAnsi="Courier New"/>
          <w:sz w:val="16"/>
          <w:szCs w:val="16"/>
          <w:color w:val="auto"/>
        </w:rPr>
        <w:t>Section 6.4.9 Voting. If and whenever six consecutive quarterly dividends payable on the Series A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A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A Preferred Shares and the Parity Shares called as hereinafter provided. Whenever all arrears in dividends on the Series A Preferred Shares and the Parity Shares then outstanding shall have been paid and dividends thereon for the current quarterly dividend period shall have been paid or declared and set apart for payment, then the right of the holders of the Series A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A Preferred Shares and the Parity Shares shall immediately terminate and the number of the Board of Trustees shall be reduced accordingly. At any time after such voting rights shall have been so vested in the holders of Series A Preferred Shares and the Parity Shares, the secretary of the Trust may, and upon the written request of any holder of Series A Preferred Shares (addressed to the secretary at the principal office of the Trust) shall, call a special meeting of the holders of the Series A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A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A Preferred Shares and the Parity Shares, a successor shall be elected by the Board of Trustees, upon the nomination of the then remaining trustee elected by the holders of the Series A Preferred Shares and the Parity Shares or the successor of such remaining trustee, to serve until the next annual meeting of the shareholders or special meeting held in place thereof if such office shall not have previously terminated as provided above.</w:t>
      </w:r>
    </w:p>
    <w:p>
      <w:pPr>
        <w:spacing w:after="0" w:line="291"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7"/>
          <w:szCs w:val="17"/>
          <w:color w:val="auto"/>
        </w:rPr>
        <w:t>So long as any Series A Preferred Shares are outstanding, in addition to any other vote or consent of shareholders required by law or by the Declaration, the affirmative vote of at least 66-2/3% of the votes entitled to be cast by the holders of the Series A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97" w:lineRule="exact"/>
        <w:rPr>
          <w:sz w:val="20"/>
          <w:szCs w:val="20"/>
          <w:color w:val="auto"/>
        </w:rPr>
      </w:pPr>
    </w:p>
    <w:p>
      <w:pPr>
        <w:ind w:right="2459" w:firstLine="201"/>
        <w:spacing w:after="0" w:line="244" w:lineRule="auto"/>
        <w:tabs>
          <w:tab w:leader="none" w:pos="597"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 alteration or repeal of any of the provisions of the Declaration that materially and adversely affects the voting powers, rights or preferences of the holders of the Series A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A Preferred Shares, or any shares of any class ranking on a parity with the Series A Preferred Shares or the Parity Shares, shall not be deemed to materially adversely affect the voting powers, rights or preferences of the holders of Series A Preferred Shares; and provided further, that if any such amendment, alteration or repeal would materially and adversely affect any voting powers, rights or preferences of the Series A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A Preferred Shares and the Parity Shares otherwise entitled to vote in accordance herewith; or</w:t>
      </w:r>
    </w:p>
    <w:p>
      <w:pPr>
        <w:spacing w:after="0" w:line="100" w:lineRule="exact"/>
        <w:rPr>
          <w:rFonts w:ascii="Courier New" w:cs="Courier New" w:eastAsia="Courier New" w:hAnsi="Courier New"/>
          <w:sz w:val="17"/>
          <w:szCs w:val="17"/>
          <w:color w:val="auto"/>
        </w:rPr>
      </w:pPr>
    </w:p>
    <w:p>
      <w:pPr>
        <w:ind w:right="2559" w:firstLine="201"/>
        <w:spacing w:after="0" w:line="274" w:lineRule="auto"/>
        <w:tabs>
          <w:tab w:leader="none" w:pos="597"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share exchange that affects the Series A Preferred Shares, a consolidation with or merger of the Trust into another entity, or a consolidation with or merger of another entity into the Trust, unless in each such case</w:t>
      </w:r>
    </w:p>
    <w:p>
      <w:pPr>
        <w:spacing w:after="0" w:line="7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219"/>
          </w:cols>
          <w:pgMar w:left="240" w:top="851" w:right="1440" w:bottom="0" w:gutter="0" w:footer="0" w:header="0"/>
        </w:sectPr>
      </w:pPr>
    </w:p>
    <w:bookmarkStart w:id="47" w:name="page48"/>
    <w:bookmarkEnd w:id="47"/>
    <w:p>
      <w:pPr>
        <w:ind w:right="2459"/>
        <w:spacing w:after="0" w:line="253" w:lineRule="auto"/>
        <w:rPr>
          <w:sz w:val="20"/>
          <w:szCs w:val="20"/>
          <w:color w:val="auto"/>
        </w:rPr>
      </w:pPr>
      <w:r>
        <w:rPr>
          <w:rFonts w:ascii="Courier New" w:cs="Courier New" w:eastAsia="Courier New" w:hAnsi="Courier New"/>
          <w:sz w:val="17"/>
          <w:szCs w:val="17"/>
          <w:color w:val="auto"/>
        </w:rPr>
        <w:t>each share of Series A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A Preferred Shares (except for changes that do not materially and adversely affect the holders of the Series A Preferred Shares); or</w:t>
      </w:r>
    </w:p>
    <w:p>
      <w:pPr>
        <w:spacing w:after="0" w:line="97" w:lineRule="exact"/>
        <w:rPr>
          <w:sz w:val="20"/>
          <w:szCs w:val="20"/>
          <w:color w:val="auto"/>
        </w:rPr>
      </w:pPr>
    </w:p>
    <w:p>
      <w:pPr>
        <w:ind w:right="2459" w:firstLine="201"/>
        <w:spacing w:after="0" w:line="250" w:lineRule="auto"/>
        <w:tabs>
          <w:tab w:leader="none" w:pos="597"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authorization or creation of, or the increase in the authorized amount of, any shares of any class, or any security convertible into shares of any class, ranking prior to the Series A Preferred Shares in the distribution of assets on any liquidation, dissolution or winding up of the Trust or in the payment of dividends; provided, however, that no such vote of the holders of Series A Preferred Shares shall be required if, at or prior to the time when such amendment, alteration or repeal is to take effect, or when the issuance of any such shares or convertible securities is to be made, as the case may be, provision is made for the redemption of all Series A Preferred Shares at the time outstanding.</w:t>
      </w:r>
    </w:p>
    <w:p>
      <w:pPr>
        <w:spacing w:after="0" w:line="98" w:lineRule="exact"/>
        <w:rPr>
          <w:sz w:val="20"/>
          <w:szCs w:val="20"/>
          <w:color w:val="auto"/>
        </w:rPr>
      </w:pPr>
    </w:p>
    <w:p>
      <w:pPr>
        <w:ind w:right="2459" w:firstLine="199"/>
        <w:spacing w:after="0" w:line="250" w:lineRule="auto"/>
        <w:rPr>
          <w:sz w:val="20"/>
          <w:szCs w:val="20"/>
          <w:color w:val="auto"/>
        </w:rPr>
      </w:pPr>
      <w:r>
        <w:rPr>
          <w:rFonts w:ascii="Courier New" w:cs="Courier New" w:eastAsia="Courier New" w:hAnsi="Courier New"/>
          <w:sz w:val="17"/>
          <w:szCs w:val="17"/>
          <w:color w:val="auto"/>
        </w:rPr>
        <w:t>For purposes of the foregoing provisions of this Section 6.4.9, each share of Series A Preferred Shares shall have one vote per share, except that when shares of any other series of Preferred Shares shall have the right to vote with the Series A Preferred Shares as a single class on any matter, then the Series A Preferred Shares and such other series shall have with respect to such matters one vote per $25.00 of stated liquidation preference. Except as otherwise required by applicable law or as set forth herein, the Series A Preferred Shares shall not have any relative, participating, optional or other special voting rights and powers, and the consent of the holders thereof shall not be required for the taking of any corporate action.</w:t>
      </w:r>
    </w:p>
    <w:p>
      <w:pPr>
        <w:spacing w:after="0" w:line="98" w:lineRule="exact"/>
        <w:rPr>
          <w:sz w:val="20"/>
          <w:szCs w:val="20"/>
          <w:color w:val="auto"/>
        </w:rPr>
      </w:pPr>
    </w:p>
    <w:p>
      <w:pPr>
        <w:ind w:right="2459" w:firstLine="199"/>
        <w:spacing w:after="0" w:line="274" w:lineRule="auto"/>
        <w:rPr>
          <w:sz w:val="20"/>
          <w:szCs w:val="20"/>
          <w:color w:val="auto"/>
        </w:rPr>
      </w:pPr>
      <w:r>
        <w:rPr>
          <w:rFonts w:ascii="Courier New" w:cs="Courier New" w:eastAsia="Courier New" w:hAnsi="Courier New"/>
          <w:sz w:val="17"/>
          <w:szCs w:val="17"/>
          <w:color w:val="auto"/>
        </w:rPr>
        <w:t>Section 6.4.10 Record Holders. The Trust and the Transfer Agent may deem and treat the record holder of any Series A Preferred Shares as the true and lawful owner thereof for all purposes, and neither the Trust nor the Transfer Agent shall be affected by any notice to the contrary.</w:t>
      </w:r>
    </w:p>
    <w:p>
      <w:pPr>
        <w:spacing w:after="0" w:line="77" w:lineRule="exact"/>
        <w:rPr>
          <w:sz w:val="20"/>
          <w:szCs w:val="20"/>
          <w:color w:val="auto"/>
        </w:rPr>
      </w:pPr>
    </w:p>
    <w:p>
      <w:pPr>
        <w:ind w:right="2959" w:firstLine="199"/>
        <w:spacing w:after="0" w:line="347" w:lineRule="auto"/>
        <w:rPr>
          <w:sz w:val="20"/>
          <w:szCs w:val="20"/>
          <w:color w:val="auto"/>
        </w:rPr>
      </w:pPr>
      <w:r>
        <w:rPr>
          <w:rFonts w:ascii="Courier New" w:cs="Courier New" w:eastAsia="Courier New" w:hAnsi="Courier New"/>
          <w:sz w:val="17"/>
          <w:szCs w:val="17"/>
          <w:color w:val="auto"/>
        </w:rPr>
        <w:t>Section 6.4.11 Sinking Fund. The Series A Preferred Shares shall not be entitled to the benefits of any retirement or sinking fund.</w:t>
      </w:r>
    </w:p>
    <w:p>
      <w:pPr>
        <w:spacing w:after="0" w:line="17" w:lineRule="exact"/>
        <w:rPr>
          <w:sz w:val="20"/>
          <w:szCs w:val="20"/>
          <w:color w:val="auto"/>
        </w:rPr>
      </w:pPr>
    </w:p>
    <w:p>
      <w:pPr>
        <w:ind w:right="2459" w:firstLine="199"/>
        <w:spacing w:after="0" w:line="244" w:lineRule="auto"/>
        <w:rPr>
          <w:sz w:val="20"/>
          <w:szCs w:val="20"/>
          <w:color w:val="auto"/>
        </w:rPr>
      </w:pPr>
      <w:r>
        <w:rPr>
          <w:rFonts w:ascii="Courier New" w:cs="Courier New" w:eastAsia="Courier New" w:hAnsi="Courier New"/>
          <w:sz w:val="17"/>
          <w:szCs w:val="17"/>
          <w:color w:val="auto"/>
        </w:rPr>
        <w:t>Section 6.5 Classified or Reclassified Shares. Prior to issuance of classified or reclassified Shares of any class or series, the Board of Trustees by resolution shall (a) designate that class or series to distinguish it from all other classes and series of Shares; (b) specify the number of Shares to be included in the class or series; (c) set, subject to the provisions of Article VII and subject to the express terms of any class or series of Shares outstanding at the time, the preferences, conversion or other rights, voting powers, restrictions, limitations as to dividends or other distributions, qualifications and terms and conditions of redemption for each class or series; and (d) cause the Trust to file articles supplementary with the State Department of Assessments and Taxation of Maryland (the "SDAT"). Any of the terms of any class or series of Shares set pursuant to clause (c) of this Section 6.5 may be made dependent upon facts ascertainable outside the Declaration of Trust (including the occurrence of any event, including a determination or action by the Trust or any other person or body) and may vary among holders thereof, provided that the manner in which such facts or variations shall operate upon the terms of such class or series of Shares is clearly and expressly set forth in the articles supplementary filed with the SDAT.</w:t>
      </w:r>
    </w:p>
    <w:p>
      <w:pPr>
        <w:spacing w:after="0" w:line="105" w:lineRule="exact"/>
        <w:rPr>
          <w:sz w:val="20"/>
          <w:szCs w:val="20"/>
          <w:color w:val="auto"/>
        </w:rPr>
      </w:pPr>
    </w:p>
    <w:p>
      <w:pPr>
        <w:ind w:right="2459" w:firstLine="199"/>
        <w:spacing w:after="0" w:line="269" w:lineRule="auto"/>
        <w:rPr>
          <w:sz w:val="20"/>
          <w:szCs w:val="20"/>
          <w:color w:val="auto"/>
        </w:rPr>
      </w:pPr>
      <w:r>
        <w:rPr>
          <w:rFonts w:ascii="Courier New" w:cs="Courier New" w:eastAsia="Courier New" w:hAnsi="Courier New"/>
          <w:sz w:val="16"/>
          <w:szCs w:val="16"/>
          <w:color w:val="auto"/>
        </w:rPr>
        <w:t>Section 6.6 Authorization by Board of Share Issuance. The Board of Trustees may authorize the issuance from time to time of Shares of any class or series, whether now or hereafter authorized, or securities or rights convertible into Shares of any class or series, whether now or hereafter authorized, for such consideration (whether in cash, property, past or future services, obligation for future payment or otherwise) as the Board of Trustees may deem advisable (or without consideration in the case of a Share split or Share dividend), subject to such restrictions or limitations, if any, as may be set forth in the Declaration of Trust or the Bylaws of the Trust.</w:t>
      </w:r>
    </w:p>
    <w:p>
      <w:pPr>
        <w:spacing w:after="0" w:line="84" w:lineRule="exact"/>
        <w:rPr>
          <w:sz w:val="20"/>
          <w:szCs w:val="20"/>
          <w:color w:val="auto"/>
        </w:rPr>
      </w:pPr>
    </w:p>
    <w:p>
      <w:pPr>
        <w:ind w:right="2459" w:firstLine="199"/>
        <w:spacing w:after="0" w:line="279" w:lineRule="auto"/>
        <w:rPr>
          <w:sz w:val="20"/>
          <w:szCs w:val="20"/>
          <w:color w:val="auto"/>
        </w:rPr>
      </w:pPr>
      <w:r>
        <w:rPr>
          <w:rFonts w:ascii="Courier New" w:cs="Courier New" w:eastAsia="Courier New" w:hAnsi="Courier New"/>
          <w:sz w:val="16"/>
          <w:szCs w:val="16"/>
          <w:color w:val="auto"/>
        </w:rPr>
        <w:t>Section 6.7 Dividends and Distributions. The Trust may pay any dividend or make any other distribution to the shareholders as authorized in the Declaration or by the Board of Trustees if, after giving effect to the dividend or distribution, the Trust would be able to pay its debts as they become due in the usual course of its business. The Board of Trustees may from time to time authorize the Trust to pay to shareholders such dividends or</w:t>
      </w:r>
    </w:p>
    <w:p>
      <w:pPr>
        <w:spacing w:after="0" w:line="7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219"/>
          </w:cols>
          <w:pgMar w:left="240" w:top="660" w:right="1440" w:bottom="886" w:gutter="0" w:footer="0" w:header="0"/>
        </w:sectPr>
      </w:pPr>
    </w:p>
    <w:bookmarkStart w:id="48" w:name="page49"/>
    <w:bookmarkEnd w:id="48"/>
    <w:p>
      <w:pPr>
        <w:ind w:right="2459"/>
        <w:spacing w:after="0" w:line="261" w:lineRule="auto"/>
        <w:rPr>
          <w:sz w:val="20"/>
          <w:szCs w:val="20"/>
          <w:color w:val="auto"/>
        </w:rPr>
      </w:pPr>
      <w:r>
        <w:rPr>
          <w:rFonts w:ascii="Courier New" w:cs="Courier New" w:eastAsia="Courier New" w:hAnsi="Courier New"/>
          <w:sz w:val="16"/>
          <w:szCs w:val="16"/>
          <w:color w:val="auto"/>
        </w:rPr>
        <w:t>distributions in cash or other assets of the Trust or in securities of the Trust or from any other source as the Board of Trustees in its discretion shall determine. The Board of Trustees shall endeavor to authorize the Trust to pay such dividends and distributions as shall be necessary for the Trust to qualify as a real estate investment trust under the Code; however, shareholders shall have no right to any dividend or distribution unless and until authorized by the Board of Trustees and declared by the Trust. The exercise of the powers and rights of the Board of Trustees pursuant to this Section 6.7 shall be subject to the provisions of any class or series of Shares at the time outstanding. Notwithstanding any other provision in the Declaration of Trust, no determination shall be made by the Board of Trustees nor shall any transaction be entered into by the Trust which would cause any Shares or other beneficial interest in the Trust not to constitute "transferable shares" or "transferable certificates of beneficial interest" under Section 856(a)(2) of the Code or which would cause any distribution to constitute a preferential dividend as described in Section 562(c) of the Code.</w:t>
      </w:r>
    </w:p>
    <w:p>
      <w:pPr>
        <w:spacing w:after="0" w:line="98" w:lineRule="exact"/>
        <w:rPr>
          <w:sz w:val="20"/>
          <w:szCs w:val="20"/>
          <w:color w:val="auto"/>
        </w:rPr>
      </w:pPr>
    </w:p>
    <w:p>
      <w:pPr>
        <w:ind w:right="2459" w:firstLine="199"/>
        <w:spacing w:after="0" w:line="271" w:lineRule="auto"/>
        <w:rPr>
          <w:sz w:val="20"/>
          <w:szCs w:val="20"/>
          <w:color w:val="auto"/>
        </w:rPr>
      </w:pPr>
      <w:r>
        <w:rPr>
          <w:rFonts w:ascii="Courier New" w:cs="Courier New" w:eastAsia="Courier New" w:hAnsi="Courier New"/>
          <w:sz w:val="16"/>
          <w:szCs w:val="16"/>
          <w:color w:val="auto"/>
        </w:rPr>
        <w:t>Section 6.8 General Nature of Shares. All Shares shall be personal property entitling the shareholders only to those rights provided in the Declaration of Trust. The shareholders shall have no interest in the property of the Trust and shall have no right to compel any partition, division, dividend or distribution of the Trust or of the property of the Trust. The death of a shareholder shall not terminate the Trust. The Trust is entitled to treat as shareholders only those persons in whose names Shares are registered as holders of Shares on the beneficial interest ledger of the Trust.</w:t>
      </w:r>
    </w:p>
    <w:p>
      <w:pPr>
        <w:spacing w:after="0" w:line="84"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Section 6.9 Fractional Shares. The Trust may, without the consent or approval of any shareholder, issue fractional Shares, eliminate a fraction of a Share by rounding up or down to a full Share, arrange for the disposition of a fraction of a Share by the person entitled to it, or pay cash for the fair value of a fraction of a Share.</w:t>
      </w:r>
    </w:p>
    <w:p>
      <w:pPr>
        <w:spacing w:after="0" w:line="84" w:lineRule="exact"/>
        <w:rPr>
          <w:sz w:val="20"/>
          <w:szCs w:val="20"/>
          <w:color w:val="auto"/>
        </w:rPr>
      </w:pPr>
    </w:p>
    <w:p>
      <w:pPr>
        <w:ind w:right="2859" w:firstLine="199"/>
        <w:spacing w:after="0" w:line="347" w:lineRule="auto"/>
        <w:rPr>
          <w:sz w:val="20"/>
          <w:szCs w:val="20"/>
          <w:color w:val="auto"/>
        </w:rPr>
      </w:pPr>
      <w:r>
        <w:rPr>
          <w:rFonts w:ascii="Courier New" w:cs="Courier New" w:eastAsia="Courier New" w:hAnsi="Courier New"/>
          <w:sz w:val="17"/>
          <w:szCs w:val="17"/>
          <w:color w:val="auto"/>
        </w:rPr>
        <w:t>Section 6.10 Declaration and Bylaws. All shareholders are subject to the provisions of the Declaration of Trust and the Bylaws of the Trust.</w:t>
      </w:r>
    </w:p>
    <w:p>
      <w:pPr>
        <w:spacing w:after="0" w:line="17" w:lineRule="exact"/>
        <w:rPr>
          <w:sz w:val="20"/>
          <w:szCs w:val="20"/>
          <w:color w:val="auto"/>
        </w:rPr>
      </w:pPr>
    </w:p>
    <w:p>
      <w:pPr>
        <w:ind w:right="2559" w:firstLine="199"/>
        <w:spacing w:after="0" w:line="256" w:lineRule="auto"/>
        <w:rPr>
          <w:sz w:val="20"/>
          <w:szCs w:val="20"/>
          <w:color w:val="auto"/>
        </w:rPr>
      </w:pPr>
      <w:r>
        <w:rPr>
          <w:rFonts w:ascii="Courier New" w:cs="Courier New" w:eastAsia="Courier New" w:hAnsi="Courier New"/>
          <w:sz w:val="17"/>
          <w:szCs w:val="17"/>
          <w:color w:val="auto"/>
        </w:rPr>
        <w:t>Section 6.11 Divisions and Combinations of Shares. Subject to an express provision to the contrary in the terms of any class or series of beneficial interest hereafter authorized, the Board of Trustees shall have the power to divide or combine the outstanding Shares of any class or series of beneficial interest, without a vote of shareholders, so long as the number of Shares combined into one Share in any such combination or series of combinations within any period of twelve months is not greater than five.</w:t>
      </w:r>
    </w:p>
    <w:p>
      <w:pPr>
        <w:spacing w:after="0" w:line="9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VII</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RESTRICTION ON TRANSFER AND OWNERSHIP OF SHARES</w:t>
      </w:r>
    </w:p>
    <w:p>
      <w:pPr>
        <w:spacing w:after="0" w:line="190" w:lineRule="exact"/>
        <w:rPr>
          <w:sz w:val="20"/>
          <w:szCs w:val="20"/>
          <w:color w:val="auto"/>
        </w:rPr>
      </w:pPr>
    </w:p>
    <w:p>
      <w:pPr>
        <w:ind w:right="2559" w:firstLine="199"/>
        <w:spacing w:after="0" w:line="347" w:lineRule="auto"/>
        <w:rPr>
          <w:sz w:val="20"/>
          <w:szCs w:val="20"/>
          <w:color w:val="auto"/>
        </w:rPr>
      </w:pPr>
      <w:r>
        <w:rPr>
          <w:rFonts w:ascii="Courier New" w:cs="Courier New" w:eastAsia="Courier New" w:hAnsi="Courier New"/>
          <w:sz w:val="17"/>
          <w:szCs w:val="17"/>
          <w:color w:val="auto"/>
        </w:rPr>
        <w:t>Section 7.1 Definitions. For the purpose of this Article VII, the following terms shall have the following meanings:</w:t>
      </w:r>
    </w:p>
    <w:p>
      <w:pPr>
        <w:spacing w:after="0" w:line="17"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Aggregate Share Ownership Limit. The term "Aggregate Share Ownership Limit" shall mean not more than 9.8 percent in value of the aggregate of the outstanding Equity Shares. The value of the outstanding Equity Shares shall be determined by the Board of Trustees in good faith, which determination shall be conclusive for all purposes hereof.</w:t>
      </w:r>
    </w:p>
    <w:p>
      <w:pPr>
        <w:spacing w:after="0" w:line="84" w:lineRule="exact"/>
        <w:rPr>
          <w:sz w:val="20"/>
          <w:szCs w:val="20"/>
          <w:color w:val="auto"/>
        </w:rPr>
      </w:pPr>
    </w:p>
    <w:p>
      <w:pPr>
        <w:ind w:right="2659" w:firstLine="199"/>
        <w:spacing w:after="0" w:line="256" w:lineRule="auto"/>
        <w:rPr>
          <w:sz w:val="20"/>
          <w:szCs w:val="20"/>
          <w:color w:val="auto"/>
        </w:rPr>
      </w:pPr>
      <w:r>
        <w:rPr>
          <w:rFonts w:ascii="Courier New" w:cs="Courier New" w:eastAsia="Courier New" w:hAnsi="Courier New"/>
          <w:sz w:val="17"/>
          <w:szCs w:val="17"/>
          <w:color w:val="auto"/>
        </w:rPr>
        <w:t>Beneficial Ownership. The term "Beneficial Ownership" shall mean ownership of Equity Shares by a Person, whether the interest in Equity Shares is held directly or indirectly (including by a nominee), and shall include interests that would be treated as owned through the application of Section 544 of the Code, as modified by Section 856(h)(1)(B) of the Code. The terms "Beneficial Owner," "Beneficially Owns" and "Beneficially Owned" shall have the correlative meanings.</w:t>
      </w:r>
    </w:p>
    <w:p>
      <w:pPr>
        <w:spacing w:after="0" w:line="92" w:lineRule="exact"/>
        <w:rPr>
          <w:sz w:val="20"/>
          <w:szCs w:val="20"/>
          <w:color w:val="auto"/>
        </w:rPr>
      </w:pPr>
    </w:p>
    <w:p>
      <w:pPr>
        <w:ind w:right="2459" w:firstLine="199"/>
        <w:spacing w:after="0" w:line="274" w:lineRule="auto"/>
        <w:rPr>
          <w:sz w:val="20"/>
          <w:szCs w:val="20"/>
          <w:color w:val="auto"/>
        </w:rPr>
      </w:pPr>
      <w:r>
        <w:rPr>
          <w:rFonts w:ascii="Courier New" w:cs="Courier New" w:eastAsia="Courier New" w:hAnsi="Courier New"/>
          <w:sz w:val="17"/>
          <w:szCs w:val="17"/>
          <w:color w:val="auto"/>
        </w:rPr>
        <w:t>Business Day. The term "Business Day" shall mean any day, other than a Saturday or Sunday, that is neither a legal holiday nor a day on which banking institutions in New York City are authorized or required by law, regulation or executive order to close.</w:t>
      </w:r>
    </w:p>
    <w:p>
      <w:pPr>
        <w:spacing w:after="0" w:line="7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10219"/>
          </w:cols>
          <w:pgMar w:left="240" w:top="851" w:right="1440" w:bottom="1440" w:gutter="0" w:footer="0" w:header="0"/>
        </w:sectPr>
      </w:pPr>
    </w:p>
    <w:bookmarkStart w:id="49" w:name="page50"/>
    <w:bookmarkEnd w:id="49"/>
    <w:p>
      <w:pPr>
        <w:ind w:right="2559" w:firstLine="199"/>
        <w:spacing w:after="0" w:line="260" w:lineRule="auto"/>
        <w:rPr>
          <w:sz w:val="20"/>
          <w:szCs w:val="20"/>
          <w:color w:val="auto"/>
        </w:rPr>
      </w:pPr>
      <w:r>
        <w:rPr>
          <w:rFonts w:ascii="Courier New" w:cs="Courier New" w:eastAsia="Courier New" w:hAnsi="Courier New"/>
          <w:sz w:val="17"/>
          <w:szCs w:val="17"/>
          <w:color w:val="auto"/>
        </w:rPr>
        <w:t>Charitable Beneficiary. The term "Charitable Beneficiary" shall mean one or more beneficiaries of the Charitable Trust as determined pursuant to Section 7.3.6, provided that each such organization must be described in Section 501(c)(3) of the Code and contributions to each such organization must be eligible for deduction under each of Sections 170(b)(1)(A), 2055 and 2522 of the Code.</w:t>
      </w:r>
    </w:p>
    <w:p>
      <w:pPr>
        <w:spacing w:after="0" w:line="87" w:lineRule="exact"/>
        <w:rPr>
          <w:sz w:val="20"/>
          <w:szCs w:val="20"/>
          <w:color w:val="auto"/>
        </w:rPr>
      </w:pPr>
    </w:p>
    <w:p>
      <w:pPr>
        <w:jc w:val="both"/>
        <w:ind w:right="2559" w:firstLine="199"/>
        <w:spacing w:after="0" w:line="347" w:lineRule="auto"/>
        <w:rPr>
          <w:sz w:val="20"/>
          <w:szCs w:val="20"/>
          <w:color w:val="auto"/>
        </w:rPr>
      </w:pPr>
      <w:r>
        <w:rPr>
          <w:rFonts w:ascii="Courier New" w:cs="Courier New" w:eastAsia="Courier New" w:hAnsi="Courier New"/>
          <w:sz w:val="17"/>
          <w:szCs w:val="17"/>
          <w:color w:val="auto"/>
        </w:rPr>
        <w:t>Charitable Trust. The term "Charitable Trust" shall mean any trust provided for in Section 7.3.1.</w:t>
      </w:r>
    </w:p>
    <w:p>
      <w:pPr>
        <w:spacing w:after="0" w:line="17" w:lineRule="exact"/>
        <w:rPr>
          <w:sz w:val="20"/>
          <w:szCs w:val="20"/>
          <w:color w:val="auto"/>
        </w:rPr>
      </w:pPr>
    </w:p>
    <w:p>
      <w:pPr>
        <w:jc w:val="both"/>
        <w:ind w:right="2559" w:firstLine="199"/>
        <w:spacing w:after="0" w:line="266" w:lineRule="auto"/>
        <w:rPr>
          <w:sz w:val="20"/>
          <w:szCs w:val="20"/>
          <w:color w:val="auto"/>
        </w:rPr>
      </w:pPr>
      <w:r>
        <w:rPr>
          <w:rFonts w:ascii="Courier New" w:cs="Courier New" w:eastAsia="Courier New" w:hAnsi="Courier New"/>
          <w:sz w:val="16"/>
          <w:szCs w:val="16"/>
          <w:color w:val="auto"/>
        </w:rPr>
        <w:t>Common Share Ownership Limit. The term "Common Share Ownership Limit" shall mean not more than 9.8 percent (in value or in number of shares, whichever is more restrictive) of the aggregate number of the outstanding Common Shares.</w:t>
      </w:r>
    </w:p>
    <w:p>
      <w:pPr>
        <w:spacing w:after="0" w:line="1" w:lineRule="exact"/>
        <w:rPr>
          <w:sz w:val="20"/>
          <w:szCs w:val="20"/>
          <w:color w:val="auto"/>
        </w:rPr>
      </w:pPr>
    </w:p>
    <w:p>
      <w:pPr>
        <w:jc w:val="both"/>
        <w:ind w:right="2659"/>
        <w:spacing w:after="0" w:line="274" w:lineRule="auto"/>
        <w:rPr>
          <w:sz w:val="20"/>
          <w:szCs w:val="20"/>
          <w:color w:val="auto"/>
        </w:rPr>
      </w:pPr>
      <w:r>
        <w:rPr>
          <w:rFonts w:ascii="Courier New" w:cs="Courier New" w:eastAsia="Courier New" w:hAnsi="Courier New"/>
          <w:sz w:val="17"/>
          <w:szCs w:val="17"/>
          <w:color w:val="auto"/>
        </w:rPr>
        <w:t>The number and value of outstanding Common Shares shall be determined by the Board of Trustees in good faith, which determination shall be conclusive for all purposes hereof.</w:t>
      </w:r>
    </w:p>
    <w:p>
      <w:pPr>
        <w:spacing w:after="0" w:line="75" w:lineRule="exact"/>
        <w:rPr>
          <w:sz w:val="20"/>
          <w:szCs w:val="20"/>
          <w:color w:val="auto"/>
        </w:rPr>
      </w:pPr>
    </w:p>
    <w:p>
      <w:pPr>
        <w:ind w:right="2559" w:firstLine="199"/>
        <w:spacing w:after="0" w:line="256" w:lineRule="auto"/>
        <w:rPr>
          <w:sz w:val="20"/>
          <w:szCs w:val="20"/>
          <w:color w:val="auto"/>
        </w:rPr>
      </w:pPr>
      <w:r>
        <w:rPr>
          <w:rFonts w:ascii="Courier New" w:cs="Courier New" w:eastAsia="Courier New" w:hAnsi="Courier New"/>
          <w:sz w:val="17"/>
          <w:szCs w:val="17"/>
          <w:color w:val="auto"/>
        </w:rPr>
        <w:t>Constructive Ownership. The term "Constructive Ownership" shall mean ownership of Equity Shares by a Person, whether the interest in Equity Shares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92" w:lineRule="exact"/>
        <w:rPr>
          <w:sz w:val="20"/>
          <w:szCs w:val="20"/>
          <w:color w:val="auto"/>
        </w:rPr>
      </w:pPr>
    </w:p>
    <w:p>
      <w:pPr>
        <w:ind w:right="2759" w:firstLine="199"/>
        <w:spacing w:after="0" w:line="292" w:lineRule="auto"/>
        <w:rPr>
          <w:sz w:val="20"/>
          <w:szCs w:val="20"/>
          <w:color w:val="auto"/>
        </w:rPr>
      </w:pPr>
      <w:r>
        <w:rPr>
          <w:rFonts w:ascii="Courier New" w:cs="Courier New" w:eastAsia="Courier New" w:hAnsi="Courier New"/>
          <w:sz w:val="17"/>
          <w:szCs w:val="17"/>
          <w:color w:val="auto"/>
        </w:rPr>
        <w:t>Declaration of Trust. The term "Declaration of Trust" shall mean this Declaration of Trust as accepted for record by the SDAT, and any amendments thereto.</w:t>
      </w:r>
    </w:p>
    <w:p>
      <w:pPr>
        <w:spacing w:after="0" w:line="62" w:lineRule="exact"/>
        <w:rPr>
          <w:sz w:val="20"/>
          <w:szCs w:val="20"/>
          <w:color w:val="auto"/>
        </w:rPr>
      </w:pPr>
    </w:p>
    <w:p>
      <w:pPr>
        <w:jc w:val="both"/>
        <w:ind w:right="2559" w:firstLine="199"/>
        <w:spacing w:after="0" w:line="379" w:lineRule="auto"/>
        <w:rPr>
          <w:sz w:val="20"/>
          <w:szCs w:val="20"/>
          <w:color w:val="auto"/>
        </w:rPr>
      </w:pPr>
      <w:r>
        <w:rPr>
          <w:rFonts w:ascii="Courier New" w:cs="Courier New" w:eastAsia="Courier New" w:hAnsi="Courier New"/>
          <w:sz w:val="16"/>
          <w:szCs w:val="16"/>
          <w:color w:val="auto"/>
        </w:rPr>
        <w:t>Equity Shares. The term "Equity Shares" shall mean Shares of all classes or series, including, without limitation, Common Shares and Preferred Shares.</w:t>
      </w:r>
    </w:p>
    <w:p>
      <w:pPr>
        <w:spacing w:after="0" w:line="1" w:lineRule="exact"/>
        <w:rPr>
          <w:sz w:val="20"/>
          <w:szCs w:val="20"/>
          <w:color w:val="auto"/>
        </w:rPr>
      </w:pPr>
    </w:p>
    <w:p>
      <w:pPr>
        <w:jc w:val="both"/>
        <w:ind w:right="2559" w:firstLine="199"/>
        <w:spacing w:after="0" w:line="292" w:lineRule="auto"/>
        <w:rPr>
          <w:sz w:val="20"/>
          <w:szCs w:val="20"/>
          <w:color w:val="auto"/>
        </w:rPr>
      </w:pPr>
      <w:r>
        <w:rPr>
          <w:rFonts w:ascii="Courier New" w:cs="Courier New" w:eastAsia="Courier New" w:hAnsi="Courier New"/>
          <w:sz w:val="17"/>
          <w:szCs w:val="17"/>
          <w:color w:val="auto"/>
        </w:rPr>
        <w:t>Excepted Holder. The term "Excepted Holder" shall mean a shareholder of the Trust for whom an Excepted Holder Limit is created by this Article VII or by the Board of Trustees pursuant to Section 7.2.7.</w:t>
      </w:r>
    </w:p>
    <w:p>
      <w:pPr>
        <w:spacing w:after="0" w:line="62"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Excepted Holder Limit. The term "Excepted Holder Limit" shall mean, provided that the affected Excepted Holder agrees to comply with the requirements established by the Board of Trustees pursuant to Section 7.2.7, and subject to adjustment pursuant to Section 7.2.8, the percentage limit established by the Board of Trustees pursuant to Section 7.2.7.</w:t>
      </w:r>
    </w:p>
    <w:p>
      <w:pPr>
        <w:spacing w:after="0" w:line="84" w:lineRule="exact"/>
        <w:rPr>
          <w:sz w:val="20"/>
          <w:szCs w:val="20"/>
          <w:color w:val="auto"/>
        </w:rPr>
      </w:pPr>
    </w:p>
    <w:p>
      <w:pPr>
        <w:ind w:right="2459" w:firstLine="199"/>
        <w:spacing w:after="0" w:line="292" w:lineRule="auto"/>
        <w:rPr>
          <w:sz w:val="20"/>
          <w:szCs w:val="20"/>
          <w:color w:val="auto"/>
        </w:rPr>
      </w:pPr>
      <w:r>
        <w:rPr>
          <w:rFonts w:ascii="Courier New" w:cs="Courier New" w:eastAsia="Courier New" w:hAnsi="Courier New"/>
          <w:sz w:val="17"/>
          <w:szCs w:val="17"/>
          <w:color w:val="auto"/>
        </w:rPr>
        <w:t>Initial Date. The term "Initial Date" shall mean the date upon which this Declaration of Trust containing this Article VII is accepted for record by the SDAT.</w:t>
      </w:r>
    </w:p>
    <w:p>
      <w:pPr>
        <w:spacing w:after="0" w:line="62" w:lineRule="exact"/>
        <w:rPr>
          <w:sz w:val="20"/>
          <w:szCs w:val="20"/>
          <w:color w:val="auto"/>
        </w:rPr>
      </w:pPr>
    </w:p>
    <w:p>
      <w:pPr>
        <w:ind w:right="2459" w:firstLine="199"/>
        <w:spacing w:after="0" w:line="243" w:lineRule="auto"/>
        <w:rPr>
          <w:sz w:val="20"/>
          <w:szCs w:val="20"/>
          <w:color w:val="auto"/>
        </w:rPr>
      </w:pPr>
      <w:r>
        <w:rPr>
          <w:rFonts w:ascii="Courier New" w:cs="Courier New" w:eastAsia="Courier New" w:hAnsi="Courier New"/>
          <w:sz w:val="17"/>
          <w:szCs w:val="17"/>
          <w:color w:val="auto"/>
        </w:rPr>
        <w:t>Market Price. The term "Market Price" on any date shall mean, with respect to any class or series of outstanding Equity Shares, the Closing Price for such Equity Shares on such date. The "Closing Price" on any date shall mean the last sale price for such Equity Shares, regular way, or, in case no such sale takes place on such day, the average of the closing bid and asked prices, regular way, for such Equity Shares, in either case as reported in the principal consolidated transaction reporting system with respect to securities listed or admitted to trading on the NYSE or, if such Equity Shares are not listed or admitted to trading on the NYSE, as reported on the principal consolidated transaction reporting system with respect to securities listed on the principal national securities exchange on which such Equity Shares are listed or admitted to trading or, if such Equity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Equity Shares are not quoted by any such organization, the average of the closing bid and asked prices as furnished by a professional market maker making a market in such Equity Shares selected by the Board of Trustees or, in the event that no trading price is available for such Equity Shares, the fair market value of Equity Shares, as determined in good faith by the Board of Trustees, which determination shall be conclusive for all purposes hereof.</w:t>
      </w:r>
    </w:p>
    <w:p>
      <w:pPr>
        <w:spacing w:after="0" w:line="10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NYSE. The term "NYSE" shall mean the New York Stock Exchange.</w:t>
      </w:r>
    </w:p>
    <w:p>
      <w:pPr>
        <w:spacing w:after="0" w:line="190" w:lineRule="exact"/>
        <w:rPr>
          <w:sz w:val="20"/>
          <w:szCs w:val="20"/>
          <w:color w:val="auto"/>
        </w:rPr>
      </w:pPr>
    </w:p>
    <w:p>
      <w:pPr>
        <w:ind w:right="2859" w:firstLine="199"/>
        <w:spacing w:after="0" w:line="265" w:lineRule="auto"/>
        <w:rPr>
          <w:sz w:val="20"/>
          <w:szCs w:val="20"/>
          <w:color w:val="auto"/>
        </w:rPr>
      </w:pPr>
      <w:r>
        <w:rPr>
          <w:rFonts w:ascii="Courier New" w:cs="Courier New" w:eastAsia="Courier New" w:hAnsi="Courier New"/>
          <w:sz w:val="17"/>
          <w:szCs w:val="17"/>
          <w:color w:val="auto"/>
        </w:rPr>
        <w:t>Person.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w:t>
      </w:r>
    </w:p>
    <w:p>
      <w:pPr>
        <w:spacing w:after="0" w:line="8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660" w:right="1440" w:bottom="312" w:gutter="0" w:footer="0" w:header="0"/>
        </w:sectPr>
      </w:pPr>
    </w:p>
    <w:bookmarkStart w:id="50" w:name="page51"/>
    <w:bookmarkEnd w:id="50"/>
    <w:p>
      <w:pPr>
        <w:ind w:right="2659"/>
        <w:spacing w:after="0" w:line="296" w:lineRule="auto"/>
        <w:rPr>
          <w:sz w:val="20"/>
          <w:szCs w:val="20"/>
          <w:color w:val="auto"/>
        </w:rPr>
      </w:pPr>
      <w:r>
        <w:rPr>
          <w:rFonts w:ascii="Courier New" w:cs="Courier New" w:eastAsia="Courier New" w:hAnsi="Courier New"/>
          <w:sz w:val="16"/>
          <w:szCs w:val="16"/>
          <w:color w:val="auto"/>
        </w:rPr>
        <w:t>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62" w:lineRule="exact"/>
        <w:rPr>
          <w:sz w:val="20"/>
          <w:szCs w:val="20"/>
          <w:color w:val="auto"/>
        </w:rPr>
      </w:pPr>
    </w:p>
    <w:p>
      <w:pPr>
        <w:ind w:right="2459" w:firstLine="199"/>
        <w:spacing w:after="0" w:line="285" w:lineRule="auto"/>
        <w:rPr>
          <w:sz w:val="20"/>
          <w:szCs w:val="20"/>
          <w:color w:val="auto"/>
        </w:rPr>
      </w:pPr>
      <w:r>
        <w:rPr>
          <w:rFonts w:ascii="Courier New" w:cs="Courier New" w:eastAsia="Courier New" w:hAnsi="Courier New"/>
          <w:sz w:val="16"/>
          <w:szCs w:val="16"/>
          <w:color w:val="auto"/>
        </w:rPr>
        <w:t>Prohibited Owner. The term "Prohibited Owner" shall mean, with respect to any purported Transfer, any Person who, but for the provisions of Section 7.2.1, would Beneficially Own or Constructively Own Equity Shares, and if appropriate in the context, shall also mean any Person who would have been the record owner of Equity Shares that the Prohibited Owner would have so owned.</w:t>
      </w:r>
    </w:p>
    <w:p>
      <w:pPr>
        <w:spacing w:after="0" w:line="71" w:lineRule="exact"/>
        <w:rPr>
          <w:sz w:val="20"/>
          <w:szCs w:val="20"/>
          <w:color w:val="auto"/>
        </w:rPr>
      </w:pPr>
    </w:p>
    <w:p>
      <w:pPr>
        <w:ind w:right="2659" w:firstLine="199"/>
        <w:spacing w:after="0" w:line="347" w:lineRule="auto"/>
        <w:rPr>
          <w:sz w:val="20"/>
          <w:szCs w:val="20"/>
          <w:color w:val="auto"/>
        </w:rPr>
      </w:pPr>
      <w:r>
        <w:rPr>
          <w:rFonts w:ascii="Courier New" w:cs="Courier New" w:eastAsia="Courier New" w:hAnsi="Courier New"/>
          <w:sz w:val="17"/>
          <w:szCs w:val="17"/>
          <w:color w:val="auto"/>
        </w:rPr>
        <w:t>REIT. The term "REIT" shall mean a real estate investment trust within the meaning of Section 856 of the Code.</w:t>
      </w:r>
    </w:p>
    <w:p>
      <w:pPr>
        <w:spacing w:after="0" w:line="17"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Restriction Termination Date. The term "Restriction Termination Date" shall mean the first day after the Initial Date on which the Board of Trustees determines that it is no longer in the best interests of the Trust to attempt to, or continue to, qualify as a REIT or that compliance with the restrictions and limitations on Beneficial Ownership, Constructive Ownership and Transfers of Equity Shares set forth herein is no longer required in order for the Trust to qualify as a REIT.</w:t>
      </w:r>
    </w:p>
    <w:p>
      <w:pPr>
        <w:spacing w:after="0" w:line="92" w:lineRule="exact"/>
        <w:rPr>
          <w:sz w:val="20"/>
          <w:szCs w:val="20"/>
          <w:color w:val="auto"/>
        </w:rPr>
      </w:pPr>
    </w:p>
    <w:p>
      <w:pPr>
        <w:ind w:right="2859" w:firstLine="199"/>
        <w:spacing w:after="0" w:line="347" w:lineRule="auto"/>
        <w:rPr>
          <w:sz w:val="20"/>
          <w:szCs w:val="20"/>
          <w:color w:val="auto"/>
        </w:rPr>
      </w:pPr>
      <w:r>
        <w:rPr>
          <w:rFonts w:ascii="Courier New" w:cs="Courier New" w:eastAsia="Courier New" w:hAnsi="Courier New"/>
          <w:sz w:val="17"/>
          <w:szCs w:val="17"/>
          <w:color w:val="auto"/>
        </w:rPr>
        <w:t>SDAT. The term "SDAT" shall mean the State Department of Assessments and Taxation of Maryland.</w:t>
      </w:r>
    </w:p>
    <w:p>
      <w:pPr>
        <w:spacing w:after="0" w:line="17" w:lineRule="exact"/>
        <w:rPr>
          <w:sz w:val="20"/>
          <w:szCs w:val="20"/>
          <w:color w:val="auto"/>
        </w:rPr>
      </w:pPr>
    </w:p>
    <w:p>
      <w:pPr>
        <w:ind w:right="2459" w:firstLine="199"/>
        <w:spacing w:after="0" w:line="261" w:lineRule="auto"/>
        <w:rPr>
          <w:sz w:val="20"/>
          <w:szCs w:val="20"/>
          <w:color w:val="auto"/>
        </w:rPr>
      </w:pPr>
      <w:r>
        <w:rPr>
          <w:rFonts w:ascii="Courier New" w:cs="Courier New" w:eastAsia="Courier New" w:hAnsi="Courier New"/>
          <w:sz w:val="16"/>
          <w:szCs w:val="16"/>
          <w:color w:val="auto"/>
        </w:rPr>
        <w:t>Transfer. The term "Transfer" shall mean any issuance, sale, transfer, gift, assignment, devise or other disposition, as well as any other event that causes any Person to acquire Beneficial Ownership or Constructive Ownership, or any agreement to take any such actions or cause any such events, of Equity Shares or the right to vote or receive dividends on Equity Shares, including</w:t>
      </w:r>
    </w:p>
    <w:p>
      <w:pPr>
        <w:spacing w:after="0" w:line="1" w:lineRule="exact"/>
        <w:rPr>
          <w:sz w:val="20"/>
          <w:szCs w:val="20"/>
          <w:color w:val="auto"/>
        </w:rPr>
      </w:pPr>
    </w:p>
    <w:p>
      <w:pPr>
        <w:ind w:left="400" w:hanging="398"/>
        <w:spacing w:after="0"/>
        <w:tabs>
          <w:tab w:leader="none" w:pos="4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granting or exercise of any option (or any disposition of any option),</w:t>
      </w:r>
    </w:p>
    <w:p>
      <w:pPr>
        <w:spacing w:after="0" w:line="9" w:lineRule="exact"/>
        <w:rPr>
          <w:rFonts w:ascii="Courier New" w:cs="Courier New" w:eastAsia="Courier New" w:hAnsi="Courier New"/>
          <w:sz w:val="16"/>
          <w:szCs w:val="16"/>
          <w:color w:val="auto"/>
        </w:rPr>
      </w:pPr>
    </w:p>
    <w:p>
      <w:pPr>
        <w:ind w:right="2659" w:firstLine="2"/>
        <w:spacing w:after="0" w:line="248" w:lineRule="auto"/>
        <w:tabs>
          <w:tab w:leader="none" w:pos="398"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disposition of any securities or rights convertible into or exchangeable for Equity Shares or any interest in Equity Shares or any exercise of any such conversion or exchange right and (c) Transfers of interests in other entities that result in changes in Beneficial or Constructive Ownership of Equity Shares; in each case, whether voluntary or involuntary, whether owned of record, Constructively Owned or Beneficially Owned and whether by operation of law or otherwise. The terms "Transferring" and "Transferred" shall have the correlative meanings.</w:t>
      </w:r>
    </w:p>
    <w:p>
      <w:pPr>
        <w:spacing w:after="0" w:line="99" w:lineRule="exact"/>
        <w:rPr>
          <w:sz w:val="20"/>
          <w:szCs w:val="20"/>
          <w:color w:val="auto"/>
        </w:rPr>
      </w:pPr>
    </w:p>
    <w:p>
      <w:pPr>
        <w:jc w:val="both"/>
        <w:ind w:right="2959" w:firstLine="199"/>
        <w:spacing w:after="0" w:line="292" w:lineRule="auto"/>
        <w:rPr>
          <w:sz w:val="20"/>
          <w:szCs w:val="20"/>
          <w:color w:val="auto"/>
        </w:rPr>
      </w:pPr>
      <w:r>
        <w:rPr>
          <w:rFonts w:ascii="Courier New" w:cs="Courier New" w:eastAsia="Courier New" w:hAnsi="Courier New"/>
          <w:sz w:val="17"/>
          <w:szCs w:val="17"/>
          <w:color w:val="auto"/>
        </w:rPr>
        <w:t>Trustee. The term "Trustee" shall mean the Person unaffiliated with the Trust and a Prohibited Owner, that is appointed by the Trust to serve as trustee of the Charitable Trust.</w:t>
      </w:r>
    </w:p>
    <w:p>
      <w:pPr>
        <w:spacing w:after="0" w:line="6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7.2 Equity Shares.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7.2.1 Ownership Limitations. During the period commencing on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Initial Date and prior to the Restriction Termination Date:</w:t>
      </w:r>
    </w:p>
    <w:p>
      <w:pPr>
        <w:spacing w:after="0" w:line="16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 Basic Restrictions.</w:t>
      </w:r>
    </w:p>
    <w:p>
      <w:pPr>
        <w:spacing w:after="0" w:line="190" w:lineRule="exact"/>
        <w:rPr>
          <w:sz w:val="20"/>
          <w:szCs w:val="20"/>
          <w:color w:val="auto"/>
        </w:rPr>
      </w:pPr>
    </w:p>
    <w:p>
      <w:pPr>
        <w:ind w:right="2459" w:firstLine="201"/>
        <w:spacing w:after="0" w:line="279" w:lineRule="auto"/>
        <w:tabs>
          <w:tab w:leader="none" w:pos="59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No Person, other than an Excepted Holder, shall Beneficially Own or Constructively Own Equity Shares in excess of the Aggregate Share Ownership Limit, (2) no Person, other than an Excepted Holder, shall Beneficially Own or Constructively Own Common Shares in excess of the Common Share Ownership Limit and (3) no Excepted Holder shall Beneficially Own or Constructively Own Equity Shares in excess of the Excepted Holder Limit for such Excepted Holder.</w:t>
      </w:r>
    </w:p>
    <w:p>
      <w:pPr>
        <w:spacing w:after="0" w:line="74" w:lineRule="exact"/>
        <w:rPr>
          <w:rFonts w:ascii="Courier New" w:cs="Courier New" w:eastAsia="Courier New" w:hAnsi="Courier New"/>
          <w:sz w:val="16"/>
          <w:szCs w:val="16"/>
          <w:color w:val="auto"/>
        </w:rPr>
      </w:pPr>
    </w:p>
    <w:p>
      <w:pPr>
        <w:ind w:right="2459" w:firstLine="201"/>
        <w:spacing w:after="0" w:line="267" w:lineRule="auto"/>
        <w:tabs>
          <w:tab w:leader="none" w:pos="69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shall Beneficially or Constructively Own Equity Shares to the extent that such Beneficial or Constructive Ownership of Equity Shares would result in the Trust being "closely held" within the meaning of Section 856(h) of the Code (without regard to whether the ownership interest is held during the last half of a taxable year), or otherwise failing to qualify as a REIT (including, but not limited to, Beneficial or Constructive Ownership that would result in the Trust owning (actually or Constructively) an interest in a tenant that is described in Section 856(d)(2)(B) of the Code if the income derived by the Trust from such tenant would cause the Trust to fail to satisfy any of the gross income requirements of Section 856(c) of the Code).</w:t>
      </w:r>
    </w:p>
    <w:p>
      <w:pPr>
        <w:spacing w:after="0" w:line="27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A-14</w:t>
      </w:r>
    </w:p>
    <w:p>
      <w:pPr>
        <w:sectPr>
          <w:pgSz w:w="11900" w:h="16838" w:orient="portrait"/>
          <w:cols w:equalWidth="0" w:num="1">
            <w:col w:w="10219"/>
          </w:cols>
          <w:pgMar w:left="240" w:top="660" w:right="1440" w:bottom="1440" w:gutter="0" w:footer="0" w:header="0"/>
        </w:sectPr>
      </w:pPr>
    </w:p>
    <w:bookmarkStart w:id="51" w:name="page52"/>
    <w:bookmarkEnd w:id="51"/>
    <w:p>
      <w:pPr>
        <w:ind w:right="2459" w:firstLine="201"/>
        <w:spacing w:after="0" w:line="253" w:lineRule="auto"/>
        <w:tabs>
          <w:tab w:leader="none" w:pos="796"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provisions contained herein (but subject to Section 7.4), any Transfer of Equity Shares (whether or not such Transfer is the result of a transaction entered into through the facilities of the NYSE or any other national securities exchange or automated inter-dealer quotation system) that, if effective, would result in Equity Shares being beneficially owned by less than 100 Persons (determined under the principles of Section 856(a)(5) of the Code) shall be void ab initio, and the intended transferee shall acquire no rights in such Equity Shares.</w:t>
      </w:r>
    </w:p>
    <w:p>
      <w:pPr>
        <w:spacing w:after="0" w:line="97" w:lineRule="exact"/>
        <w:rPr>
          <w:sz w:val="20"/>
          <w:szCs w:val="20"/>
          <w:color w:val="auto"/>
        </w:rPr>
      </w:pPr>
    </w:p>
    <w:p>
      <w:pPr>
        <w:ind w:right="2459" w:firstLine="201"/>
        <w:spacing w:after="0" w:line="260" w:lineRule="auto"/>
        <w:tabs>
          <w:tab w:leader="none" w:pos="597"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in Trust. If any Transfer of Equity Shares (whether or not such Transfer is the result of a transaction entered into through the facilities of the NYSE or any other national securities exchange or automated inter-dealer quotation system) occurs which, if effective, would result in any Person Beneficially Owning or Constructively Owning Equity Shares in violation of Section 7.2.1(a)(i) or (ii),</w:t>
      </w:r>
    </w:p>
    <w:p>
      <w:pPr>
        <w:spacing w:after="0" w:line="87" w:lineRule="exact"/>
        <w:rPr>
          <w:sz w:val="20"/>
          <w:szCs w:val="20"/>
          <w:color w:val="auto"/>
        </w:rPr>
      </w:pPr>
    </w:p>
    <w:p>
      <w:pPr>
        <w:ind w:right="3159" w:firstLine="201"/>
        <w:spacing w:after="0" w:line="273" w:lineRule="auto"/>
        <w:tabs>
          <w:tab w:leader="none" w:pos="59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that number of Equity Shares the Beneficial or Constructive Ownership of which otherwise would cause such Person to violate Section</w:t>
      </w:r>
    </w:p>
    <w:p>
      <w:pPr>
        <w:ind w:right="2459"/>
        <w:spacing w:after="0" w:line="25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7.2.1(a)(i) or (ii)(rounded to the nearest whole share) shall be automatically transferred to a Charitable Trust for the benefit of a Charitable Beneficiary, as described in Section 7.3, effective as of the close of business on the Business Day prior to the date of such Transfer, and such Person shall acquire no rights in such Equity Shares; or</w:t>
      </w:r>
    </w:p>
    <w:p>
      <w:pPr>
        <w:spacing w:after="0" w:line="90" w:lineRule="exact"/>
        <w:rPr>
          <w:rFonts w:ascii="Courier New" w:cs="Courier New" w:eastAsia="Courier New" w:hAnsi="Courier New"/>
          <w:sz w:val="16"/>
          <w:szCs w:val="16"/>
          <w:color w:val="auto"/>
        </w:rPr>
      </w:pPr>
    </w:p>
    <w:p>
      <w:pPr>
        <w:ind w:right="2459" w:firstLine="201"/>
        <w:spacing w:after="0" w:line="260" w:lineRule="auto"/>
        <w:tabs>
          <w:tab w:leader="none" w:pos="696"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transfer to the Charitable Trust described in clause (i) of this sentence would not be effective for any reason to prevent the violation of Section 7.2.1(a)(i) or (ii), then the Transfer of that number of Equity Shares that otherwise would cause any Person to violate Section 7.2.1(a)(i) or (ii) shall be void ab initio, and the intended transferee shall acquire no rights in such Equity Shares.</w:t>
      </w:r>
    </w:p>
    <w:p>
      <w:pPr>
        <w:spacing w:after="0" w:line="87" w:lineRule="exact"/>
        <w:rPr>
          <w:sz w:val="20"/>
          <w:szCs w:val="20"/>
          <w:color w:val="auto"/>
        </w:rPr>
      </w:pPr>
    </w:p>
    <w:p>
      <w:pPr>
        <w:ind w:right="2459" w:firstLine="199"/>
        <w:spacing w:after="0" w:line="245" w:lineRule="auto"/>
        <w:rPr>
          <w:sz w:val="20"/>
          <w:szCs w:val="20"/>
          <w:color w:val="auto"/>
        </w:rPr>
      </w:pPr>
      <w:r>
        <w:rPr>
          <w:rFonts w:ascii="Courier New" w:cs="Courier New" w:eastAsia="Courier New" w:hAnsi="Courier New"/>
          <w:sz w:val="17"/>
          <w:szCs w:val="17"/>
          <w:color w:val="auto"/>
        </w:rPr>
        <w:t>Section 7.2.2 Remedies for Breach. If the Board of Trustees or any duly authorized committee thereof shall at any time determine in good faith that a Transfer or other event has taken place that results in a violation of Section 7.2.1 or that a Person intends to acquire or has attempted to acquire Beneficial or Constructive Ownership of any Equity Shares in violation of Section 7.2.1 (whether or not such violation is intended), the Board of Trustees or a committee thereof shall take such action as it deems advisable to refuse to give effect to or to prevent such Transfer or other event, including, without limitation, causing the Trust to redeem Equity Shares, refusing to give effect to such Transfer on the books of the Trust or instituting proceedings to enjoin such Transfer or other event; provided, however, that any Transfers or attempted Transfers or other events in violation of Section 7.2.1 shall automatically result in the transfer to the Charitable Trust described above, and, where applicable, such Transfer (or other event) shall be void ab initio as provided above irrespective of any action (or non-action) by the Board of Trustees or a committee thereof.</w:t>
      </w:r>
    </w:p>
    <w:p>
      <w:pPr>
        <w:spacing w:after="0" w:line="106" w:lineRule="exact"/>
        <w:rPr>
          <w:sz w:val="20"/>
          <w:szCs w:val="20"/>
          <w:color w:val="auto"/>
        </w:rPr>
      </w:pPr>
    </w:p>
    <w:p>
      <w:pPr>
        <w:ind w:right="2559" w:firstLine="199"/>
        <w:spacing w:after="0" w:line="250" w:lineRule="auto"/>
        <w:rPr>
          <w:sz w:val="20"/>
          <w:szCs w:val="20"/>
          <w:color w:val="auto"/>
        </w:rPr>
      </w:pPr>
      <w:r>
        <w:rPr>
          <w:rFonts w:ascii="Courier New" w:cs="Courier New" w:eastAsia="Courier New" w:hAnsi="Courier New"/>
          <w:sz w:val="17"/>
          <w:szCs w:val="17"/>
          <w:color w:val="auto"/>
        </w:rPr>
        <w:t>Section 7.2.3 Notice of Restricted Transfer. Any Person who acquires or attempts or intends to acquire Beneficial Ownership or Constructive Ownership of Equity Shares that will or may violate Section 7.2.1(a), or any Person who would have owned Equity Shares that resulted in a transfer to the Charitable Trust pursuant to the provisions of Section 7.2.1(b), shall immediately give written notice to the Trust of such event, or in the case of such a proposed or attempted transaction, give at least 15 days prior written notice, and shall provide to the Trust such other information as the Trust may request in order to determine the effect, if any, of such Transfer on the Trust's status as a REIT.</w:t>
      </w:r>
    </w:p>
    <w:p>
      <w:pPr>
        <w:spacing w:after="0" w:line="98" w:lineRule="exact"/>
        <w:rPr>
          <w:sz w:val="20"/>
          <w:szCs w:val="20"/>
          <w:color w:val="auto"/>
        </w:rPr>
      </w:pPr>
    </w:p>
    <w:p>
      <w:pPr>
        <w:ind w:right="2559" w:firstLine="199"/>
        <w:spacing w:after="0" w:line="347" w:lineRule="auto"/>
        <w:rPr>
          <w:sz w:val="20"/>
          <w:szCs w:val="20"/>
          <w:color w:val="auto"/>
        </w:rPr>
      </w:pPr>
      <w:r>
        <w:rPr>
          <w:rFonts w:ascii="Courier New" w:cs="Courier New" w:eastAsia="Courier New" w:hAnsi="Courier New"/>
          <w:sz w:val="17"/>
          <w:szCs w:val="17"/>
          <w:color w:val="auto"/>
        </w:rPr>
        <w:t>Section 7.2.4 Owners Required To Provide Information. From the Initial Date and prior to the Restriction Termination Date:</w:t>
      </w:r>
    </w:p>
    <w:p>
      <w:pPr>
        <w:spacing w:after="0" w:line="17" w:lineRule="exact"/>
        <w:rPr>
          <w:sz w:val="20"/>
          <w:szCs w:val="20"/>
          <w:color w:val="auto"/>
        </w:rPr>
      </w:pPr>
    </w:p>
    <w:p>
      <w:pPr>
        <w:ind w:right="2459" w:firstLine="201"/>
        <w:spacing w:after="0" w:line="250" w:lineRule="auto"/>
        <w:tabs>
          <w:tab w:leader="none" w:pos="597"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every owner of more than five percent (or such lower percentage as required by the Code or the Treasury Regulations promulgated thereunder) of the outstanding Equity Shares, within 30 days after the end of each taxable year, shall give written notice to the Trust stating the name and address of such owner, the number of Equity Shares and other Equity Shares Beneficially Owned and a description of the manner in which such shares are held. Each such owner shall provide to the Trust such additional information as the Trust may request in order to determine the effect, if any, of such Beneficial Ownership on the Trust's status as a REIT and to ensure compliance with the Aggregate Share Ownership Limit.</w:t>
      </w:r>
    </w:p>
    <w:p>
      <w:pPr>
        <w:spacing w:after="0" w:line="97" w:lineRule="exact"/>
        <w:rPr>
          <w:rFonts w:ascii="Courier New" w:cs="Courier New" w:eastAsia="Courier New" w:hAnsi="Courier New"/>
          <w:sz w:val="17"/>
          <w:szCs w:val="17"/>
          <w:color w:val="auto"/>
        </w:rPr>
      </w:pPr>
    </w:p>
    <w:p>
      <w:pPr>
        <w:ind w:right="2659" w:firstLine="201"/>
        <w:spacing w:after="0" w:line="318" w:lineRule="auto"/>
        <w:tabs>
          <w:tab w:leader="none" w:pos="59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a Beneficial or Constructive Owner of Equity Shares and each Person (including the shareholder of record) who is holding Equity Shares for a Beneficial or Constructive Owner shall provide to the</w:t>
      </w:r>
    </w:p>
    <w:p>
      <w:pPr>
        <w:spacing w:after="0" w:line="4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660" w:right="1440" w:bottom="695" w:gutter="0" w:footer="0" w:header="0"/>
        </w:sectPr>
      </w:pPr>
    </w:p>
    <w:bookmarkStart w:id="52" w:name="page53"/>
    <w:bookmarkEnd w:id="52"/>
    <w:p>
      <w:pPr>
        <w:ind w:right="2559"/>
        <w:spacing w:after="0" w:line="318" w:lineRule="auto"/>
        <w:rPr>
          <w:sz w:val="20"/>
          <w:szCs w:val="20"/>
          <w:color w:val="auto"/>
        </w:rPr>
      </w:pPr>
      <w:r>
        <w:rPr>
          <w:rFonts w:ascii="Courier New" w:cs="Courier New" w:eastAsia="Courier New" w:hAnsi="Courier New"/>
          <w:sz w:val="16"/>
          <w:szCs w:val="16"/>
          <w:color w:val="auto"/>
        </w:rPr>
        <w:t>Trust such information as the Trust may request, in good faith, in order to determine the Trust's status as a REIT and to comply with requirements of any taxing authority or governmental authority or to determine such compliance.</w:t>
      </w:r>
    </w:p>
    <w:p>
      <w:pPr>
        <w:spacing w:after="0" w:line="45" w:lineRule="exact"/>
        <w:rPr>
          <w:sz w:val="20"/>
          <w:szCs w:val="20"/>
          <w:color w:val="auto"/>
        </w:rPr>
      </w:pPr>
    </w:p>
    <w:p>
      <w:pPr>
        <w:ind w:right="2759" w:firstLine="199"/>
        <w:spacing w:after="0" w:line="265" w:lineRule="auto"/>
        <w:rPr>
          <w:sz w:val="20"/>
          <w:szCs w:val="20"/>
          <w:color w:val="auto"/>
        </w:rPr>
      </w:pPr>
      <w:r>
        <w:rPr>
          <w:rFonts w:ascii="Courier New" w:cs="Courier New" w:eastAsia="Courier New" w:hAnsi="Courier New"/>
          <w:sz w:val="17"/>
          <w:szCs w:val="17"/>
          <w:color w:val="auto"/>
        </w:rPr>
        <w:t>Section 7.2.5 Remedies Not Limited. Subject to Section 5.1 of the Declaration of Trust, nothing contained in this Section 7.2 shall limit the authority of the Board of Trustees to take such other action as it deems necessary or advisable to protect the Trust and the interests of its shareholders in preserving the Trust's status as a REIT.</w:t>
      </w:r>
    </w:p>
    <w:p>
      <w:pPr>
        <w:spacing w:after="0" w:line="84" w:lineRule="exact"/>
        <w:rPr>
          <w:sz w:val="20"/>
          <w:szCs w:val="20"/>
          <w:color w:val="auto"/>
        </w:rPr>
      </w:pPr>
    </w:p>
    <w:p>
      <w:pPr>
        <w:ind w:right="2459" w:firstLine="199"/>
        <w:spacing w:after="0" w:line="250" w:lineRule="auto"/>
        <w:rPr>
          <w:sz w:val="20"/>
          <w:szCs w:val="20"/>
          <w:color w:val="auto"/>
        </w:rPr>
      </w:pPr>
      <w:r>
        <w:rPr>
          <w:rFonts w:ascii="Courier New" w:cs="Courier New" w:eastAsia="Courier New" w:hAnsi="Courier New"/>
          <w:sz w:val="17"/>
          <w:szCs w:val="17"/>
          <w:color w:val="auto"/>
        </w:rPr>
        <w:t>Section 7.2.6 Ambiguity. In the case of an ambiguity in the application of any of the provisions of this Section 7.2, Section 7.3 or any definition contained in Section 7.1, the Board of Trustees shall have the power to determine the application of the provisions of this Section 7.2 or Section 7.3 with respect to any situation based on the facts known to it. In the event Section 7.2 or 7.3 requires an action by the Board of Trustees and the Declaration of Trust fails to provide specific guidance with respect to such action, the Board of Trustees shall have the power to determine the action to be taken so long as such action is not contrary to the provisions of Sections 7.1, 7.2 or 7.3.</w:t>
      </w:r>
    </w:p>
    <w:p>
      <w:pPr>
        <w:spacing w:after="0" w:line="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7.2.7 Exceptions.</w:t>
      </w:r>
    </w:p>
    <w:p>
      <w:pPr>
        <w:spacing w:after="0" w:line="190" w:lineRule="exact"/>
        <w:rPr>
          <w:sz w:val="20"/>
          <w:szCs w:val="20"/>
          <w:color w:val="auto"/>
        </w:rPr>
      </w:pPr>
    </w:p>
    <w:p>
      <w:pPr>
        <w:ind w:right="2659" w:firstLine="201"/>
        <w:spacing w:after="0" w:line="274" w:lineRule="auto"/>
        <w:tabs>
          <w:tab w:leader="none" w:pos="597"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7.2.1(a)(ii), the Board of Trustees, in its sole discretion, may exempt a Person from the Aggregate Share Ownership Limit and the Common Share Ownership Limit, as the case may be, and may establish or increase an Excepted Holder Limit for such Person if:</w:t>
      </w:r>
    </w:p>
    <w:p>
      <w:pPr>
        <w:spacing w:after="0" w:line="77" w:lineRule="exact"/>
        <w:rPr>
          <w:sz w:val="20"/>
          <w:szCs w:val="20"/>
          <w:color w:val="auto"/>
        </w:rPr>
      </w:pPr>
    </w:p>
    <w:p>
      <w:pPr>
        <w:ind w:right="2459" w:firstLine="201"/>
        <w:spacing w:after="0" w:line="274" w:lineRule="auto"/>
        <w:tabs>
          <w:tab w:leader="none" w:pos="597"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Trustees obtains such representations and undertakings from such Person as are reasonably necessary to ascertain that no individual's Beneficial or Constructive Ownership of such Equity Shares will violate Section 7.2.1(a)(ii);</w:t>
      </w:r>
    </w:p>
    <w:p>
      <w:pPr>
        <w:spacing w:after="0" w:line="76" w:lineRule="exact"/>
        <w:rPr>
          <w:rFonts w:ascii="Courier New" w:cs="Courier New" w:eastAsia="Courier New" w:hAnsi="Courier New"/>
          <w:sz w:val="17"/>
          <w:szCs w:val="17"/>
          <w:color w:val="auto"/>
        </w:rPr>
      </w:pPr>
    </w:p>
    <w:p>
      <w:pPr>
        <w:ind w:right="2459" w:firstLine="201"/>
        <w:spacing w:after="0" w:line="248" w:lineRule="auto"/>
        <w:tabs>
          <w:tab w:leader="none" w:pos="696"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Person does not and represents that it will not own, actually or Constructively, an interest in a tenant of the Trust (or a tenant of any entity owned or controlled by the Trust) that would cause the Trust to own, actually or Constructively, more than a 9.8% interest (as set forth in Section 856(d)(2)(B) of the Code) in such tenant and the Board of Trustees obtains such representations and undertakings from such Person as are reasonably necessary to ascertain this fact (for this purpose, a tenant from whom the Trust (or an entity owned or controlled by the Trust) derives (and is expected to continue to derive) a sufficiently small amount of revenue such that, in the opinion of the Board of Trustees, rent from such tenant would not adversely affect the Trust's ability to qualify as a REIT, shall not be treated as a tenant of the Trust); and</w:t>
      </w:r>
    </w:p>
    <w:p>
      <w:pPr>
        <w:spacing w:after="0" w:line="98" w:lineRule="exact"/>
        <w:rPr>
          <w:rFonts w:ascii="Courier New" w:cs="Courier New" w:eastAsia="Courier New" w:hAnsi="Courier New"/>
          <w:sz w:val="17"/>
          <w:szCs w:val="17"/>
          <w:color w:val="auto"/>
        </w:rPr>
      </w:pPr>
    </w:p>
    <w:p>
      <w:pPr>
        <w:ind w:right="2659" w:firstLine="201"/>
        <w:spacing w:after="0" w:line="265" w:lineRule="auto"/>
        <w:tabs>
          <w:tab w:leader="none" w:pos="796"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Person agrees that any violation or attempted violation of such representations or undertakings (or other action which is contrary to the restrictions contained in Sections 7.2.1 through 7.2.6) will result in such Equity Shares being automatically transferred to a Charitable Trust in accordance with Sections 7.2.1(b) and 7.3.</w:t>
      </w:r>
    </w:p>
    <w:p>
      <w:pPr>
        <w:spacing w:after="0" w:line="84" w:lineRule="exact"/>
        <w:rPr>
          <w:sz w:val="20"/>
          <w:szCs w:val="20"/>
          <w:color w:val="auto"/>
        </w:rPr>
      </w:pPr>
    </w:p>
    <w:p>
      <w:pPr>
        <w:ind w:right="2559" w:firstLine="201"/>
        <w:spacing w:after="0" w:line="253" w:lineRule="auto"/>
        <w:tabs>
          <w:tab w:leader="none" w:pos="597"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granting any exception pursuant to Section 7.2.7(a), the Board of Trustees may require a ruling from the Internal Revenue Service, or an opinion of counsel, in either case in form and substance satisfactory to the Board of Trustees in its sole discretion, as it may deem necessary or advisable in order to determine or ensure the Trust's status as a REIT. Notwithstanding the receipt of any ruling or opinion, the Board of Trustees may impose such conditions or restrictions as it deems appropriate in connection with granting such exception.</w:t>
      </w:r>
    </w:p>
    <w:p>
      <w:pPr>
        <w:spacing w:after="0" w:line="97" w:lineRule="exact"/>
        <w:rPr>
          <w:rFonts w:ascii="Courier New" w:cs="Courier New" w:eastAsia="Courier New" w:hAnsi="Courier New"/>
          <w:sz w:val="17"/>
          <w:szCs w:val="17"/>
          <w:color w:val="auto"/>
        </w:rPr>
      </w:pPr>
    </w:p>
    <w:p>
      <w:pPr>
        <w:ind w:right="2559" w:firstLine="201"/>
        <w:spacing w:after="0" w:line="275" w:lineRule="auto"/>
        <w:tabs>
          <w:tab w:leader="none" w:pos="597"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7.2.1(a)(ii), an underwriter which participates in a public offering or a private placement of Equity Shares (or securities convertible into or exchangeable for Equity Shares) may Beneficially Own or Constructively Own Equity Shares (or securities convertible into or exchangeable for Equity Shares) in excess of the Aggregate Share Ownership Limit, the Common Share Ownership Limit or both such limits, but only to the extent necessary to facilitate such public offering or private placement.</w:t>
      </w:r>
    </w:p>
    <w:p>
      <w:pPr>
        <w:spacing w:after="0" w:line="76" w:lineRule="exact"/>
        <w:rPr>
          <w:rFonts w:ascii="Courier New" w:cs="Courier New" w:eastAsia="Courier New" w:hAnsi="Courier New"/>
          <w:sz w:val="16"/>
          <w:szCs w:val="16"/>
          <w:color w:val="auto"/>
        </w:rPr>
      </w:pPr>
    </w:p>
    <w:p>
      <w:pPr>
        <w:jc w:val="both"/>
        <w:ind w:right="2659" w:firstLine="201"/>
        <w:spacing w:after="0" w:line="292" w:lineRule="auto"/>
        <w:tabs>
          <w:tab w:leader="none" w:pos="597"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Trustees may only reduce the Excepted Holder Limit for an Excepted Holder: (1) with the written consent of such Excepted Holder at any time, or (2) pursuant to the terms and conditions of the</w:t>
      </w:r>
    </w:p>
    <w:p>
      <w:pPr>
        <w:spacing w:after="0" w:line="6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660" w:right="1440" w:bottom="1440" w:gutter="0" w:footer="0" w:header="0"/>
        </w:sectPr>
      </w:pPr>
    </w:p>
    <w:bookmarkStart w:id="53" w:name="page54"/>
    <w:bookmarkEnd w:id="53"/>
    <w:p>
      <w:pPr>
        <w:ind w:right="2859"/>
        <w:spacing w:after="0" w:line="274" w:lineRule="auto"/>
        <w:rPr>
          <w:sz w:val="20"/>
          <w:szCs w:val="20"/>
          <w:color w:val="auto"/>
        </w:rPr>
      </w:pPr>
      <w:r>
        <w:rPr>
          <w:rFonts w:ascii="Courier New" w:cs="Courier New" w:eastAsia="Courier New" w:hAnsi="Courier New"/>
          <w:sz w:val="17"/>
          <w:szCs w:val="17"/>
          <w:color w:val="auto"/>
        </w:rPr>
        <w:t>agreements and undertakings entered into with such Excepted Holder in connection with the establishment of the Excepted Holder Limit for that Excepted Holder. No Excepted Holder Limit shall be reduced to a percentage that is less than the Common Share Ownership Limit.</w:t>
      </w:r>
    </w:p>
    <w:p>
      <w:pPr>
        <w:spacing w:after="0" w:line="77" w:lineRule="exact"/>
        <w:rPr>
          <w:sz w:val="20"/>
          <w:szCs w:val="20"/>
          <w:color w:val="auto"/>
        </w:rPr>
      </w:pPr>
    </w:p>
    <w:p>
      <w:pPr>
        <w:ind w:right="2859" w:firstLine="199"/>
        <w:spacing w:after="0" w:line="318" w:lineRule="auto"/>
        <w:rPr>
          <w:sz w:val="20"/>
          <w:szCs w:val="20"/>
          <w:color w:val="auto"/>
        </w:rPr>
      </w:pPr>
      <w:r>
        <w:rPr>
          <w:rFonts w:ascii="Courier New" w:cs="Courier New" w:eastAsia="Courier New" w:hAnsi="Courier New"/>
          <w:sz w:val="16"/>
          <w:szCs w:val="16"/>
          <w:color w:val="auto"/>
        </w:rPr>
        <w:t>Section 7.2.8 Increase in Aggregate Share Ownership and Common Share Ownership Limits. The Board of Trustees may from time to time increase the Common Share Ownership Limit and the Aggregate Share Ownership Limit.</w:t>
      </w:r>
    </w:p>
    <w:p>
      <w:pPr>
        <w:spacing w:after="0" w:line="45" w:lineRule="exact"/>
        <w:rPr>
          <w:sz w:val="20"/>
          <w:szCs w:val="20"/>
          <w:color w:val="auto"/>
        </w:rPr>
      </w:pPr>
    </w:p>
    <w:p>
      <w:pPr>
        <w:jc w:val="both"/>
        <w:ind w:right="2759" w:firstLine="199"/>
        <w:spacing w:after="0" w:line="292" w:lineRule="auto"/>
        <w:rPr>
          <w:sz w:val="20"/>
          <w:szCs w:val="20"/>
          <w:color w:val="auto"/>
        </w:rPr>
      </w:pPr>
      <w:r>
        <w:rPr>
          <w:rFonts w:ascii="Courier New" w:cs="Courier New" w:eastAsia="Courier New" w:hAnsi="Courier New"/>
          <w:sz w:val="17"/>
          <w:szCs w:val="17"/>
          <w:color w:val="auto"/>
        </w:rPr>
        <w:t>Section 7.2.9 Legend. Each certificate for Equity Shares issued after the effective date of this Declaration as accepted for record by the SDAT shall bear substantially the following legend:</w:t>
      </w:r>
    </w:p>
    <w:p>
      <w:pPr>
        <w:spacing w:after="0" w:line="62" w:lineRule="exact"/>
        <w:rPr>
          <w:sz w:val="20"/>
          <w:szCs w:val="20"/>
          <w:color w:val="auto"/>
        </w:rPr>
      </w:pPr>
    </w:p>
    <w:p>
      <w:pPr>
        <w:ind w:left="200" w:right="2559"/>
        <w:spacing w:after="0" w:line="257" w:lineRule="auto"/>
        <w:rPr>
          <w:sz w:val="20"/>
          <w:szCs w:val="20"/>
          <w:color w:val="auto"/>
        </w:rPr>
      </w:pPr>
      <w:r>
        <w:rPr>
          <w:rFonts w:ascii="Courier New" w:cs="Courier New" w:eastAsia="Courier New" w:hAnsi="Courier New"/>
          <w:sz w:val="16"/>
          <w:szCs w:val="16"/>
          <w:color w:val="auto"/>
        </w:rPr>
        <w:t>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 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 (ii) 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 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w:t>
      </w:r>
    </w:p>
    <w:p>
      <w:pPr>
        <w:spacing w:after="0" w:line="100" w:lineRule="exact"/>
        <w:rPr>
          <w:sz w:val="20"/>
          <w:szCs w:val="20"/>
          <w:color w:val="auto"/>
        </w:rPr>
      </w:pPr>
    </w:p>
    <w:p>
      <w:pPr>
        <w:ind w:right="2459" w:firstLine="199"/>
        <w:spacing w:after="0" w:line="292" w:lineRule="auto"/>
        <w:rPr>
          <w:sz w:val="20"/>
          <w:szCs w:val="20"/>
          <w:color w:val="auto"/>
        </w:rPr>
      </w:pPr>
      <w:r>
        <w:rPr>
          <w:rFonts w:ascii="Courier New" w:cs="Courier New" w:eastAsia="Courier New" w:hAnsi="Courier New"/>
          <w:sz w:val="17"/>
          <w:szCs w:val="17"/>
          <w:color w:val="auto"/>
        </w:rPr>
        <w:t>Instead of the foregoing legend, the certificate may state that the Trust will furnish a full statement about certain restrictions on transferability to a shareholder on request and without charge.</w:t>
      </w:r>
    </w:p>
    <w:p>
      <w:pPr>
        <w:spacing w:after="0" w:line="6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7.3 Transfer of Equity Shares in Trust.</w:t>
      </w:r>
    </w:p>
    <w:p>
      <w:pPr>
        <w:spacing w:after="0" w:line="190" w:lineRule="exact"/>
        <w:rPr>
          <w:sz w:val="20"/>
          <w:szCs w:val="20"/>
          <w:color w:val="auto"/>
        </w:rPr>
      </w:pPr>
    </w:p>
    <w:p>
      <w:pPr>
        <w:ind w:right="2459" w:firstLine="199"/>
        <w:spacing w:after="0" w:line="249" w:lineRule="auto"/>
        <w:rPr>
          <w:sz w:val="20"/>
          <w:szCs w:val="20"/>
          <w:color w:val="auto"/>
        </w:rPr>
      </w:pPr>
      <w:r>
        <w:rPr>
          <w:rFonts w:ascii="Courier New" w:cs="Courier New" w:eastAsia="Courier New" w:hAnsi="Courier New"/>
          <w:sz w:val="17"/>
          <w:szCs w:val="17"/>
          <w:color w:val="auto"/>
        </w:rPr>
        <w:t>Section 7.3.1 Ownership in Trust. Upon any purported Transfer or other event described in Section 7.2.1(b) that would result in a transfer of Equity Shares to a Charitable Trust, such Equity Shares shall be deemed to have been transferred to the Trustee as trustee of a Charitable Trust for the exclusive benefit of one or more Charitable Beneficiaries. Such transfer to the Trustee shall be deemed to be effective as of the close of business on the Business Day prior to the purported Transfer or other event that results in the transfer to the Charitable Trust pursuant to Section 7.2.1(b). The Trustee shall be appointed by the Trust and shall be a Person unaffiliated with the Trust and any Prohibited Owner. Each Charitable Beneficiary shall be designated by the Trust as provided in Section 7.3.6.</w:t>
      </w:r>
    </w:p>
    <w:p>
      <w:pPr>
        <w:spacing w:after="0" w:line="97" w:lineRule="exact"/>
        <w:rPr>
          <w:sz w:val="20"/>
          <w:szCs w:val="20"/>
          <w:color w:val="auto"/>
        </w:rPr>
      </w:pPr>
    </w:p>
    <w:p>
      <w:pPr>
        <w:ind w:right="2659" w:firstLine="199"/>
        <w:spacing w:after="0" w:line="275" w:lineRule="auto"/>
        <w:rPr>
          <w:sz w:val="20"/>
          <w:szCs w:val="20"/>
          <w:color w:val="auto"/>
        </w:rPr>
      </w:pPr>
      <w:r>
        <w:rPr>
          <w:rFonts w:ascii="Courier New" w:cs="Courier New" w:eastAsia="Courier New" w:hAnsi="Courier New"/>
          <w:sz w:val="16"/>
          <w:szCs w:val="16"/>
          <w:color w:val="auto"/>
        </w:rPr>
        <w:t>Section 7.3.2 Status of Shares Held by the Trustee. Equity Shares held by the Trustee shall be issued and outstanding Equity Shares of the Trust.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Charitable Trust.</w:t>
      </w:r>
    </w:p>
    <w:p>
      <w:pPr>
        <w:spacing w:after="0" w:line="7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A-17</w:t>
      </w:r>
    </w:p>
    <w:p>
      <w:pPr>
        <w:sectPr>
          <w:pgSz w:w="11900" w:h="16838" w:orient="portrait"/>
          <w:cols w:equalWidth="0" w:num="1">
            <w:col w:w="10219"/>
          </w:cols>
          <w:pgMar w:left="240" w:top="660" w:right="1440" w:bottom="1440" w:gutter="0" w:footer="0" w:header="0"/>
        </w:sectPr>
      </w:pPr>
    </w:p>
    <w:bookmarkStart w:id="54" w:name="page55"/>
    <w:bookmarkEnd w:id="54"/>
    <w:p>
      <w:pPr>
        <w:ind w:right="2559" w:firstLine="199"/>
        <w:spacing w:after="0" w:line="258" w:lineRule="auto"/>
        <w:rPr>
          <w:sz w:val="20"/>
          <w:szCs w:val="20"/>
          <w:color w:val="auto"/>
        </w:rPr>
      </w:pPr>
      <w:r>
        <w:rPr>
          <w:rFonts w:ascii="Courier New" w:cs="Courier New" w:eastAsia="Courier New" w:hAnsi="Courier New"/>
          <w:sz w:val="16"/>
          <w:szCs w:val="16"/>
          <w:color w:val="auto"/>
        </w:rPr>
        <w:t>Section 7.3.3 Dividend and Voting Rights. The Trustee shall have all voting rights and rights to dividends or other distributions with respect to Equity Shares held in the Charitable Trust, which rights shall be exercised for the exclusive benefit of the Charitable Beneficiary. Any dividend or other distribution paid prior to the discovery by the Trust that Equity Shares have been transferred to the Trustee shall be paid with respect to such Equity Shares to the Trustee upon demand and any dividend or other distribution authorized but unpaid shall be paid when due to the Trustee. Any dividends or distributions so paid over to the Trustee shall be held in trust for the Charitable Beneficiary. The Prohibited Owner shall have no voting rights with respect to shares held in the Charitable Trust and, subject to Maryland law, effective as of the date that Equity Shares have been transferred to the Trustee, the Trustee shall have the authority (at the Trustee's sole discretion) (i) to rescind as void any vote cast by a Prohibited Owner prior to the discovery by the Trust that Equity Shares have been transferred to the Trustee and (ii) to recast such vote in accordance with the desires of the Trustee acting for the benefit of the Charitable Beneficiary; provided, however, that if the Trust has already taken irreversible trust action, then the Trustee shall not have the authority to rescind and recast such vote. Notwithstanding the provisions of this Article VII, until the Trust has received notification that Equity Shares have been transferred into a Charitable Trust, the Trust shall be entitled to rely on its share transfer and other shareholder records for purposes of preparing lists of shareholders entitled to vote at meetings, determining the validity and authority of proxies and otherwise conducting votes of shareholders.</w:t>
      </w:r>
    </w:p>
    <w:p>
      <w:pPr>
        <w:spacing w:after="0" w:line="101" w:lineRule="exact"/>
        <w:rPr>
          <w:sz w:val="20"/>
          <w:szCs w:val="20"/>
          <w:color w:val="auto"/>
        </w:rPr>
      </w:pPr>
    </w:p>
    <w:p>
      <w:pPr>
        <w:ind w:right="2559" w:firstLine="199"/>
        <w:spacing w:after="0" w:line="261" w:lineRule="auto"/>
        <w:rPr>
          <w:sz w:val="20"/>
          <w:szCs w:val="20"/>
          <w:color w:val="auto"/>
        </w:rPr>
      </w:pPr>
      <w:r>
        <w:rPr>
          <w:rFonts w:ascii="Courier New" w:cs="Courier New" w:eastAsia="Courier New" w:hAnsi="Courier New"/>
          <w:sz w:val="16"/>
          <w:szCs w:val="16"/>
          <w:color w:val="auto"/>
        </w:rPr>
        <w:t>Section 7.3.4 Sale of Shares by Trustee. Within 20 days of receiving notice from the Trust that Equity Shares have been transferred to the Charitable Trust, the Trustee of the Charitable Trust shall sell the shares held in the Charitable Trust to a person, designated by the Trustee, whose ownership of the shares will not violate the ownership limitations set forth in Section</w:t>
      </w:r>
    </w:p>
    <w:p>
      <w:pPr>
        <w:spacing w:after="0" w:line="1" w:lineRule="exact"/>
        <w:rPr>
          <w:sz w:val="20"/>
          <w:szCs w:val="20"/>
          <w:color w:val="auto"/>
        </w:rPr>
      </w:pPr>
    </w:p>
    <w:p>
      <w:pPr>
        <w:ind w:right="2459"/>
        <w:spacing w:after="0" w:line="258" w:lineRule="auto"/>
        <w:rPr>
          <w:sz w:val="20"/>
          <w:szCs w:val="20"/>
          <w:color w:val="auto"/>
        </w:rPr>
      </w:pPr>
      <w:r>
        <w:rPr>
          <w:rFonts w:ascii="Courier New" w:cs="Courier New" w:eastAsia="Courier New" w:hAnsi="Courier New"/>
          <w:sz w:val="16"/>
          <w:szCs w:val="16"/>
          <w:color w:val="auto"/>
        </w:rPr>
        <w:t>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(1) the price paid by the Prohibited Owner for the shares or, if the Prohibited Owner did not give value for the shares in connection with the event causing the shares to be held in the Charitable Trust (e.g., in the case of a gift, devise or other such transaction), the Market Price of the shares on the day of the event causing the shares to be held in the Charitable Trust and (2) the price per share received by the Trustee from the sale or other disposition of the shares held in the Charitable Trust. Any net sales proceeds in excess of the amount payable to the Prohibited Owner shall be immediately paid to the Charitable Beneficiary. If, prior to the discovery by the Trust that Equity Shares have been transferred to the Trustee, such shares are sold by a Prohibited Owner, then (i) such shares shall be deemed to have been sold on behalf of the Charitable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93" w:lineRule="exact"/>
        <w:rPr>
          <w:sz w:val="20"/>
          <w:szCs w:val="20"/>
          <w:color w:val="auto"/>
        </w:rPr>
      </w:pPr>
    </w:p>
    <w:p>
      <w:pPr>
        <w:ind w:right="2459" w:firstLine="199"/>
        <w:spacing w:after="0" w:line="266" w:lineRule="auto"/>
        <w:rPr>
          <w:sz w:val="20"/>
          <w:szCs w:val="20"/>
          <w:color w:val="auto"/>
        </w:rPr>
      </w:pPr>
      <w:r>
        <w:rPr>
          <w:rFonts w:ascii="Courier New" w:cs="Courier New" w:eastAsia="Courier New" w:hAnsi="Courier New"/>
          <w:sz w:val="16"/>
          <w:szCs w:val="16"/>
          <w:color w:val="auto"/>
        </w:rPr>
        <w:t>Section 7.3.5 Purchase Right in Shares Transferred to the Trustee. Equity Shares transferred to the Trustee shall be deemed to have been offered for sale to the Trust, or its designee, at a price per share equal to the lesser of (i) the price per share in the transaction that resulted in such transfer to the Charitable Trust (or, in the case of a devise or gift, the Market Price at the time of such devise or gift) and (ii) the Market Price on the date the Trust, or its designee, accepts such offer. The Trust shall have the right to accept such offer until the Trustee has sold the shares held in the Charitable Trust pursuant to Section 7.3.4. Upon such a sale to the Trust, the interest of the Charitable Beneficiary in the shares sold shall terminate and the Trustee shall distribute the net proceeds of the sale to the Prohibited Owner.</w:t>
      </w:r>
    </w:p>
    <w:p>
      <w:pPr>
        <w:spacing w:after="0" w:line="85" w:lineRule="exact"/>
        <w:rPr>
          <w:sz w:val="20"/>
          <w:szCs w:val="20"/>
          <w:color w:val="auto"/>
        </w:rPr>
      </w:pPr>
    </w:p>
    <w:p>
      <w:pPr>
        <w:ind w:right="2559" w:firstLine="199"/>
        <w:spacing w:after="0" w:line="251" w:lineRule="auto"/>
        <w:rPr>
          <w:sz w:val="20"/>
          <w:szCs w:val="20"/>
          <w:color w:val="auto"/>
        </w:rPr>
      </w:pPr>
      <w:r>
        <w:rPr>
          <w:rFonts w:ascii="Courier New" w:cs="Courier New" w:eastAsia="Courier New" w:hAnsi="Courier New"/>
          <w:sz w:val="17"/>
          <w:szCs w:val="17"/>
          <w:color w:val="auto"/>
        </w:rPr>
        <w:t>Section 7.3.6 Designation of Charitable Beneficiaries. By written notice to the Trustee, the Trust shall designate one or more nonprofit organizations to be the Charitable Beneficiary of the interest in the Charitable Trust such that (i) Equity Shares held in the Charitable Trust would not violate the restrictions set forth in Section 7.2.1(a)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100" w:lineRule="exact"/>
        <w:rPr>
          <w:sz w:val="20"/>
          <w:szCs w:val="20"/>
          <w:color w:val="auto"/>
        </w:rPr>
      </w:pPr>
    </w:p>
    <w:p>
      <w:pPr>
        <w:jc w:val="both"/>
        <w:ind w:right="2659" w:firstLine="199"/>
        <w:spacing w:after="0" w:line="318" w:lineRule="auto"/>
        <w:rPr>
          <w:sz w:val="20"/>
          <w:szCs w:val="20"/>
          <w:color w:val="auto"/>
        </w:rPr>
      </w:pPr>
      <w:r>
        <w:rPr>
          <w:rFonts w:ascii="Courier New" w:cs="Courier New" w:eastAsia="Courier New" w:hAnsi="Courier New"/>
          <w:sz w:val="16"/>
          <w:szCs w:val="16"/>
          <w:color w:val="auto"/>
        </w:rPr>
        <w:t>Section 7.4 NYSE Transactions. Nothing in this Article VII shall preclude the settlement of any transaction entered into through the facilities of the NYSE or any other national securities exchange or automated inter-</w:t>
      </w:r>
    </w:p>
    <w:p>
      <w:pPr>
        <w:spacing w:after="0" w:line="4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10219"/>
          </w:cols>
          <w:pgMar w:left="240" w:top="660" w:right="1440" w:bottom="695" w:gutter="0" w:footer="0" w:header="0"/>
        </w:sectPr>
      </w:pPr>
    </w:p>
    <w:bookmarkStart w:id="55" w:name="page56"/>
    <w:bookmarkEnd w:id="55"/>
    <w:p>
      <w:pPr>
        <w:ind w:right="2559"/>
        <w:spacing w:after="0" w:line="274" w:lineRule="auto"/>
        <w:rPr>
          <w:sz w:val="20"/>
          <w:szCs w:val="20"/>
          <w:color w:val="auto"/>
        </w:rPr>
      </w:pPr>
      <w:r>
        <w:rPr>
          <w:rFonts w:ascii="Courier New" w:cs="Courier New" w:eastAsia="Courier New" w:hAnsi="Courier New"/>
          <w:sz w:val="17"/>
          <w:szCs w:val="17"/>
          <w:color w:val="auto"/>
        </w:rPr>
        <w:t>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77" w:lineRule="exact"/>
        <w:rPr>
          <w:sz w:val="20"/>
          <w:szCs w:val="20"/>
          <w:color w:val="auto"/>
        </w:rPr>
      </w:pPr>
    </w:p>
    <w:p>
      <w:pPr>
        <w:ind w:right="2759" w:firstLine="199"/>
        <w:spacing w:after="0" w:line="292" w:lineRule="auto"/>
        <w:rPr>
          <w:sz w:val="20"/>
          <w:szCs w:val="20"/>
          <w:color w:val="auto"/>
        </w:rPr>
      </w:pPr>
      <w:r>
        <w:rPr>
          <w:rFonts w:ascii="Courier New" w:cs="Courier New" w:eastAsia="Courier New" w:hAnsi="Courier New"/>
          <w:sz w:val="17"/>
          <w:szCs w:val="17"/>
          <w:color w:val="auto"/>
        </w:rPr>
        <w:t>Section 7.5 Enforcement. The Trust is authorized specifically to seek equitable relief, including injunctive relief, to enforce the provisions of this Article VII.</w:t>
      </w:r>
    </w:p>
    <w:p>
      <w:pPr>
        <w:spacing w:after="0" w:line="62" w:lineRule="exact"/>
        <w:rPr>
          <w:sz w:val="20"/>
          <w:szCs w:val="20"/>
          <w:color w:val="auto"/>
        </w:rPr>
      </w:pPr>
    </w:p>
    <w:p>
      <w:pPr>
        <w:jc w:val="both"/>
        <w:ind w:right="2459" w:firstLine="199"/>
        <w:spacing w:after="0" w:line="274" w:lineRule="auto"/>
        <w:rPr>
          <w:sz w:val="20"/>
          <w:szCs w:val="20"/>
          <w:color w:val="auto"/>
        </w:rPr>
      </w:pPr>
      <w:r>
        <w:rPr>
          <w:rFonts w:ascii="Courier New" w:cs="Courier New" w:eastAsia="Courier New" w:hAnsi="Courier New"/>
          <w:sz w:val="17"/>
          <w:szCs w:val="17"/>
          <w:color w:val="auto"/>
        </w:rPr>
        <w:t>Section 7.6 Non-Waiver. No delay or failure on the part of the Trust or the Board of Trustees in exercising any right hereunder shall operate as a waiver of any right of the Trust or the Board of Trustees, as the case may be, except to the extent specifically waived in writing.</w:t>
      </w:r>
    </w:p>
    <w:p>
      <w:pPr>
        <w:spacing w:after="0" w:line="77"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ARTICLE VIII</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SHAREHOLDERS</w:t>
      </w:r>
    </w:p>
    <w:p>
      <w:pPr>
        <w:spacing w:after="0" w:line="190" w:lineRule="exact"/>
        <w:rPr>
          <w:sz w:val="20"/>
          <w:szCs w:val="20"/>
          <w:color w:val="auto"/>
        </w:rPr>
      </w:pPr>
    </w:p>
    <w:p>
      <w:pPr>
        <w:ind w:right="2559" w:firstLine="199"/>
        <w:spacing w:after="0" w:line="249" w:lineRule="auto"/>
        <w:rPr>
          <w:sz w:val="20"/>
          <w:szCs w:val="20"/>
          <w:color w:val="auto"/>
        </w:rPr>
      </w:pPr>
      <w:r>
        <w:rPr>
          <w:rFonts w:ascii="Courier New" w:cs="Courier New" w:eastAsia="Courier New" w:hAnsi="Courier New"/>
          <w:sz w:val="17"/>
          <w:szCs w:val="17"/>
          <w:color w:val="auto"/>
        </w:rPr>
        <w:t>Section 8.1 Meetings. There shall be an annual meeting of the shareholders, to be held on proper notice at such time (after the delivery of the annual report) and convenient location as shall be determined by or in the manner prescribed in the Bylaws, for the election of the Trustees, if required, and for the transaction of any other business within the powers of the Trust. Except as otherwise provided in the Declaration of Trust, special meetings of shareholders may be called in the manner provided in the Bylaws. If there are no Trustees, the officers of the Trust shall promptly call a special meeting of the shareholders entitled to vote for the election of successor Trustees. Any meeting may be adjourned and reconvened as the Trustees determine or as provided in the Bylaws.</w:t>
      </w:r>
    </w:p>
    <w:p>
      <w:pPr>
        <w:spacing w:after="0" w:line="97" w:lineRule="exact"/>
        <w:rPr>
          <w:sz w:val="20"/>
          <w:szCs w:val="20"/>
          <w:color w:val="auto"/>
        </w:rPr>
      </w:pPr>
    </w:p>
    <w:p>
      <w:pPr>
        <w:ind w:right="2459" w:firstLine="199"/>
        <w:spacing w:after="0" w:line="264" w:lineRule="auto"/>
        <w:rPr>
          <w:sz w:val="20"/>
          <w:szCs w:val="20"/>
          <w:color w:val="auto"/>
        </w:rPr>
      </w:pPr>
      <w:r>
        <w:rPr>
          <w:rFonts w:ascii="Courier New" w:cs="Courier New" w:eastAsia="Courier New" w:hAnsi="Courier New"/>
          <w:sz w:val="16"/>
          <w:szCs w:val="16"/>
          <w:color w:val="auto"/>
        </w:rPr>
        <w:t>Section 8.2 Voting Rights. Subject to the provisions of any class or series of Shares then outstanding, the shareholders shall be entitled to vote only on the following matters: (a) election of Trustees as provided in Section 5.2 and the removal of Trustees as provided in Section 5.3; (b) amendment of the Declaration of Trust as provided in Article X; (c) termination of the Trust as provided in Section 12.2; (d) to the extent required by Title 8, merger or consolidation of the Trust, or the sale or disposition of substantially all of the property of the Trust, as provided in Article XI; and (e) such other matters with respect to which the Board of Trustees has adopted a resolution declaring that a proposed action is advisable and directing that the matter be submitted to the shareholders for approval or ratification. Except with respect to the foregoing matters, no action taken by the shareholders at any meeting shall in any way bind the Board of Trustees.</w:t>
      </w:r>
    </w:p>
    <w:p>
      <w:pPr>
        <w:spacing w:after="0" w:line="86" w:lineRule="exact"/>
        <w:rPr>
          <w:sz w:val="20"/>
          <w:szCs w:val="20"/>
          <w:color w:val="auto"/>
        </w:rPr>
      </w:pPr>
    </w:p>
    <w:p>
      <w:pPr>
        <w:ind w:right="2659" w:firstLine="199"/>
        <w:spacing w:after="0" w:line="271" w:lineRule="auto"/>
        <w:rPr>
          <w:sz w:val="20"/>
          <w:szCs w:val="20"/>
          <w:color w:val="auto"/>
        </w:rPr>
      </w:pPr>
      <w:r>
        <w:rPr>
          <w:rFonts w:ascii="Courier New" w:cs="Courier New" w:eastAsia="Courier New" w:hAnsi="Courier New"/>
          <w:sz w:val="16"/>
          <w:szCs w:val="16"/>
          <w:color w:val="auto"/>
        </w:rPr>
        <w:t>Section 8.3 Preemptive and Appraisal Rights. Except as may be provided by the Board of Trustees in setting the terms of classified or reclassified Shares pursuant to Section 6.5, or as may otherwise be provided by contract, no holder of Shares shall, as such holder, (a) have any preemptive right to purchase or subscribe for any additional Shares of the Trust or any other security of the Trust which it may issue or sell or (b), except as expressly required by Title 8, have any right to require the Trust to pay him the fair value of his Shares in an appraisal or similar proceeding.</w:t>
      </w:r>
    </w:p>
    <w:p>
      <w:pPr>
        <w:spacing w:after="0" w:line="84"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Section 8.4 Extraordinary Actions. Except as specifically provided in Section 5.3 (relating to removal of Trustees) and in Section 10.3, notwithstanding any provision of law permitting or requiring any action to be taken or authorized by the affirmative vote of the holders of a greater number of votes, any such action shall be effective and valid if taken or approved by the affirmative vote of holders of Shares entitled to cast a majority of all the votes entitled to be cast on the matter.</w:t>
      </w:r>
    </w:p>
    <w:p>
      <w:pPr>
        <w:spacing w:after="0" w:line="92" w:lineRule="exact"/>
        <w:rPr>
          <w:sz w:val="20"/>
          <w:szCs w:val="20"/>
          <w:color w:val="auto"/>
        </w:rPr>
      </w:pPr>
    </w:p>
    <w:p>
      <w:pPr>
        <w:ind w:right="2459" w:firstLine="199"/>
        <w:spacing w:after="0" w:line="379" w:lineRule="auto"/>
        <w:rPr>
          <w:sz w:val="20"/>
          <w:szCs w:val="20"/>
          <w:color w:val="auto"/>
        </w:rPr>
      </w:pPr>
      <w:r>
        <w:rPr>
          <w:rFonts w:ascii="Courier New" w:cs="Courier New" w:eastAsia="Courier New" w:hAnsi="Courier New"/>
          <w:sz w:val="16"/>
          <w:szCs w:val="16"/>
          <w:color w:val="auto"/>
        </w:rPr>
        <w:t>Section 8.5 Board Approval. The submission of any action to the shareholders for their consideration shall first be approved by the Board of Trustees.</w:t>
      </w:r>
    </w:p>
    <w:p>
      <w:pPr>
        <w:spacing w:after="0" w:line="1"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Section 8.6 Action By Shareholders without a Meeting.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8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10219"/>
          </w:cols>
          <w:pgMar w:left="240" w:top="660" w:right="1440" w:bottom="1440" w:gutter="0" w:footer="0" w:header="0"/>
        </w:sectPr>
      </w:pPr>
    </w:p>
    <w:bookmarkStart w:id="56" w:name="page57"/>
    <w:bookmarkEnd w:id="56"/>
    <w:p>
      <w:pPr>
        <w:jc w:val="center"/>
        <w:ind w:right="2459"/>
        <w:spacing w:after="0"/>
        <w:rPr>
          <w:sz w:val="20"/>
          <w:szCs w:val="20"/>
          <w:color w:val="auto"/>
        </w:rPr>
      </w:pPr>
      <w:r>
        <w:rPr>
          <w:rFonts w:ascii="Courier New" w:cs="Courier New" w:eastAsia="Courier New" w:hAnsi="Courier New"/>
          <w:sz w:val="17"/>
          <w:szCs w:val="17"/>
          <w:color w:val="auto"/>
        </w:rPr>
        <w:t>ARTICLE IX</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LIABILITY LIMITATION, INDEMNIFICATION</w:t>
      </w:r>
    </w:p>
    <w:p>
      <w:pPr>
        <w:spacing w:after="0" w:line="2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AND TRANSACTIONS WITH THE TRUST</w:t>
      </w:r>
    </w:p>
    <w:p>
      <w:pPr>
        <w:spacing w:after="0" w:line="160"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7"/>
          <w:szCs w:val="17"/>
          <w:color w:val="auto"/>
        </w:rPr>
        <w:t>Section 9.1 Limitation of Shareholder Liability. No shareholder shall be liable for any debt, claim, demand, judgment or obligation of any kind of, against or with respect to the Trust by reason of his being a shareholder, nor shall any shareholder be subject to any personal liability whatsoever, in tort, contract or otherwise, to any person in connection with the property or the affairs of the Trust by reason of his being a shareholder.</w:t>
      </w:r>
    </w:p>
    <w:p>
      <w:pPr>
        <w:spacing w:after="0" w:line="87" w:lineRule="exact"/>
        <w:rPr>
          <w:sz w:val="20"/>
          <w:szCs w:val="20"/>
          <w:color w:val="auto"/>
        </w:rPr>
      </w:pPr>
    </w:p>
    <w:p>
      <w:pPr>
        <w:ind w:right="2459" w:firstLine="199"/>
        <w:spacing w:after="0" w:line="243" w:lineRule="auto"/>
        <w:rPr>
          <w:sz w:val="20"/>
          <w:szCs w:val="20"/>
          <w:color w:val="auto"/>
        </w:rPr>
      </w:pPr>
      <w:r>
        <w:rPr>
          <w:rFonts w:ascii="Courier New" w:cs="Courier New" w:eastAsia="Courier New" w:hAnsi="Courier New"/>
          <w:sz w:val="17"/>
          <w:szCs w:val="17"/>
          <w:color w:val="auto"/>
        </w:rPr>
        <w:t>Section 9.2 Limitation of Trustee and Officer Liability. To the maximum extent that Maryland law in effect from time to time permits limitation of the liability of trustees and officers of a real estate investment trust, no Trustee or officer of the Trust shall be liable to the Trust or to any shareholder for money damages. Neither the amendment nor repeal of this Section 9.2, nor the adoption or amendment of any other provision of the Declaration of Trust inconsistent with this Section 9.2, shall apply to or affect in any respect the applicability of the preceding sentence with respect to any act or failure to act which occurred prior to such amendment, repeal or adoption. In the absence of any Maryland statute limiting the liability of trustees and officers of a Maryland real estate investment trust for money damages in a suit by or on behalf of the Trust or by any shareholder, no Trustee or officer of the Trust shall be liable to the Trust or to any shareholder for money damages except to the extent that (a) the Trustee or officer actually received an improper benefit or profit in money, property or services, for the amount of the benefit or profit in money, property or services actually received; or (b) a judgment or other final adjudication adverse to the Trustee or officer is entered in a proceeding based on a finding in the proceeding that the Trustee's or officer's action or failure to act was the result of active and deliberate dishonesty and was material to the cause of action adjudicated in the proceeding.</w:t>
      </w:r>
    </w:p>
    <w:p>
      <w:pPr>
        <w:spacing w:after="0" w:line="113" w:lineRule="exact"/>
        <w:rPr>
          <w:sz w:val="20"/>
          <w:szCs w:val="20"/>
          <w:color w:val="auto"/>
        </w:rPr>
      </w:pPr>
    </w:p>
    <w:p>
      <w:pPr>
        <w:ind w:right="2459" w:firstLine="199"/>
        <w:spacing w:after="0" w:line="262" w:lineRule="auto"/>
        <w:rPr>
          <w:sz w:val="20"/>
          <w:szCs w:val="20"/>
          <w:color w:val="auto"/>
        </w:rPr>
      </w:pPr>
      <w:r>
        <w:rPr>
          <w:rFonts w:ascii="Courier New" w:cs="Courier New" w:eastAsia="Courier New" w:hAnsi="Courier New"/>
          <w:sz w:val="16"/>
          <w:szCs w:val="16"/>
          <w:color w:val="auto"/>
        </w:rPr>
        <w:t>Section 9.3 Indemnification. The Trust shall have the power, to the maximum extent permitted by Maryland law in effect from time to time, to obligate itself to indemnify, and to pay or reimburse reasonable expenses in advance of final disposition of a proceeding to, (a) any individual who is a present or former shareholder, Trustee or officer of the Trust or (b) any individual who, while a Trustee of the Trust and at the request of the Trust, serves or has served as a director, officer, partner, trustee, employee or agent of another real estate investment trust, corporation, partnership, joint venture, trust, employee benefit plan or any other enterprise from and against any claim or liability to which such person may become subject or which such person may incur by reason of such status. The Trust shall have the power, with the approval of its Board of Trustees, to provide such indemnification and advancement of expenses to a person who served a predecessor of the Trust in any of the capacities described in (a) or (b) above and to any employee or agent of the Trust or a predecessor of the Trust.</w:t>
      </w:r>
    </w:p>
    <w:p>
      <w:pPr>
        <w:spacing w:after="0" w:line="92" w:lineRule="exact"/>
        <w:rPr>
          <w:sz w:val="20"/>
          <w:szCs w:val="20"/>
          <w:color w:val="auto"/>
        </w:rPr>
      </w:pPr>
    </w:p>
    <w:p>
      <w:pPr>
        <w:ind w:right="2459" w:firstLine="199"/>
        <w:spacing w:after="0" w:line="275" w:lineRule="auto"/>
        <w:rPr>
          <w:sz w:val="20"/>
          <w:szCs w:val="20"/>
          <w:color w:val="auto"/>
        </w:rPr>
      </w:pPr>
      <w:r>
        <w:rPr>
          <w:rFonts w:ascii="Courier New" w:cs="Courier New" w:eastAsia="Courier New" w:hAnsi="Courier New"/>
          <w:sz w:val="16"/>
          <w:szCs w:val="16"/>
          <w:color w:val="auto"/>
        </w:rPr>
        <w:t>Section 9.4 Transactions Between the Trust and its Trustees, Officers, Employees and Agents. Subject to any express restrictions in the Declaration of Trust or adopted by the Trustees in the Bylaws or by resolution,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7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X</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AMENDMENTS</w:t>
      </w:r>
    </w:p>
    <w:p>
      <w:pPr>
        <w:spacing w:after="0" w:line="190" w:lineRule="exact"/>
        <w:rPr>
          <w:sz w:val="20"/>
          <w:szCs w:val="20"/>
          <w:color w:val="auto"/>
        </w:rPr>
      </w:pPr>
    </w:p>
    <w:p>
      <w:pPr>
        <w:ind w:right="2459" w:firstLine="199"/>
        <w:spacing w:after="0" w:line="264" w:lineRule="auto"/>
        <w:rPr>
          <w:sz w:val="20"/>
          <w:szCs w:val="20"/>
          <w:color w:val="auto"/>
        </w:rPr>
      </w:pPr>
      <w:r>
        <w:rPr>
          <w:rFonts w:ascii="Courier New" w:cs="Courier New" w:eastAsia="Courier New" w:hAnsi="Courier New"/>
          <w:sz w:val="16"/>
          <w:szCs w:val="16"/>
          <w:color w:val="auto"/>
        </w:rPr>
        <w:t>Section 10.1 General. The Trust reserves the right from time to time to make any amendment to the Declaration of Trust, now or hereafter authorized by law, including any amendment altering the terms or contract rights, as expressly set forth in the Declaration of Trust, of any Shares. All rights and powers conferred by the Declaration of Trust on shareholders, Trustees and officers are granted subject to this reservation. An amendment to the Declaration of Trust (a) shall be signed and acknowledged by at least a majority of the Trustees, or an officer duly authorized by at least a majority of the Trustees, (b) shall be filed for record as provided in Section 13.5 and (c) shall become effective as of the later of the time the SDAT accepts the amendment for record or the time established in the amendment, not to exceed 30 days after the amendment is accepted for record. All references to the Declaration of Trust shall include all amendments thereto.</w:t>
      </w:r>
    </w:p>
    <w:p>
      <w:pPr>
        <w:spacing w:after="0" w:line="8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A-20</w:t>
      </w:r>
    </w:p>
    <w:p>
      <w:pPr>
        <w:sectPr>
          <w:pgSz w:w="11900" w:h="16838" w:orient="portrait"/>
          <w:cols w:equalWidth="0" w:num="1">
            <w:col w:w="10219"/>
          </w:cols>
          <w:pgMar w:left="240" w:top="660" w:right="1440" w:bottom="886" w:gutter="0" w:footer="0" w:header="0"/>
        </w:sectPr>
      </w:pPr>
    </w:p>
    <w:bookmarkStart w:id="57" w:name="page58"/>
    <w:bookmarkEnd w:id="57"/>
    <w:p>
      <w:pPr>
        <w:ind w:right="2559" w:firstLine="199"/>
        <w:spacing w:after="0" w:line="296" w:lineRule="auto"/>
        <w:rPr>
          <w:sz w:val="20"/>
          <w:szCs w:val="20"/>
          <w:color w:val="auto"/>
        </w:rPr>
      </w:pPr>
      <w:r>
        <w:rPr>
          <w:rFonts w:ascii="Courier New" w:cs="Courier New" w:eastAsia="Courier New" w:hAnsi="Courier New"/>
          <w:sz w:val="16"/>
          <w:szCs w:val="16"/>
          <w:color w:val="auto"/>
        </w:rPr>
        <w:t>Section 10.2 By Trustees. The Trustees may amend the Declaration of Trust from time to time, in the manner provided by Title 8, without any action by the shareholders, to qualify as a real estate investment trust under the Code or under Title 8 and as otherwise provided in the Declaration of Trust.</w:t>
      </w:r>
    </w:p>
    <w:p>
      <w:pPr>
        <w:spacing w:after="0" w:line="6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10.3 By Shareholders.</w:t>
      </w:r>
    </w:p>
    <w:p>
      <w:pPr>
        <w:spacing w:after="0" w:line="190" w:lineRule="exact"/>
        <w:rPr>
          <w:sz w:val="20"/>
          <w:szCs w:val="20"/>
          <w:color w:val="auto"/>
        </w:rPr>
      </w:pPr>
    </w:p>
    <w:p>
      <w:pPr>
        <w:ind w:right="2459" w:firstLine="201"/>
        <w:spacing w:after="0" w:line="274" w:lineRule="auto"/>
        <w:tabs>
          <w:tab w:leader="none" w:pos="597"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in the Declaration of Trust and in subsection (b) of this Section 10.3, any amendment to the Declaration of Trust shall be valid only if approved by the affirmative vote of two-thirds of all votes entitled to be cast on the matter.</w:t>
      </w:r>
    </w:p>
    <w:p>
      <w:pPr>
        <w:spacing w:after="0" w:line="76" w:lineRule="exact"/>
        <w:rPr>
          <w:rFonts w:ascii="Courier New" w:cs="Courier New" w:eastAsia="Courier New" w:hAnsi="Courier New"/>
          <w:sz w:val="17"/>
          <w:szCs w:val="17"/>
          <w:color w:val="auto"/>
        </w:rPr>
      </w:pPr>
    </w:p>
    <w:p>
      <w:pPr>
        <w:ind w:right="2459" w:firstLine="201"/>
        <w:spacing w:after="0" w:line="292" w:lineRule="auto"/>
        <w:tabs>
          <w:tab w:leader="none" w:pos="597"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 to the Declaration of Trust which has been unanimously approved by the Board of Trustees shall require only the affirmative vote of a majority of all votes entitled to be cast on the matter.</w:t>
      </w:r>
    </w:p>
    <w:p>
      <w:pPr>
        <w:spacing w:after="0" w:line="6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ARTICLE XI</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MERGER, CONSOLIDATION OR SALE OF TRUST PROPERTY</w:t>
      </w:r>
    </w:p>
    <w:p>
      <w:pPr>
        <w:spacing w:after="0" w:line="190"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7"/>
          <w:szCs w:val="17"/>
          <w:color w:val="auto"/>
        </w:rPr>
        <w:t>Subject to the provisions of any class or series of Shares at the time outstanding, the Trust may (a) merge the Trust with or into another entity or merge another entity into the Trust, (b) consolidate the Trust with one or more other entities into a new entity or (c) sell, lease, exchange or otherwise transfer all or substantially all of the property of the Trust. Any such action must be approved by the Board of Trustees and, after notice to all shareholders entitled to vote on the matter, by the affirmative vote of two-thirds of all the votes entitled to be cast on the matter.</w:t>
      </w:r>
    </w:p>
    <w:p>
      <w:pPr>
        <w:spacing w:after="0" w:line="9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XII</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DURATION AND TERMINATION OF TRUST</w:t>
      </w:r>
    </w:p>
    <w:p>
      <w:pPr>
        <w:spacing w:after="0" w:line="190" w:lineRule="exact"/>
        <w:rPr>
          <w:sz w:val="20"/>
          <w:szCs w:val="20"/>
          <w:color w:val="auto"/>
        </w:rPr>
      </w:pPr>
    </w:p>
    <w:p>
      <w:pPr>
        <w:ind w:right="2459" w:firstLine="199"/>
        <w:spacing w:after="0" w:line="292" w:lineRule="auto"/>
        <w:rPr>
          <w:sz w:val="20"/>
          <w:szCs w:val="20"/>
          <w:color w:val="auto"/>
        </w:rPr>
      </w:pPr>
      <w:r>
        <w:rPr>
          <w:rFonts w:ascii="Courier New" w:cs="Courier New" w:eastAsia="Courier New" w:hAnsi="Courier New"/>
          <w:sz w:val="17"/>
          <w:szCs w:val="17"/>
          <w:color w:val="auto"/>
        </w:rPr>
        <w:t>Section 12.1 Duration. The Trust shall continue perpetually unless terminated pursuant to Section 12.2 or pursuant to any applicable provision of Title 8.</w:t>
      </w:r>
    </w:p>
    <w:p>
      <w:pPr>
        <w:spacing w:after="0" w:line="6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12.2 Termination.</w:t>
      </w:r>
    </w:p>
    <w:p>
      <w:pPr>
        <w:spacing w:after="0" w:line="190" w:lineRule="exact"/>
        <w:rPr>
          <w:sz w:val="20"/>
          <w:szCs w:val="20"/>
          <w:color w:val="auto"/>
        </w:rPr>
      </w:pPr>
    </w:p>
    <w:p>
      <w:pPr>
        <w:ind w:right="2459" w:firstLine="201"/>
        <w:spacing w:after="0" w:line="265" w:lineRule="auto"/>
        <w:tabs>
          <w:tab w:leader="none" w:pos="597"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provisions of any class or series of Shares at the time outstanding, after approval by a majority of the entire Board of Trustees, the Trust may be terminated at any meeting of shareholders, by the affirmative vote of two-thirds of all the votes entitled to be cast on the matter. Upon the termination of the Trust:</w:t>
      </w:r>
    </w:p>
    <w:p>
      <w:pPr>
        <w:spacing w:after="0" w:line="84" w:lineRule="exact"/>
        <w:rPr>
          <w:sz w:val="20"/>
          <w:szCs w:val="20"/>
          <w:color w:val="auto"/>
        </w:rPr>
      </w:pPr>
    </w:p>
    <w:p>
      <w:pPr>
        <w:ind w:right="2659" w:firstLine="201"/>
        <w:spacing w:after="0" w:line="347" w:lineRule="auto"/>
        <w:tabs>
          <w:tab w:leader="none" w:pos="597"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shall carry on no business except for the purpose of winding up its affairs.</w:t>
      </w:r>
    </w:p>
    <w:p>
      <w:pPr>
        <w:spacing w:after="0" w:line="16" w:lineRule="exact"/>
        <w:rPr>
          <w:rFonts w:ascii="Courier New" w:cs="Courier New" w:eastAsia="Courier New" w:hAnsi="Courier New"/>
          <w:sz w:val="17"/>
          <w:szCs w:val="17"/>
          <w:color w:val="auto"/>
        </w:rPr>
      </w:pPr>
    </w:p>
    <w:p>
      <w:pPr>
        <w:ind w:right="2559" w:firstLine="201"/>
        <w:spacing w:after="0" w:line="271" w:lineRule="auto"/>
        <w:tabs>
          <w:tab w:leader="none" w:pos="696"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Trustees shall proceed to wind up the affairs of the Trust and all of the powers of the Trustees under the Declaration of Trust shall continue, including the powers to fulfill or discharge the Trust's contracts, collect its assets, sell, convey, assign, exchange, transfer or otherwise dispose of all or any part of the remaining property of the Trust to one or more persons at public or private sale for consideration which may consist in whole or in part of cash, securities or other property of any kind, discharge or pay its liabilities and do all other acts appropriate to liquidate its business.</w:t>
      </w:r>
    </w:p>
    <w:p>
      <w:pPr>
        <w:spacing w:after="0" w:line="83" w:lineRule="exact"/>
        <w:rPr>
          <w:rFonts w:ascii="Courier New" w:cs="Courier New" w:eastAsia="Courier New" w:hAnsi="Courier New"/>
          <w:sz w:val="16"/>
          <w:szCs w:val="16"/>
          <w:color w:val="auto"/>
        </w:rPr>
      </w:pPr>
    </w:p>
    <w:p>
      <w:pPr>
        <w:ind w:right="2459" w:firstLine="201"/>
        <w:spacing w:after="0" w:line="269" w:lineRule="auto"/>
        <w:tabs>
          <w:tab w:leader="none" w:pos="796"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paying or adequately providing for the payment of all liabilities, and upon receipt of such releases, indemnities and agreements as they deem necessary for their protection, the Trust may distribute the remaining property of the Trust among the shareholders so that after payment in full or the setting apart for payment of such preferential amounts, if any, to which the holders of any Shares at the time outstanding shall be entitled, the remaining property of the Trust shall, subject to any participating or similar rights of Shares at the time outstanding, be distributed ratably among the holders of Common Shares at the time outstanding.</w:t>
      </w:r>
    </w:p>
    <w:p>
      <w:pPr>
        <w:spacing w:after="0" w:line="84" w:lineRule="exact"/>
        <w:rPr>
          <w:sz w:val="20"/>
          <w:szCs w:val="20"/>
          <w:color w:val="auto"/>
        </w:rPr>
      </w:pPr>
    </w:p>
    <w:p>
      <w:pPr>
        <w:ind w:right="2459" w:firstLine="201"/>
        <w:spacing w:after="0" w:line="260" w:lineRule="auto"/>
        <w:tabs>
          <w:tab w:leader="none" w:pos="597"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termination of the Trust, the liquidation of its business and the distribution to the shareholders as herein provided, a majority of the Trustees shall execute and file with the Trust's records a document certifying that the Trust has been duly terminated, and the Trustees shall be discharged from all liabilities and duties hereunder, and the rights and interests of all shareholders shall cease.</w:t>
      </w:r>
    </w:p>
    <w:p>
      <w:pPr>
        <w:spacing w:after="0" w:line="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A-21</w:t>
      </w:r>
    </w:p>
    <w:p>
      <w:pPr>
        <w:sectPr>
          <w:pgSz w:w="11900" w:h="16838" w:orient="portrait"/>
          <w:cols w:equalWidth="0" w:num="1">
            <w:col w:w="10219"/>
          </w:cols>
          <w:pgMar w:left="240" w:top="660" w:right="1440" w:bottom="1440" w:gutter="0" w:footer="0" w:header="0"/>
        </w:sectPr>
      </w:pPr>
    </w:p>
    <w:bookmarkStart w:id="58" w:name="page59"/>
    <w:bookmarkEnd w:id="58"/>
    <w:p>
      <w:pPr>
        <w:ind w:left="3280"/>
        <w:spacing w:after="0"/>
        <w:rPr>
          <w:sz w:val="20"/>
          <w:szCs w:val="20"/>
          <w:color w:val="auto"/>
        </w:rPr>
      </w:pPr>
      <w:r>
        <w:rPr>
          <w:rFonts w:ascii="Courier New" w:cs="Courier New" w:eastAsia="Courier New" w:hAnsi="Courier New"/>
          <w:sz w:val="17"/>
          <w:szCs w:val="17"/>
          <w:color w:val="auto"/>
        </w:rPr>
        <w:t>ARTICLE XIII</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MISCELLANEOUS</w:t>
      </w:r>
    </w:p>
    <w:p>
      <w:pPr>
        <w:spacing w:after="0" w:line="190"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7"/>
          <w:szCs w:val="17"/>
          <w:color w:val="auto"/>
        </w:rPr>
        <w:t>Section 13.1 Governing Law. The Declaration of Trust is executed by the undersigned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87" w:lineRule="exact"/>
        <w:rPr>
          <w:sz w:val="20"/>
          <w:szCs w:val="20"/>
          <w:color w:val="auto"/>
        </w:rPr>
      </w:pPr>
    </w:p>
    <w:p>
      <w:pPr>
        <w:ind w:right="2459" w:firstLine="199"/>
        <w:spacing w:after="0" w:line="246" w:lineRule="auto"/>
        <w:rPr>
          <w:sz w:val="20"/>
          <w:szCs w:val="20"/>
          <w:color w:val="auto"/>
        </w:rPr>
      </w:pPr>
      <w:r>
        <w:rPr>
          <w:rFonts w:ascii="Courier New" w:cs="Courier New" w:eastAsia="Courier New" w:hAnsi="Courier New"/>
          <w:sz w:val="17"/>
          <w:szCs w:val="17"/>
          <w:color w:val="auto"/>
        </w:rPr>
        <w:t>Section 13.2 Reliance by Third Parties. Any certificate shall be final and conclusive as to any person dealing with the Trust if executed by the Secretary or an Assistant Secretary of the Trust, or any executive officer of the Trust, or a Trustee, and if certifying to: (a) the number or identity of Trustees, officers of the Trust or shareholders; (b) the due authorization of the execution of any document; (c) the action or vote taken, and the existence of a quorum, at a meeting of the Board of Trustees or shareholders; (d) a copy of the Declaration of Trust or of the Bylaws as a true and complete copy as then in force; (e) an amendment to the Declaration of Trust; (f) the termination of the Trust; or (g) the existence of any fact relating to the affairs of the Trust. No purchaser, lender, transfer agent or other person shall be bound to make any inquiry concerning the validity of any transaction purporting to be made by the Trust on its behalf or by any officer, employee or agent of the Trust.</w:t>
      </w:r>
    </w:p>
    <w:p>
      <w:pPr>
        <w:spacing w:after="0" w:line="10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13.3 Severability.</w:t>
      </w:r>
    </w:p>
    <w:p>
      <w:pPr>
        <w:spacing w:after="0" w:line="190" w:lineRule="exact"/>
        <w:rPr>
          <w:sz w:val="20"/>
          <w:szCs w:val="20"/>
          <w:color w:val="auto"/>
        </w:rPr>
      </w:pPr>
    </w:p>
    <w:p>
      <w:pPr>
        <w:ind w:right="2459" w:firstLine="201"/>
        <w:spacing w:after="0" w:line="247" w:lineRule="auto"/>
        <w:tabs>
          <w:tab w:leader="none" w:pos="597"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the Declaration of Trust are severable, and if the Board of Trustees shall determine, with the advice of counsel, that any one or more of such provisions (the "Conflicting Provisions") are in conflict with the Code, Title 8 or other applicable federal or state laws, the Conflicting Provisions, to the extent of the conflict, shall be deemed never to have constituted a part of the Declaration of Trust, even without any amendment of the Declaration of Trust pursuant to Article X and without affecting or impairing any of the remaining provisions of the Declaration of Trust or rendering invalid or improper any action taken or omitted prior to such determination. No Trustee shall be liable for making or failing to make such a determination. In the event of any such determination by the Board of Trustees, the Board shall amend the Declaration of Trust in the manner provided in Section 10.2.</w:t>
      </w:r>
    </w:p>
    <w:p>
      <w:pPr>
        <w:spacing w:after="0" w:line="100" w:lineRule="exact"/>
        <w:rPr>
          <w:rFonts w:ascii="Courier New" w:cs="Courier New" w:eastAsia="Courier New" w:hAnsi="Courier New"/>
          <w:sz w:val="17"/>
          <w:szCs w:val="17"/>
          <w:color w:val="auto"/>
        </w:rPr>
      </w:pPr>
    </w:p>
    <w:p>
      <w:pPr>
        <w:ind w:right="2459" w:firstLine="201"/>
        <w:spacing w:after="0" w:line="260" w:lineRule="auto"/>
        <w:tabs>
          <w:tab w:leader="none" w:pos="597"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provision of the Declaration of Trust shall be held invalid or unenforceable in any jurisdiction, such holding shall apply only to the extent of any such invalidity or unenforceability and shall not in any manner affect, impair or render invalid or unenforceable such provision in any other jurisdiction or any other provision of the Declaration of Trust in any jurisdiction.</w:t>
      </w:r>
    </w:p>
    <w:p>
      <w:pPr>
        <w:spacing w:after="0" w:line="87" w:lineRule="exact"/>
        <w:rPr>
          <w:sz w:val="20"/>
          <w:szCs w:val="20"/>
          <w:color w:val="auto"/>
        </w:rPr>
      </w:pPr>
    </w:p>
    <w:p>
      <w:pPr>
        <w:ind w:right="2459" w:firstLine="199"/>
        <w:spacing w:after="0" w:line="246" w:lineRule="auto"/>
        <w:rPr>
          <w:sz w:val="20"/>
          <w:szCs w:val="20"/>
          <w:color w:val="auto"/>
        </w:rPr>
      </w:pPr>
      <w:r>
        <w:rPr>
          <w:rFonts w:ascii="Courier New" w:cs="Courier New" w:eastAsia="Courier New" w:hAnsi="Courier New"/>
          <w:sz w:val="17"/>
          <w:szCs w:val="17"/>
          <w:color w:val="auto"/>
        </w:rPr>
        <w:t>Section 13.4 Construction. In the Declaration of Trust, unless the context otherwise requires, words used in the singular or in the plural include both the plural and singular and words denoting any gender include all genders. The title and headings of different parts are inserted for convenience and shall not affect the meaning, construction or effect of the Declaration of Trust. In defining or interpreting the powers and duties of the Trust and its Trustees and officers, reference may be made by the Trustees or officers, to the extent appropriate and not inconsistent with the Code or Title 8, to Titles 1 through 3 of the Corporations and Associations Article of the Annotated Code of Maryland. In furtherance and not in limitation of the foregoing, in accordance with the provisions of Title 3, Subtitles 6 and 7, of the Corporations and Associations Article of the Annotated Code of Maryland, the Trust shall be included within the definition of "corporation" for purposes of such provisions.</w:t>
      </w:r>
    </w:p>
    <w:p>
      <w:pPr>
        <w:spacing w:after="0" w:line="105" w:lineRule="exact"/>
        <w:rPr>
          <w:sz w:val="20"/>
          <w:szCs w:val="20"/>
          <w:color w:val="auto"/>
        </w:rPr>
      </w:pPr>
    </w:p>
    <w:p>
      <w:pPr>
        <w:ind w:right="2459" w:firstLine="199"/>
        <w:spacing w:after="0" w:line="261" w:lineRule="auto"/>
        <w:rPr>
          <w:sz w:val="20"/>
          <w:szCs w:val="20"/>
          <w:color w:val="auto"/>
        </w:rPr>
      </w:pPr>
      <w:r>
        <w:rPr>
          <w:rFonts w:ascii="Courier New" w:cs="Courier New" w:eastAsia="Courier New" w:hAnsi="Courier New"/>
          <w:sz w:val="16"/>
          <w:szCs w:val="16"/>
          <w:color w:val="auto"/>
        </w:rPr>
        <w:t>Section 13.5 Recordation. The Trust was formerly governed by the laws of the District of Columbia pursuant to a declaration of trust first made May 25, 1962, filed in the office of, and recorded by, the Recorder of Deeds, Washington, D.C., as subsequently amended. This Declaration of Trust has been filed with and accepted for record by the SDAT whereupon the Trust, as formerly existing as a common law business trust under the laws of the District of Columbia, shall cease to be governed by the laws of the District of Columbia and shall thereupon be subject to Title 8. Any amendment hereto shall be filed with and accepted for record with the SDAT and may also be filed or recorded in such other places as the Trustees deem appropriate, but failure to file for record this Declaration of Trust or any amendment hereto in any office other than the office of the SDAT shall not affect or impair the validity or effectiveness of the Declaration of Trust or any amendment hereto. A restated declaration of trust shall, upon filing, be conclusive evidence of all amendments contained therein and may thereafter be referred to in lieu of the original Declaration of Trust and the various amendments thereto.</w:t>
      </w:r>
    </w:p>
    <w:p>
      <w:pPr>
        <w:spacing w:after="0" w:line="28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A-22</w:t>
      </w:r>
    </w:p>
    <w:p>
      <w:pPr>
        <w:sectPr>
          <w:pgSz w:w="11900" w:h="16838" w:orient="portrait"/>
          <w:cols w:equalWidth="0" w:num="1">
            <w:col w:w="10219"/>
          </w:cols>
          <w:pgMar w:left="240" w:top="660" w:right="1440" w:bottom="0" w:gutter="0" w:footer="0" w:header="0"/>
        </w:sectPr>
      </w:pPr>
    </w:p>
    <w:bookmarkStart w:id="59" w:name="page60"/>
    <w:bookmarkEnd w:id="59"/>
    <w:p>
      <w:pPr>
        <w:ind w:right="2459" w:firstLine="199"/>
        <w:spacing w:after="0" w:line="257" w:lineRule="auto"/>
        <w:rPr>
          <w:sz w:val="20"/>
          <w:szCs w:val="20"/>
          <w:color w:val="auto"/>
        </w:rPr>
      </w:pPr>
      <w:r>
        <w:rPr>
          <w:rFonts w:ascii="Courier New" w:cs="Courier New" w:eastAsia="Courier New" w:hAnsi="Courier New"/>
          <w:sz w:val="16"/>
          <w:szCs w:val="16"/>
          <w:color w:val="auto"/>
        </w:rPr>
        <w:t>Section 13.6 Shares, Share Certificates and Rights. All issued and outstanding Common Shares of beneficial interest, no par value, of the Trust, as existing as a common law business trust under the laws of the District of Columbia immediately prior to the acceptance for record of this Declaration of Trust by the SDAT, shall upon the acceptance for record of this Declaration of Trust by the SDAT, without further action, be reclassified and continue to exist as Common Shares (as herein defined) of the Trust as existing under Title 8 and the laws of Maryland; and all issued and outstanding Series A Cumulative Redeemable Preferred Shares of beneficial interest, no par value, of the Trust, as existing as a common law business trust under the laws of the District of Columbia immediately prior to the acceptance for record of this Declaration of Trust by the SDAT, shall upon acceptance for record of this Declaration of Trust by the SDAT, and without further action, be reclassified and continue to exist as Series A Preferred Shares (as herein defined) of the Trust as existing under Title 8 and the laws of the State of Maryland. Certificates for Common Shares of beneficial interest, and certificates for Series A Cumulative Redeemable Preferred Shares of beneficial interest, respectively, each no par value, of the Trust as existing as a common law business trust under the laws of the District of Columbia immediately prior to the acceptance for record of this Declaration of Trust by the SDAT, shall, upon acceptance for record of this Declaration of Trust by the SDAT, and thereafter, represent Common Shares and Series A Preferred Shares of the Trust as existing under Title 8 and the laws of the State of Maryland. All options, rights, warrants to purchase or subscribe for Common Shares of beneficial interest, no par value, of the Trust, as existing as a common law business trust under the laws of the District of Columbia immediately prior to the filing of this Declaration of Trust with the SDAT, shall upon acceptance for record of this Declaration of Trust by the SDAT, without any further action, entitle the holders thereof to purchase or subscribe for a like number of Common Shares of the Trust as existing under Title 8 and the laws of the State of Maryland, on the same terms.</w:t>
      </w:r>
    </w:p>
    <w:p>
      <w:pPr>
        <w:spacing w:after="0" w:line="297" w:lineRule="exact"/>
        <w:rPr>
          <w:sz w:val="20"/>
          <w:szCs w:val="20"/>
          <w:color w:val="auto"/>
        </w:rPr>
      </w:pPr>
    </w:p>
    <w:p>
      <w:pPr>
        <w:ind w:right="2659" w:firstLine="199"/>
        <w:spacing w:after="0" w:line="285" w:lineRule="auto"/>
        <w:rPr>
          <w:sz w:val="20"/>
          <w:szCs w:val="20"/>
          <w:color w:val="auto"/>
        </w:rPr>
      </w:pPr>
      <w:r>
        <w:rPr>
          <w:rFonts w:ascii="Courier New" w:cs="Courier New" w:eastAsia="Courier New" w:hAnsi="Courier New"/>
          <w:sz w:val="16"/>
          <w:szCs w:val="16"/>
          <w:color w:val="auto"/>
        </w:rPr>
        <w:t>This Declaration of Trust is executed by the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7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this Declaration of Trust has been executed on this</w:t>
      </w:r>
    </w:p>
    <w:p>
      <w:pPr>
        <w:spacing w:after="0" w:line="29" w:lineRule="exact"/>
        <w:rPr>
          <w:sz w:val="20"/>
          <w:szCs w:val="20"/>
          <w:color w:val="auto"/>
        </w:rPr>
      </w:pPr>
    </w:p>
    <w:p>
      <w:pPr>
        <w:ind w:right="2659"/>
        <w:spacing w:after="0" w:line="283" w:lineRule="auto"/>
        <w:rPr>
          <w:sz w:val="20"/>
          <w:szCs w:val="20"/>
          <w:color w:val="auto"/>
        </w:rPr>
      </w:pPr>
      <w:r>
        <w:rPr>
          <w:rFonts w:ascii="Courier New" w:cs="Courier New" w:eastAsia="Courier New" w:hAnsi="Courier New"/>
          <w:sz w:val="16"/>
          <w:szCs w:val="16"/>
          <w:color w:val="auto"/>
        </w:rPr>
        <w:t>day of , 1999 by the undersigned Trustees, who acknowledge that this document is their act, that to the best of their knowledge, information, and belief, the matters and facts set forth herein are true in all material respects and that this statement is made under the penalties for perjury.</w:t>
      </w:r>
    </w:p>
    <w:p>
      <w:pPr>
        <w:spacing w:after="0" w:line="7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3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A-23</w:t>
      </w:r>
    </w:p>
    <w:p>
      <w:pPr>
        <w:sectPr>
          <w:pgSz w:w="11900" w:h="16838" w:orient="portrait"/>
          <w:cols w:equalWidth="0" w:num="1">
            <w:col w:w="10219"/>
          </w:cols>
          <w:pgMar w:left="240" w:top="851" w:right="1440" w:bottom="1440" w:gutter="0" w:footer="0" w:header="0"/>
        </w:sectPr>
      </w:pPr>
    </w:p>
    <w:bookmarkStart w:id="60" w:name="page61"/>
    <w:bookmarkEnd w:id="60"/>
    <w:p>
      <w:pPr>
        <w:jc w:val="right"/>
        <w:ind w:right="2359"/>
        <w:spacing w:after="0"/>
        <w:rPr>
          <w:sz w:val="20"/>
          <w:szCs w:val="20"/>
          <w:color w:val="auto"/>
        </w:rPr>
      </w:pPr>
      <w:r>
        <w:rPr>
          <w:rFonts w:ascii="Courier New" w:cs="Courier New" w:eastAsia="Courier New" w:hAnsi="Courier New"/>
          <w:sz w:val="17"/>
          <w:szCs w:val="17"/>
          <w:color w:val="auto"/>
        </w:rPr>
        <w:t>APPENDIX B</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BYLAWS</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I</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OFFICES</w:t>
      </w:r>
    </w:p>
    <w:p>
      <w:pPr>
        <w:spacing w:after="0" w:line="190" w:lineRule="exact"/>
        <w:rPr>
          <w:sz w:val="20"/>
          <w:szCs w:val="20"/>
          <w:color w:val="auto"/>
        </w:rPr>
      </w:pPr>
    </w:p>
    <w:p>
      <w:pPr>
        <w:ind w:right="2959" w:firstLine="199"/>
        <w:spacing w:after="0" w:line="347" w:lineRule="auto"/>
        <w:rPr>
          <w:sz w:val="20"/>
          <w:szCs w:val="20"/>
          <w:color w:val="auto"/>
        </w:rPr>
      </w:pPr>
      <w:r>
        <w:rPr>
          <w:rFonts w:ascii="Courier New" w:cs="Courier New" w:eastAsia="Courier New" w:hAnsi="Courier New"/>
          <w:sz w:val="17"/>
          <w:szCs w:val="17"/>
          <w:color w:val="auto"/>
        </w:rPr>
        <w:t>Section 1. PRINCIPAL OFFICE. The principal office of the Trust shall be located at such place or places as the Trustees may designate.</w:t>
      </w:r>
    </w:p>
    <w:p>
      <w:pPr>
        <w:spacing w:after="0" w:line="17" w:lineRule="exact"/>
        <w:rPr>
          <w:sz w:val="20"/>
          <w:szCs w:val="20"/>
          <w:color w:val="auto"/>
        </w:rPr>
      </w:pPr>
    </w:p>
    <w:p>
      <w:pPr>
        <w:ind w:right="2459" w:firstLine="199"/>
        <w:spacing w:after="0" w:line="292" w:lineRule="auto"/>
        <w:rPr>
          <w:sz w:val="20"/>
          <w:szCs w:val="20"/>
          <w:color w:val="auto"/>
        </w:rPr>
      </w:pPr>
      <w:r>
        <w:rPr>
          <w:rFonts w:ascii="Courier New" w:cs="Courier New" w:eastAsia="Courier New" w:hAnsi="Courier New"/>
          <w:sz w:val="17"/>
          <w:szCs w:val="17"/>
          <w:color w:val="auto"/>
        </w:rPr>
        <w:t>Section 2. ADDITIONAL OFFICES. The Trust may have additional offices at such places as the Board of Trustees may from time to time determine or the business of the Trust may require.</w:t>
      </w:r>
    </w:p>
    <w:p>
      <w:pPr>
        <w:spacing w:after="0" w:line="6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ARTICLE II</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MEETINGS OF SHAREHOLDERS</w:t>
      </w:r>
    </w:p>
    <w:p>
      <w:pPr>
        <w:spacing w:after="0" w:line="190" w:lineRule="exact"/>
        <w:rPr>
          <w:sz w:val="20"/>
          <w:szCs w:val="20"/>
          <w:color w:val="auto"/>
        </w:rPr>
      </w:pPr>
    </w:p>
    <w:p>
      <w:pPr>
        <w:ind w:right="2959" w:firstLine="199"/>
        <w:spacing w:after="0" w:line="292" w:lineRule="auto"/>
        <w:rPr>
          <w:sz w:val="20"/>
          <w:szCs w:val="20"/>
          <w:color w:val="auto"/>
        </w:rPr>
      </w:pPr>
      <w:r>
        <w:rPr>
          <w:rFonts w:ascii="Courier New" w:cs="Courier New" w:eastAsia="Courier New" w:hAnsi="Courier New"/>
          <w:sz w:val="17"/>
          <w:szCs w:val="17"/>
          <w:color w:val="auto"/>
        </w:rPr>
        <w:t>Section 1. PLACE. All meetings of shareholders shall be held at the principal executive office of the Trust or at such other place within the United States as shall be stated in the notice of the meeting.</w:t>
      </w:r>
    </w:p>
    <w:p>
      <w:pPr>
        <w:spacing w:after="0" w:line="62"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7"/>
          <w:szCs w:val="17"/>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97" w:lineRule="exact"/>
        <w:rPr>
          <w:sz w:val="20"/>
          <w:szCs w:val="20"/>
          <w:color w:val="auto"/>
        </w:rPr>
      </w:pPr>
    </w:p>
    <w:p>
      <w:pPr>
        <w:ind w:right="2559" w:firstLine="199"/>
        <w:spacing w:after="0" w:line="263" w:lineRule="auto"/>
        <w:rPr>
          <w:sz w:val="20"/>
          <w:szCs w:val="20"/>
          <w:color w:val="auto"/>
        </w:rPr>
      </w:pPr>
      <w:r>
        <w:rPr>
          <w:rFonts w:ascii="Courier New" w:cs="Courier New" w:eastAsia="Courier New" w:hAnsi="Courier New"/>
          <w:sz w:val="16"/>
          <w:szCs w:val="16"/>
          <w:color w:val="auto"/>
        </w:rPr>
        <w:t>Section 3. SPECIAL MEETINGS.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88" w:lineRule="exact"/>
        <w:rPr>
          <w:sz w:val="20"/>
          <w:szCs w:val="20"/>
          <w:color w:val="auto"/>
        </w:rPr>
      </w:pPr>
    </w:p>
    <w:p>
      <w:pPr>
        <w:ind w:right="2459" w:firstLine="199"/>
        <w:spacing w:after="0" w:line="266" w:lineRule="auto"/>
        <w:rPr>
          <w:sz w:val="20"/>
          <w:szCs w:val="20"/>
          <w:color w:val="auto"/>
        </w:rPr>
      </w:pPr>
      <w:r>
        <w:rPr>
          <w:rFonts w:ascii="Courier New" w:cs="Courier New" w:eastAsia="Courier New" w:hAnsi="Courier New"/>
          <w:sz w:val="16"/>
          <w:szCs w:val="16"/>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85"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84" w:lineRule="exact"/>
        <w:rPr>
          <w:sz w:val="20"/>
          <w:szCs w:val="20"/>
          <w:color w:val="auto"/>
        </w:rPr>
      </w:pPr>
    </w:p>
    <w:p>
      <w:pPr>
        <w:ind w:right="2559" w:firstLine="199"/>
        <w:spacing w:after="0" w:line="292" w:lineRule="auto"/>
        <w:rPr>
          <w:sz w:val="20"/>
          <w:szCs w:val="20"/>
          <w:color w:val="auto"/>
        </w:rPr>
      </w:pPr>
      <w:r>
        <w:rPr>
          <w:rFonts w:ascii="Courier New" w:cs="Courier New" w:eastAsia="Courier New" w:hAnsi="Courier New"/>
          <w:sz w:val="17"/>
          <w:szCs w:val="17"/>
          <w:color w:val="auto"/>
        </w:rPr>
        <w:t>Section 6. ORGANIZATION. At every meeting of the shareholders, the Chief Executive Officer, if there be one, shall conduct the meeting or, in the case of vacancy in office or absence of the Chief Executive Officer, one</w:t>
      </w:r>
    </w:p>
    <w:p>
      <w:pPr>
        <w:spacing w:after="0" w:line="6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660" w:right="1440" w:bottom="1440" w:gutter="0" w:footer="0" w:header="0"/>
        </w:sectPr>
      </w:pPr>
    </w:p>
    <w:bookmarkStart w:id="61" w:name="page62"/>
    <w:bookmarkEnd w:id="61"/>
    <w:p>
      <w:pPr>
        <w:ind w:right="2459"/>
        <w:spacing w:after="0" w:line="253" w:lineRule="auto"/>
        <w:rPr>
          <w:sz w:val="20"/>
          <w:szCs w:val="20"/>
          <w:color w:val="auto"/>
        </w:rPr>
      </w:pPr>
      <w:r>
        <w:rPr>
          <w:rFonts w:ascii="Courier New" w:cs="Courier New" w:eastAsia="Courier New" w:hAnsi="Courier New"/>
          <w:sz w:val="17"/>
          <w:szCs w:val="17"/>
          <w:color w:val="auto"/>
        </w:rPr>
        <w:t>of the following officers present shall conduct the meeting in the order stated: the President, the Executive Officers (as defined in Article V, Section 6) in their order of rank and seniority, or a Chairman chosen by the shareholders entitled to cast a majority of the votes which all shareholders present in person or by proxy are entitled to cast, shall act as Chairman, and the Secretary, or, in his absence, an assistant secretary, or in the absence of both the Secretary and assistant secretaries, a person appointed by the Chief Executive Officer shall act as Secretary.</w:t>
      </w:r>
    </w:p>
    <w:p>
      <w:pPr>
        <w:spacing w:after="0" w:line="97" w:lineRule="exact"/>
        <w:rPr>
          <w:sz w:val="20"/>
          <w:szCs w:val="20"/>
          <w:color w:val="auto"/>
        </w:rPr>
      </w:pPr>
    </w:p>
    <w:p>
      <w:pPr>
        <w:ind w:right="2459" w:firstLine="199"/>
        <w:spacing w:after="0" w:line="249" w:lineRule="auto"/>
        <w:rPr>
          <w:sz w:val="20"/>
          <w:szCs w:val="20"/>
          <w:color w:val="auto"/>
        </w:rPr>
      </w:pPr>
      <w:r>
        <w:rPr>
          <w:rFonts w:ascii="Courier New" w:cs="Courier New" w:eastAsia="Courier New" w:hAnsi="Courier New"/>
          <w:sz w:val="17"/>
          <w:szCs w:val="17"/>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97" w:lineRule="exact"/>
        <w:rPr>
          <w:sz w:val="20"/>
          <w:szCs w:val="20"/>
          <w:color w:val="auto"/>
        </w:rPr>
      </w:pPr>
    </w:p>
    <w:p>
      <w:pPr>
        <w:ind w:right="2459" w:firstLine="199"/>
        <w:spacing w:after="0" w:line="266" w:lineRule="auto"/>
        <w:rPr>
          <w:sz w:val="20"/>
          <w:szCs w:val="20"/>
          <w:color w:val="auto"/>
        </w:rPr>
      </w:pPr>
      <w:r>
        <w:rPr>
          <w:rFonts w:ascii="Courier New" w:cs="Courier New" w:eastAsia="Courier New" w:hAnsi="Courier New"/>
          <w:sz w:val="16"/>
          <w:szCs w:val="16"/>
          <w:color w:val="auto"/>
        </w:rPr>
        <w:t>Section 8. VOTING.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85" w:lineRule="exact"/>
        <w:rPr>
          <w:sz w:val="20"/>
          <w:szCs w:val="20"/>
          <w:color w:val="auto"/>
        </w:rPr>
      </w:pPr>
    </w:p>
    <w:p>
      <w:pPr>
        <w:jc w:val="both"/>
        <w:ind w:right="2459" w:firstLine="199"/>
        <w:spacing w:after="0" w:line="260" w:lineRule="auto"/>
        <w:rPr>
          <w:sz w:val="20"/>
          <w:szCs w:val="20"/>
          <w:color w:val="auto"/>
        </w:rPr>
      </w:pPr>
      <w:r>
        <w:rPr>
          <w:rFonts w:ascii="Courier New" w:cs="Courier New" w:eastAsia="Courier New" w:hAnsi="Courier New"/>
          <w:sz w:val="17"/>
          <w:szCs w:val="17"/>
          <w:color w:val="auto"/>
        </w:rPr>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87" w:lineRule="exact"/>
        <w:rPr>
          <w:sz w:val="20"/>
          <w:szCs w:val="20"/>
          <w:color w:val="auto"/>
        </w:rPr>
      </w:pPr>
    </w:p>
    <w:p>
      <w:pPr>
        <w:ind w:right="2559" w:firstLine="199"/>
        <w:spacing w:after="0" w:line="249" w:lineRule="auto"/>
        <w:rPr>
          <w:sz w:val="20"/>
          <w:szCs w:val="20"/>
          <w:color w:val="auto"/>
        </w:rPr>
      </w:pPr>
      <w:r>
        <w:rPr>
          <w:rFonts w:ascii="Courier New" w:cs="Courier New" w:eastAsia="Courier New" w:hAnsi="Courier New"/>
          <w:sz w:val="17"/>
          <w:szCs w:val="17"/>
          <w:color w:val="auto"/>
        </w:rPr>
        <w:t>Section 10. VOTING OF SHARES BY CERTAIN HOLDERS. Shares of the Trust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presents a certified copy of such bylaw, resolution or agreement, in which case such person may vote such shares. Any trustee or other fiduciary may vote shares registered in his name as such fiduciary, either in person or by proxy.</w:t>
      </w:r>
    </w:p>
    <w:p>
      <w:pPr>
        <w:spacing w:after="0" w:line="97"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7"/>
          <w:szCs w:val="17"/>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87" w:lineRule="exact"/>
        <w:rPr>
          <w:sz w:val="20"/>
          <w:szCs w:val="20"/>
          <w:color w:val="auto"/>
        </w:rPr>
      </w:pPr>
    </w:p>
    <w:p>
      <w:pPr>
        <w:ind w:right="2559" w:firstLine="199"/>
        <w:spacing w:after="0" w:line="265" w:lineRule="auto"/>
        <w:rPr>
          <w:sz w:val="20"/>
          <w:szCs w:val="20"/>
          <w:color w:val="auto"/>
        </w:rPr>
      </w:pPr>
      <w:r>
        <w:rPr>
          <w:rFonts w:ascii="Courier New" w:cs="Courier New" w:eastAsia="Courier New" w:hAnsi="Courier New"/>
          <w:sz w:val="16"/>
          <w:szCs w:val="16"/>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w:t>
      </w:r>
    </w:p>
    <w:p>
      <w:pPr>
        <w:spacing w:after="0" w:line="8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660" w:right="1440" w:bottom="1440" w:gutter="0" w:footer="0" w:header="0"/>
        </w:sectPr>
      </w:pPr>
    </w:p>
    <w:bookmarkStart w:id="62" w:name="page63"/>
    <w:bookmarkEnd w:id="62"/>
    <w:p>
      <w:pPr>
        <w:ind w:right="2559"/>
        <w:spacing w:after="0" w:line="347" w:lineRule="auto"/>
        <w:rPr>
          <w:sz w:val="20"/>
          <w:szCs w:val="20"/>
          <w:color w:val="auto"/>
        </w:rPr>
      </w:pPr>
      <w:r>
        <w:rPr>
          <w:rFonts w:ascii="Courier New" w:cs="Courier New" w:eastAsia="Courier New" w:hAnsi="Courier New"/>
          <w:sz w:val="17"/>
          <w:szCs w:val="17"/>
          <w:color w:val="auto"/>
        </w:rPr>
        <w:t>forth in the certification, the shareholder of record of the specified shares in place of the shareholder who makes the certification.</w:t>
      </w:r>
    </w:p>
    <w:p>
      <w:pPr>
        <w:spacing w:after="0" w:line="1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7"/>
          <w:szCs w:val="17"/>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97" w:lineRule="exact"/>
        <w:rPr>
          <w:sz w:val="20"/>
          <w:szCs w:val="20"/>
          <w:color w:val="auto"/>
        </w:rPr>
      </w:pPr>
    </w:p>
    <w:p>
      <w:pPr>
        <w:jc w:val="both"/>
        <w:ind w:right="2559" w:firstLine="199"/>
        <w:spacing w:after="0" w:line="256" w:lineRule="auto"/>
        <w:rPr>
          <w:sz w:val="20"/>
          <w:szCs w:val="20"/>
          <w:color w:val="auto"/>
        </w:rPr>
      </w:pPr>
      <w:r>
        <w:rPr>
          <w:rFonts w:ascii="Courier New" w:cs="Courier New" w:eastAsia="Courier New" w:hAnsi="Courier New"/>
          <w:sz w:val="17"/>
          <w:szCs w:val="17"/>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92" w:lineRule="exact"/>
        <w:rPr>
          <w:sz w:val="20"/>
          <w:szCs w:val="20"/>
          <w:color w:val="auto"/>
        </w:rPr>
      </w:pPr>
    </w:p>
    <w:p>
      <w:pPr>
        <w:ind w:right="2659" w:firstLine="199"/>
        <w:spacing w:after="0" w:line="260" w:lineRule="auto"/>
        <w:rPr>
          <w:sz w:val="20"/>
          <w:szCs w:val="20"/>
          <w:color w:val="auto"/>
        </w:rPr>
      </w:pPr>
      <w:r>
        <w:rPr>
          <w:rFonts w:ascii="Courier New" w:cs="Courier New" w:eastAsia="Courier New" w:hAnsi="Courier New"/>
          <w:sz w:val="17"/>
          <w:szCs w:val="17"/>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12. REPORTS TO SHAREHOLDERS.</w:t>
      </w:r>
    </w:p>
    <w:p>
      <w:pPr>
        <w:spacing w:after="0" w:line="190" w:lineRule="exact"/>
        <w:rPr>
          <w:sz w:val="20"/>
          <w:szCs w:val="20"/>
          <w:color w:val="auto"/>
        </w:rPr>
      </w:pPr>
    </w:p>
    <w:p>
      <w:pPr>
        <w:ind w:left="400" w:right="2459" w:hanging="398"/>
        <w:spacing w:after="0" w:line="266" w:lineRule="auto"/>
        <w:tabs>
          <w:tab w:leader="none" w:pos="40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85" w:lineRule="exact"/>
        <w:rPr>
          <w:rFonts w:ascii="Courier New" w:cs="Courier New" w:eastAsia="Courier New" w:hAnsi="Courier New"/>
          <w:sz w:val="16"/>
          <w:szCs w:val="16"/>
          <w:color w:val="auto"/>
        </w:rPr>
      </w:pPr>
    </w:p>
    <w:p>
      <w:pPr>
        <w:ind w:left="400" w:right="2559" w:hanging="398"/>
        <w:spacing w:after="0" w:line="256" w:lineRule="auto"/>
        <w:tabs>
          <w:tab w:leader="none" w:pos="40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later than 45 days after the end of each of the first three quarterly periods of each fiscal year, the Trustees shall deliver or cause to be delivered an interim report to the shareholders containing unaudited financial statements for such quarter and for the period from the beginning of the fiscal year to the end of such quarter, and such further information as the Trustees may determine is required pursuant to any law or regulation to which the Trust is subject.</w:t>
      </w:r>
    </w:p>
    <w:p>
      <w:pPr>
        <w:spacing w:after="0" w:line="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13. NOMINATIONS AND PROPOSALS BY SHAREHOLDERS.</w:t>
      </w:r>
    </w:p>
    <w:p>
      <w:pPr>
        <w:spacing w:after="0" w:line="190" w:lineRule="exact"/>
        <w:rPr>
          <w:sz w:val="20"/>
          <w:szCs w:val="20"/>
          <w:color w:val="auto"/>
        </w:rPr>
      </w:pPr>
    </w:p>
    <w:p>
      <w:pPr>
        <w:ind w:left="400" w:right="2459" w:hanging="398"/>
        <w:spacing w:after="0" w:line="251" w:lineRule="auto"/>
        <w:tabs>
          <w:tab w:leader="none" w:pos="40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Meetings of Shareholders. (1) Nominations of persons for election to the Board of Trustees and the proposal of business to be considered by the shareholders may be made at an annual meeting of shareholders (i) pursuant to the Trust's notice of meeting, (ii) by or at the direction of the Trustees or (iii)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100" w:lineRule="exact"/>
        <w:rPr>
          <w:sz w:val="20"/>
          <w:szCs w:val="20"/>
          <w:color w:val="auto"/>
        </w:rPr>
      </w:pPr>
    </w:p>
    <w:p>
      <w:pPr>
        <w:ind w:left="400" w:right="2459" w:hanging="398"/>
        <w:spacing w:after="0" w:line="249" w:lineRule="auto"/>
        <w:tabs>
          <w:tab w:leader="none" w:pos="40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nominations or other business to be properly brought before an annual meeting by a shareholder pursuant to clause (iii) of paragraph (a) (1)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90th day nor earlier than the close of business on the 120th day prior to the first anniversary of the preceding year's annual meeting; provided, however, that in the event that the date of the annual meeting is advanced by more than 30 days</w:t>
      </w:r>
    </w:p>
    <w:p>
      <w:pPr>
        <w:spacing w:after="0" w:line="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B-3</w:t>
      </w:r>
    </w:p>
    <w:p>
      <w:pPr>
        <w:sectPr>
          <w:pgSz w:w="11900" w:h="16838" w:orient="portrait"/>
          <w:cols w:equalWidth="0" w:num="1">
            <w:col w:w="10219"/>
          </w:cols>
          <w:pgMar w:left="240" w:top="660" w:right="1440" w:bottom="1440" w:gutter="0" w:footer="0" w:header="0"/>
        </w:sectPr>
      </w:pPr>
    </w:p>
    <w:bookmarkStart w:id="63" w:name="page64"/>
    <w:bookmarkEnd w:id="63"/>
    <w:p>
      <w:pPr>
        <w:ind w:left="298" w:right="2559"/>
        <w:spacing w:after="0" w:line="258" w:lineRule="auto"/>
        <w:rPr>
          <w:sz w:val="20"/>
          <w:szCs w:val="20"/>
          <w:color w:val="auto"/>
        </w:rPr>
      </w:pPr>
      <w:r>
        <w:rPr>
          <w:rFonts w:ascii="Courier New" w:cs="Courier New" w:eastAsia="Courier New" w:hAnsi="Courier New"/>
          <w:sz w:val="16"/>
          <w:szCs w:val="16"/>
          <w:color w:val="auto"/>
        </w:rPr>
        <w:t>or delayed by more than 60 days from such anniversary date or if the Trust has not previously held an annual meeting, notice by the shareholder to be timely must be so delivered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by the Trust. In no event shall the public announcement of a postponement or adjournment of an annual meeting to a later date or time commence a new time period for the giving of a shareholder's notice as described above. Such shareholder's notice shall set forth (i)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 (ii)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(iii) as to the shareholder giving the notice and the beneficial owner, if any, on whose behalf the nomination or proposal is made, (x) the name and address of such shareholder, as they appear on the Trust's books, and of such beneficial owner and (y) the number of each class of shares of the Trust which are owned beneficially and of record by such shareholder and such beneficial owner.</w:t>
      </w:r>
    </w:p>
    <w:p>
      <w:pPr>
        <w:spacing w:after="0" w:line="91" w:lineRule="exact"/>
        <w:rPr>
          <w:sz w:val="20"/>
          <w:szCs w:val="20"/>
          <w:color w:val="auto"/>
        </w:rPr>
      </w:pPr>
    </w:p>
    <w:p>
      <w:pPr>
        <w:ind w:left="398" w:right="2459" w:hanging="398"/>
        <w:spacing w:after="0" w:line="248" w:lineRule="auto"/>
        <w:tabs>
          <w:tab w:leader="none" w:pos="398"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the second sentence of paragraph (a) (2)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98" w:lineRule="exact"/>
        <w:rPr>
          <w:sz w:val="20"/>
          <w:szCs w:val="20"/>
          <w:color w:val="auto"/>
        </w:rPr>
      </w:pPr>
    </w:p>
    <w:p>
      <w:pPr>
        <w:ind w:left="398" w:right="2459" w:hanging="398"/>
        <w:spacing w:after="0" w:line="255" w:lineRule="auto"/>
        <w:tabs>
          <w:tab w:leader="none" w:pos="398"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 (iii) 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 (2) of this Section</w:t>
      </w:r>
    </w:p>
    <w:p>
      <w:pPr>
        <w:spacing w:after="0" w:line="7" w:lineRule="exact"/>
        <w:rPr>
          <w:rFonts w:ascii="Courier New" w:cs="Courier New" w:eastAsia="Courier New" w:hAnsi="Courier New"/>
          <w:sz w:val="16"/>
          <w:szCs w:val="16"/>
          <w:color w:val="auto"/>
        </w:rPr>
      </w:pPr>
    </w:p>
    <w:p>
      <w:pPr>
        <w:ind w:left="398"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99" w:lineRule="exact"/>
        <w:rPr>
          <w:rFonts w:ascii="Courier New" w:cs="Courier New" w:eastAsia="Courier New" w:hAnsi="Courier New"/>
          <w:sz w:val="16"/>
          <w:szCs w:val="16"/>
          <w:color w:val="auto"/>
        </w:rPr>
      </w:pPr>
    </w:p>
    <w:p>
      <w:pPr>
        <w:ind w:left="398" w:right="2659" w:hanging="398"/>
        <w:spacing w:after="0" w:line="265" w:lineRule="auto"/>
        <w:tabs>
          <w:tab w:leader="none" w:pos="398"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(1) 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w:t>
      </w:r>
    </w:p>
    <w:p>
      <w:pPr>
        <w:spacing w:after="0" w:line="84" w:lineRule="exact"/>
        <w:rPr>
          <w:sz w:val="20"/>
          <w:szCs w:val="20"/>
          <w:color w:val="auto"/>
        </w:rPr>
      </w:pPr>
    </w:p>
    <w:p>
      <w:pPr>
        <w:ind w:left="3778"/>
        <w:spacing w:after="0"/>
        <w:rPr>
          <w:sz w:val="20"/>
          <w:szCs w:val="20"/>
          <w:color w:val="auto"/>
        </w:rPr>
      </w:pPr>
      <w:r>
        <w:rPr>
          <w:rFonts w:ascii="Courier New" w:cs="Courier New" w:eastAsia="Courier New" w:hAnsi="Courier New"/>
          <w:sz w:val="17"/>
          <w:szCs w:val="17"/>
          <w:color w:val="auto"/>
        </w:rPr>
        <w:t>B-4</w:t>
      </w:r>
    </w:p>
    <w:p>
      <w:pPr>
        <w:sectPr>
          <w:pgSz w:w="11900" w:h="16838" w:orient="portrait"/>
          <w:cols w:equalWidth="0" w:num="1">
            <w:col w:w="10217"/>
          </w:cols>
          <w:pgMar w:left="242" w:top="660" w:right="1440" w:bottom="886" w:gutter="0" w:footer="0" w:header="0"/>
        </w:sectPr>
      </w:pPr>
    </w:p>
    <w:bookmarkStart w:id="64" w:name="page65"/>
    <w:bookmarkEnd w:id="64"/>
    <w:p>
      <w:pPr>
        <w:ind w:left="300" w:right="2359"/>
        <w:spacing w:after="0" w:line="260" w:lineRule="auto"/>
        <w:rPr>
          <w:sz w:val="20"/>
          <w:szCs w:val="20"/>
          <w:color w:val="auto"/>
        </w:rPr>
      </w:pPr>
      <w:r>
        <w:rPr>
          <w:rFonts w:ascii="Courier New" w:cs="Courier New" w:eastAsia="Courier New" w:hAnsi="Courier New"/>
          <w:sz w:val="17"/>
          <w:szCs w:val="17"/>
          <w:color w:val="auto"/>
        </w:rPr>
        <w:t>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87" w:lineRule="exact"/>
        <w:rPr>
          <w:sz w:val="20"/>
          <w:szCs w:val="20"/>
          <w:color w:val="auto"/>
        </w:rPr>
      </w:pPr>
    </w:p>
    <w:p>
      <w:pPr>
        <w:ind w:left="400" w:right="2359" w:hanging="398"/>
        <w:spacing w:after="0" w:line="265" w:lineRule="auto"/>
        <w:tabs>
          <w:tab w:leader="none" w:pos="40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84" w:lineRule="exact"/>
        <w:rPr>
          <w:rFonts w:ascii="Courier New" w:cs="Courier New" w:eastAsia="Courier New" w:hAnsi="Courier New"/>
          <w:sz w:val="17"/>
          <w:szCs w:val="17"/>
          <w:color w:val="auto"/>
        </w:rPr>
      </w:pPr>
    </w:p>
    <w:p>
      <w:pPr>
        <w:ind w:left="400" w:right="2459" w:hanging="398"/>
        <w:spacing w:after="0" w:line="275" w:lineRule="auto"/>
        <w:tabs>
          <w:tab w:leader="none" w:pos="4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26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14. INFORMAL ACTION BY SHAREHOLDERS.</w:t>
      </w:r>
    </w:p>
    <w:p>
      <w:pPr>
        <w:spacing w:after="0" w:line="190" w:lineRule="exact"/>
        <w:rPr>
          <w:sz w:val="20"/>
          <w:szCs w:val="20"/>
          <w:color w:val="auto"/>
        </w:rPr>
      </w:pPr>
    </w:p>
    <w:p>
      <w:pPr>
        <w:ind w:left="400" w:right="2359" w:hanging="398"/>
        <w:spacing w:after="0" w:line="265" w:lineRule="auto"/>
        <w:tabs>
          <w:tab w:leader="none" w:pos="499"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84" w:lineRule="exact"/>
        <w:rPr>
          <w:rFonts w:ascii="Courier New" w:cs="Courier New" w:eastAsia="Courier New" w:hAnsi="Courier New"/>
          <w:sz w:val="17"/>
          <w:szCs w:val="17"/>
          <w:color w:val="auto"/>
        </w:rPr>
      </w:pPr>
    </w:p>
    <w:p>
      <w:pPr>
        <w:ind w:left="400" w:right="2359" w:hanging="398"/>
        <w:spacing w:after="0" w:line="256" w:lineRule="auto"/>
        <w:tabs>
          <w:tab w:leader="none" w:pos="40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w:t>
      </w:r>
    </w:p>
    <w:p>
      <w:pPr>
        <w:spacing w:after="0" w:line="5" w:lineRule="exact"/>
        <w:rPr>
          <w:rFonts w:ascii="Courier New" w:cs="Courier New" w:eastAsia="Courier New" w:hAnsi="Courier New"/>
          <w:sz w:val="16"/>
          <w:szCs w:val="16"/>
          <w:color w:val="auto"/>
        </w:rPr>
      </w:pPr>
    </w:p>
    <w:p>
      <w:pPr>
        <w:ind w:left="400" w:right="2359"/>
        <w:spacing w:after="0" w:line="259" w:lineRule="auto"/>
        <w:tabs>
          <w:tab w:leader="none" w:pos="897"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92" w:lineRule="exact"/>
        <w:rPr>
          <w:sz w:val="20"/>
          <w:szCs w:val="20"/>
          <w:color w:val="auto"/>
        </w:rPr>
      </w:pPr>
    </w:p>
    <w:p>
      <w:pPr>
        <w:jc w:val="both"/>
        <w:ind w:right="2459" w:firstLine="199"/>
        <w:spacing w:after="0" w:line="292" w:lineRule="auto"/>
        <w:rPr>
          <w:sz w:val="20"/>
          <w:szCs w:val="20"/>
          <w:color w:val="auto"/>
        </w:rPr>
      </w:pPr>
      <w:r>
        <w:rPr>
          <w:rFonts w:ascii="Courier New" w:cs="Courier New" w:eastAsia="Courier New" w:hAnsi="Courier New"/>
          <w:sz w:val="17"/>
          <w:szCs w:val="17"/>
          <w:color w:val="auto"/>
        </w:rPr>
        <w:t>Section 15. VOTING BY BALLOT. Voting on any question or in any election may be viva voce unless the presiding officer shall order or any shareholder shall demand that voting be by ballot.</w:t>
      </w:r>
    </w:p>
    <w:p>
      <w:pPr>
        <w:spacing w:after="0" w:line="6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ARTICLE III</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TRUSTEES</w:t>
      </w:r>
    </w:p>
    <w:p>
      <w:pPr>
        <w:spacing w:after="0" w:line="190" w:lineRule="exact"/>
        <w:rPr>
          <w:sz w:val="20"/>
          <w:szCs w:val="20"/>
          <w:color w:val="auto"/>
        </w:rPr>
      </w:pPr>
    </w:p>
    <w:p>
      <w:pPr>
        <w:ind w:right="2359" w:firstLine="199"/>
        <w:spacing w:after="0" w:line="256" w:lineRule="auto"/>
        <w:rPr>
          <w:sz w:val="20"/>
          <w:szCs w:val="20"/>
          <w:color w:val="auto"/>
        </w:rPr>
      </w:pPr>
      <w:r>
        <w:rPr>
          <w:rFonts w:ascii="Courier New" w:cs="Courier New" w:eastAsia="Courier New" w:hAnsi="Courier New"/>
          <w:sz w:val="17"/>
          <w:szCs w:val="17"/>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w:t>
      </w:r>
    </w:p>
    <w:p>
      <w:pPr>
        <w:spacing w:after="0" w:line="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B-5</w:t>
      </w:r>
    </w:p>
    <w:p>
      <w:pPr>
        <w:sectPr>
          <w:pgSz w:w="11900" w:h="16838" w:orient="portrait"/>
          <w:cols w:equalWidth="0" w:num="1">
            <w:col w:w="10219"/>
          </w:cols>
          <w:pgMar w:left="240" w:top="660" w:right="1440" w:bottom="1077" w:gutter="0" w:footer="0" w:header="0"/>
        </w:sectPr>
      </w:pPr>
    </w:p>
    <w:bookmarkStart w:id="65" w:name="page66"/>
    <w:bookmarkEnd w:id="65"/>
    <w:p>
      <w:pPr>
        <w:jc w:val="both"/>
        <w:ind w:right="2659" w:firstLine="199"/>
        <w:spacing w:after="0" w:line="292" w:lineRule="auto"/>
        <w:rPr>
          <w:sz w:val="20"/>
          <w:szCs w:val="20"/>
          <w:color w:val="auto"/>
        </w:rPr>
      </w:pPr>
      <w:r>
        <w:rPr>
          <w:rFonts w:ascii="Courier New" w:cs="Courier New" w:eastAsia="Courier New" w:hAnsi="Courier New"/>
          <w:sz w:val="17"/>
          <w:szCs w:val="17"/>
          <w:color w:val="auto"/>
        </w:rPr>
        <w:t>Section 2. NUMBER. At any regular meeting or at any special meeting called for that purpose, a majority of the entire Board of Trustees may establish, increase or decrease the number of Trustees.</w:t>
      </w:r>
    </w:p>
    <w:p>
      <w:pPr>
        <w:spacing w:after="0" w:line="62"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7"/>
          <w:szCs w:val="17"/>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87"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7"/>
          <w:szCs w:val="17"/>
          <w:color w:val="auto"/>
        </w:rPr>
        <w:t>Section 4. SPECIAL MEETINGS. Special meetings of the Trustees may be called by or at the request of the chairman of the board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87" w:lineRule="exact"/>
        <w:rPr>
          <w:sz w:val="20"/>
          <w:szCs w:val="20"/>
          <w:color w:val="auto"/>
        </w:rPr>
      </w:pPr>
    </w:p>
    <w:p>
      <w:pPr>
        <w:ind w:right="2459" w:firstLine="199"/>
        <w:spacing w:after="0" w:line="261" w:lineRule="auto"/>
        <w:rPr>
          <w:sz w:val="20"/>
          <w:szCs w:val="20"/>
          <w:color w:val="auto"/>
        </w:rPr>
      </w:pPr>
      <w:r>
        <w:rPr>
          <w:rFonts w:ascii="Courier New" w:cs="Courier New" w:eastAsia="Courier New" w:hAnsi="Courier New"/>
          <w:sz w:val="16"/>
          <w:szCs w:val="16"/>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he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92" w:lineRule="exact"/>
        <w:rPr>
          <w:sz w:val="20"/>
          <w:szCs w:val="20"/>
          <w:color w:val="auto"/>
        </w:rPr>
      </w:pPr>
    </w:p>
    <w:p>
      <w:pPr>
        <w:ind w:right="2459" w:firstLine="199"/>
        <w:spacing w:after="0" w:line="275" w:lineRule="auto"/>
        <w:rPr>
          <w:sz w:val="20"/>
          <w:szCs w:val="20"/>
          <w:color w:val="auto"/>
        </w:rPr>
      </w:pPr>
      <w:r>
        <w:rPr>
          <w:rFonts w:ascii="Courier New" w:cs="Courier New" w:eastAsia="Courier New" w:hAnsi="Courier New"/>
          <w:sz w:val="16"/>
          <w:szCs w:val="16"/>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76" w:lineRule="exact"/>
        <w:rPr>
          <w:sz w:val="20"/>
          <w:szCs w:val="20"/>
          <w:color w:val="auto"/>
        </w:rPr>
      </w:pPr>
    </w:p>
    <w:p>
      <w:pPr>
        <w:ind w:right="2759" w:firstLine="199"/>
        <w:spacing w:after="0" w:line="318" w:lineRule="auto"/>
        <w:rPr>
          <w:sz w:val="20"/>
          <w:szCs w:val="20"/>
          <w:color w:val="auto"/>
        </w:rPr>
      </w:pPr>
      <w:r>
        <w:rPr>
          <w:rFonts w:ascii="Courier New" w:cs="Courier New" w:eastAsia="Courier New" w:hAnsi="Courier New"/>
          <w:sz w:val="16"/>
          <w:szCs w:val="16"/>
          <w:color w:val="auto"/>
        </w:rPr>
        <w:t>The Trustees present at a meeting which has been duly called and convened may continue to transact business until adjournment, notwithstanding the withdrawal of enough Trustees to leave less than a quorum.</w:t>
      </w:r>
    </w:p>
    <w:p>
      <w:pPr>
        <w:spacing w:after="0" w:line="45" w:lineRule="exact"/>
        <w:rPr>
          <w:sz w:val="20"/>
          <w:szCs w:val="20"/>
          <w:color w:val="auto"/>
        </w:rPr>
      </w:pPr>
    </w:p>
    <w:p>
      <w:pPr>
        <w:ind w:right="2559" w:firstLine="199"/>
        <w:spacing w:after="0" w:line="274" w:lineRule="auto"/>
        <w:rPr>
          <w:sz w:val="20"/>
          <w:szCs w:val="20"/>
          <w:color w:val="auto"/>
        </w:rPr>
      </w:pPr>
      <w:r>
        <w:rPr>
          <w:rFonts w:ascii="Courier New" w:cs="Courier New" w:eastAsia="Courier New" w:hAnsi="Courier New"/>
          <w:sz w:val="17"/>
          <w:szCs w:val="17"/>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Section 8. TELEPHONE MEETINGS. Trustees may participate in a meeting by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means of a conference telephone or similar communications equipment if all</w:t>
      </w:r>
    </w:p>
    <w:p>
      <w:pPr>
        <w:ind w:right="2559"/>
        <w:spacing w:after="0" w:line="274" w:lineRule="auto"/>
        <w:rPr>
          <w:sz w:val="20"/>
          <w:szCs w:val="20"/>
          <w:color w:val="auto"/>
        </w:rPr>
      </w:pPr>
      <w:r>
        <w:rPr>
          <w:rFonts w:ascii="Courier New" w:cs="Courier New" w:eastAsia="Courier New" w:hAnsi="Courier New"/>
          <w:sz w:val="17"/>
          <w:szCs w:val="17"/>
          <w:color w:val="auto"/>
        </w:rPr>
        <w:t>persons participating in the meeting can hear each other at the same time. Participation in a meeting by these means shall constitute presence in person at the meeting.</w:t>
      </w:r>
    </w:p>
    <w:p>
      <w:pPr>
        <w:spacing w:after="0" w:line="75" w:lineRule="exact"/>
        <w:rPr>
          <w:sz w:val="20"/>
          <w:szCs w:val="20"/>
          <w:color w:val="auto"/>
        </w:rPr>
      </w:pPr>
    </w:p>
    <w:p>
      <w:pPr>
        <w:jc w:val="both"/>
        <w:ind w:right="2559" w:firstLine="199"/>
        <w:spacing w:after="0" w:line="274" w:lineRule="auto"/>
        <w:rPr>
          <w:sz w:val="20"/>
          <w:szCs w:val="20"/>
          <w:color w:val="auto"/>
        </w:rPr>
      </w:pPr>
      <w:r>
        <w:rPr>
          <w:rFonts w:ascii="Courier New" w:cs="Courier New" w:eastAsia="Courier New" w:hAnsi="Courier New"/>
          <w:sz w:val="17"/>
          <w:szCs w:val="17"/>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7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7"/>
          <w:szCs w:val="17"/>
          <w:color w:val="auto"/>
        </w:rPr>
        <w:t>Section 10. VACANCIES. If for any reason any or all the Trustees cease to be Trustees, such event shall not terminate the Trust or affect these Bylaws or the powers of the remaining Trustees hereunder (even if fewer than 3 Trustees remain). Any vacancy (including a vacancy created by an increase in the number of Trustees) shall be filled, at any regular meeting or at any special meeting called for that purpose, by a majority of the Trustees. Any individual so elected as Trustee shall serve for the unexpired term of the Trustee he is replacing.</w:t>
      </w:r>
    </w:p>
    <w:p>
      <w:pPr>
        <w:spacing w:after="0" w:line="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B-6</w:t>
      </w:r>
    </w:p>
    <w:p>
      <w:pPr>
        <w:sectPr>
          <w:pgSz w:w="11900" w:h="16838" w:orient="portrait"/>
          <w:cols w:equalWidth="0" w:num="1">
            <w:col w:w="10219"/>
          </w:cols>
          <w:pgMar w:left="240" w:top="660" w:right="1440" w:bottom="1440" w:gutter="0" w:footer="0" w:header="0"/>
        </w:sectPr>
      </w:pPr>
    </w:p>
    <w:bookmarkStart w:id="66" w:name="page67"/>
    <w:bookmarkEnd w:id="66"/>
    <w:p>
      <w:pPr>
        <w:ind w:left="200"/>
        <w:spacing w:after="0"/>
        <w:rPr>
          <w:sz w:val="20"/>
          <w:szCs w:val="20"/>
          <w:color w:val="auto"/>
        </w:rPr>
      </w:pPr>
      <w:r>
        <w:rPr>
          <w:rFonts w:ascii="Courier New" w:cs="Courier New" w:eastAsia="Courier New" w:hAnsi="Courier New"/>
          <w:sz w:val="17"/>
          <w:szCs w:val="17"/>
          <w:color w:val="auto"/>
        </w:rPr>
        <w:t>Section 11. COMPENSATION; FINANCIAL ASSISTANCE.</w:t>
      </w:r>
    </w:p>
    <w:p>
      <w:pPr>
        <w:spacing w:after="0" w:line="190" w:lineRule="exact"/>
        <w:rPr>
          <w:sz w:val="20"/>
          <w:szCs w:val="20"/>
          <w:color w:val="auto"/>
        </w:rPr>
      </w:pPr>
    </w:p>
    <w:p>
      <w:pPr>
        <w:ind w:left="400" w:right="2459" w:hanging="398"/>
        <w:spacing w:after="0" w:line="266" w:lineRule="auto"/>
        <w:tabs>
          <w:tab w:leader="none" w:pos="4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85" w:lineRule="exact"/>
        <w:rPr>
          <w:rFonts w:ascii="Courier New" w:cs="Courier New" w:eastAsia="Courier New" w:hAnsi="Courier New"/>
          <w:sz w:val="16"/>
          <w:szCs w:val="16"/>
          <w:color w:val="auto"/>
        </w:rPr>
      </w:pPr>
    </w:p>
    <w:p>
      <w:pPr>
        <w:ind w:left="400" w:right="2559" w:hanging="398"/>
        <w:spacing w:after="0" w:line="285" w:lineRule="auto"/>
        <w:tabs>
          <w:tab w:leader="none" w:pos="4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Assistance to Trustees.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71" w:lineRule="exact"/>
        <w:rPr>
          <w:sz w:val="20"/>
          <w:szCs w:val="20"/>
          <w:color w:val="auto"/>
        </w:rPr>
      </w:pPr>
    </w:p>
    <w:p>
      <w:pPr>
        <w:ind w:right="2659" w:firstLine="199"/>
        <w:spacing w:after="0" w:line="347" w:lineRule="auto"/>
        <w:rPr>
          <w:sz w:val="20"/>
          <w:szCs w:val="20"/>
          <w:color w:val="auto"/>
        </w:rPr>
      </w:pPr>
      <w:r>
        <w:rPr>
          <w:rFonts w:ascii="Courier New" w:cs="Courier New" w:eastAsia="Courier New" w:hAnsi="Courier New"/>
          <w:sz w:val="17"/>
          <w:szCs w:val="17"/>
          <w:color w:val="auto"/>
        </w:rPr>
        <w:t>Section 12. REMOVAL OF TRUSTEES. The shareholders may, at any time, remove any Trustee in the manner provided in the Declaration of Trust.</w:t>
      </w:r>
    </w:p>
    <w:p>
      <w:pPr>
        <w:spacing w:after="0" w:line="17" w:lineRule="exact"/>
        <w:rPr>
          <w:sz w:val="20"/>
          <w:szCs w:val="20"/>
          <w:color w:val="auto"/>
        </w:rPr>
      </w:pPr>
    </w:p>
    <w:p>
      <w:pPr>
        <w:ind w:right="2559" w:firstLine="199"/>
        <w:spacing w:after="0" w:line="274" w:lineRule="auto"/>
        <w:rPr>
          <w:sz w:val="20"/>
          <w:szCs w:val="20"/>
          <w:color w:val="auto"/>
        </w:rPr>
      </w:pPr>
      <w:r>
        <w:rPr>
          <w:rFonts w:ascii="Courier New" w:cs="Courier New" w:eastAsia="Courier New" w:hAnsi="Courier New"/>
          <w:sz w:val="17"/>
          <w:szCs w:val="17"/>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77" w:lineRule="exact"/>
        <w:rPr>
          <w:sz w:val="20"/>
          <w:szCs w:val="20"/>
          <w:color w:val="auto"/>
        </w:rPr>
      </w:pPr>
    </w:p>
    <w:p>
      <w:pPr>
        <w:ind w:right="2559" w:firstLine="199"/>
        <w:spacing w:after="0" w:line="292" w:lineRule="auto"/>
        <w:rPr>
          <w:sz w:val="20"/>
          <w:szCs w:val="20"/>
          <w:color w:val="auto"/>
        </w:rPr>
      </w:pPr>
      <w:r>
        <w:rPr>
          <w:rFonts w:ascii="Courier New" w:cs="Courier New" w:eastAsia="Courier New" w:hAnsi="Courier New"/>
          <w:sz w:val="17"/>
          <w:szCs w:val="17"/>
          <w:color w:val="auto"/>
        </w:rPr>
        <w:t>Section 14. SURETY BONDS. Unless required by law, no Trustee shall be obligated to give any bond or surety or other security for the performance of any of his duties.</w:t>
      </w:r>
    </w:p>
    <w:p>
      <w:pPr>
        <w:spacing w:after="0" w:line="62"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7"/>
          <w:szCs w:val="17"/>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97"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7"/>
          <w:szCs w:val="17"/>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87" w:lineRule="exact"/>
        <w:rPr>
          <w:sz w:val="20"/>
          <w:szCs w:val="20"/>
          <w:color w:val="auto"/>
        </w:rPr>
      </w:pPr>
    </w:p>
    <w:p>
      <w:pPr>
        <w:ind w:right="2459" w:firstLine="199"/>
        <w:spacing w:after="0" w:line="275" w:lineRule="auto"/>
        <w:rPr>
          <w:sz w:val="20"/>
          <w:szCs w:val="20"/>
          <w:color w:val="auto"/>
        </w:rPr>
      </w:pPr>
      <w:r>
        <w:rPr>
          <w:rFonts w:ascii="Courier New" w:cs="Courier New" w:eastAsia="Courier New" w:hAnsi="Courier New"/>
          <w:sz w:val="16"/>
          <w:szCs w:val="16"/>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w:t>
      </w:r>
    </w:p>
    <w:p>
      <w:pPr>
        <w:spacing w:after="0" w:line="76"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ARTICLE IV</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COMMITTEES</w:t>
      </w:r>
    </w:p>
    <w:p>
      <w:pPr>
        <w:spacing w:after="0" w:line="190" w:lineRule="exact"/>
        <w:rPr>
          <w:sz w:val="20"/>
          <w:szCs w:val="20"/>
          <w:color w:val="auto"/>
        </w:rPr>
      </w:pPr>
    </w:p>
    <w:p>
      <w:pPr>
        <w:jc w:val="both"/>
        <w:ind w:right="2559" w:firstLine="199"/>
        <w:spacing w:after="0" w:line="274" w:lineRule="auto"/>
        <w:rPr>
          <w:sz w:val="20"/>
          <w:szCs w:val="20"/>
          <w:color w:val="auto"/>
        </w:rPr>
      </w:pPr>
      <w:r>
        <w:rPr>
          <w:rFonts w:ascii="Courier New" w:cs="Courier New" w:eastAsia="Courier New" w:hAnsi="Courier New"/>
          <w:sz w:val="17"/>
          <w:szCs w:val="17"/>
          <w:color w:val="auto"/>
        </w:rPr>
        <w:t>Section 1. NUMBER, TENURE AND QUALIFICATIONS. The Trustees may appoint from among its members an Executive Committee, an Audit Committee, a Compensation Committee and other committees, composed of two or more Trustees, to serve at the pleasure of the Trustees.</w:t>
      </w:r>
    </w:p>
    <w:p>
      <w:pPr>
        <w:spacing w:after="0" w:line="77" w:lineRule="exact"/>
        <w:rPr>
          <w:sz w:val="20"/>
          <w:szCs w:val="20"/>
          <w:color w:val="auto"/>
        </w:rPr>
      </w:pPr>
    </w:p>
    <w:p>
      <w:pPr>
        <w:ind w:right="2659" w:firstLine="199"/>
        <w:spacing w:after="0" w:line="292" w:lineRule="auto"/>
        <w:rPr>
          <w:sz w:val="20"/>
          <w:szCs w:val="20"/>
          <w:color w:val="auto"/>
        </w:rPr>
      </w:pPr>
      <w:r>
        <w:rPr>
          <w:rFonts w:ascii="Courier New" w:cs="Courier New" w:eastAsia="Courier New" w:hAnsi="Courier New"/>
          <w:sz w:val="17"/>
          <w:szCs w:val="17"/>
          <w:color w:val="auto"/>
        </w:rPr>
        <w:t>Section 2. POWERS. The Trustees may delegate to committees appointed under Section 1 of this Article any of the powers of the Trustees, except as prohibited by law.</w:t>
      </w:r>
    </w:p>
    <w:p>
      <w:pPr>
        <w:spacing w:after="0" w:line="6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B-7</w:t>
      </w:r>
    </w:p>
    <w:p>
      <w:pPr>
        <w:sectPr>
          <w:pgSz w:w="11900" w:h="16838" w:orient="portrait"/>
          <w:cols w:equalWidth="0" w:num="1">
            <w:col w:w="10219"/>
          </w:cols>
          <w:pgMar w:left="240" w:top="660" w:right="1440" w:bottom="1440" w:gutter="0" w:footer="0" w:header="0"/>
        </w:sectPr>
      </w:pPr>
    </w:p>
    <w:bookmarkStart w:id="67" w:name="page68"/>
    <w:bookmarkEnd w:id="67"/>
    <w:p>
      <w:pPr>
        <w:ind w:right="2459" w:firstLine="199"/>
        <w:spacing w:after="0" w:line="265" w:lineRule="auto"/>
        <w:rPr>
          <w:sz w:val="20"/>
          <w:szCs w:val="20"/>
          <w:color w:val="auto"/>
        </w:rPr>
      </w:pPr>
      <w:r>
        <w:rPr>
          <w:rFonts w:ascii="Courier New" w:cs="Courier New" w:eastAsia="Courier New" w:hAnsi="Courier New"/>
          <w:sz w:val="17"/>
          <w:szCs w:val="17"/>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84" w:lineRule="exact"/>
        <w:rPr>
          <w:sz w:val="20"/>
          <w:szCs w:val="20"/>
          <w:color w:val="auto"/>
        </w:rPr>
      </w:pPr>
    </w:p>
    <w:p>
      <w:pPr>
        <w:ind w:right="2459" w:firstLine="199"/>
        <w:spacing w:after="0" w:line="249" w:lineRule="auto"/>
        <w:rPr>
          <w:sz w:val="20"/>
          <w:szCs w:val="20"/>
          <w:color w:val="auto"/>
        </w:rPr>
      </w:pPr>
      <w:r>
        <w:rPr>
          <w:rFonts w:ascii="Courier New" w:cs="Courier New" w:eastAsia="Courier New" w:hAnsi="Courier New"/>
          <w:sz w:val="17"/>
          <w:szCs w:val="17"/>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97"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84" w:lineRule="exact"/>
        <w:rPr>
          <w:sz w:val="20"/>
          <w:szCs w:val="20"/>
          <w:color w:val="auto"/>
        </w:rPr>
      </w:pPr>
    </w:p>
    <w:p>
      <w:pPr>
        <w:ind w:right="2559" w:firstLine="199"/>
        <w:spacing w:after="0" w:line="265" w:lineRule="auto"/>
        <w:rPr>
          <w:sz w:val="20"/>
          <w:szCs w:val="20"/>
          <w:color w:val="auto"/>
        </w:rPr>
      </w:pPr>
      <w:r>
        <w:rPr>
          <w:rFonts w:ascii="Courier New" w:cs="Courier New" w:eastAsia="Courier New" w:hAnsi="Courier New"/>
          <w:sz w:val="17"/>
          <w:szCs w:val="17"/>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84"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84" w:lineRule="exact"/>
        <w:rPr>
          <w:sz w:val="20"/>
          <w:szCs w:val="20"/>
          <w:color w:val="auto"/>
        </w:rPr>
      </w:pPr>
    </w:p>
    <w:p>
      <w:pPr>
        <w:ind w:right="2759" w:firstLine="199"/>
        <w:spacing w:after="0" w:line="296" w:lineRule="auto"/>
        <w:rPr>
          <w:sz w:val="20"/>
          <w:szCs w:val="20"/>
          <w:color w:val="auto"/>
        </w:rPr>
      </w:pPr>
      <w:r>
        <w:rPr>
          <w:rFonts w:ascii="Courier New" w:cs="Courier New" w:eastAsia="Courier New" w:hAnsi="Courier New"/>
          <w:sz w:val="16"/>
          <w:szCs w:val="16"/>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w:t>
      </w:r>
    </w:p>
    <w:p>
      <w:pPr>
        <w:spacing w:after="0" w:line="6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V</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OFFICERS</w:t>
      </w:r>
    </w:p>
    <w:p>
      <w:pPr>
        <w:spacing w:after="0" w:line="190" w:lineRule="exact"/>
        <w:rPr>
          <w:sz w:val="20"/>
          <w:szCs w:val="20"/>
          <w:color w:val="auto"/>
        </w:rPr>
      </w:pPr>
    </w:p>
    <w:p>
      <w:pPr>
        <w:ind w:right="2459" w:firstLine="199"/>
        <w:spacing w:after="0" w:line="246" w:lineRule="auto"/>
        <w:rPr>
          <w:sz w:val="20"/>
          <w:szCs w:val="20"/>
          <w:color w:val="auto"/>
        </w:rPr>
      </w:pPr>
      <w:r>
        <w:rPr>
          <w:rFonts w:ascii="Courier New" w:cs="Courier New" w:eastAsia="Courier New" w:hAnsi="Courier New"/>
          <w:sz w:val="17"/>
          <w:szCs w:val="17"/>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the Trustees may from time to time appoint such other officers with such powers and duties as they shall deem necessary or desirable. The officers of the Trust shall be elected at such intervals as the Trustees may determine. Each officer shall hold office until his successor is elected and qualifies or until his death, resignation or removal in the manner hereinafter provided. Any two or more offices except president and vice president may be held by the same person. In their discretion, the Trustees may leave unfilled any office except that of president and secretary. Election of an officer or agent shall not of itself create contract rights between the Trust and such officer or agent.</w:t>
      </w:r>
    </w:p>
    <w:p>
      <w:pPr>
        <w:spacing w:after="0" w:line="105" w:lineRule="exact"/>
        <w:rPr>
          <w:sz w:val="20"/>
          <w:szCs w:val="20"/>
          <w:color w:val="auto"/>
        </w:rPr>
      </w:pPr>
    </w:p>
    <w:p>
      <w:pPr>
        <w:ind w:right="2459" w:firstLine="199"/>
        <w:spacing w:after="0" w:line="247" w:lineRule="auto"/>
        <w:rPr>
          <w:sz w:val="20"/>
          <w:szCs w:val="20"/>
          <w:color w:val="auto"/>
        </w:rPr>
      </w:pPr>
      <w:r>
        <w:rPr>
          <w:rFonts w:ascii="Courier New" w:cs="Courier New" w:eastAsia="Courier New" w:hAnsi="Courier New"/>
          <w:sz w:val="17"/>
          <w:szCs w:val="17"/>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10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B-8</w:t>
      </w:r>
    </w:p>
    <w:p>
      <w:pPr>
        <w:sectPr>
          <w:pgSz w:w="11900" w:h="16838" w:orient="portrait"/>
          <w:cols w:equalWidth="0" w:num="1">
            <w:col w:w="10219"/>
          </w:cols>
          <w:pgMar w:left="240" w:top="660" w:right="1440" w:bottom="1440" w:gutter="0" w:footer="0" w:header="0"/>
        </w:sectPr>
      </w:pPr>
    </w:p>
    <w:bookmarkStart w:id="68" w:name="page69"/>
    <w:bookmarkEnd w:id="68"/>
    <w:p>
      <w:pPr>
        <w:ind w:right="2559" w:firstLine="199"/>
        <w:spacing w:after="0" w:line="347" w:lineRule="auto"/>
        <w:rPr>
          <w:sz w:val="20"/>
          <w:szCs w:val="20"/>
          <w:color w:val="auto"/>
        </w:rPr>
      </w:pPr>
      <w:r>
        <w:rPr>
          <w:rFonts w:ascii="Courier New" w:cs="Courier New" w:eastAsia="Courier New" w:hAnsi="Courier New"/>
          <w:sz w:val="17"/>
          <w:szCs w:val="17"/>
          <w:color w:val="auto"/>
        </w:rPr>
        <w:t>Section 3. VACANCIES. A vacancy in any office may be filled by the Trustees for the balance of the term.</w:t>
      </w:r>
    </w:p>
    <w:p>
      <w:pPr>
        <w:spacing w:after="0" w:line="17" w:lineRule="exact"/>
        <w:rPr>
          <w:sz w:val="20"/>
          <w:szCs w:val="20"/>
          <w:color w:val="auto"/>
        </w:rPr>
      </w:pPr>
    </w:p>
    <w:p>
      <w:pPr>
        <w:ind w:right="2459" w:firstLine="199"/>
        <w:spacing w:after="0" w:line="279" w:lineRule="auto"/>
        <w:rPr>
          <w:sz w:val="20"/>
          <w:szCs w:val="20"/>
          <w:color w:val="auto"/>
        </w:rPr>
      </w:pPr>
      <w:r>
        <w:rPr>
          <w:rFonts w:ascii="Courier New" w:cs="Courier New" w:eastAsia="Courier New" w:hAnsi="Courier New"/>
          <w:sz w:val="16"/>
          <w:szCs w:val="16"/>
          <w:color w:val="auto"/>
        </w:rPr>
        <w:t>Section 4. CHIEF EXECUTIVE OFFICER. The Trustees may designate a chief executive officer from among the elected officers. The chief executive officer shall have responsibility for implementation of the policies of the Trust, as determined by the Trustees, and for the administration of the business affairs of the Trust. The chief executive officer shall preside over the meetings of the Trustees and of the shareholders at which he shall be present.</w:t>
      </w:r>
    </w:p>
    <w:p>
      <w:pPr>
        <w:spacing w:after="0" w:line="75" w:lineRule="exact"/>
        <w:rPr>
          <w:sz w:val="20"/>
          <w:szCs w:val="20"/>
          <w:color w:val="auto"/>
        </w:rPr>
      </w:pPr>
    </w:p>
    <w:p>
      <w:pPr>
        <w:ind w:right="2459" w:firstLine="199"/>
        <w:spacing w:after="0" w:line="248" w:lineRule="auto"/>
        <w:rPr>
          <w:sz w:val="20"/>
          <w:szCs w:val="20"/>
          <w:color w:val="auto"/>
        </w:rPr>
      </w:pPr>
      <w:r>
        <w:rPr>
          <w:rFonts w:ascii="Courier New" w:cs="Courier New" w:eastAsia="Courier New" w:hAnsi="Courier New"/>
          <w:sz w:val="17"/>
          <w:szCs w:val="17"/>
          <w:color w:val="auto"/>
        </w:rPr>
        <w:t>Section 5. PRESIDENT. In the absence of the chief executive officer, the president shall preside over the meetings of the Trustees and of the shareholders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w:t>
      </w:r>
    </w:p>
    <w:p>
      <w:pPr>
        <w:spacing w:after="0" w:line="98" w:lineRule="exact"/>
        <w:rPr>
          <w:sz w:val="20"/>
          <w:szCs w:val="20"/>
          <w:color w:val="auto"/>
        </w:rPr>
      </w:pPr>
    </w:p>
    <w:p>
      <w:pPr>
        <w:ind w:right="2559" w:firstLine="199"/>
        <w:spacing w:after="0" w:line="250" w:lineRule="auto"/>
        <w:rPr>
          <w:sz w:val="20"/>
          <w:szCs w:val="20"/>
          <w:color w:val="auto"/>
        </w:rPr>
      </w:pPr>
      <w:r>
        <w:rPr>
          <w:rFonts w:ascii="Courier New" w:cs="Courier New" w:eastAsia="Courier New" w:hAnsi="Courier New"/>
          <w:sz w:val="17"/>
          <w:szCs w:val="17"/>
          <w:color w:val="auto"/>
        </w:rPr>
        <w:t>Section 6. EXECUTIVE OFFICERS. In the absence of the president or in the event of a vacancy in such office, the executive officer (or in the event there be more than one executive officer, the executive officers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executive officers for particular areas of responsibility.</w:t>
      </w:r>
    </w:p>
    <w:p>
      <w:pPr>
        <w:spacing w:after="0" w:line="98" w:lineRule="exact"/>
        <w:rPr>
          <w:sz w:val="20"/>
          <w:szCs w:val="20"/>
          <w:color w:val="auto"/>
        </w:rPr>
      </w:pPr>
    </w:p>
    <w:p>
      <w:pPr>
        <w:ind w:right="2459" w:firstLine="199"/>
        <w:spacing w:after="0" w:line="250" w:lineRule="auto"/>
        <w:rPr>
          <w:sz w:val="20"/>
          <w:szCs w:val="20"/>
          <w:color w:val="auto"/>
        </w:rPr>
      </w:pPr>
      <w:r>
        <w:rPr>
          <w:rFonts w:ascii="Courier New" w:cs="Courier New" w:eastAsia="Courier New" w:hAnsi="Courier New"/>
          <w:sz w:val="17"/>
          <w:szCs w:val="17"/>
          <w:color w:val="auto"/>
        </w:rPr>
        <w:t>Section 7.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and (f) in general perform such other duties as from time to time may be assigned to him by the chief executive officer, the president or by the Trustees.</w:t>
      </w:r>
    </w:p>
    <w:p>
      <w:pPr>
        <w:spacing w:after="0" w:line="98" w:lineRule="exact"/>
        <w:rPr>
          <w:sz w:val="20"/>
          <w:szCs w:val="20"/>
          <w:color w:val="auto"/>
        </w:rPr>
      </w:pPr>
    </w:p>
    <w:p>
      <w:pPr>
        <w:jc w:val="both"/>
        <w:ind w:right="2459" w:firstLine="199"/>
        <w:spacing w:after="0" w:line="265" w:lineRule="auto"/>
        <w:rPr>
          <w:sz w:val="20"/>
          <w:szCs w:val="20"/>
          <w:color w:val="auto"/>
        </w:rPr>
      </w:pPr>
      <w:r>
        <w:rPr>
          <w:rFonts w:ascii="Courier New" w:cs="Courier New" w:eastAsia="Courier New" w:hAnsi="Courier New"/>
          <w:sz w:val="17"/>
          <w:szCs w:val="17"/>
          <w:color w:val="auto"/>
        </w:rPr>
        <w:t>Section 8.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84" w:lineRule="exact"/>
        <w:rPr>
          <w:sz w:val="20"/>
          <w:szCs w:val="20"/>
          <w:color w:val="auto"/>
        </w:rPr>
      </w:pPr>
    </w:p>
    <w:p>
      <w:pPr>
        <w:ind w:right="2459" w:firstLine="199"/>
        <w:spacing w:after="0" w:line="265" w:lineRule="auto"/>
        <w:rPr>
          <w:sz w:val="20"/>
          <w:szCs w:val="20"/>
          <w:color w:val="auto"/>
        </w:rPr>
      </w:pPr>
      <w:r>
        <w:rPr>
          <w:rFonts w:ascii="Courier New" w:cs="Courier New" w:eastAsia="Courier New" w:hAnsi="Courier New"/>
          <w:sz w:val="17"/>
          <w:szCs w:val="17"/>
          <w:color w:val="auto"/>
        </w:rPr>
        <w:t>He shall disburse the funds of the Trust in accordance with the authority granted by the Trustees, taking proper vouchers for such disbursements, and shall render to the president and Trustees, whenever they may require it, an account of all his transactions as treasurer and of the financial condition of the Trust.</w:t>
      </w:r>
    </w:p>
    <w:p>
      <w:pPr>
        <w:spacing w:after="0" w:line="84" w:lineRule="exact"/>
        <w:rPr>
          <w:sz w:val="20"/>
          <w:szCs w:val="20"/>
          <w:color w:val="auto"/>
        </w:rPr>
      </w:pPr>
    </w:p>
    <w:p>
      <w:pPr>
        <w:ind w:right="2559" w:firstLine="199"/>
        <w:spacing w:after="0" w:line="279" w:lineRule="auto"/>
        <w:rPr>
          <w:sz w:val="20"/>
          <w:szCs w:val="20"/>
          <w:color w:val="auto"/>
        </w:rPr>
      </w:pPr>
      <w:r>
        <w:rPr>
          <w:rFonts w:ascii="Courier New" w:cs="Courier New" w:eastAsia="Courier New" w:hAnsi="Courier New"/>
          <w:sz w:val="16"/>
          <w:szCs w:val="16"/>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75"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Section 9. ASSISTANT SECRETARIES AND ASSISTANT TREASURERS. The assistant secretaries and assistant treasurers, in general, shall perform such duties as shall be assigned to them by the secretary or treasurer, respectively, or by the president or the Trustees. The assistant treasurers shall, if required by the Trustees, give bonds for the faithful performance of their duties in such sums and with such surety or sureties as shall be satisfactory to the Trustees.</w:t>
      </w:r>
    </w:p>
    <w:p>
      <w:pPr>
        <w:spacing w:after="0" w:line="92" w:lineRule="exact"/>
        <w:rPr>
          <w:sz w:val="20"/>
          <w:szCs w:val="20"/>
          <w:color w:val="auto"/>
        </w:rPr>
      </w:pPr>
    </w:p>
    <w:p>
      <w:pPr>
        <w:ind w:right="2759" w:firstLine="199"/>
        <w:spacing w:after="0" w:line="274" w:lineRule="auto"/>
        <w:rPr>
          <w:sz w:val="20"/>
          <w:szCs w:val="20"/>
          <w:color w:val="auto"/>
        </w:rPr>
      </w:pPr>
      <w:r>
        <w:rPr>
          <w:rFonts w:ascii="Courier New" w:cs="Courier New" w:eastAsia="Courier New" w:hAnsi="Courier New"/>
          <w:sz w:val="17"/>
          <w:szCs w:val="17"/>
          <w:color w:val="auto"/>
        </w:rPr>
        <w:t>Section 10. SALARIES. The salaries and other compensation of the officers shall be fixed from time to time by the Trustees and no officer shall be prevented from receiving such salary or other compensation by reason of the fact that he is also a Trustee.</w:t>
      </w:r>
    </w:p>
    <w:p>
      <w:pPr>
        <w:spacing w:after="0" w:line="7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B-9</w:t>
      </w:r>
    </w:p>
    <w:p>
      <w:pPr>
        <w:sectPr>
          <w:pgSz w:w="11900" w:h="16838" w:orient="portrait"/>
          <w:cols w:equalWidth="0" w:num="1">
            <w:col w:w="10219"/>
          </w:cols>
          <w:pgMar w:left="240" w:top="660" w:right="1440" w:bottom="695" w:gutter="0" w:footer="0" w:header="0"/>
        </w:sectPr>
      </w:pPr>
    </w:p>
    <w:bookmarkStart w:id="69" w:name="page70"/>
    <w:bookmarkEnd w:id="69"/>
    <w:p>
      <w:pPr>
        <w:jc w:val="center"/>
        <w:ind w:right="2459"/>
        <w:spacing w:after="0"/>
        <w:rPr>
          <w:sz w:val="20"/>
          <w:szCs w:val="20"/>
          <w:color w:val="auto"/>
        </w:rPr>
      </w:pPr>
      <w:r>
        <w:rPr>
          <w:rFonts w:ascii="Courier New" w:cs="Courier New" w:eastAsia="Courier New" w:hAnsi="Courier New"/>
          <w:sz w:val="17"/>
          <w:szCs w:val="17"/>
          <w:color w:val="auto"/>
        </w:rPr>
        <w:t>ARTICLE VI</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CONTRACTS, LOANS, CHECKS AND DEPOSITS</w:t>
      </w:r>
    </w:p>
    <w:p>
      <w:pPr>
        <w:spacing w:after="0" w:line="190" w:lineRule="exact"/>
        <w:rPr>
          <w:sz w:val="20"/>
          <w:szCs w:val="20"/>
          <w:color w:val="auto"/>
        </w:rPr>
      </w:pPr>
    </w:p>
    <w:p>
      <w:pPr>
        <w:ind w:right="2459" w:firstLine="199"/>
        <w:spacing w:after="0" w:line="256" w:lineRule="auto"/>
        <w:rPr>
          <w:sz w:val="20"/>
          <w:szCs w:val="20"/>
          <w:color w:val="auto"/>
        </w:rPr>
      </w:pPr>
      <w:r>
        <w:rPr>
          <w:rFonts w:ascii="Courier New" w:cs="Courier New" w:eastAsia="Courier New" w:hAnsi="Courier New"/>
          <w:sz w:val="17"/>
          <w:szCs w:val="17"/>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92" w:lineRule="exact"/>
        <w:rPr>
          <w:sz w:val="20"/>
          <w:szCs w:val="20"/>
          <w:color w:val="auto"/>
        </w:rPr>
      </w:pPr>
    </w:p>
    <w:p>
      <w:pPr>
        <w:ind w:right="2559" w:firstLine="199"/>
        <w:spacing w:after="0" w:line="274" w:lineRule="auto"/>
        <w:rPr>
          <w:sz w:val="20"/>
          <w:szCs w:val="20"/>
          <w:color w:val="auto"/>
        </w:rPr>
      </w:pPr>
      <w:r>
        <w:rPr>
          <w:rFonts w:ascii="Courier New" w:cs="Courier New" w:eastAsia="Courier New" w:hAnsi="Courier New"/>
          <w:sz w:val="17"/>
          <w:szCs w:val="17"/>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77" w:lineRule="exact"/>
        <w:rPr>
          <w:sz w:val="20"/>
          <w:szCs w:val="20"/>
          <w:color w:val="auto"/>
        </w:rPr>
      </w:pPr>
    </w:p>
    <w:p>
      <w:pPr>
        <w:ind w:right="2459" w:firstLine="199"/>
        <w:spacing w:after="0" w:line="296" w:lineRule="auto"/>
        <w:rPr>
          <w:sz w:val="20"/>
          <w:szCs w:val="20"/>
          <w:color w:val="auto"/>
        </w:rPr>
      </w:pPr>
      <w:r>
        <w:rPr>
          <w:rFonts w:ascii="Courier New" w:cs="Courier New" w:eastAsia="Courier New" w:hAnsi="Courier New"/>
          <w:sz w:val="16"/>
          <w:szCs w:val="16"/>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may do so.</w:t>
      </w:r>
    </w:p>
    <w:p>
      <w:pPr>
        <w:spacing w:after="0" w:line="6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ARTICLE VII</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SHARES</w:t>
      </w:r>
    </w:p>
    <w:p>
      <w:pPr>
        <w:spacing w:after="0" w:line="190" w:lineRule="exact"/>
        <w:rPr>
          <w:sz w:val="20"/>
          <w:szCs w:val="20"/>
          <w:color w:val="auto"/>
        </w:rPr>
      </w:pPr>
    </w:p>
    <w:p>
      <w:pPr>
        <w:ind w:right="2459" w:firstLine="199"/>
        <w:spacing w:after="0" w:line="244" w:lineRule="auto"/>
        <w:rPr>
          <w:sz w:val="20"/>
          <w:szCs w:val="20"/>
          <w:color w:val="auto"/>
        </w:rPr>
      </w:pPr>
      <w:r>
        <w:rPr>
          <w:rFonts w:ascii="Courier New" w:cs="Courier New" w:eastAsia="Courier New" w:hAnsi="Courier New"/>
          <w:sz w:val="17"/>
          <w:szCs w:val="17"/>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101"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7"/>
          <w:szCs w:val="17"/>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97" w:lineRule="exact"/>
        <w:rPr>
          <w:sz w:val="20"/>
          <w:szCs w:val="20"/>
          <w:color w:val="auto"/>
        </w:rPr>
      </w:pPr>
    </w:p>
    <w:p>
      <w:pPr>
        <w:ind w:right="2459" w:firstLine="199"/>
        <w:spacing w:after="0" w:line="260" w:lineRule="auto"/>
        <w:rPr>
          <w:sz w:val="20"/>
          <w:szCs w:val="20"/>
          <w:color w:val="auto"/>
        </w:rPr>
      </w:pPr>
      <w:r>
        <w:rPr>
          <w:rFonts w:ascii="Courier New" w:cs="Courier New" w:eastAsia="Courier New" w:hAnsi="Courier New"/>
          <w:sz w:val="17"/>
          <w:szCs w:val="17"/>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87" w:lineRule="exact"/>
        <w:rPr>
          <w:sz w:val="20"/>
          <w:szCs w:val="20"/>
          <w:color w:val="auto"/>
        </w:rPr>
      </w:pPr>
    </w:p>
    <w:p>
      <w:pPr>
        <w:jc w:val="both"/>
        <w:ind w:right="2459" w:firstLine="199"/>
        <w:spacing w:after="0" w:line="292" w:lineRule="auto"/>
        <w:rPr>
          <w:sz w:val="20"/>
          <w:szCs w:val="20"/>
          <w:color w:val="auto"/>
        </w:rPr>
      </w:pPr>
      <w:r>
        <w:rPr>
          <w:rFonts w:ascii="Courier New" w:cs="Courier New" w:eastAsia="Courier New" w:hAnsi="Courier New"/>
          <w:sz w:val="17"/>
          <w:szCs w:val="17"/>
          <w:color w:val="auto"/>
        </w:rPr>
        <w:t>Notwithstanding the foregoing, transfers of shares of beneficial interest of the Trust will be subject in all respects to the Declaration of Trust and all of the terms and conditions contained therein.</w:t>
      </w:r>
    </w:p>
    <w:p>
      <w:pPr>
        <w:spacing w:after="0" w:line="62"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7"/>
          <w:szCs w:val="17"/>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w:t>
      </w:r>
    </w:p>
    <w:p>
      <w:pPr>
        <w:spacing w:after="0" w:line="9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B-10</w:t>
      </w:r>
    </w:p>
    <w:p>
      <w:pPr>
        <w:sectPr>
          <w:pgSz w:w="11900" w:h="16838" w:orient="portrait"/>
          <w:cols w:equalWidth="0" w:num="1">
            <w:col w:w="10219"/>
          </w:cols>
          <w:pgMar w:left="240" w:top="660" w:right="1440" w:bottom="886" w:gutter="0" w:footer="0" w:header="0"/>
        </w:sectPr>
      </w:pPr>
    </w:p>
    <w:bookmarkStart w:id="70" w:name="page71"/>
    <w:bookmarkEnd w:id="70"/>
    <w:p>
      <w:pPr>
        <w:ind w:right="2459"/>
        <w:spacing w:after="0" w:line="274" w:lineRule="auto"/>
        <w:rPr>
          <w:sz w:val="20"/>
          <w:szCs w:val="20"/>
          <w:color w:val="auto"/>
        </w:rPr>
      </w:pPr>
      <w:r>
        <w:rPr>
          <w:rFonts w:ascii="Courier New" w:cs="Courier New" w:eastAsia="Courier New" w:hAnsi="Courier New"/>
          <w:sz w:val="17"/>
          <w:szCs w:val="17"/>
          <w:color w:val="auto"/>
        </w:rPr>
        <w:t>destroyed certificate or the owner's legal representative to advertise the same in such manner as he shall require and/or to give bond, with sufficient surety, to the Trust to indemnify it against any loss or claim which may arise as a result of the issuance of a new certificate.</w:t>
      </w:r>
    </w:p>
    <w:p>
      <w:pPr>
        <w:spacing w:after="0" w:line="77" w:lineRule="exact"/>
        <w:rPr>
          <w:sz w:val="20"/>
          <w:szCs w:val="20"/>
          <w:color w:val="auto"/>
        </w:rPr>
      </w:pPr>
    </w:p>
    <w:p>
      <w:pPr>
        <w:ind w:right="2459" w:firstLine="199"/>
        <w:spacing w:after="0" w:line="267" w:lineRule="auto"/>
        <w:rPr>
          <w:sz w:val="20"/>
          <w:szCs w:val="20"/>
          <w:color w:val="auto"/>
        </w:rPr>
      </w:pPr>
      <w:r>
        <w:rPr>
          <w:rFonts w:ascii="Courier New" w:cs="Courier New" w:eastAsia="Courier New" w:hAnsi="Courier New"/>
          <w:sz w:val="16"/>
          <w:szCs w:val="16"/>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87" w:lineRule="exact"/>
        <w:rPr>
          <w:sz w:val="20"/>
          <w:szCs w:val="20"/>
          <w:color w:val="auto"/>
        </w:rPr>
      </w:pPr>
    </w:p>
    <w:p>
      <w:pPr>
        <w:ind w:right="2759" w:firstLine="199"/>
        <w:spacing w:after="0" w:line="260" w:lineRule="auto"/>
        <w:rPr>
          <w:sz w:val="20"/>
          <w:szCs w:val="20"/>
          <w:color w:val="auto"/>
        </w:rPr>
      </w:pPr>
      <w:r>
        <w:rPr>
          <w:rFonts w:ascii="Courier New" w:cs="Courier New" w:eastAsia="Courier New" w:hAnsi="Courier New"/>
          <w:sz w:val="17"/>
          <w:szCs w:val="17"/>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87" w:lineRule="exact"/>
        <w:rPr>
          <w:sz w:val="20"/>
          <w:szCs w:val="20"/>
          <w:color w:val="auto"/>
        </w:rPr>
      </w:pPr>
    </w:p>
    <w:p>
      <w:pPr>
        <w:ind w:right="2459" w:firstLine="199"/>
        <w:spacing w:after="0" w:line="269" w:lineRule="auto"/>
        <w:rPr>
          <w:sz w:val="20"/>
          <w:szCs w:val="20"/>
          <w:color w:val="auto"/>
        </w:rPr>
      </w:pPr>
      <w:r>
        <w:rPr>
          <w:rFonts w:ascii="Courier New" w:cs="Courier New" w:eastAsia="Courier New" w:hAnsi="Courier New"/>
          <w:sz w:val="16"/>
          <w:szCs w:val="16"/>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84" w:lineRule="exact"/>
        <w:rPr>
          <w:sz w:val="20"/>
          <w:szCs w:val="20"/>
          <w:color w:val="auto"/>
        </w:rPr>
      </w:pPr>
    </w:p>
    <w:p>
      <w:pPr>
        <w:ind w:right="2559" w:firstLine="199"/>
        <w:spacing w:after="0" w:line="275" w:lineRule="auto"/>
        <w:rPr>
          <w:sz w:val="20"/>
          <w:szCs w:val="20"/>
          <w:color w:val="auto"/>
        </w:rPr>
      </w:pPr>
      <w:r>
        <w:rPr>
          <w:rFonts w:ascii="Courier New" w:cs="Courier New" w:eastAsia="Courier New" w:hAnsi="Courier New"/>
          <w:sz w:val="16"/>
          <w:szCs w:val="16"/>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76" w:lineRule="exact"/>
        <w:rPr>
          <w:sz w:val="20"/>
          <w:szCs w:val="20"/>
          <w:color w:val="auto"/>
        </w:rPr>
      </w:pPr>
    </w:p>
    <w:p>
      <w:pPr>
        <w:ind w:right="2459" w:firstLine="199"/>
        <w:spacing w:after="0" w:line="274" w:lineRule="auto"/>
        <w:rPr>
          <w:sz w:val="20"/>
          <w:szCs w:val="20"/>
          <w:color w:val="auto"/>
        </w:rPr>
      </w:pPr>
      <w:r>
        <w:rPr>
          <w:rFonts w:ascii="Courier New" w:cs="Courier New" w:eastAsia="Courier New" w:hAnsi="Courier New"/>
          <w:sz w:val="17"/>
          <w:szCs w:val="17"/>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77" w:lineRule="exact"/>
        <w:rPr>
          <w:sz w:val="20"/>
          <w:szCs w:val="20"/>
          <w:color w:val="auto"/>
        </w:rPr>
      </w:pPr>
    </w:p>
    <w:p>
      <w:pPr>
        <w:ind w:right="2459" w:firstLine="199"/>
        <w:spacing w:after="0" w:line="251" w:lineRule="auto"/>
        <w:rPr>
          <w:sz w:val="20"/>
          <w:szCs w:val="20"/>
          <w:color w:val="auto"/>
        </w:rPr>
      </w:pPr>
      <w:r>
        <w:rPr>
          <w:rFonts w:ascii="Courier New" w:cs="Courier New" w:eastAsia="Courier New" w:hAnsi="Courier New"/>
          <w:sz w:val="17"/>
          <w:szCs w:val="17"/>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10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ARTICLE VIII</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ACCOUNTING YEAR</w:t>
      </w:r>
    </w:p>
    <w:p>
      <w:pPr>
        <w:spacing w:after="0" w:line="190" w:lineRule="exact"/>
        <w:rPr>
          <w:sz w:val="20"/>
          <w:szCs w:val="20"/>
          <w:color w:val="auto"/>
        </w:rPr>
      </w:pPr>
    </w:p>
    <w:p>
      <w:pPr>
        <w:ind w:right="2459" w:firstLine="199"/>
        <w:spacing w:after="0" w:line="347" w:lineRule="auto"/>
        <w:rPr>
          <w:sz w:val="20"/>
          <w:szCs w:val="20"/>
          <w:color w:val="auto"/>
        </w:rPr>
      </w:pPr>
      <w:r>
        <w:rPr>
          <w:rFonts w:ascii="Courier New" w:cs="Courier New" w:eastAsia="Courier New" w:hAnsi="Courier New"/>
          <w:sz w:val="17"/>
          <w:szCs w:val="17"/>
          <w:color w:val="auto"/>
        </w:rPr>
        <w:t>The Trustees shall have the power, from time to time, to fix the fiscal year of the Trust by a duly adopted resolution.</w:t>
      </w:r>
    </w:p>
    <w:p>
      <w:pPr>
        <w:spacing w:after="0" w:line="1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ARTICLE IX</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DISTRIBUTIONS</w:t>
      </w:r>
    </w:p>
    <w:p>
      <w:pPr>
        <w:spacing w:after="0" w:line="190" w:lineRule="exact"/>
        <w:rPr>
          <w:sz w:val="20"/>
          <w:szCs w:val="20"/>
          <w:color w:val="auto"/>
        </w:rPr>
      </w:pPr>
    </w:p>
    <w:p>
      <w:pPr>
        <w:ind w:right="2559" w:firstLine="199"/>
        <w:spacing w:after="0" w:line="285" w:lineRule="auto"/>
        <w:rPr>
          <w:sz w:val="20"/>
          <w:szCs w:val="20"/>
          <w:color w:val="auto"/>
        </w:rPr>
      </w:pPr>
      <w:r>
        <w:rPr>
          <w:rFonts w:ascii="Courier New" w:cs="Courier New" w:eastAsia="Courier New" w:hAnsi="Courier New"/>
          <w:sz w:val="16"/>
          <w:szCs w:val="16"/>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7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B-11</w:t>
      </w:r>
    </w:p>
    <w:p>
      <w:pPr>
        <w:sectPr>
          <w:pgSz w:w="11900" w:h="16838" w:orient="portrait"/>
          <w:cols w:equalWidth="0" w:num="1">
            <w:col w:w="10219"/>
          </w:cols>
          <w:pgMar w:left="240" w:top="660" w:right="1440" w:bottom="1440" w:gutter="0" w:footer="0" w:header="0"/>
        </w:sectPr>
      </w:pPr>
    </w:p>
    <w:bookmarkStart w:id="71" w:name="page72"/>
    <w:bookmarkEnd w:id="71"/>
    <w:p>
      <w:pPr>
        <w:ind w:right="2459" w:firstLine="199"/>
        <w:spacing w:after="0" w:line="251" w:lineRule="auto"/>
        <w:rPr>
          <w:sz w:val="20"/>
          <w:szCs w:val="20"/>
          <w:color w:val="auto"/>
        </w:rPr>
      </w:pPr>
      <w:r>
        <w:rPr>
          <w:rFonts w:ascii="Courier New" w:cs="Courier New" w:eastAsia="Courier New" w:hAnsi="Courier New"/>
          <w:sz w:val="17"/>
          <w:szCs w:val="17"/>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10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X</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INVESTMENT POLICY</w:t>
      </w:r>
    </w:p>
    <w:p>
      <w:pPr>
        <w:spacing w:after="0" w:line="190" w:lineRule="exact"/>
        <w:rPr>
          <w:sz w:val="20"/>
          <w:szCs w:val="20"/>
          <w:color w:val="auto"/>
        </w:rPr>
      </w:pPr>
    </w:p>
    <w:p>
      <w:pPr>
        <w:ind w:right="2459" w:firstLine="199"/>
        <w:spacing w:after="0" w:line="274" w:lineRule="auto"/>
        <w:rPr>
          <w:sz w:val="20"/>
          <w:szCs w:val="20"/>
          <w:color w:val="auto"/>
        </w:rPr>
      </w:pPr>
      <w:r>
        <w:rPr>
          <w:rFonts w:ascii="Courier New" w:cs="Courier New" w:eastAsia="Courier New" w:hAnsi="Courier New"/>
          <w:sz w:val="17"/>
          <w:szCs w:val="17"/>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ARTICLE XI</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SEAL</w:t>
      </w:r>
    </w:p>
    <w:p>
      <w:pPr>
        <w:spacing w:after="0" w:line="190" w:lineRule="exact"/>
        <w:rPr>
          <w:sz w:val="20"/>
          <w:szCs w:val="20"/>
          <w:color w:val="auto"/>
        </w:rPr>
      </w:pPr>
    </w:p>
    <w:p>
      <w:pPr>
        <w:ind w:right="2559" w:firstLine="199"/>
        <w:spacing w:after="0" w:line="274" w:lineRule="auto"/>
        <w:rPr>
          <w:sz w:val="20"/>
          <w:szCs w:val="20"/>
          <w:color w:val="auto"/>
        </w:rPr>
      </w:pPr>
      <w:r>
        <w:rPr>
          <w:rFonts w:ascii="Courier New" w:cs="Courier New" w:eastAsia="Courier New" w:hAnsi="Courier New"/>
          <w:sz w:val="17"/>
          <w:szCs w:val="17"/>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77" w:lineRule="exact"/>
        <w:rPr>
          <w:sz w:val="20"/>
          <w:szCs w:val="20"/>
          <w:color w:val="auto"/>
        </w:rPr>
      </w:pPr>
    </w:p>
    <w:p>
      <w:pPr>
        <w:ind w:right="2559" w:firstLine="199"/>
        <w:spacing w:after="0" w:line="265" w:lineRule="auto"/>
        <w:rPr>
          <w:sz w:val="20"/>
          <w:szCs w:val="20"/>
          <w:color w:val="auto"/>
        </w:rPr>
      </w:pPr>
      <w:r>
        <w:rPr>
          <w:rFonts w:ascii="Courier New" w:cs="Courier New" w:eastAsia="Courier New" w:hAnsi="Courier New"/>
          <w:sz w:val="17"/>
          <w:szCs w:val="17"/>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8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XII</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INDEMNIFICATION AND ADVANCE OF EXPENSES</w:t>
      </w:r>
    </w:p>
    <w:p>
      <w:pPr>
        <w:spacing w:after="0" w:line="190"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(i) a written affirmation by the Trustee or officer of his good faith belief that he has met the applicable standard of conduct necessary for indemnification by the Trust as authorized by these Bylaws and</w:t>
      </w:r>
    </w:p>
    <w:p>
      <w:pPr>
        <w:spacing w:after="0" w:line="13" w:lineRule="exact"/>
        <w:rPr>
          <w:sz w:val="20"/>
          <w:szCs w:val="20"/>
          <w:color w:val="auto"/>
        </w:rPr>
      </w:pPr>
    </w:p>
    <w:p>
      <w:pPr>
        <w:ind w:right="2659" w:firstLine="2"/>
        <w:spacing w:after="0" w:line="256" w:lineRule="auto"/>
        <w:tabs>
          <w:tab w:leader="none" w:pos="497"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written undertaking by or on his behalf to repay the amount paid or reimbursed by the Trust if it shall ultimately be determined that the applicable standard of conduct was not met. The Trust may, with the approval of its Trustees, provide such indemnification or payment or reimbursement of expenses to any</w:t>
      </w:r>
    </w:p>
    <w:p>
      <w:pPr>
        <w:spacing w:after="0" w:line="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B-12</w:t>
      </w:r>
    </w:p>
    <w:p>
      <w:pPr>
        <w:sectPr>
          <w:pgSz w:w="11900" w:h="16838" w:orient="portrait"/>
          <w:cols w:equalWidth="0" w:num="1">
            <w:col w:w="10219"/>
          </w:cols>
          <w:pgMar w:left="240" w:top="660" w:right="1440" w:bottom="1440" w:gutter="0" w:footer="0" w:header="0"/>
        </w:sectPr>
      </w:pPr>
    </w:p>
    <w:bookmarkStart w:id="72" w:name="page73"/>
    <w:bookmarkEnd w:id="72"/>
    <w:p>
      <w:pPr>
        <w:ind w:right="2559"/>
        <w:spacing w:after="0" w:line="253" w:lineRule="auto"/>
        <w:rPr>
          <w:sz w:val="20"/>
          <w:szCs w:val="20"/>
          <w:color w:val="auto"/>
        </w:rPr>
      </w:pPr>
      <w:r>
        <w:rPr>
          <w:rFonts w:ascii="Courier New" w:cs="Courier New" w:eastAsia="Courier New" w:hAnsi="Courier New"/>
          <w:sz w:val="17"/>
          <w:szCs w:val="17"/>
          <w:color w:val="auto"/>
        </w:rPr>
        <w:t>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9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7"/>
          <w:szCs w:val="17"/>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9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ARTICLE XIII</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WAIVER OF NOTICE</w:t>
      </w:r>
    </w:p>
    <w:p>
      <w:pPr>
        <w:spacing w:after="0" w:line="190" w:lineRule="exact"/>
        <w:rPr>
          <w:sz w:val="20"/>
          <w:szCs w:val="20"/>
          <w:color w:val="auto"/>
        </w:rPr>
      </w:pPr>
    </w:p>
    <w:p>
      <w:pPr>
        <w:ind w:right="2659" w:firstLine="199"/>
        <w:spacing w:after="0" w:line="249" w:lineRule="auto"/>
        <w:rPr>
          <w:sz w:val="20"/>
          <w:szCs w:val="20"/>
          <w:color w:val="auto"/>
        </w:rPr>
      </w:pPr>
      <w:r>
        <w:rPr>
          <w:rFonts w:ascii="Courier New" w:cs="Courier New" w:eastAsia="Courier New" w:hAnsi="Courier New"/>
          <w:sz w:val="17"/>
          <w:szCs w:val="17"/>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9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XIV</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AMENDMENT OF BYLAWS</w:t>
      </w:r>
    </w:p>
    <w:p>
      <w:pPr>
        <w:spacing w:after="0" w:line="190" w:lineRule="exact"/>
        <w:rPr>
          <w:sz w:val="20"/>
          <w:szCs w:val="20"/>
          <w:color w:val="auto"/>
        </w:rPr>
      </w:pPr>
    </w:p>
    <w:p>
      <w:pPr>
        <w:ind w:right="2759" w:firstLine="199"/>
        <w:spacing w:after="0" w:line="347" w:lineRule="auto"/>
        <w:rPr>
          <w:sz w:val="20"/>
          <w:szCs w:val="20"/>
          <w:color w:val="auto"/>
        </w:rPr>
      </w:pPr>
      <w:r>
        <w:rPr>
          <w:rFonts w:ascii="Courier New" w:cs="Courier New" w:eastAsia="Courier New" w:hAnsi="Courier New"/>
          <w:sz w:val="17"/>
          <w:szCs w:val="17"/>
          <w:color w:val="auto"/>
        </w:rPr>
        <w:t>The Trustees shall have the exclusive power to adopt, alter or repeal any provision of these Bylaws and to make new Bylaws.</w:t>
      </w:r>
    </w:p>
    <w:p>
      <w:pPr>
        <w:spacing w:after="0" w:line="1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ARTICLE XV</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MISCELLANEOUS</w:t>
      </w:r>
    </w:p>
    <w:p>
      <w:pPr>
        <w:spacing w:after="0" w:line="190" w:lineRule="exact"/>
        <w:rPr>
          <w:sz w:val="20"/>
          <w:szCs w:val="20"/>
          <w:color w:val="auto"/>
        </w:rPr>
      </w:pPr>
    </w:p>
    <w:p>
      <w:pPr>
        <w:ind w:right="2959" w:firstLine="199"/>
        <w:spacing w:after="0" w:line="347" w:lineRule="auto"/>
        <w:rPr>
          <w:sz w:val="20"/>
          <w:szCs w:val="20"/>
          <w:color w:val="auto"/>
        </w:rPr>
      </w:pPr>
      <w:r>
        <w:rPr>
          <w:rFonts w:ascii="Courier New" w:cs="Courier New" w:eastAsia="Courier New" w:hAnsi="Courier New"/>
          <w:sz w:val="17"/>
          <w:szCs w:val="17"/>
          <w:color w:val="auto"/>
        </w:rPr>
        <w:t>All references to the Declaration of Trust shall include any amendments thereto.</w:t>
      </w:r>
    </w:p>
    <w:p>
      <w:pPr>
        <w:spacing w:after="0" w:line="1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B-13</w:t>
      </w:r>
    </w:p>
    <w:p>
      <w:pPr>
        <w:sectPr>
          <w:pgSz w:w="11900" w:h="16838" w:orient="portrait"/>
          <w:cols w:equalWidth="0" w:num="1">
            <w:col w:w="10219"/>
          </w:cols>
          <w:pgMar w:left="240" w:top="660" w:right="1440" w:bottom="1440" w:gutter="0" w:footer="0" w:header="0"/>
        </w:sectPr>
      </w:pPr>
    </w:p>
    <w:bookmarkStart w:id="73" w:name="page74"/>
    <w:bookmarkEnd w:id="73"/>
    <w:p>
      <w:pPr>
        <w:ind w:left="200" w:hanging="198"/>
        <w:spacing w:after="0"/>
        <w:tabs>
          <w:tab w:leader="none" w:pos="2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PROXY</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190" w:lineRule="exact"/>
        <w:rPr>
          <w:sz w:val="20"/>
          <w:szCs w:val="20"/>
          <w:color w:val="auto"/>
        </w:rPr>
      </w:pPr>
    </w:p>
    <w:p>
      <w:pPr>
        <w:ind w:right="2259" w:firstLine="298"/>
        <w:spacing w:after="0" w:line="249" w:lineRule="auto"/>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THOMAS F. COONEY, ESQ., RON D. KAPLAN and CECILY A. WARD, or any of them, as the true and lawful attorneys and proxies of the undersigned, with full power of substitution in each of them, for and in the name of the undersigned, to vote and otherwise act at the Annual Meeting of Shareholders of the Trust to be held at The Doubletree Hotel, 1750 Rockville Pike, Rockville, Maryland on Wednesday, May 5, 1999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97" w:lineRule="exact"/>
        <w:rPr>
          <w:sz w:val="20"/>
          <w:szCs w:val="20"/>
          <w:color w:val="auto"/>
        </w:rPr>
      </w:pPr>
    </w:p>
    <w:p>
      <w:pPr>
        <w:ind w:right="2259" w:firstLine="298"/>
        <w:spacing w:after="0" w:line="347"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7" w:lineRule="exact"/>
        <w:rPr>
          <w:sz w:val="20"/>
          <w:szCs w:val="20"/>
          <w:color w:val="auto"/>
        </w:rPr>
      </w:pPr>
    </w:p>
    <w:p>
      <w:pPr>
        <w:jc w:val="both"/>
        <w:ind w:right="2459" w:firstLine="298"/>
        <w:spacing w:after="0" w:line="292" w:lineRule="auto"/>
        <w:rPr>
          <w:sz w:val="20"/>
          <w:szCs w:val="20"/>
          <w:color w:val="auto"/>
        </w:rPr>
      </w:pPr>
      <w:r>
        <w:rPr>
          <w:rFonts w:ascii="Courier New" w:cs="Courier New" w:eastAsia="Courier New" w:hAnsi="Courier New"/>
          <w:sz w:val="17"/>
          <w:szCs w:val="17"/>
          <w:color w:val="auto"/>
        </w:rPr>
        <w:t>The undersigned hereby acknowledges receipt of the Notice of Annual Meeting and of the accompanying Proxy Statement and revokes any proxy previously given with respect to the Annual Meeting.</w:t>
      </w:r>
    </w:p>
    <w:p>
      <w:pPr>
        <w:spacing w:after="0" w:line="62"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w:t>
      </w:r>
    </w:p>
    <w:p>
      <w:pPr>
        <w:spacing w:after="0" w:line="27" w:lineRule="exact"/>
        <w:rPr>
          <w:sz w:val="20"/>
          <w:szCs w:val="20"/>
          <w:color w:val="auto"/>
        </w:rPr>
      </w:pPr>
    </w:p>
    <w:p>
      <w:pPr>
        <w:ind w:left="6760"/>
        <w:spacing w:after="0"/>
        <w:rPr>
          <w:sz w:val="20"/>
          <w:szCs w:val="20"/>
          <w:color w:val="auto"/>
        </w:rPr>
      </w:pPr>
      <w:r>
        <w:rPr>
          <w:rFonts w:ascii="Courier New" w:cs="Courier New" w:eastAsia="Courier New" w:hAnsi="Courier New"/>
          <w:sz w:val="17"/>
          <w:szCs w:val="17"/>
          <w:color w:val="auto"/>
        </w:rPr>
        <w:t>SEE REVERSE</w:t>
      </w:r>
    </w:p>
    <w:p>
      <w:pPr>
        <w:ind w:left="7060"/>
        <w:spacing w:after="0" w:line="238" w:lineRule="auto"/>
        <w:rPr>
          <w:sz w:val="20"/>
          <w:szCs w:val="20"/>
          <w:color w:val="auto"/>
        </w:rPr>
      </w:pPr>
      <w:r>
        <w:rPr>
          <w:rFonts w:ascii="Courier New" w:cs="Courier New" w:eastAsia="Courier New" w:hAnsi="Courier New"/>
          <w:sz w:val="17"/>
          <w:szCs w:val="17"/>
          <w:color w:val="auto"/>
        </w:rPr>
        <w:t>SIDE</w:t>
      </w:r>
    </w:p>
    <w:p>
      <w:pPr>
        <w:ind w:left="6660"/>
        <w:spacing w:after="0" w:line="238" w:lineRule="auto"/>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(To Be Signed on Reverse Side)</w:t>
      </w:r>
    </w:p>
    <w:p>
      <w:pPr>
        <w:sectPr>
          <w:pgSz w:w="11900" w:h="16838" w:orient="portrait"/>
          <w:cols w:equalWidth="0" w:num="1">
            <w:col w:w="10219"/>
          </w:cols>
          <w:pgMar w:left="240" w:top="660" w:right="1440" w:bottom="1440" w:gutter="0" w:footer="0" w:header="0"/>
        </w:sectPr>
      </w:pPr>
    </w:p>
    <w:bookmarkStart w:id="74" w:name="page75"/>
    <w:bookmarkEnd w:id="74"/>
    <w:p>
      <w:pPr>
        <w:ind w:left="600"/>
        <w:spacing w:after="0"/>
        <w:rPr>
          <w:sz w:val="20"/>
          <w:szCs w:val="20"/>
          <w:color w:val="auto"/>
        </w:rPr>
      </w:pPr>
      <w:r>
        <w:rPr>
          <w:rFonts w:ascii="Courier New" w:cs="Courier New" w:eastAsia="Courier New" w:hAnsi="Courier New"/>
          <w:sz w:val="17"/>
          <w:szCs w:val="17"/>
          <w:color w:val="auto"/>
        </w:rPr>
        <w:t>Please mark your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[X] votes as in this</w:t>
      </w:r>
    </w:p>
    <w:p>
      <w:pPr>
        <w:ind w:left="600"/>
        <w:spacing w:after="0"/>
        <w:rPr>
          <w:sz w:val="20"/>
          <w:szCs w:val="20"/>
          <w:color w:val="auto"/>
        </w:rPr>
      </w:pPr>
      <w:r>
        <w:rPr>
          <w:rFonts w:ascii="Courier New" w:cs="Courier New" w:eastAsia="Courier New" w:hAnsi="Courier New"/>
          <w:sz w:val="17"/>
          <w:szCs w:val="17"/>
          <w:color w:val="auto"/>
        </w:rPr>
        <w:t>example</w:t>
      </w:r>
    </w:p>
    <w:p>
      <w:pPr>
        <w:spacing w:after="0" w:line="160" w:lineRule="exact"/>
        <w:rPr>
          <w:sz w:val="20"/>
          <w:szCs w:val="20"/>
          <w:color w:val="auto"/>
        </w:rPr>
      </w:pPr>
    </w:p>
    <w:p>
      <w:pPr>
        <w:ind w:right="3660"/>
        <w:spacing w:after="0" w:line="292"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PROPOSALS 1,2 and 3.</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gridSpan w:val="2"/>
          </w:tcPr>
          <w:p>
            <w:pPr>
              <w:spacing w:after="0"/>
              <w:rPr>
                <w:sz w:val="20"/>
                <w:szCs w:val="20"/>
                <w:color w:val="auto"/>
              </w:rPr>
            </w:pPr>
            <w:r>
              <w:rPr>
                <w:rFonts w:ascii="Courier New" w:cs="Courier New" w:eastAsia="Courier New" w:hAnsi="Courier New"/>
                <w:sz w:val="17"/>
                <w:szCs w:val="17"/>
                <w:color w:val="auto"/>
              </w:rPr>
              <w:t>1. To elect the following Trustees</w:t>
            </w:r>
          </w:p>
        </w:tc>
        <w:tc>
          <w:tcPr>
            <w:tcW w:w="1200" w:type="dxa"/>
            <w:vAlign w:val="bottom"/>
          </w:tcPr>
          <w:p>
            <w:pPr>
              <w:ind w:left="500"/>
              <w:spacing w:after="0"/>
              <w:rPr>
                <w:sz w:val="20"/>
                <w:szCs w:val="20"/>
                <w:color w:val="auto"/>
              </w:rPr>
            </w:pPr>
            <w:r>
              <w:rPr>
                <w:rFonts w:ascii="Courier New" w:cs="Courier New" w:eastAsia="Courier New" w:hAnsi="Courier New"/>
                <w:sz w:val="17"/>
                <w:szCs w:val="17"/>
                <w:color w:val="auto"/>
              </w:rPr>
              <w:t>FOR</w:t>
            </w:r>
          </w:p>
        </w:tc>
        <w:tc>
          <w:tcPr>
            <w:tcW w:w="16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WITHHELD</w:t>
            </w:r>
          </w:p>
        </w:tc>
        <w:tc>
          <w:tcPr>
            <w:tcW w:w="4260" w:type="dxa"/>
            <w:vAlign w:val="bottom"/>
          </w:tcPr>
          <w:p>
            <w:pPr>
              <w:ind w:left="500"/>
              <w:spacing w:after="0"/>
              <w:rPr>
                <w:sz w:val="20"/>
                <w:szCs w:val="20"/>
                <w:color w:val="auto"/>
              </w:rPr>
            </w:pPr>
            <w:r>
              <w:rPr>
                <w:rFonts w:ascii="Courier New" w:cs="Courier New" w:eastAsia="Courier New" w:hAnsi="Courier New"/>
                <w:sz w:val="17"/>
                <w:szCs w:val="17"/>
                <w:color w:val="auto"/>
              </w:rPr>
              <w:t>Nominees:</w:t>
            </w:r>
          </w:p>
        </w:tc>
        <w:tc>
          <w:tcPr>
            <w:tcW w:w="0" w:type="dxa"/>
            <w:vAlign w:val="bottom"/>
          </w:tcPr>
          <w:p>
            <w:pPr>
              <w:spacing w:after="0"/>
              <w:rPr>
                <w:sz w:val="1"/>
                <w:szCs w:val="1"/>
                <w:color w:val="auto"/>
              </w:rPr>
            </w:pP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for terms expiring</w:t>
            </w:r>
          </w:p>
        </w:tc>
        <w:tc>
          <w:tcPr>
            <w:tcW w:w="25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as set forth in</w:t>
            </w:r>
          </w:p>
        </w:tc>
        <w:tc>
          <w:tcPr>
            <w:tcW w:w="120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 ]</w:t>
            </w:r>
          </w:p>
        </w:tc>
        <w:tc>
          <w:tcPr>
            <w:tcW w:w="1680" w:type="dxa"/>
            <w:vAlign w:val="bottom"/>
            <w:vMerge w:val="restart"/>
          </w:tcPr>
          <w:p>
            <w:pPr>
              <w:jc w:val="right"/>
              <w:ind w:right="717"/>
              <w:spacing w:after="0"/>
              <w:rPr>
                <w:sz w:val="20"/>
                <w:szCs w:val="20"/>
                <w:color w:val="auto"/>
              </w:rPr>
            </w:pPr>
            <w:r>
              <w:rPr>
                <w:rFonts w:ascii="Courier New" w:cs="Courier New" w:eastAsia="Courier New" w:hAnsi="Courier New"/>
                <w:sz w:val="17"/>
                <w:szCs w:val="17"/>
                <w:color w:val="auto"/>
              </w:rPr>
              <w:t>[ ]</w:t>
            </w:r>
          </w:p>
        </w:tc>
        <w:tc>
          <w:tcPr>
            <w:tcW w:w="4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Steven J. Guttman</w:t>
            </w:r>
          </w:p>
        </w:tc>
        <w:tc>
          <w:tcPr>
            <w:tcW w:w="0" w:type="dxa"/>
            <w:vAlign w:val="bottom"/>
          </w:tcPr>
          <w:p>
            <w:pPr>
              <w:spacing w:after="0"/>
              <w:rPr>
                <w:sz w:val="1"/>
                <w:szCs w:val="1"/>
                <w:color w:val="auto"/>
              </w:rPr>
            </w:pPr>
          </w:p>
        </w:tc>
      </w:tr>
      <w:tr>
        <w:trPr>
          <w:trHeight w:val="280"/>
        </w:trPr>
        <w:tc>
          <w:tcPr>
            <w:tcW w:w="4380" w:type="dxa"/>
            <w:vAlign w:val="bottom"/>
            <w:gridSpan w:val="2"/>
          </w:tcPr>
          <w:p>
            <w:pPr>
              <w:spacing w:after="0"/>
              <w:rPr>
                <w:sz w:val="20"/>
                <w:szCs w:val="20"/>
                <w:color w:val="auto"/>
              </w:rPr>
            </w:pPr>
            <w:r>
              <w:rPr>
                <w:rFonts w:ascii="Courier New" w:cs="Courier New" w:eastAsia="Courier New" w:hAnsi="Courier New"/>
                <w:sz w:val="17"/>
                <w:szCs w:val="17"/>
                <w:color w:val="auto"/>
              </w:rPr>
              <w:t>the accompanying Proxy Statement.</w:t>
            </w:r>
          </w:p>
        </w:tc>
        <w:tc>
          <w:tcPr>
            <w:tcW w:w="120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4260" w:type="dxa"/>
            <w:vAlign w:val="bottom"/>
          </w:tcPr>
          <w:p>
            <w:pPr>
              <w:ind w:left="500"/>
              <w:spacing w:after="0"/>
              <w:rPr>
                <w:sz w:val="20"/>
                <w:szCs w:val="20"/>
                <w:color w:val="auto"/>
              </w:rPr>
            </w:pPr>
            <w:r>
              <w:rPr>
                <w:rFonts w:ascii="Courier New" w:cs="Courier New" w:eastAsia="Courier New" w:hAnsi="Courier New"/>
                <w:sz w:val="17"/>
                <w:szCs w:val="17"/>
                <w:color w:val="auto"/>
              </w:rPr>
              <w:t>Mark S. Ordan</w:t>
            </w:r>
          </w:p>
        </w:tc>
        <w:tc>
          <w:tcPr>
            <w:tcW w:w="0" w:type="dxa"/>
            <w:vAlign w:val="bottom"/>
          </w:tcPr>
          <w:p>
            <w:pPr>
              <w:spacing w:after="0"/>
              <w:rPr>
                <w:sz w:val="1"/>
                <w:szCs w:val="1"/>
                <w:color w:val="auto"/>
              </w:rPr>
            </w:pPr>
          </w:p>
        </w:tc>
      </w:tr>
      <w:tr>
        <w:trPr>
          <w:trHeight w:val="294"/>
        </w:trPr>
        <w:tc>
          <w:tcPr>
            <w:tcW w:w="1840" w:type="dxa"/>
            <w:vAlign w:val="bottom"/>
          </w:tcPr>
          <w:p>
            <w:pPr>
              <w:spacing w:after="0"/>
              <w:rPr>
                <w:sz w:val="20"/>
                <w:szCs w:val="20"/>
                <w:color w:val="auto"/>
              </w:rPr>
            </w:pPr>
            <w:r>
              <w:rPr>
                <w:rFonts w:ascii="Courier New" w:cs="Courier New" w:eastAsia="Courier New" w:hAnsi="Courier New"/>
                <w:sz w:val="17"/>
                <w:szCs w:val="17"/>
                <w:color w:val="auto"/>
                <w:w w:val="99"/>
              </w:rPr>
              <w:t>For all, except as</w:t>
            </w:r>
          </w:p>
        </w:tc>
        <w:tc>
          <w:tcPr>
            <w:tcW w:w="2540" w:type="dxa"/>
            <w:vAlign w:val="bottom"/>
          </w:tcPr>
          <w:p>
            <w:pPr>
              <w:ind w:left="60"/>
              <w:spacing w:after="0"/>
              <w:rPr>
                <w:sz w:val="20"/>
                <w:szCs w:val="20"/>
                <w:color w:val="auto"/>
              </w:rPr>
            </w:pPr>
            <w:r>
              <w:rPr>
                <w:rFonts w:ascii="Courier New" w:cs="Courier New" w:eastAsia="Courier New" w:hAnsi="Courier New"/>
                <w:sz w:val="17"/>
                <w:szCs w:val="17"/>
                <w:color w:val="auto"/>
              </w:rPr>
              <w:t>otherwise indicated.</w:t>
            </w: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60" w:type="dxa"/>
            <w:vAlign w:val="bottom"/>
          </w:tcPr>
          <w:p>
            <w:pPr>
              <w:ind w:left="500"/>
              <w:spacing w:after="0"/>
              <w:rPr>
                <w:sz w:val="20"/>
                <w:szCs w:val="20"/>
                <w:color w:val="auto"/>
              </w:rPr>
            </w:pPr>
            <w:r>
              <w:rPr>
                <w:rFonts w:ascii="Courier New" w:cs="Courier New" w:eastAsia="Courier New" w:hAnsi="Courier New"/>
                <w:sz w:val="17"/>
                <w:szCs w:val="17"/>
                <w:color w:val="auto"/>
              </w:rPr>
              <w:t>The Board of Trustees unanimously</w:t>
            </w: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60" w:type="dxa"/>
            <w:vAlign w:val="bottom"/>
          </w:tcPr>
          <w:p>
            <w:pPr>
              <w:ind w:left="500"/>
              <w:spacing w:after="0"/>
              <w:rPr>
                <w:sz w:val="20"/>
                <w:szCs w:val="20"/>
                <w:color w:val="auto"/>
              </w:rPr>
            </w:pPr>
            <w:r>
              <w:rPr>
                <w:rFonts w:ascii="Courier New" w:cs="Courier New" w:eastAsia="Courier New" w:hAnsi="Courier New"/>
                <w:sz w:val="17"/>
                <w:szCs w:val="17"/>
                <w:color w:val="auto"/>
                <w:w w:val="96"/>
              </w:rPr>
              <w:t>recommends a vote FOR the two nominees</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(INSTRUCTION: To withhold authority to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for any individual nominee, strike</w:t>
      </w:r>
    </w:p>
    <w:p>
      <w:pPr>
        <w:spacing w:after="0"/>
        <w:rPr>
          <w:sz w:val="20"/>
          <w:szCs w:val="20"/>
          <w:color w:val="auto"/>
        </w:rPr>
      </w:pPr>
      <w:r>
        <w:rPr>
          <w:rFonts w:ascii="Courier New" w:cs="Courier New" w:eastAsia="Courier New" w:hAnsi="Courier New"/>
          <w:sz w:val="17"/>
          <w:szCs w:val="17"/>
          <w:color w:val="auto"/>
        </w:rPr>
        <w:t>a line through the nominee's name in the list.)</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20"/>
                <w:szCs w:val="20"/>
                <w:color w:val="auto"/>
              </w:rPr>
            </w:pPr>
            <w:r>
              <w:rPr>
                <w:rFonts w:ascii="Courier New" w:cs="Courier New" w:eastAsia="Courier New" w:hAnsi="Courier New"/>
                <w:sz w:val="17"/>
                <w:szCs w:val="17"/>
                <w:color w:val="auto"/>
                <w:w w:val="96"/>
              </w:rPr>
              <w:t>2. To approve the amendment and</w:t>
            </w:r>
          </w:p>
        </w:tc>
        <w:tc>
          <w:tcPr>
            <w:tcW w:w="1240" w:type="dxa"/>
            <w:vAlign w:val="bottom"/>
          </w:tcPr>
          <w:p>
            <w:pPr>
              <w:spacing w:after="0"/>
              <w:rPr>
                <w:sz w:val="16"/>
                <w:szCs w:val="16"/>
                <w:color w:val="auto"/>
              </w:rPr>
            </w:pPr>
          </w:p>
        </w:tc>
        <w:tc>
          <w:tcPr>
            <w:tcW w:w="1060" w:type="dxa"/>
            <w:vAlign w:val="bottom"/>
          </w:tcPr>
          <w:p>
            <w:pPr>
              <w:ind w:left="560"/>
              <w:spacing w:after="0"/>
              <w:rPr>
                <w:sz w:val="20"/>
                <w:szCs w:val="20"/>
                <w:color w:val="auto"/>
              </w:rPr>
            </w:pPr>
            <w:r>
              <w:rPr>
                <w:rFonts w:ascii="Courier New" w:cs="Courier New" w:eastAsia="Courier New" w:hAnsi="Courier New"/>
                <w:sz w:val="17"/>
                <w:szCs w:val="17"/>
                <w:color w:val="auto"/>
              </w:rPr>
              <w:t>FOR</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w w:val="95"/>
              </w:rPr>
              <w:t>AGAINST</w:t>
            </w:r>
          </w:p>
        </w:tc>
        <w:tc>
          <w:tcPr>
            <w:tcW w:w="900" w:type="dxa"/>
            <w:vAlign w:val="bottom"/>
          </w:tcPr>
          <w:p>
            <w:pPr>
              <w:jc w:val="center"/>
              <w:ind w:left="117"/>
              <w:spacing w:after="0"/>
              <w:rPr>
                <w:sz w:val="20"/>
                <w:szCs w:val="20"/>
                <w:color w:val="auto"/>
              </w:rPr>
            </w:pPr>
            <w:r>
              <w:rPr>
                <w:rFonts w:ascii="Courier New" w:cs="Courier New" w:eastAsia="Courier New" w:hAnsi="Courier New"/>
                <w:sz w:val="17"/>
                <w:szCs w:val="17"/>
                <w:color w:val="auto"/>
                <w:w w:val="97"/>
              </w:rPr>
              <w:t>ABSTAIN</w:t>
            </w:r>
          </w:p>
        </w:tc>
        <w:tc>
          <w:tcPr>
            <w:tcW w:w="0" w:type="dxa"/>
            <w:vAlign w:val="bottom"/>
          </w:tcPr>
          <w:p>
            <w:pPr>
              <w:spacing w:after="0"/>
              <w:rPr>
                <w:sz w:val="1"/>
                <w:szCs w:val="1"/>
                <w:color w:val="auto"/>
              </w:rPr>
            </w:pPr>
          </w:p>
        </w:tc>
      </w:tr>
      <w:tr>
        <w:trPr>
          <w:trHeight w:val="191"/>
        </w:trPr>
        <w:tc>
          <w:tcPr>
            <w:tcW w:w="43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restatement of the Trust's Declaration</w:t>
            </w:r>
          </w:p>
        </w:tc>
        <w:tc>
          <w:tcPr>
            <w:tcW w:w="1060" w:type="dxa"/>
            <w:vAlign w:val="bottom"/>
            <w:vMerge w:val="restart"/>
          </w:tcPr>
          <w:p>
            <w:pPr>
              <w:ind w:left="560"/>
              <w:spacing w:after="0"/>
              <w:rPr>
                <w:sz w:val="20"/>
                <w:szCs w:val="20"/>
                <w:color w:val="auto"/>
              </w:rPr>
            </w:pPr>
            <w:r>
              <w:rPr>
                <w:rFonts w:ascii="Courier New" w:cs="Courier New" w:eastAsia="Courier New" w:hAnsi="Courier New"/>
                <w:sz w:val="17"/>
                <w:szCs w:val="17"/>
                <w:color w:val="auto"/>
              </w:rPr>
              <w:t>[ ]</w:t>
            </w:r>
          </w:p>
        </w:tc>
        <w:tc>
          <w:tcPr>
            <w:tcW w:w="108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1"/>
              </w:rPr>
              <w:t>[ ]</w:t>
            </w:r>
          </w:p>
        </w:tc>
        <w:tc>
          <w:tcPr>
            <w:tcW w:w="900" w:type="dxa"/>
            <w:vAlign w:val="bottom"/>
            <w:vMerge w:val="restart"/>
          </w:tcPr>
          <w:p>
            <w:pPr>
              <w:jc w:val="center"/>
              <w:ind w:left="117"/>
              <w:spacing w:after="0"/>
              <w:rPr>
                <w:sz w:val="20"/>
                <w:szCs w:val="20"/>
                <w:color w:val="auto"/>
              </w:rPr>
            </w:pPr>
            <w:r>
              <w:rPr>
                <w:rFonts w:ascii="Courier New" w:cs="Courier New" w:eastAsia="Courier New" w:hAnsi="Courier New"/>
                <w:sz w:val="17"/>
                <w:szCs w:val="17"/>
                <w:color w:val="auto"/>
                <w:w w:val="97"/>
              </w:rPr>
              <w:t>[ ]</w:t>
            </w:r>
          </w:p>
        </w:tc>
        <w:tc>
          <w:tcPr>
            <w:tcW w:w="0" w:type="dxa"/>
            <w:vAlign w:val="bottom"/>
          </w:tcPr>
          <w:p>
            <w:pPr>
              <w:spacing w:after="0"/>
              <w:rPr>
                <w:sz w:val="1"/>
                <w:szCs w:val="1"/>
                <w:color w:val="auto"/>
              </w:rPr>
            </w:pPr>
          </w:p>
        </w:tc>
      </w:tr>
      <w:tr>
        <w:trPr>
          <w:trHeight w:val="280"/>
        </w:trPr>
        <w:tc>
          <w:tcPr>
            <w:tcW w:w="3080" w:type="dxa"/>
            <w:vAlign w:val="bottom"/>
          </w:tcPr>
          <w:p>
            <w:pPr>
              <w:spacing w:after="0"/>
              <w:rPr>
                <w:sz w:val="20"/>
                <w:szCs w:val="20"/>
                <w:color w:val="auto"/>
              </w:rPr>
            </w:pPr>
            <w:r>
              <w:rPr>
                <w:rFonts w:ascii="Courier New" w:cs="Courier New" w:eastAsia="Courier New" w:hAnsi="Courier New"/>
                <w:sz w:val="17"/>
                <w:szCs w:val="17"/>
                <w:color w:val="auto"/>
              </w:rPr>
              <w:t>of Trust.</w:t>
            </w:r>
          </w:p>
        </w:tc>
        <w:tc>
          <w:tcPr>
            <w:tcW w:w="12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20" w:type="dxa"/>
            <w:vAlign w:val="bottom"/>
            <w:gridSpan w:val="2"/>
          </w:tcPr>
          <w:p>
            <w:pPr>
              <w:spacing w:after="0"/>
              <w:rPr>
                <w:sz w:val="20"/>
                <w:szCs w:val="20"/>
                <w:color w:val="auto"/>
              </w:rPr>
            </w:pPr>
            <w:r>
              <w:rPr>
                <w:rFonts w:ascii="Courier New" w:cs="Courier New" w:eastAsia="Courier New" w:hAnsi="Courier New"/>
                <w:sz w:val="17"/>
                <w:szCs w:val="17"/>
                <w:color w:val="auto"/>
              </w:rPr>
              <w:t>The Board of Trustees unanimously</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080" w:type="dxa"/>
            <w:vAlign w:val="bottom"/>
          </w:tcPr>
          <w:p>
            <w:pPr>
              <w:spacing w:after="0"/>
              <w:rPr>
                <w:sz w:val="20"/>
                <w:szCs w:val="20"/>
                <w:color w:val="auto"/>
              </w:rPr>
            </w:pPr>
            <w:r>
              <w:rPr>
                <w:rFonts w:ascii="Courier New" w:cs="Courier New" w:eastAsia="Courier New" w:hAnsi="Courier New"/>
                <w:sz w:val="17"/>
                <w:szCs w:val="17"/>
                <w:color w:val="auto"/>
                <w:w w:val="99"/>
              </w:rPr>
              <w:t>recommends a vote FOR proposal</w:t>
            </w:r>
          </w:p>
        </w:tc>
        <w:tc>
          <w:tcPr>
            <w:tcW w:w="124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20" w:type="dxa"/>
            <w:vAlign w:val="bottom"/>
            <w:gridSpan w:val="2"/>
          </w:tcPr>
          <w:p>
            <w:pPr>
              <w:spacing w:after="0"/>
              <w:rPr>
                <w:sz w:val="20"/>
                <w:szCs w:val="20"/>
                <w:color w:val="auto"/>
              </w:rPr>
            </w:pPr>
            <w:r>
              <w:rPr>
                <w:rFonts w:ascii="Courier New" w:cs="Courier New" w:eastAsia="Courier New" w:hAnsi="Courier New"/>
                <w:sz w:val="17"/>
                <w:szCs w:val="17"/>
                <w:color w:val="auto"/>
              </w:rPr>
              <w:t>3. To adjourn the meeting to solicit</w:t>
            </w:r>
          </w:p>
        </w:tc>
        <w:tc>
          <w:tcPr>
            <w:tcW w:w="1060" w:type="dxa"/>
            <w:vAlign w:val="bottom"/>
          </w:tcPr>
          <w:p>
            <w:pPr>
              <w:ind w:left="560"/>
              <w:spacing w:after="0"/>
              <w:rPr>
                <w:sz w:val="20"/>
                <w:szCs w:val="20"/>
                <w:color w:val="auto"/>
              </w:rPr>
            </w:pPr>
            <w:r>
              <w:rPr>
                <w:rFonts w:ascii="Courier New" w:cs="Courier New" w:eastAsia="Courier New" w:hAnsi="Courier New"/>
                <w:sz w:val="17"/>
                <w:szCs w:val="17"/>
                <w:color w:val="auto"/>
              </w:rPr>
              <w:t>FOR</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w w:val="95"/>
              </w:rPr>
              <w:t>AGAINST</w:t>
            </w:r>
          </w:p>
        </w:tc>
        <w:tc>
          <w:tcPr>
            <w:tcW w:w="900" w:type="dxa"/>
            <w:vAlign w:val="bottom"/>
          </w:tcPr>
          <w:p>
            <w:pPr>
              <w:jc w:val="center"/>
              <w:ind w:left="117"/>
              <w:spacing w:after="0"/>
              <w:rPr>
                <w:sz w:val="20"/>
                <w:szCs w:val="20"/>
                <w:color w:val="auto"/>
              </w:rPr>
            </w:pPr>
            <w:r>
              <w:rPr>
                <w:rFonts w:ascii="Courier New" w:cs="Courier New" w:eastAsia="Courier New" w:hAnsi="Courier New"/>
                <w:sz w:val="17"/>
                <w:szCs w:val="17"/>
                <w:color w:val="auto"/>
                <w:w w:val="97"/>
              </w:rPr>
              <w:t>ABSTAIN</w:t>
            </w:r>
          </w:p>
        </w:tc>
        <w:tc>
          <w:tcPr>
            <w:tcW w:w="0" w:type="dxa"/>
            <w:vAlign w:val="bottom"/>
          </w:tcPr>
          <w:p>
            <w:pPr>
              <w:spacing w:after="0"/>
              <w:rPr>
                <w:sz w:val="1"/>
                <w:szCs w:val="1"/>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additional proxies if Proposal</w:t>
            </w:r>
          </w:p>
        </w:tc>
        <w:tc>
          <w:tcPr>
            <w:tcW w:w="1240" w:type="dxa"/>
            <w:vAlign w:val="bottom"/>
          </w:tcPr>
          <w:p>
            <w:pPr>
              <w:spacing w:after="0" w:line="191" w:lineRule="exact"/>
              <w:rPr>
                <w:sz w:val="20"/>
                <w:szCs w:val="20"/>
                <w:color w:val="auto"/>
              </w:rPr>
            </w:pPr>
            <w:r>
              <w:rPr>
                <w:rFonts w:ascii="Courier New" w:cs="Courier New" w:eastAsia="Courier New" w:hAnsi="Courier New"/>
                <w:sz w:val="17"/>
                <w:szCs w:val="17"/>
                <w:color w:val="auto"/>
              </w:rPr>
              <w:t>2 is</w:t>
            </w:r>
          </w:p>
        </w:tc>
        <w:tc>
          <w:tcPr>
            <w:tcW w:w="1060" w:type="dxa"/>
            <w:vAlign w:val="bottom"/>
            <w:vMerge w:val="restart"/>
          </w:tcPr>
          <w:p>
            <w:pPr>
              <w:ind w:left="560"/>
              <w:spacing w:after="0"/>
              <w:rPr>
                <w:sz w:val="20"/>
                <w:szCs w:val="20"/>
                <w:color w:val="auto"/>
              </w:rPr>
            </w:pPr>
            <w:r>
              <w:rPr>
                <w:rFonts w:ascii="Courier New" w:cs="Courier New" w:eastAsia="Courier New" w:hAnsi="Courier New"/>
                <w:sz w:val="17"/>
                <w:szCs w:val="17"/>
                <w:color w:val="auto"/>
              </w:rPr>
              <w:t>[ ]</w:t>
            </w:r>
          </w:p>
        </w:tc>
        <w:tc>
          <w:tcPr>
            <w:tcW w:w="108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1"/>
              </w:rPr>
              <w:t>[ ]</w:t>
            </w:r>
          </w:p>
        </w:tc>
        <w:tc>
          <w:tcPr>
            <w:tcW w:w="900" w:type="dxa"/>
            <w:vAlign w:val="bottom"/>
            <w:vMerge w:val="restart"/>
          </w:tcPr>
          <w:p>
            <w:pPr>
              <w:jc w:val="center"/>
              <w:ind w:left="117"/>
              <w:spacing w:after="0"/>
              <w:rPr>
                <w:sz w:val="20"/>
                <w:szCs w:val="20"/>
                <w:color w:val="auto"/>
              </w:rPr>
            </w:pPr>
            <w:r>
              <w:rPr>
                <w:rFonts w:ascii="Courier New" w:cs="Courier New" w:eastAsia="Courier New" w:hAnsi="Courier New"/>
                <w:sz w:val="17"/>
                <w:szCs w:val="17"/>
                <w:color w:val="auto"/>
                <w:w w:val="97"/>
              </w:rPr>
              <w:t>[ ]</w:t>
            </w:r>
          </w:p>
        </w:tc>
        <w:tc>
          <w:tcPr>
            <w:tcW w:w="0" w:type="dxa"/>
            <w:vAlign w:val="bottom"/>
          </w:tcPr>
          <w:p>
            <w:pPr>
              <w:spacing w:after="0"/>
              <w:rPr>
                <w:sz w:val="1"/>
                <w:szCs w:val="1"/>
                <w:color w:val="auto"/>
              </w:rPr>
            </w:pPr>
          </w:p>
        </w:tc>
      </w:tr>
      <w:tr>
        <w:trPr>
          <w:trHeight w:val="280"/>
        </w:trPr>
        <w:tc>
          <w:tcPr>
            <w:tcW w:w="3080" w:type="dxa"/>
            <w:vAlign w:val="bottom"/>
          </w:tcPr>
          <w:p>
            <w:pPr>
              <w:spacing w:after="0"/>
              <w:rPr>
                <w:sz w:val="20"/>
                <w:szCs w:val="20"/>
                <w:color w:val="auto"/>
              </w:rPr>
            </w:pPr>
            <w:r>
              <w:rPr>
                <w:rFonts w:ascii="Courier New" w:cs="Courier New" w:eastAsia="Courier New" w:hAnsi="Courier New"/>
                <w:sz w:val="17"/>
                <w:szCs w:val="17"/>
                <w:color w:val="auto"/>
              </w:rPr>
              <w:t>not approved.</w:t>
            </w:r>
          </w:p>
        </w:tc>
        <w:tc>
          <w:tcPr>
            <w:tcW w:w="12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7940" w:firstLine="2"/>
        <w:spacing w:after="0" w:line="296" w:lineRule="auto"/>
        <w:tabs>
          <w:tab w:leader="none" w:pos="29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on any other matters properly coming before the meeting or any postponement or adjournment thereof.</w:t>
      </w:r>
    </w:p>
    <w:p>
      <w:pPr>
        <w:sectPr>
          <w:pgSz w:w="11900" w:h="16838" w:orient="portrait"/>
          <w:cols w:equalWidth="0" w:num="1">
            <w:col w:w="11520"/>
          </w:cols>
          <w:pgMar w:left="240" w:top="851" w:right="139" w:bottom="1440" w:gutter="0" w:footer="0" w:header="0"/>
        </w:sect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4760"/>
        <w:spacing w:after="0"/>
        <w:rPr>
          <w:sz w:val="20"/>
          <w:szCs w:val="20"/>
          <w:color w:val="auto"/>
        </w:rPr>
      </w:pPr>
      <w:r>
        <w:rPr>
          <w:rFonts w:ascii="Courier New" w:cs="Courier New" w:eastAsia="Courier New" w:hAnsi="Courier New"/>
          <w:sz w:val="16"/>
          <w:szCs w:val="16"/>
          <w:color w:val="auto"/>
        </w:rPr>
        <w:t>DATE</w:t>
      </w:r>
    </w:p>
    <w:p>
      <w:pPr>
        <w:spacing w:after="0" w:line="99" w:lineRule="exact"/>
        <w:rPr>
          <w:sz w:val="20"/>
          <w:szCs w:val="20"/>
          <w:color w:val="auto"/>
        </w:rPr>
      </w:pPr>
    </w:p>
    <w:p>
      <w:pPr>
        <w:sectPr>
          <w:pgSz w:w="11900" w:h="16838" w:orient="portrait"/>
          <w:cols w:equalWidth="0" w:num="2">
            <w:col w:w="5640" w:space="720"/>
            <w:col w:w="5160"/>
          </w:cols>
          <w:pgMar w:left="240" w:top="851" w:right="139" w:bottom="1440" w:gutter="0" w:footer="0" w:header="0"/>
          <w:type w:val="continuous"/>
        </w:sectPr>
      </w:pPr>
    </w:p>
    <w:p>
      <w:pPr>
        <w:ind w:left="1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12" w:lineRule="exact"/>
        <w:rPr>
          <w:sz w:val="20"/>
          <w:szCs w:val="20"/>
          <w:color w:val="auto"/>
        </w:rPr>
      </w:pPr>
    </w:p>
    <w:p>
      <w:pPr>
        <w:sectPr>
          <w:pgSz w:w="11900" w:h="16838" w:orient="portrait"/>
          <w:cols w:equalWidth="0" w:num="3">
            <w:col w:w="3680" w:space="200"/>
            <w:col w:w="2480" w:space="400"/>
            <w:col w:w="4760"/>
          </w:cols>
          <w:pgMar w:left="240" w:top="851" w:right="139" w:bottom="1440" w:gutter="0" w:footer="0" w:header="0"/>
          <w:type w:val="continuous"/>
        </w:sectPr>
      </w:pPr>
    </w:p>
    <w:p>
      <w:pPr>
        <w:ind w:right="3560"/>
        <w:spacing w:after="0" w:line="260" w:lineRule="auto"/>
        <w:rPr>
          <w:sz w:val="20"/>
          <w:szCs w:val="20"/>
          <w:color w:val="auto"/>
        </w:rPr>
      </w:pPr>
      <w:r>
        <w:rPr>
          <w:rFonts w:ascii="Courier New" w:cs="Courier New" w:eastAsia="Courier New" w:hAnsi="Courier New"/>
          <w:sz w:val="17"/>
          <w:szCs w:val="17"/>
          <w:color w:val="auto"/>
        </w:rPr>
        <w:t>NOTE: 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sectPr>
      <w:pgSz w:w="11900" w:h="16838" w:orient="portrait"/>
      <w:cols w:equalWidth="0" w:num="1">
        <w:col w:w="11520"/>
      </w:cols>
      <w:pgMar w:left="240" w:top="85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1)"/>
      <w:numFmt w:val="decimal"/>
      <w:start w:val="1"/>
    </w:lvl>
  </w:abstractNum>
  <w:abstractNum w:abstractNumId="2">
    <w:nsid w:val="4F4EF005"/>
    <w:multiLevelType w:val="hybridMultilevel"/>
    <w:lvl w:ilvl="0">
      <w:lvlJc w:val="left"/>
      <w:lvlText w:val="(%1)"/>
      <w:numFmt w:val="decimal"/>
      <w:start w:val="1"/>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lvl w:ilvl="1">
      <w:lvlJc w:val="left"/>
      <w:lvlText w:val="(%2)"/>
      <w:numFmt w:val="decimal"/>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1)"/>
      <w:numFmt w:val="upperLetter"/>
      <w:start w:val="1"/>
    </w:lvl>
  </w:abstractNum>
  <w:abstractNum w:abstractNumId="8">
    <w:nsid w:val="180115BE"/>
    <w:multiLevelType w:val="hybridMultilevel"/>
    <w:lvl w:ilvl="0">
      <w:lvlJc w:val="left"/>
      <w:lvlText w:val="(%1)"/>
      <w:numFmt w:val="upperLetter"/>
      <w:start w:val="2"/>
    </w:lvl>
    <w:lvl w:ilvl="1">
      <w:lvlJc w:val="left"/>
      <w:lvlText w:val="(%2)"/>
      <w:numFmt w:val="lowerRoman"/>
      <w:start w:val="3"/>
    </w:lvl>
  </w:abstractNum>
  <w:abstractNum w:abstractNumId="9">
    <w:nsid w:val="235BA861"/>
    <w:multiLevelType w:val="hybridMultilevel"/>
    <w:lvl w:ilvl="0">
      <w:lvlJc w:val="left"/>
      <w:lvlText w:val="(%1)"/>
      <w:numFmt w:val="decimal"/>
      <w:start w:val="1"/>
    </w:lvl>
  </w:abstractNum>
  <w:abstractNum w:abstractNumId="10">
    <w:nsid w:val="47398C89"/>
    <w:multiLevelType w:val="hybridMultilevel"/>
    <w:lvl w:ilvl="0">
      <w:lvlJc w:val="left"/>
      <w:lvlText w:val="(%1)"/>
      <w:numFmt w:val="decimal"/>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1)"/>
      <w:numFmt w:val="decimal"/>
      <w:start w:val="1"/>
    </w:lvl>
  </w:abstractNum>
  <w:abstractNum w:abstractNumId="13">
    <w:nsid w:val="741226BB"/>
    <w:multiLevelType w:val="hybridMultilevel"/>
    <w:lvl w:ilvl="0">
      <w:lvlJc w:val="left"/>
      <w:lvlText w:val="(%1)"/>
      <w:numFmt w:val="upperLetter"/>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lvl w:ilvl="1">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lvl w:ilvl="1">
      <w:lvlJc w:val="left"/>
      <w:lvlText w:val="--"/>
      <w:numFmt w:val="bullet"/>
      <w:start w:val="1"/>
    </w:lvl>
  </w:abstractNum>
  <w:abstractNum w:abstractNumId="44">
    <w:nsid w:val="51D9C564"/>
    <w:multiLevelType w:val="hybridMultilevel"/>
    <w:lvl w:ilvl="0">
      <w:lvlJc w:val="left"/>
      <w:lvlText w:val="."/>
      <w:numFmt w:val="bullet"/>
      <w:start w:val="1"/>
    </w:lvl>
    <w:lvl w:ilvl="1">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1)"/>
      <w:numFmt w:val="decimal"/>
      <w:start w:val="1"/>
    </w:lvl>
  </w:abstractNum>
  <w:abstractNum w:abstractNumId="69">
    <w:nsid w:val="1716703B"/>
    <w:multiLevelType w:val="hybridMultilevel"/>
    <w:lvl w:ilvl="0">
      <w:lvlJc w:val="left"/>
      <w:lvlText w:val="(%1)"/>
      <w:numFmt w:val="lowerLetter"/>
      <w:start w:val="1"/>
    </w:lvl>
  </w:abstractNum>
  <w:abstractNum w:abstractNumId="70">
    <w:nsid w:val="14E17E33"/>
    <w:multiLevelType w:val="hybridMultilevel"/>
    <w:lvl w:ilvl="0">
      <w:lvlJc w:val="left"/>
      <w:lvlText w:val="(%1)"/>
      <w:numFmt w:val="lowerLetter"/>
      <w:start w:val="5"/>
    </w:lvl>
  </w:abstractNum>
  <w:abstractNum w:abstractNumId="71">
    <w:nsid w:val="3222E7CD"/>
    <w:multiLevelType w:val="hybridMultilevel"/>
    <w:lvl w:ilvl="0">
      <w:lvlJc w:val="left"/>
      <w:lvlText w:val="(%1)"/>
      <w:numFmt w:val="lowerLetter"/>
      <w:start w:val="6"/>
    </w:lvl>
  </w:abstractNum>
  <w:abstractNum w:abstractNumId="72">
    <w:nsid w:val="74DE0EE3"/>
    <w:multiLevelType w:val="hybridMultilevel"/>
    <w:lvl w:ilvl="0">
      <w:lvlJc w:val="left"/>
      <w:lvlText w:val="(%1)"/>
      <w:numFmt w:val="lowerLetter"/>
      <w:start w:val="9"/>
    </w:lvl>
  </w:abstractNum>
  <w:abstractNum w:abstractNumId="73">
    <w:nsid w:val="68EBC550"/>
    <w:multiLevelType w:val="hybridMultilevel"/>
    <w:lvl w:ilvl="0">
      <w:lvlJc w:val="left"/>
      <w:lvlText w:val="(%1)"/>
      <w:numFmt w:val="lowerLetter"/>
      <w:start w:val="1"/>
    </w:lvl>
  </w:abstractNum>
  <w:abstractNum w:abstractNumId="74">
    <w:nsid w:val="2DF6D648"/>
    <w:multiLevelType w:val="hybridMultilevel"/>
    <w:lvl w:ilvl="0">
      <w:lvlJc w:val="left"/>
      <w:lvlText w:val="(%1)"/>
      <w:numFmt w:val="lowerLetter"/>
      <w:start w:val="2"/>
    </w:lvl>
  </w:abstractNum>
  <w:abstractNum w:abstractNumId="75">
    <w:nsid w:val="46B7D447"/>
    <w:multiLevelType w:val="hybridMultilevel"/>
    <w:lvl w:ilvl="0">
      <w:lvlJc w:val="left"/>
      <w:lvlText w:val="(%1)"/>
      <w:numFmt w:val="lowerLetter"/>
      <w:start w:val="1"/>
    </w:lvl>
  </w:abstractNum>
  <w:abstractNum w:abstractNumId="76">
    <w:nsid w:val="4A2AC315"/>
    <w:multiLevelType w:val="hybridMultilevel"/>
    <w:lvl w:ilvl="0">
      <w:lvlJc w:val="left"/>
      <w:lvlText w:val="(%1)"/>
      <w:numFmt w:val="lowerLetter"/>
      <w:start w:val="2"/>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1"/>
    </w:lvl>
  </w:abstractNum>
  <w:abstractNum w:abstractNumId="79">
    <w:nsid w:val="CC1016F"/>
    <w:multiLevelType w:val="hybridMultilevel"/>
    <w:lvl w:ilvl="0">
      <w:lvlJc w:val="left"/>
      <w:lvlText w:val="(%1)"/>
      <w:numFmt w:val="lowerLetter"/>
      <w:start w:val="1"/>
    </w:lvl>
  </w:abstractNum>
  <w:abstractNum w:abstractNumId="80">
    <w:nsid w:val="43F18422"/>
    <w:multiLevelType w:val="hybridMultilevel"/>
    <w:lvl w:ilvl="0">
      <w:lvlJc w:val="left"/>
      <w:lvlText w:val="(%1)"/>
      <w:numFmt w:val="lowerLetter"/>
      <w:start w:val="3"/>
    </w:lvl>
  </w:abstractNum>
  <w:abstractNum w:abstractNumId="81">
    <w:nsid w:val="60EF0119"/>
    <w:multiLevelType w:val="hybridMultilevel"/>
    <w:lvl w:ilvl="0">
      <w:lvlJc w:val="left"/>
      <w:lvlText w:val="(%1)"/>
      <w:numFmt w:val="lowerLetter"/>
      <w:start w:val="1"/>
    </w:lvl>
  </w:abstractNum>
  <w:abstractNum w:abstractNumId="82">
    <w:nsid w:val="26F324BA"/>
    <w:multiLevelType w:val="hybridMultilevel"/>
    <w:lvl w:ilvl="0">
      <w:lvlJc w:val="left"/>
      <w:lvlText w:val="(%1)"/>
      <w:numFmt w:val="lowerRoman"/>
      <w:start w:val="1"/>
    </w:lvl>
  </w:abstractNum>
  <w:abstractNum w:abstractNumId="83">
    <w:nsid w:val="7F01579B"/>
    <w:multiLevelType w:val="hybridMultilevel"/>
    <w:lvl w:ilvl="0">
      <w:lvlJc w:val="left"/>
      <w:lvlText w:val="(%1)"/>
      <w:numFmt w:val="lowerRoman"/>
      <w:start w:val="3"/>
    </w:lvl>
  </w:abstractNum>
  <w:abstractNum w:abstractNumId="84">
    <w:nsid w:val="49DA307D"/>
    <w:multiLevelType w:val="hybridMultilevel"/>
    <w:lvl w:ilvl="0">
      <w:lvlJc w:val="left"/>
      <w:lvlText w:val="(%1)"/>
      <w:numFmt w:val="lowerLetter"/>
      <w:start w:val="2"/>
    </w:lvl>
  </w:abstractNum>
  <w:abstractNum w:abstractNumId="85">
    <w:nsid w:val="7055A5F5"/>
    <w:multiLevelType w:val="hybridMultilevel"/>
    <w:lvl w:ilvl="0">
      <w:lvlJc w:val="left"/>
      <w:lvlText w:val="(%1)"/>
      <w:numFmt w:val="lowerRoman"/>
      <w:start w:val="1"/>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1)"/>
      <w:numFmt w:val="lowerLetter"/>
      <w:start w:val="1"/>
    </w:lvl>
  </w:abstractNum>
  <w:abstractNum w:abstractNumId="88">
    <w:nsid w:val="488AC1A"/>
    <w:multiLevelType w:val="hybridMultilevel"/>
    <w:lvl w:ilvl="0">
      <w:lvlJc w:val="left"/>
      <w:lvlText w:val="(%1)"/>
      <w:numFmt w:val="lowerRoman"/>
      <w:start w:val="1"/>
    </w:lvl>
  </w:abstractNum>
  <w:abstractNum w:abstractNumId="89">
    <w:nsid w:val="5FB8011C"/>
    <w:multiLevelType w:val="hybridMultilevel"/>
    <w:lvl w:ilvl="0">
      <w:lvlJc w:val="left"/>
      <w:lvlText w:val="(%1)"/>
      <w:numFmt w:val="lowerLetter"/>
      <w:start w:val="2"/>
    </w:lvl>
  </w:abstractNum>
  <w:abstractNum w:abstractNumId="90">
    <w:nsid w:val="6AA78F7F"/>
    <w:multiLevelType w:val="hybridMultilevel"/>
    <w:lvl w:ilvl="0">
      <w:lvlJc w:val="left"/>
      <w:lvlText w:val="(%1)"/>
      <w:numFmt w:val="lowerLetter"/>
      <w:start w:val="1"/>
    </w:lvl>
  </w:abstractNum>
  <w:abstractNum w:abstractNumId="91">
    <w:nsid w:val="7672BD23"/>
    <w:multiLevelType w:val="hybridMultilevel"/>
    <w:lvl w:ilvl="0">
      <w:lvlJc w:val="left"/>
      <w:lvlText w:val="(%1)"/>
      <w:numFmt w:val="lowerLetter"/>
      <w:start w:val="1"/>
    </w:lvl>
  </w:abstractNum>
  <w:abstractNum w:abstractNumId="92">
    <w:nsid w:val="6FC75AF8"/>
    <w:multiLevelType w:val="hybridMultilevel"/>
    <w:lvl w:ilvl="0">
      <w:lvlJc w:val="left"/>
      <w:lvlText w:val="(%1)"/>
      <w:numFmt w:val="lowerRoman"/>
      <w:start w:val="1"/>
    </w:lvl>
  </w:abstractNum>
  <w:abstractNum w:abstractNumId="93">
    <w:nsid w:val="6A5F7029"/>
    <w:multiLevelType w:val="hybridMultilevel"/>
    <w:lvl w:ilvl="0">
      <w:lvlJc w:val="left"/>
      <w:lvlText w:val="(%1)"/>
      <w:numFmt w:val="lowerLetter"/>
      <w:start w:val="2"/>
    </w:lvl>
  </w:abstractNum>
  <w:abstractNum w:abstractNumId="94">
    <w:nsid w:val="7D5E18F8"/>
    <w:multiLevelType w:val="hybridMultilevel"/>
    <w:lvl w:ilvl="0">
      <w:lvlJc w:val="left"/>
      <w:lvlText w:val="(%1)"/>
      <w:numFmt w:val="lowerLetter"/>
      <w:start w:val="1"/>
    </w:lvl>
  </w:abstractNum>
  <w:abstractNum w:abstractNumId="95">
    <w:nsid w:val="5F3534A4"/>
    <w:multiLevelType w:val="hybridMultilevel"/>
    <w:lvl w:ilvl="0">
      <w:lvlJc w:val="left"/>
      <w:lvlText w:val="(%1)"/>
      <w:numFmt w:val="lowerLetter"/>
      <w:start w:val="1"/>
    </w:lvl>
  </w:abstractNum>
  <w:abstractNum w:abstractNumId="96">
    <w:nsid w:val="73A1821B"/>
    <w:multiLevelType w:val="hybridMultilevel"/>
    <w:lvl w:ilvl="0">
      <w:lvlJc w:val="left"/>
      <w:lvlText w:val="(%1)"/>
      <w:numFmt w:val="lowerLetter"/>
      <w:start w:val="1"/>
    </w:lvl>
  </w:abstractNum>
  <w:abstractNum w:abstractNumId="97">
    <w:nsid w:val="7DE67713"/>
    <w:multiLevelType w:val="hybridMultilevel"/>
    <w:lvl w:ilvl="0">
      <w:lvlJc w:val="left"/>
      <w:lvlText w:val="(%1)"/>
      <w:numFmt w:val="decimal"/>
      <w:start w:val="2"/>
    </w:lvl>
  </w:abstractNum>
  <w:abstractNum w:abstractNumId="98">
    <w:nsid w:val="555C55B5"/>
    <w:multiLevelType w:val="hybridMultilevel"/>
    <w:lvl w:ilvl="0">
      <w:lvlJc w:val="left"/>
      <w:lvlText w:val="(%1)"/>
      <w:numFmt w:val="decimal"/>
      <w:start w:val="3"/>
    </w:lvl>
  </w:abstractNum>
  <w:abstractNum w:abstractNumId="99">
    <w:nsid w:val="3FA62ACA"/>
    <w:multiLevelType w:val="hybridMultilevel"/>
    <w:lvl w:ilvl="0">
      <w:lvlJc w:val="left"/>
      <w:lvlText w:val="(%1)"/>
      <w:numFmt w:val="lowerLetter"/>
      <w:start w:val="2"/>
    </w:lvl>
  </w:abstractNum>
  <w:abstractNum w:abstractNumId="100">
    <w:nsid w:val="14FCE74E"/>
    <w:multiLevelType w:val="hybridMultilevel"/>
    <w:lvl w:ilvl="0">
      <w:lvlJc w:val="left"/>
      <w:lvlText w:val="(%1)"/>
      <w:numFmt w:val="decimal"/>
      <w:start w:val="2"/>
    </w:lvl>
  </w:abstractNum>
  <w:abstractNum w:abstractNumId="101">
    <w:nsid w:val="6A3DD3E8"/>
    <w:multiLevelType w:val="hybridMultilevel"/>
    <w:lvl w:ilvl="0">
      <w:lvlJc w:val="left"/>
      <w:lvlText w:val="(%1)"/>
      <w:numFmt w:val="lowerLetter"/>
      <w:start w:val="1"/>
    </w:lvl>
    <w:lvl w:ilvl="1">
      <w:lvlJc w:val="left"/>
      <w:lvlText w:val="(%2)"/>
      <w:numFmt w:val="decimal"/>
      <w:start w:val="10"/>
    </w:lvl>
  </w:abstractNum>
  <w:abstractNum w:abstractNumId="102">
    <w:nsid w:val="71C91298"/>
    <w:multiLevelType w:val="hybridMultilevel"/>
    <w:lvl w:ilvl="0">
      <w:lvlJc w:val="left"/>
      <w:lvlText w:val="(%1)"/>
      <w:numFmt w:val="lowerLetter"/>
      <w:start w:val="1"/>
    </w:lvl>
  </w:abstractNum>
  <w:abstractNum w:abstractNumId="103">
    <w:nsid w:val="9DAF632"/>
    <w:multiLevelType w:val="hybridMultilevel"/>
    <w:lvl w:ilvl="0">
      <w:lvlJc w:val="left"/>
      <w:lvlText w:val="(%1)"/>
      <w:numFmt w:val="lowerRoman"/>
      <w:start w:val="2"/>
    </w:lvl>
  </w:abstractNum>
  <w:abstractNum w:abstractNumId="104">
    <w:nsid w:val="53299938"/>
    <w:multiLevelType w:val="hybridMultilevel"/>
    <w:lvl w:ilvl="0">
      <w:lvlJc w:val="left"/>
      <w:lvlText w:val="-"/>
      <w:numFmt w:val="bullet"/>
      <w:start w:val="1"/>
    </w:lvl>
  </w:abstractNum>
  <w:abstractNum w:abstractNumId="105">
    <w:nsid w:val="1FBFE8E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2020-02-22T10:31:32Z</dcterms:created>
  <dcterms:modified xsi:type="dcterms:W3CDTF">2020-02-22T10:31:32Z</dcterms:modified>
</cp:coreProperties>
</file>