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2686050</wp:posOffset>
            </wp:positionH>
            <wp:positionV relativeFrom="paragraph">
              <wp:posOffset>88265</wp:posOffset>
            </wp:positionV>
            <wp:extent cx="1892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5"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ANNUAL REPORT PURSUANT TO THE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2686050</wp:posOffset>
            </wp:positionH>
            <wp:positionV relativeFrom="paragraph">
              <wp:posOffset>-235585</wp:posOffset>
            </wp:positionV>
            <wp:extent cx="18929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720" w:hanging="685"/>
        <w:spacing w:after="0" w:line="212" w:lineRule="auto"/>
        <w:tabs>
          <w:tab w:leader="none" w:pos="7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95" w:lineRule="exact"/>
        <w:rPr>
          <w:sz w:val="24"/>
          <w:szCs w:val="24"/>
          <w:color w:val="auto"/>
        </w:rPr>
      </w:pPr>
    </w:p>
    <w:p>
      <w:pPr>
        <w:ind w:left="38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1-07533</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FEDERAL REALTY INVESTMENT TRUST</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Declaration of Trust)</w:t>
      </w:r>
    </w:p>
    <w:p>
      <w:pPr>
        <w:spacing w:after="0" w:line="144"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4020" w:type="dxa"/>
            <w:vAlign w:val="bottom"/>
          </w:tcPr>
          <w:p>
            <w:pPr>
              <w:jc w:val="center"/>
              <w:ind w:right="259"/>
              <w:spacing w:after="0"/>
              <w:rPr>
                <w:sz w:val="20"/>
                <w:szCs w:val="20"/>
                <w:color w:val="auto"/>
              </w:rPr>
            </w:pPr>
            <w:r>
              <w:rPr>
                <w:rFonts w:ascii="Arial" w:cs="Arial" w:eastAsia="Arial" w:hAnsi="Arial"/>
                <w:sz w:val="18"/>
                <w:szCs w:val="18"/>
                <w:b w:val="1"/>
                <w:bCs w:val="1"/>
                <w:color w:val="auto"/>
                <w:w w:val="96"/>
              </w:rPr>
              <w:t>Maryland</w:t>
            </w:r>
          </w:p>
        </w:tc>
        <w:tc>
          <w:tcPr>
            <w:tcW w:w="4800" w:type="dxa"/>
            <w:vAlign w:val="bottom"/>
          </w:tcPr>
          <w:p>
            <w:pPr>
              <w:jc w:val="right"/>
              <w:ind w:right="537"/>
              <w:spacing w:after="0"/>
              <w:rPr>
                <w:sz w:val="20"/>
                <w:szCs w:val="20"/>
                <w:color w:val="auto"/>
              </w:rPr>
            </w:pPr>
            <w:r>
              <w:rPr>
                <w:rFonts w:ascii="Arial" w:cs="Arial" w:eastAsia="Arial" w:hAnsi="Arial"/>
                <w:sz w:val="18"/>
                <w:szCs w:val="18"/>
                <w:b w:val="1"/>
                <w:bCs w:val="1"/>
                <w:color w:val="auto"/>
              </w:rPr>
              <w:t>52-0782497</w:t>
            </w:r>
          </w:p>
        </w:tc>
      </w:tr>
      <w:tr>
        <w:trPr>
          <w:trHeight w:val="217"/>
        </w:trPr>
        <w:tc>
          <w:tcPr>
            <w:tcW w:w="4020" w:type="dxa"/>
            <w:vAlign w:val="bottom"/>
          </w:tcPr>
          <w:p>
            <w:pPr>
              <w:jc w:val="center"/>
              <w:ind w:right="259"/>
              <w:spacing w:after="0"/>
              <w:rPr>
                <w:sz w:val="20"/>
                <w:szCs w:val="20"/>
                <w:color w:val="auto"/>
              </w:rPr>
            </w:pPr>
            <w:r>
              <w:rPr>
                <w:rFonts w:ascii="Arial" w:cs="Arial" w:eastAsia="Arial" w:hAnsi="Arial"/>
                <w:sz w:val="14"/>
                <w:szCs w:val="14"/>
                <w:b w:val="1"/>
                <w:bCs w:val="1"/>
                <w:color w:val="auto"/>
                <w:w w:val="93"/>
              </w:rPr>
              <w:t>(State of Organization)</w:t>
            </w:r>
          </w:p>
        </w:tc>
        <w:tc>
          <w:tcPr>
            <w:tcW w:w="4800" w:type="dxa"/>
            <w:vAlign w:val="bottom"/>
          </w:tcPr>
          <w:p>
            <w:pPr>
              <w:jc w:val="center"/>
              <w:ind w:left="2617"/>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76"/>
        </w:trPr>
        <w:tc>
          <w:tcPr>
            <w:tcW w:w="4020" w:type="dxa"/>
            <w:vAlign w:val="bottom"/>
          </w:tcPr>
          <w:p>
            <w:pPr>
              <w:jc w:val="center"/>
              <w:ind w:right="259"/>
              <w:spacing w:after="0"/>
              <w:rPr>
                <w:sz w:val="20"/>
                <w:szCs w:val="20"/>
                <w:color w:val="auto"/>
              </w:rPr>
            </w:pPr>
            <w:r>
              <w:rPr>
                <w:rFonts w:ascii="Arial" w:cs="Arial" w:eastAsia="Arial" w:hAnsi="Arial"/>
                <w:sz w:val="18"/>
                <w:szCs w:val="18"/>
                <w:b w:val="1"/>
                <w:bCs w:val="1"/>
                <w:color w:val="auto"/>
                <w:w w:val="91"/>
              </w:rPr>
              <w:t>1626 East Jefferson Street, Rockville, Maryland</w:t>
            </w:r>
          </w:p>
        </w:tc>
        <w:tc>
          <w:tcPr>
            <w:tcW w:w="4800" w:type="dxa"/>
            <w:vAlign w:val="bottom"/>
          </w:tcPr>
          <w:p>
            <w:pPr>
              <w:jc w:val="right"/>
              <w:ind w:right="737"/>
              <w:spacing w:after="0"/>
              <w:rPr>
                <w:sz w:val="20"/>
                <w:szCs w:val="20"/>
                <w:color w:val="auto"/>
              </w:rPr>
            </w:pPr>
            <w:r>
              <w:rPr>
                <w:rFonts w:ascii="Arial" w:cs="Arial" w:eastAsia="Arial" w:hAnsi="Arial"/>
                <w:sz w:val="18"/>
                <w:szCs w:val="18"/>
                <w:b w:val="1"/>
                <w:bCs w:val="1"/>
                <w:color w:val="auto"/>
              </w:rPr>
              <w:t>20852</w:t>
            </w:r>
          </w:p>
        </w:tc>
      </w:tr>
      <w:tr>
        <w:trPr>
          <w:trHeight w:val="217"/>
        </w:trPr>
        <w:tc>
          <w:tcPr>
            <w:tcW w:w="4020" w:type="dxa"/>
            <w:vAlign w:val="bottom"/>
          </w:tcPr>
          <w:p>
            <w:pPr>
              <w:jc w:val="center"/>
              <w:ind w:right="2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800" w:type="dxa"/>
            <w:vAlign w:val="bottom"/>
          </w:tcPr>
          <w:p>
            <w:pPr>
              <w:jc w:val="center"/>
              <w:ind w:left="2617"/>
              <w:spacing w:after="0"/>
              <w:rPr>
                <w:sz w:val="20"/>
                <w:szCs w:val="20"/>
                <w:color w:val="auto"/>
              </w:rPr>
            </w:pPr>
            <w:r>
              <w:rPr>
                <w:rFonts w:ascii="Arial" w:cs="Arial" w:eastAsia="Arial" w:hAnsi="Arial"/>
                <w:sz w:val="14"/>
                <w:szCs w:val="14"/>
                <w:b w:val="1"/>
                <w:bCs w:val="1"/>
                <w:color w:val="auto"/>
                <w:w w:val="95"/>
              </w:rPr>
              <w:t>(Zip Code)</w:t>
            </w:r>
          </w:p>
        </w:tc>
      </w:tr>
      <w:tr>
        <w:trPr>
          <w:trHeight w:val="282"/>
        </w:trPr>
        <w:tc>
          <w:tcPr>
            <w:tcW w:w="4020" w:type="dxa"/>
            <w:vAlign w:val="bottom"/>
          </w:tcPr>
          <w:p>
            <w:pPr>
              <w:spacing w:after="0"/>
              <w:rPr>
                <w:sz w:val="24"/>
                <w:szCs w:val="24"/>
                <w:color w:val="auto"/>
              </w:rPr>
            </w:pPr>
          </w:p>
        </w:tc>
        <w:tc>
          <w:tcPr>
            <w:tcW w:w="4800" w:type="dxa"/>
            <w:vAlign w:val="bottom"/>
          </w:tcPr>
          <w:p>
            <w:pPr>
              <w:jc w:val="right"/>
              <w:ind w:right="3257"/>
              <w:spacing w:after="0"/>
              <w:rPr>
                <w:sz w:val="20"/>
                <w:szCs w:val="20"/>
                <w:color w:val="auto"/>
              </w:rPr>
            </w:pPr>
            <w:r>
              <w:rPr>
                <w:rFonts w:ascii="Arial" w:cs="Arial" w:eastAsia="Arial" w:hAnsi="Arial"/>
                <w:sz w:val="18"/>
                <w:szCs w:val="18"/>
                <w:b w:val="1"/>
                <w:bCs w:val="1"/>
                <w:color w:val="auto"/>
              </w:rPr>
              <w:t>(301) 998-8100</w:t>
            </w:r>
          </w:p>
        </w:tc>
      </w:tr>
    </w:tbl>
    <w:p>
      <w:pPr>
        <w:spacing w:after="0" w:line="18"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2580" w:type="dxa"/>
            <w:vAlign w:val="bottom"/>
          </w:tcPr>
          <w:p>
            <w:pPr>
              <w:spacing w:after="0"/>
              <w:rPr>
                <w:sz w:val="18"/>
                <w:szCs w:val="18"/>
                <w:color w:val="auto"/>
              </w:rPr>
            </w:pPr>
          </w:p>
        </w:tc>
        <w:tc>
          <w:tcPr>
            <w:tcW w:w="44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20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60" w:type="dxa"/>
            <w:vAlign w:val="bottom"/>
            <w:gridSpan w:val="2"/>
            <w:shd w:val="clear" w:color="auto" w:fill="000000"/>
          </w:tcPr>
          <w:p>
            <w:pPr>
              <w:spacing w:after="0" w:line="20" w:lineRule="exact"/>
              <w:rPr>
                <w:sz w:val="1"/>
                <w:szCs w:val="1"/>
                <w:color w:val="auto"/>
              </w:rPr>
            </w:pPr>
          </w:p>
        </w:tc>
      </w:tr>
      <w:tr>
        <w:trPr>
          <w:trHeight w:val="276"/>
        </w:trPr>
        <w:tc>
          <w:tcPr>
            <w:tcW w:w="6060" w:type="dxa"/>
            <w:vAlign w:val="bottom"/>
            <w:gridSpan w:val="3"/>
          </w:tcPr>
          <w:p>
            <w:pPr>
              <w:jc w:val="center"/>
              <w:ind w:right="560"/>
              <w:spacing w:after="0"/>
              <w:rPr>
                <w:sz w:val="20"/>
                <w:szCs w:val="20"/>
                <w:color w:val="auto"/>
              </w:rPr>
            </w:pPr>
            <w:r>
              <w:rPr>
                <w:rFonts w:ascii="Arial" w:cs="Arial" w:eastAsia="Arial" w:hAnsi="Arial"/>
                <w:sz w:val="18"/>
                <w:szCs w:val="18"/>
                <w:color w:val="auto"/>
                <w:w w:val="90"/>
              </w:rPr>
              <w:t>Common Shares of Beneficial Interest, $.01 par value per share, with</w:t>
            </w:r>
          </w:p>
        </w:tc>
        <w:tc>
          <w:tcPr>
            <w:tcW w:w="840" w:type="dxa"/>
            <w:vAlign w:val="bottom"/>
          </w:tcPr>
          <w:p>
            <w:pPr>
              <w:spacing w:after="0"/>
              <w:rPr>
                <w:sz w:val="23"/>
                <w:szCs w:val="23"/>
                <w:color w:val="auto"/>
              </w:rPr>
            </w:pPr>
          </w:p>
        </w:tc>
        <w:tc>
          <w:tcPr>
            <w:tcW w:w="356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6060" w:type="dxa"/>
            <w:vAlign w:val="bottom"/>
            <w:gridSpan w:val="3"/>
          </w:tcPr>
          <w:p>
            <w:pPr>
              <w:jc w:val="center"/>
              <w:ind w:right="540"/>
              <w:spacing w:after="0"/>
              <w:rPr>
                <w:sz w:val="20"/>
                <w:szCs w:val="20"/>
                <w:color w:val="auto"/>
              </w:rPr>
            </w:pPr>
            <w:r>
              <w:rPr>
                <w:rFonts w:ascii="Arial" w:cs="Arial" w:eastAsia="Arial" w:hAnsi="Arial"/>
                <w:sz w:val="18"/>
                <w:szCs w:val="18"/>
                <w:color w:val="auto"/>
                <w:w w:val="88"/>
              </w:rPr>
              <w:t>associated Common Share Purchase Rights</w:t>
            </w:r>
          </w:p>
        </w:tc>
        <w:tc>
          <w:tcPr>
            <w:tcW w:w="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97"/>
        </w:trPr>
        <w:tc>
          <w:tcPr>
            <w:tcW w:w="60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12(g) of the Act: None</w:t>
            </w:r>
          </w:p>
        </w:tc>
        <w:tc>
          <w:tcPr>
            <w:tcW w:w="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7"/>
        </w:trPr>
        <w:tc>
          <w:tcPr>
            <w:tcW w:w="9240" w:type="dxa"/>
            <w:vAlign w:val="bottom"/>
            <w:gridSpan w:val="5"/>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Yes</w:t>
            </w:r>
          </w:p>
        </w:tc>
        <w:tc>
          <w:tcPr>
            <w:tcW w:w="12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r>
      <w:tr>
        <w:trPr>
          <w:trHeight w:val="283"/>
        </w:trPr>
        <w:tc>
          <w:tcPr>
            <w:tcW w:w="9240" w:type="dxa"/>
            <w:vAlign w:val="bottom"/>
            <w:gridSpan w:val="5"/>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w:t>
            </w:r>
            <w:r>
              <w:rPr>
                <w:rFonts w:ascii="MS PGothic" w:cs="MS PGothic" w:eastAsia="MS PGothic" w:hAnsi="MS PGothic"/>
                <w:sz w:val="18"/>
                <w:szCs w:val="18"/>
                <w:color w:val="auto"/>
                <w:w w:val="91"/>
              </w:rPr>
              <w:t>☐</w:t>
            </w:r>
            <w:r>
              <w:rPr>
                <w:rFonts w:ascii="Arial" w:cs="Arial" w:eastAsia="Arial" w:hAnsi="Arial"/>
                <w:sz w:val="18"/>
                <w:szCs w:val="18"/>
                <w:color w:val="auto"/>
                <w:w w:val="91"/>
              </w:rPr>
              <w:t xml:space="preserve"> Yes</w:t>
            </w:r>
          </w:p>
        </w:tc>
        <w:tc>
          <w:tcPr>
            <w:tcW w:w="122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r>
    </w:tbl>
    <w:p>
      <w:pPr>
        <w:spacing w:after="0" w:line="20" w:lineRule="exact"/>
        <w:rPr>
          <w:sz w:val="24"/>
          <w:szCs w:val="24"/>
          <w:color w:val="auto"/>
        </w:rPr>
      </w:pPr>
    </w:p>
    <w:p>
      <w:pPr>
        <w:ind w:right="4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1" w:lineRule="exact"/>
        <w:rPr>
          <w:sz w:val="24"/>
          <w:szCs w:val="24"/>
          <w:color w:val="auto"/>
        </w:rPr>
      </w:pPr>
    </w:p>
    <w:p>
      <w:pPr>
        <w:ind w:right="360"/>
        <w:spacing w:after="0" w:line="34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00"/>
          </w:cols>
          <w:pgMar w:left="240" w:top="234" w:right="259" w:bottom="1440" w:gutter="0" w:footer="0" w:header="0"/>
        </w:sectPr>
      </w:pPr>
    </w:p>
    <w:p>
      <w:pPr>
        <w:spacing w:after="0" w:line="71"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720" w:space="720"/>
            <w:col w:w="3960" w:space="720"/>
            <w:col w:w="3260" w:space="720"/>
            <w:col w:w="300"/>
          </w:cols>
          <w:pgMar w:left="240" w:top="234" w:right="259" w:bottom="144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02" w:lineRule="exact"/>
        <w:rPr>
          <w:sz w:val="24"/>
          <w:szCs w:val="24"/>
          <w:color w:val="auto"/>
        </w:rPr>
      </w:pPr>
    </w:p>
    <w:p>
      <w:pPr>
        <w:sectPr>
          <w:pgSz w:w="11900" w:h="16838" w:orient="portrait"/>
          <w:cols w:equalWidth="0" w:num="4">
            <w:col w:w="1720" w:space="720"/>
            <w:col w:w="3960" w:space="720"/>
            <w:col w:w="3260" w:space="720"/>
            <w:col w:w="300"/>
          </w:cols>
          <w:pgMar w:left="240" w:top="234" w:right="259" w:bottom="1440" w:gutter="0" w:footer="0" w:header="0"/>
          <w:type w:val="continuous"/>
        </w:sectPr>
      </w:pP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w:t>
      </w:r>
    </w:p>
    <w:p>
      <w:pPr>
        <w:spacing w:after="0" w:line="55" w:lineRule="exact"/>
        <w:rPr>
          <w:sz w:val="24"/>
          <w:szCs w:val="24"/>
          <w:color w:val="auto"/>
        </w:rPr>
      </w:pPr>
    </w:p>
    <w:p>
      <w:pPr>
        <w:sectPr>
          <w:pgSz w:w="11900" w:h="16838" w:orient="portrait"/>
          <w:cols w:equalWidth="0" w:num="5">
            <w:col w:w="8240" w:space="220"/>
            <w:col w:w="160" w:space="80"/>
            <w:col w:w="260" w:space="180"/>
            <w:col w:w="160" w:space="100"/>
            <w:col w:w="2000"/>
          </w:cols>
          <w:pgMar w:left="240" w:top="234" w:right="259" w:bottom="1440" w:gutter="0" w:footer="0" w:header="0"/>
          <w:type w:val="continuous"/>
        </w:sectPr>
      </w:pPr>
    </w:p>
    <w:p>
      <w:pPr>
        <w:ind w:right="180"/>
        <w:spacing w:after="0" w:line="268" w:lineRule="auto"/>
        <w:rPr>
          <w:sz w:val="20"/>
          <w:szCs w:val="20"/>
          <w:color w:val="auto"/>
        </w:rPr>
      </w:pPr>
      <w:r>
        <w:rPr>
          <w:rFonts w:ascii="Arial" w:cs="Arial" w:eastAsia="Arial" w:hAnsi="Arial"/>
          <w:sz w:val="18"/>
          <w:szCs w:val="18"/>
          <w:color w:val="auto"/>
        </w:rPr>
        <w:t>The aggregate market value of the Registrant's common shares held by non-affiliates of the Registrant, based upon the closing sales price of the Registrant's common shares on June 30, 2015 was $8.9 billion.</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Registrant’s common shares outstanding on February 5, 2016 was 69,669,864.</w:t>
      </w:r>
    </w:p>
    <w:p>
      <w:pPr>
        <w:sectPr>
          <w:pgSz w:w="11900" w:h="16838" w:orient="portrait"/>
          <w:cols w:equalWidth="0" w:num="1">
            <w:col w:w="11400"/>
          </w:cols>
          <w:pgMar w:left="240" w:top="234" w:right="25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FISCAL YEAR ENDED DECEMBER 31, 2015</w:t>
      </w:r>
    </w:p>
    <w:p>
      <w:pPr>
        <w:spacing w:after="0" w:line="31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36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for the Registrant’s 2015 annual meeting of shareholders to be held in May 2016 will be incorporated by reference into Part III hereof.</w:t>
      </w: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9720" w:type="dxa"/>
            <w:vAlign w:val="bottom"/>
          </w:tcPr>
          <w:p>
            <w:pPr>
              <w:ind w:left="34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1240" w:type="dxa"/>
            <w:vAlign w:val="bottom"/>
          </w:tcPr>
          <w:p>
            <w:pPr>
              <w:spacing w:after="0"/>
              <w:rPr>
                <w:sz w:val="20"/>
                <w:szCs w:val="20"/>
                <w:color w:val="auto"/>
              </w:rPr>
            </w:pPr>
            <w:r>
              <w:rPr>
                <w:rFonts w:ascii="Arial" w:cs="Arial" w:eastAsia="Arial" w:hAnsi="Arial"/>
                <w:sz w:val="18"/>
                <w:szCs w:val="18"/>
                <w:color w:val="auto"/>
              </w:rPr>
              <w:t>PART I</w:t>
            </w: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9720" w:type="dxa"/>
            <w:vAlign w:val="bottom"/>
          </w:tcPr>
          <w:p>
            <w:pPr>
              <w:ind w:left="140"/>
              <w:spacing w:after="0"/>
              <w:rPr>
                <w:sz w:val="20"/>
                <w:szCs w:val="20"/>
                <w:color w:val="auto"/>
              </w:rPr>
            </w:pPr>
            <w:r>
              <w:rPr>
                <w:rFonts w:ascii="Arial" w:cs="Arial" w:eastAsia="Arial" w:hAnsi="Arial"/>
                <w:sz w:val="18"/>
                <w:szCs w:val="18"/>
                <w:color w:val="auto"/>
              </w:rPr>
              <w:t>Business</w:t>
            </w: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80" w:type="dxa"/>
            <w:vAlign w:val="bottom"/>
          </w:tcPr>
          <w:p>
            <w:pPr>
              <w:spacing w:after="0"/>
              <w:rPr>
                <w:sz w:val="19"/>
                <w:szCs w:val="19"/>
                <w:color w:val="auto"/>
              </w:rPr>
            </w:pPr>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1A.</w:t>
            </w:r>
          </w:p>
        </w:tc>
        <w:tc>
          <w:tcPr>
            <w:tcW w:w="972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c>
          <w:tcPr>
            <w:tcW w:w="80" w:type="dxa"/>
            <w:vAlign w:val="bottom"/>
          </w:tcPr>
          <w:p>
            <w:pPr>
              <w:spacing w:after="0"/>
              <w:rPr>
                <w:sz w:val="21"/>
                <w:szCs w:val="21"/>
                <w:color w:val="auto"/>
              </w:rPr>
            </w:pPr>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1B.</w:t>
            </w:r>
          </w:p>
        </w:tc>
        <w:tc>
          <w:tcPr>
            <w:tcW w:w="9720" w:type="dxa"/>
            <w:vAlign w:val="bottom"/>
          </w:tcPr>
          <w:p>
            <w:pPr>
              <w:ind w:left="140"/>
              <w:spacing w:after="0"/>
              <w:rPr>
                <w:sz w:val="20"/>
                <w:szCs w:val="20"/>
                <w:color w:val="auto"/>
              </w:rPr>
            </w:pPr>
            <w:r>
              <w:rPr>
                <w:rFonts w:ascii="Arial" w:cs="Arial" w:eastAsia="Arial" w:hAnsi="Arial"/>
                <w:sz w:val="18"/>
                <w:szCs w:val="18"/>
                <w:color w:val="auto"/>
              </w:rPr>
              <w:t>Unresolved Staff Comments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15</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9720" w:type="dxa"/>
            <w:vAlign w:val="bottom"/>
          </w:tcPr>
          <w:p>
            <w:pPr>
              <w:ind w:left="140"/>
              <w:spacing w:after="0"/>
              <w:rPr>
                <w:sz w:val="20"/>
                <w:szCs w:val="20"/>
                <w:color w:val="auto"/>
              </w:rPr>
            </w:pPr>
            <w:r>
              <w:rPr>
                <w:rFonts w:ascii="Arial" w:cs="Arial" w:eastAsia="Arial" w:hAnsi="Arial"/>
                <w:sz w:val="18"/>
                <w:szCs w:val="18"/>
                <w:color w:val="auto"/>
              </w:rPr>
              <w:t>Properties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16</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3.</w:t>
            </w:r>
          </w:p>
        </w:tc>
        <w:tc>
          <w:tcPr>
            <w:tcW w:w="972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4.</w:t>
            </w:r>
          </w:p>
        </w:tc>
        <w:tc>
          <w:tcPr>
            <w:tcW w:w="972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614"/>
        </w:trPr>
        <w:tc>
          <w:tcPr>
            <w:tcW w:w="1240" w:type="dxa"/>
            <w:vAlign w:val="bottom"/>
          </w:tcPr>
          <w:p>
            <w:pPr>
              <w:spacing w:after="0"/>
              <w:rPr>
                <w:sz w:val="20"/>
                <w:szCs w:val="20"/>
                <w:color w:val="auto"/>
              </w:rPr>
            </w:pPr>
            <w:r>
              <w:rPr>
                <w:rFonts w:ascii="Arial" w:cs="Arial" w:eastAsia="Arial" w:hAnsi="Arial"/>
                <w:sz w:val="18"/>
                <w:szCs w:val="18"/>
                <w:color w:val="auto"/>
              </w:rPr>
              <w:t>PART II</w:t>
            </w: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Item 5.</w:t>
            </w:r>
          </w:p>
        </w:tc>
        <w:tc>
          <w:tcPr>
            <w:tcW w:w="9720" w:type="dxa"/>
            <w:vAlign w:val="bottom"/>
          </w:tcPr>
          <w:p>
            <w:pPr>
              <w:ind w:left="140"/>
              <w:spacing w:after="0"/>
              <w:rPr>
                <w:sz w:val="20"/>
                <w:szCs w:val="20"/>
                <w:color w:val="auto"/>
              </w:rPr>
            </w:pPr>
            <w:r>
              <w:rPr>
                <w:rFonts w:ascii="Arial" w:cs="Arial" w:eastAsia="Arial" w:hAnsi="Arial"/>
                <w:sz w:val="18"/>
                <w:szCs w:val="18"/>
                <w:color w:val="auto"/>
              </w:rPr>
              <w:t>Market for Our Common Equity and Related Shareholder Matters and Issuer Purchases of Equity Securities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6.</w:t>
            </w:r>
          </w:p>
        </w:tc>
        <w:tc>
          <w:tcPr>
            <w:tcW w:w="9720" w:type="dxa"/>
            <w:vAlign w:val="bottom"/>
          </w:tcPr>
          <w:p>
            <w:pPr>
              <w:ind w:left="140"/>
              <w:spacing w:after="0"/>
              <w:rPr>
                <w:sz w:val="20"/>
                <w:szCs w:val="20"/>
                <w:color w:val="auto"/>
              </w:rPr>
            </w:pPr>
            <w:r>
              <w:rPr>
                <w:rFonts w:ascii="Arial" w:cs="Arial" w:eastAsia="Arial" w:hAnsi="Arial"/>
                <w:sz w:val="18"/>
                <w:szCs w:val="18"/>
                <w:color w:val="auto"/>
              </w:rPr>
              <w:t>Selected Financial Data</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27</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7.</w:t>
            </w:r>
          </w:p>
        </w:tc>
        <w:tc>
          <w:tcPr>
            <w:tcW w:w="972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7A.</w:t>
            </w:r>
          </w:p>
        </w:tc>
        <w:tc>
          <w:tcPr>
            <w:tcW w:w="972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8.</w:t>
            </w:r>
          </w:p>
        </w:tc>
        <w:tc>
          <w:tcPr>
            <w:tcW w:w="9720" w:type="dxa"/>
            <w:vAlign w:val="bottom"/>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9.</w:t>
            </w:r>
          </w:p>
        </w:tc>
        <w:tc>
          <w:tcPr>
            <w:tcW w:w="9720" w:type="dxa"/>
            <w:vAlign w:val="bottom"/>
          </w:tcPr>
          <w:p>
            <w:pPr>
              <w:ind w:left="1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9A.</w:t>
            </w:r>
          </w:p>
        </w:tc>
        <w:tc>
          <w:tcPr>
            <w:tcW w:w="972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9B.</w:t>
            </w:r>
          </w:p>
        </w:tc>
        <w:tc>
          <w:tcPr>
            <w:tcW w:w="972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r>
      <w:tr>
        <w:trPr>
          <w:trHeight w:val="614"/>
        </w:trPr>
        <w:tc>
          <w:tcPr>
            <w:tcW w:w="1240" w:type="dxa"/>
            <w:vAlign w:val="bottom"/>
          </w:tcPr>
          <w:p>
            <w:pPr>
              <w:spacing w:after="0"/>
              <w:rPr>
                <w:sz w:val="20"/>
                <w:szCs w:val="20"/>
                <w:color w:val="auto"/>
              </w:rPr>
            </w:pPr>
            <w:r>
              <w:rPr>
                <w:rFonts w:ascii="Arial" w:cs="Arial" w:eastAsia="Arial" w:hAnsi="Arial"/>
                <w:sz w:val="18"/>
                <w:szCs w:val="18"/>
                <w:color w:val="auto"/>
              </w:rPr>
              <w:t>PART III</w:t>
            </w: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Item 10.</w:t>
            </w:r>
          </w:p>
        </w:tc>
        <w:tc>
          <w:tcPr>
            <w:tcW w:w="9720" w:type="dxa"/>
            <w:vAlign w:val="bottom"/>
          </w:tcPr>
          <w:p>
            <w:pPr>
              <w:ind w:left="140"/>
              <w:spacing w:after="0"/>
              <w:rPr>
                <w:sz w:val="20"/>
                <w:szCs w:val="20"/>
                <w:color w:val="auto"/>
              </w:rPr>
            </w:pPr>
            <w:r>
              <w:rPr>
                <w:rFonts w:ascii="Arial" w:cs="Arial" w:eastAsia="Arial" w:hAnsi="Arial"/>
                <w:sz w:val="18"/>
                <w:szCs w:val="18"/>
                <w:color w:val="auto"/>
              </w:rPr>
              <w:t>Trustees, Executive Officers and Corporate Governance</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11.</w:t>
            </w:r>
          </w:p>
        </w:tc>
        <w:tc>
          <w:tcPr>
            <w:tcW w:w="9720" w:type="dxa"/>
            <w:vAlign w:val="bottom"/>
          </w:tcPr>
          <w:p>
            <w:pPr>
              <w:ind w:left="140"/>
              <w:spacing w:after="0"/>
              <w:rPr>
                <w:sz w:val="20"/>
                <w:szCs w:val="20"/>
                <w:color w:val="auto"/>
              </w:rPr>
            </w:pPr>
            <w:r>
              <w:rPr>
                <w:rFonts w:ascii="Arial" w:cs="Arial" w:eastAsia="Arial" w:hAnsi="Arial"/>
                <w:sz w:val="18"/>
                <w:szCs w:val="18"/>
                <w:color w:val="auto"/>
              </w:rPr>
              <w:t>Executive Compensation</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12.</w:t>
            </w:r>
          </w:p>
        </w:tc>
        <w:tc>
          <w:tcPr>
            <w:tcW w:w="9720" w:type="dxa"/>
            <w:vAlign w:val="bottom"/>
          </w:tcPr>
          <w:p>
            <w:pPr>
              <w:ind w:left="140"/>
              <w:spacing w:after="0"/>
              <w:rPr>
                <w:sz w:val="20"/>
                <w:szCs w:val="20"/>
                <w:color w:val="auto"/>
              </w:rPr>
            </w:pPr>
            <w:r>
              <w:rPr>
                <w:rFonts w:ascii="Arial" w:cs="Arial" w:eastAsia="Arial" w:hAnsi="Arial"/>
                <w:sz w:val="18"/>
                <w:szCs w:val="18"/>
                <w:color w:val="auto"/>
              </w:rPr>
              <w:t>Security Ownership of Certain Beneficial Owners and Management and Related Shareholder Matters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13.</w:t>
            </w:r>
          </w:p>
        </w:tc>
        <w:tc>
          <w:tcPr>
            <w:tcW w:w="9720" w:type="dxa"/>
            <w:vAlign w:val="bottom"/>
          </w:tcPr>
          <w:p>
            <w:pPr>
              <w:ind w:left="140"/>
              <w:spacing w:after="0"/>
              <w:rPr>
                <w:sz w:val="20"/>
                <w:szCs w:val="20"/>
                <w:color w:val="auto"/>
              </w:rPr>
            </w:pPr>
            <w:r>
              <w:rPr>
                <w:rFonts w:ascii="Arial" w:cs="Arial" w:eastAsia="Arial" w:hAnsi="Arial"/>
                <w:sz w:val="18"/>
                <w:szCs w:val="18"/>
                <w:color w:val="auto"/>
              </w:rPr>
              <w:t>Certain Relationships and Related Transactions, and Trustee Independence</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14.</w:t>
            </w:r>
          </w:p>
        </w:tc>
        <w:tc>
          <w:tcPr>
            <w:tcW w:w="9720" w:type="dxa"/>
            <w:vAlign w:val="bottom"/>
          </w:tcPr>
          <w:p>
            <w:pPr>
              <w:ind w:left="140"/>
              <w:spacing w:after="0"/>
              <w:rPr>
                <w:sz w:val="20"/>
                <w:szCs w:val="20"/>
                <w:color w:val="auto"/>
              </w:rPr>
            </w:pPr>
            <w:r>
              <w:rPr>
                <w:rFonts w:ascii="Arial" w:cs="Arial" w:eastAsia="Arial" w:hAnsi="Arial"/>
                <w:sz w:val="18"/>
                <w:szCs w:val="18"/>
                <w:color w:val="auto"/>
              </w:rPr>
              <w:t>Principal Accountant Fees and Services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614"/>
        </w:trPr>
        <w:tc>
          <w:tcPr>
            <w:tcW w:w="1240" w:type="dxa"/>
            <w:vAlign w:val="bottom"/>
          </w:tcPr>
          <w:p>
            <w:pPr>
              <w:spacing w:after="0"/>
              <w:rPr>
                <w:sz w:val="20"/>
                <w:szCs w:val="20"/>
                <w:color w:val="auto"/>
              </w:rPr>
            </w:pPr>
            <w:r>
              <w:rPr>
                <w:rFonts w:ascii="Arial" w:cs="Arial" w:eastAsia="Arial" w:hAnsi="Arial"/>
                <w:sz w:val="18"/>
                <w:szCs w:val="18"/>
                <w:color w:val="auto"/>
              </w:rPr>
              <w:t>PART IV</w:t>
            </w: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Item 15.</w:t>
            </w:r>
          </w:p>
        </w:tc>
        <w:tc>
          <w:tcPr>
            <w:tcW w:w="9720" w:type="dxa"/>
            <w:vAlign w:val="bottom"/>
          </w:tcPr>
          <w:p>
            <w:pPr>
              <w:ind w:left="140"/>
              <w:spacing w:after="0"/>
              <w:rPr>
                <w:sz w:val="20"/>
                <w:szCs w:val="20"/>
                <w:color w:val="auto"/>
              </w:rPr>
            </w:pPr>
            <w:r>
              <w:rPr>
                <w:rFonts w:ascii="Arial" w:cs="Arial" w:eastAsia="Arial" w:hAnsi="Arial"/>
                <w:sz w:val="18"/>
                <w:szCs w:val="18"/>
                <w:color w:val="auto"/>
              </w:rPr>
              <w:t>Exhibits and Financial Statement Schedules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574"/>
        </w:trPr>
        <w:tc>
          <w:tcPr>
            <w:tcW w:w="1240" w:type="dxa"/>
            <w:vAlign w:val="bottom"/>
          </w:tcPr>
          <w:p>
            <w:pPr>
              <w:spacing w:after="0"/>
              <w:rPr>
                <w:sz w:val="20"/>
                <w:szCs w:val="20"/>
                <w:color w:val="auto"/>
              </w:rPr>
            </w:pPr>
            <w:r>
              <w:rPr>
                <w:rFonts w:ascii="Arial" w:cs="Arial" w:eastAsia="Arial" w:hAnsi="Arial"/>
                <w:sz w:val="18"/>
                <w:szCs w:val="18"/>
                <w:color w:val="auto"/>
              </w:rPr>
              <w:t>SIGNATURES</w:t>
            </w:r>
          </w:p>
        </w:tc>
        <w:tc>
          <w:tcPr>
            <w:tcW w:w="9720" w:type="dxa"/>
            <w:vAlign w:val="bottom"/>
          </w:tcPr>
          <w:p>
            <w:pPr>
              <w:spacing w:after="0"/>
              <w:rPr>
                <w:sz w:val="24"/>
                <w:szCs w:val="24"/>
                <w:color w:val="auto"/>
              </w:rPr>
            </w:pP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54</w:t>
              </w:r>
            </w:hyperlink>
          </w:p>
        </w:tc>
      </w:tr>
      <w:tr>
        <w:trPr>
          <w:trHeight w:val="506"/>
        </w:trPr>
        <w:tc>
          <w:tcPr>
            <w:tcW w:w="1240" w:type="dxa"/>
            <w:vAlign w:val="bottom"/>
          </w:tcPr>
          <w:p>
            <w:pPr>
              <w:spacing w:after="0"/>
              <w:rPr>
                <w:sz w:val="24"/>
                <w:szCs w:val="24"/>
                <w:color w:val="auto"/>
              </w:rPr>
            </w:pPr>
          </w:p>
        </w:tc>
        <w:tc>
          <w:tcPr>
            <w:tcW w:w="9720" w:type="dxa"/>
            <w:vAlign w:val="bottom"/>
          </w:tcPr>
          <w:p>
            <w:pPr>
              <w:ind w:left="43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80"/>
          </w:cols>
          <w:pgMar w:left="240" w:top="126" w:right="47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References to “we,” “us,” “our” or the “Trust” refer to Federal Realty Investment Trust and our business and operations conducted through our directly or indirectly owned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and South Florida. As of December 31, 2015, we owned or had a majority interest in community and neighborhood shopping centers and mixed-use properties which are operated as 90 predominantly retail real estate projects comprising approximately 21.4 million square feet. In total, the real estate projects were 94.3% leased and 93.5% occupied at December 31, 2015. A joint venture in which we owned a 30% interest owned six retail real estate projects totaling approximately 0.8 million square feet as of December 31, 2015. In total, the joint venture properties in which we owned an interest were 93.6% leased and 85.3% occupied at December 31, 2015. On January 13, 2016, we acquired our partner's 70% interest in the joint venture and subsequently own 100% of the related properties. We have paid quarterly dividends to our shareholders continuously since our founding in 1962 and have increased our dividends per common share for 48 consecutive years.</w:t>
      </w:r>
    </w:p>
    <w:p>
      <w:pPr>
        <w:spacing w:after="0" w:line="12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(the “Code”). Our principal executive offices are located at 1626 East Jefferson Street, Rockville, Maryland 20852. Our telephone number is (301) 998-8100.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report and is not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Objectives and Strategies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primary business objective is to own, manage, acquire and redevelop a portfolio of high quality retail focused properties that will:</w:t>
      </w:r>
    </w:p>
    <w:p>
      <w:pPr>
        <w:spacing w:after="0" w:line="2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increasing cash flow for distribution to shareholders;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 higher internal growth than the shopping center industry;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potential for capital appreciation;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 investor capital.</w:t>
      </w:r>
    </w:p>
    <w:p>
      <w:pPr>
        <w:spacing w:after="0" w:line="15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portfolio includes, and we continue to acquire and redevelop, high quality retail in many formats ranging from regional, community and neighborhood shopping centers that often are anchored by grocery stores to mixed-use properties that are typically centered around a retail component but also include office, residential and/or hotel components.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Strategies</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core operating strategy is to actively manage our properties to maximize rents and maintain occupancy levels by attracting and retaining a strong and diverse base of tenants and replacing less relevant, weaker, underperforming tenants with stronger ones. Our properties are generally located in some of the most densely populated and affluent areas of the country. These strong demographics help our tenants generate higher sales, which has enabled us to maintain higher occupancy rates, charge higher rental rates, and maintain steady rent growth, all of which increase the value of our portfolio. Our operating strategies also include:</w:t>
      </w:r>
    </w:p>
    <w:p>
      <w:pPr>
        <w:spacing w:after="0" w:line="3" w:lineRule="exact"/>
        <w:rPr>
          <w:sz w:val="20"/>
          <w:szCs w:val="20"/>
          <w:color w:val="auto"/>
        </w:rPr>
      </w:pPr>
    </w:p>
    <w:p>
      <w:pPr>
        <w:ind w:left="660" w:right="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rental rates through the renewal of expiring leases or the leasing of space to new tenants at higher rental rates while limiting vacancy and down-time;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a diversified tenant base, thereby limiting exposure to any one tenant’s financial or operating difficulties;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monitoring the merchandising mix of our tenant base to achieve a balance of strong national and regional tenants with local specialty tenants;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minimizing overhead and operating costs;</w:t>
      </w:r>
    </w:p>
    <w:p>
      <w:pPr>
        <w:spacing w:after="0" w:line="8" w:lineRule="exact"/>
        <w:rPr>
          <w:rFonts w:ascii="Arial" w:cs="Arial" w:eastAsia="Arial" w:hAnsi="Arial"/>
          <w:sz w:val="18"/>
          <w:szCs w:val="18"/>
          <w:color w:val="auto"/>
        </w:rPr>
      </w:pPr>
    </w:p>
    <w:p>
      <w:pPr>
        <w:ind w:left="660" w:right="320" w:hanging="328"/>
        <w:spacing w:after="0" w:line="32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monitoring the physical appearance of our properties and the construction quality, condition and design of the buildings and other improvements located on our properties to maximize our ability to attract customers and thereby generate higher rents and occupancy rates;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126" w:right="29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local and regional market expertise in order to capitalize on market and retailing trends;</w:t>
      </w:r>
    </w:p>
    <w:p>
      <w:pPr>
        <w:spacing w:after="0" w:line="23"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the contacts and experience of our management team to build and maintain long-term relationships with tenants, investors and financing sources;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exceptional customer service; and</w:t>
      </w:r>
    </w:p>
    <w:p>
      <w:pPr>
        <w:spacing w:after="0" w:line="8" w:lineRule="exact"/>
        <w:rPr>
          <w:rFonts w:ascii="Arial" w:cs="Arial" w:eastAsia="Arial" w:hAnsi="Arial"/>
          <w:sz w:val="18"/>
          <w:szCs w:val="18"/>
          <w:color w:val="auto"/>
        </w:rPr>
      </w:pPr>
    </w:p>
    <w:p>
      <w:pPr>
        <w:ind w:left="660" w:right="10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creating an experience at many of our properties that is identifiable, unique and serves the surrounding communities to help insulate these properties and the tenants at these properties from the impact of on-line retailing.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Strategies</w:t>
      </w:r>
    </w:p>
    <w:p>
      <w:pPr>
        <w:spacing w:after="0" w:line="90"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Our investment strategy is to deploy capital at risk-adjusted rates of return that exceed our long-term weighted average cost of capital in projects that have potential for future income growth and increased value. Our investments primarily fall into one of the following four categories:</w:t>
      </w:r>
    </w:p>
    <w:p>
      <w:pPr>
        <w:spacing w:after="0" w:line="1" w:lineRule="exact"/>
        <w:rPr>
          <w:sz w:val="20"/>
          <w:szCs w:val="20"/>
          <w:color w:val="auto"/>
        </w:rPr>
      </w:pPr>
    </w:p>
    <w:p>
      <w:pPr>
        <w:ind w:left="660" w:right="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renovating, expanding, reconfiguring and/or retenanting our existing properties to take advantage of under-utilized land or existing square footage to increase revenue;</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renovating or expanding tenant spaces for tenants capable of producing higher sales, and therefore, paying higher rents;</w:t>
      </w:r>
    </w:p>
    <w:p>
      <w:pPr>
        <w:spacing w:after="0" w:line="8" w:lineRule="exact"/>
        <w:rPr>
          <w:rFonts w:ascii="Arial" w:cs="Arial" w:eastAsia="Arial" w:hAnsi="Arial"/>
          <w:sz w:val="18"/>
          <w:szCs w:val="18"/>
          <w:color w:val="auto"/>
        </w:rPr>
      </w:pPr>
    </w:p>
    <w:p>
      <w:pPr>
        <w:jc w:val="both"/>
        <w:ind w:left="660" w:right="2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acquiring quality retail and mixed-use properties located in densely populated and/or affluent areas where barriers to entry for further development are high, and that have possibilities for enhancing operating performance and creating value through renovation, expansion, reconfiguration and/or retenanting; and</w:t>
      </w:r>
    </w:p>
    <w:p>
      <w:pPr>
        <w:ind w:left="660" w:right="540" w:hanging="328"/>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the retail portions of mixed-use properties and developing or otherwise investing in non-retail portions of mixed-use properties we already own in order to capitalize on the overall value created in these properties.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Criteria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When we evaluate potential redevelopment, retenanting, expansion, acquisition and development opportunities, we consider such factors as:</w:t>
      </w:r>
    </w:p>
    <w:p>
      <w:pPr>
        <w:spacing w:after="0" w:line="2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expected returns in relation to our short and long-term cost of capital as well as the anticipated risk we will face in achieving the expected returns;</w:t>
      </w:r>
    </w:p>
    <w:p>
      <w:pPr>
        <w:spacing w:after="0" w:line="31"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anticipated growth rate of operating income generated by the property;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increase the long-term value of the property through redevelopment and retenanting;</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tenant mix at the property, tenant sales performance and the creditworthiness of those tenants;</w:t>
      </w:r>
    </w:p>
    <w:p>
      <w:pPr>
        <w:spacing w:after="0" w:line="8"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geographic area in which the property is located, including the population density and household incomes, as well as the population and income trends in that geographic area;</w:t>
      </w:r>
    </w:p>
    <w:p>
      <w:pPr>
        <w:ind w:left="660" w:right="5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conditions in the vicinity of the property, including competition for tenants and the ability of others to create competing properties through redevelopment, new construction or renovation;</w:t>
      </w:r>
    </w:p>
    <w:p>
      <w:pPr>
        <w:ind w:left="660" w:right="1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to and visibility of the property from existing roadways and the potential for new, widened or realigned, roadways within the property’s trade area, which may affect access and commuting and shopping patterns;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and success of our existing investments in the market area;</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current market value of the land, buildings and other improvements and the potential for increasing those market values;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physical condition of the land, buildings and other improvements, including the structural and environmental condition.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Strategies</w:t>
      </w:r>
    </w:p>
    <w:p>
      <w:pPr>
        <w:spacing w:after="0" w:line="90"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Our financing strategies are designed to enable us to maintain an investment grade balance sheet while retaining sufficient flexibility to fund our operating and investing activities in the most cost-efficient way possible. Our financing strategies include:</w:t>
      </w:r>
    </w:p>
    <w:p>
      <w:pPr>
        <w:spacing w:after="0" w:line="1" w:lineRule="exact"/>
        <w:rPr>
          <w:sz w:val="20"/>
          <w:szCs w:val="20"/>
          <w:color w:val="auto"/>
        </w:rPr>
      </w:pPr>
    </w:p>
    <w:p>
      <w:pPr>
        <w:ind w:left="660" w:right="5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 prudent level of overall leverage and an appropriate pool of unencumbered properties that is sufficient to support our unsecured borrowings;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managing our exposure to variable-rate debt;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an available line of credit to fund operating and investing needs on a short-term basis;</w:t>
      </w:r>
    </w:p>
    <w:p>
      <w:pPr>
        <w:spacing w:after="0" w:line="8"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taking advantage of market opportunities to refinance existing debt, reduce interest costs and manage our debt maturity schedule so that a significant portion of our debt does not mature in any one year;</w:t>
      </w:r>
    </w:p>
    <w:p>
      <w:pPr>
        <w:ind w:left="660" w:right="1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selling properties that have limited growth potential or are not a strategic fit within our overall portfolio and redeploying the proceeds to redevelop, renovate, retenant and/or expand our existing properties, acquire new properties or reduce debt; and</w:t>
      </w:r>
    </w:p>
    <w:p>
      <w:pPr>
        <w:ind w:left="660" w:right="520" w:hanging="328"/>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utilizing the most advantageous long-term source of capital available to us to finance redevelopment and acquisition opportunities, which may include: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6" w:right="23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7" w:lineRule="exact"/>
        <w:rPr>
          <w:sz w:val="20"/>
          <w:szCs w:val="20"/>
          <w:color w:val="auto"/>
        </w:rPr>
      </w:pPr>
    </w:p>
    <w:p>
      <w:pPr>
        <w:ind w:left="1300" w:right="320" w:hanging="321"/>
        <w:spacing w:after="0" w:line="258"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sale of our equity or debt securities through public offerings, including our at-the-market ("ATM") equity program in which we may from time to time offer and sell common shares, or private placements,</w:t>
      </w:r>
    </w:p>
    <w:p>
      <w:pPr>
        <w:spacing w:after="0" w:line="1" w:lineRule="exact"/>
        <w:rPr>
          <w:rFonts w:ascii="Arial" w:cs="Arial" w:eastAsia="Arial" w:hAnsi="Arial"/>
          <w:sz w:val="18"/>
          <w:szCs w:val="18"/>
          <w:color w:val="auto"/>
        </w:rPr>
      </w:pPr>
    </w:p>
    <w:p>
      <w:pPr>
        <w:ind w:left="1300" w:hanging="32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incurrence of indebtedness through unsecured or secured borrowings,</w:t>
      </w:r>
    </w:p>
    <w:p>
      <w:pPr>
        <w:spacing w:after="0" w:line="8" w:lineRule="exact"/>
        <w:rPr>
          <w:rFonts w:ascii="Arial" w:cs="Arial" w:eastAsia="Arial" w:hAnsi="Arial"/>
          <w:sz w:val="18"/>
          <w:szCs w:val="18"/>
          <w:color w:val="auto"/>
        </w:rPr>
      </w:pPr>
    </w:p>
    <w:p>
      <w:pPr>
        <w:ind w:left="1300" w:hanging="321"/>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issuance of operating partnership units in a new or existing “downREIT partnership” that is controlled and consolidated by us (generally operating partnership units in a “downREIT” partnership are issued in exchange for a tax deferred contribution of property; these units receive the same distributions as our common shares and the holders of these units have the right to exchange their units for cash or the same number of our common shares, at our option), or</w:t>
      </w:r>
    </w:p>
    <w:p>
      <w:pPr>
        <w:ind w:left="1300" w:hanging="32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use of joint venture arrangements.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At February 5, 2016, we had 299 full-time employees and 137 part-time employees. None of our employees are represented by a collective bargaining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relationship with our employees is good.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elected to be taxed as a REIT under the federal income tax laws when we filed our 1962 tax return. As a REIT, we are generally not subject to federal income tax on taxable income that we distribute to our shareholders. Under the Code, REITs are subject to numerous organizational and operational requirements, including the requirement to generally distribute at least 90% of taxable income each year. We will be subject to federal income tax on our taxable income (including any applicable alternative minimum tax) at regular corporate rates if we fail to qualify as a REIT for tax purposes in any taxable year, or to the extent we distribute less than 100% of our taxable income. We will also generally not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taxable income.</w:t>
      </w:r>
    </w:p>
    <w:p>
      <w:pPr>
        <w:spacing w:after="0" w:line="1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have elected to treat certain of our subsidiaries as taxable REIT subsidiaries, which we refer to as a TRS. In general, a TRS may engage in any real estate business and certain non-real estate businesses, subject to certain limitations under the Code. A TRS is subject to federal and state income taxes. Our TRS activities have not been material.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 Affecting Our Properties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We and our properties are subject to a variety of federal, state and local environmental, health, safety and similar laws, including without limitation:</w:t>
      </w:r>
    </w:p>
    <w:p>
      <w:pPr>
        <w:spacing w:after="0" w:line="3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Comprehensive Environmental Response, Compensation, and Liability Act of 1980, as amended, which we refer to as CERCLA;</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Resource Conservation &amp; Recovery Act;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Clean Water Act;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Clean Air Act;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Toxic Substances Control Act;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Occupational Safety &amp; Health Act;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Americans with Disabilities Act.</w:t>
      </w:r>
    </w:p>
    <w:p>
      <w:pPr>
        <w:spacing w:after="0" w:line="156"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application of these laws to a specific property that we own depends on a variety of property-specific circumstances, including the current and former uses of the property, the building materials used at the property and the physical layout of the property. Under certain environmental laws, principally CERCLA, we, as the owner or operator of properties currently or previously owned, may be required to investigate and clean up certain hazardous or toxic substances, asbestos-containing materials, or petroleum product releases at the property. We may also be held liable to a governmental entity or third parties for property damage and for investigation and clean up costs incurred in connection with the contamination, whether or not we knew of, or were responsible for, such contamination. In addition, some environmental laws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 However, we cannot predict the impact of new or</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6" w:right="27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changed laws or regulations on properties we currently own or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Numerous commercial developers and real estate companies compete with us with respect to the leasing and the acquisition of properties. Some of these competitors may possess greater capital resources than we do, although we do not believe that any single competitor or group of competitors in any of the primary markets where our properties are located are dominant in that market. This competition may:</w:t>
      </w:r>
    </w:p>
    <w:p>
      <w:pPr>
        <w:spacing w:after="0" w:line="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number of properties available for acquisition;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 leading to increased vacancy rates and/or reduced rents;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56" w:lineRule="exact"/>
        <w:rPr>
          <w:sz w:val="20"/>
          <w:szCs w:val="20"/>
          <w:color w:val="auto"/>
        </w:rPr>
      </w:pPr>
    </w:p>
    <w:p>
      <w:pPr>
        <w:ind w:right="80"/>
        <w:spacing w:after="0" w:line="307" w:lineRule="auto"/>
        <w:rPr>
          <w:sz w:val="20"/>
          <w:szCs w:val="20"/>
          <w:color w:val="auto"/>
        </w:rPr>
      </w:pPr>
      <w:r>
        <w:rPr>
          <w:rFonts w:ascii="Arial" w:cs="Arial" w:eastAsia="Arial" w:hAnsi="Arial"/>
          <w:sz w:val="17"/>
          <w:szCs w:val="17"/>
          <w:color w:val="auto"/>
        </w:rPr>
        <w:t>Retailers at our properties also face increasing competition from online retailers, outlet stores, discount shopping clubs, superstores, and other forms of sales and marketing of goods and services, such as direct mail. This competition could contribute to lease defaults and insolvency of tenants.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Copies of our Annual Report on Form 10-K, Quarterly Reports on Form 10-Q, Current Reports on Form 8-K, and amendments to those reports filed or furnished pursuant to Section 13(a) or 15(d) of the Securities Exchange Act of 1934 (the “Exchange Act”) are available free of charge through the Investors section of our website at </w:t>
      </w:r>
      <w:r>
        <w:rPr>
          <w:rFonts w:ascii="Arial" w:cs="Arial" w:eastAsia="Arial" w:hAnsi="Arial"/>
          <w:sz w:val="18"/>
          <w:szCs w:val="18"/>
          <w:i w:val="1"/>
          <w:iCs w:val="1"/>
          <w:color w:val="auto"/>
        </w:rPr>
        <w:t>www.federalrealty.com</w:t>
      </w:r>
      <w:r>
        <w:rPr>
          <w:rFonts w:ascii="Arial" w:cs="Arial" w:eastAsia="Arial" w:hAnsi="Arial"/>
          <w:sz w:val="18"/>
          <w:szCs w:val="18"/>
          <w:color w:val="auto"/>
        </w:rPr>
        <w:t xml:space="preserve"> as soon as reasonably practicable after we electronically file the material with, or furnish the material to, the Securities and Exchange Commission, or the SEC.</w:t>
      </w:r>
    </w:p>
    <w:p>
      <w:pPr>
        <w:spacing w:after="0" w:line="13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Corporate Governance Guidelines, Code of Business Conduct, Code of Ethics applicable to our Chief Executive Officer and senior financial officers, Whistleblower Policy, organizational documents and the charters of our audit committee, compensation committee and nominating and corporate governance committee are all available in the Corporate Governance section of the Investors section of our website.</w:t>
      </w:r>
    </w:p>
    <w:p>
      <w:pPr>
        <w:spacing w:after="0" w:line="1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Amendments to the Code of Ethics or Code of Business Conduct or waivers that apply to any of our executive officers or our senior financial officers will be disclosed in that section of our website as well.</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You may obtain a printed copy of any of the foregoing materials from us by writing to us at Investor Relations, Federal Realty Investment Trust, 1626 East Jefferson Street, Rockville, Maryland 20852.</w:t>
      </w: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126" w:right="31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Section 21E of the Exchange Act and the Private Securities Litigation Reform Act of 1995. Also, documents that we “incorporate by reference” into this Annual Report on Form 10-K, including documents that we subsequently file with the SEC will contain forward-looking statements. When we refer to forward-looking statements or information, sometimes we use words such as “may,” “will,” “could,” “should,” “plans,” “intends,” “expects,” “believes,” “estimates,” “anticipates” and “continues.” In particular, the below risk factors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 the following: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our properties may be reduced or limited if the retail operations of our tenants are not successful.</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generally provide for reimbursement of real estate taxes and expenses of operating the property. Economic and/or competitive conditions may impact the success of our tenants’ retail operations and therefore the amount of rent and expense reimbursements we receive from our tenants. While demand for our retail spaces has been strong, there can be no assurance that this will continue. Any reduction in our tenants’ abilities to pay base rent, percentage rent or other charges on a timely basis, including the filing by any of our tenants for bankruptcy protection, will adversely affect our financial condition and results of operations. In the event of default by a tenant, we may experience delays and unexpected costs in enforcing our rights as landlord under lease terms, which may also adversely affect our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 income depends on the success and continued presence of our “anchor” tenants.</w:t>
      </w:r>
    </w:p>
    <w:p>
      <w:pPr>
        <w:spacing w:after="0" w:line="9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numbers of customers to a property. The closing of one or more anchor stores at a property could adversely affect that property and result in lease terminations by, or reductions in rent from, other tenants whose leases may permit termination or rent reduction in those circumstances or whose own operations may suffer as a result. While our anchor tenant space is currently 96.1% occupied, we have seen an overall decrease in the number of tenants available to fill anchor spaces. Therefore, tenant demand for certain of our anchor spaces may decrease and as a result, we may see an increase in vacancy and/or a decrease in rents for those spaces that could have a negative impact to our net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collect balances due from tenants that file for bankruptcy protection.</w:t>
      </w:r>
    </w:p>
    <w:p>
      <w:pPr>
        <w:spacing w:after="0" w:line="9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If a tenant or lease guarantor files for bankruptcy, we may not be able to collect all pre-petition amounts owed by that party. In addition, a tenant that files for bankruptcy protection may terminate our lease in which event we would have a general unsecured claim that would likely be for less than the full amount owed to us for the remainder of the lease term, which could adversely affect our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difficulty or delay in renewing leases or re-leasing space.</w:t>
      </w:r>
    </w:p>
    <w:p>
      <w:pPr>
        <w:spacing w:after="0" w:line="94"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We derive most of our revenue directly or indirectly from rent received from our tenants. We are subject to the risks that, upon expiration or termination of leases, whether by their terms, as a result of a tenant bankruptcy, general economic conditions or otherwise, leases for space in our properties may not be renewed, space may not be re-leased, or the terms of renewal or re-lease, including the cost of required renovations or concessions to tenants, may be less favorable than current lease terms and may include decreases in rental rates. As a result, our net income could be reduced.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amount of debt we have and the restrictions imposed by that debt could adversely affect our business and financial condition.</w:t>
      </w:r>
    </w:p>
    <w:p>
      <w:pPr>
        <w:spacing w:after="0" w:line="9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of December 31, 2015, we had approximately $2.6 billion of debt outstanding. Of that outstanding debt, approximately $482.8 million was secured by all or a portion of nine of our real estate projects and approximately $71.6 million represented capital lease obligations on four of our properties. In addition, we owned a 30% interest in a joint venture that had $34.4 million of debt secured by two properties as of December 31, 2015. On January 13, 2016, we acquired our partner's 70% interest in the joint venture, and assumed 100% of the related debt. Approximately $2.6 billion (97.6%) of our debt as of December 31, 2015 is fixed rate debt, which includes all of our property secured debt, our capital lease obligations and our $275.0 million term loan as the rate is effectively fixed by two interest rate swap agreements. Our joint venture’s debt of $34.4</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6" w:right="25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million, which is unconsolidated as of December 31, 2015, is also fixed rate debt. Our organizational documents do not limit the level or amount of debt that we may incur. The amount of our debt outstanding from time to time could have important consequences to our shareholders. For example, it could:</w:t>
      </w:r>
    </w:p>
    <w:p>
      <w:pPr>
        <w:spacing w:after="0" w:line="1" w:lineRule="exact"/>
        <w:rPr>
          <w:sz w:val="20"/>
          <w:szCs w:val="20"/>
          <w:color w:val="auto"/>
        </w:rPr>
      </w:pPr>
    </w:p>
    <w:p>
      <w:pPr>
        <w:ind w:left="660" w:right="80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make distributions on our outstanding common shares and preferred shares;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it difficult to satisfy our debt service requirements;</w:t>
      </w:r>
    </w:p>
    <w:p>
      <w:pPr>
        <w:spacing w:after="0" w:line="8"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dedicate increased amounts of our cash flow from operations to payments on debt upon refinancing or on our variable rate, unhedged debt, if interest rates rise;</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factors that affect the profitability of our business;</w:t>
      </w:r>
    </w:p>
    <w:p>
      <w:pPr>
        <w:spacing w:after="0" w:line="8" w:lineRule="exact"/>
        <w:rPr>
          <w:rFonts w:ascii="Arial" w:cs="Arial" w:eastAsia="Arial" w:hAnsi="Arial"/>
          <w:sz w:val="18"/>
          <w:szCs w:val="18"/>
          <w:color w:val="auto"/>
        </w:rPr>
      </w:pPr>
    </w:p>
    <w:p>
      <w:pPr>
        <w:ind w:left="660" w:right="90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 our ability to obtain any additional debt or equity financing we may need in the future for working capital, debt refinancing, capital expenditures, acquisitions, redevelopments or other general corporate purposes or to obtain such financing on favorable terms; and/or</w:t>
      </w:r>
    </w:p>
    <w:p>
      <w:pPr>
        <w:ind w:left="660" w:right="480" w:hanging="328"/>
        <w:spacing w:after="0" w:line="2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in conducting our business, which may place us at a disadvantage compared to competitors with less debt or debt with less restrictive terms.</w:t>
      </w:r>
    </w:p>
    <w:p>
      <w:pPr>
        <w:spacing w:after="0" w:line="13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ability to make scheduled principal payments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186"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b w:val="1"/>
          <w:bCs w:val="1"/>
          <w:color w:val="auto"/>
        </w:rPr>
        <w:t>We are obligated to comply with financial and other covenants pursuant to our debt obligations that could restrict our operating activities, and the failure to comply with such covenants could result in defaults that accelerate payment under our debt agreements.</w:t>
      </w:r>
    </w:p>
    <w:p>
      <w:pPr>
        <w:spacing w:after="0" w:line="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Our revolving credit facility, term loan and certain series of notes include financial covenants that may limit our operating activities in the future. We are also required to comply with additional covenants that include, among other things, provisions:</w:t>
      </w:r>
    </w:p>
    <w:p>
      <w:pPr>
        <w:spacing w:after="0" w:line="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relating to the maintenance of property securing a mortgage;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liens;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 at properties securing a mortgage;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1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31, 2015, we were in compliance with all of our financial covenants. If we were to breach any of our debt covenants, including the covenants listed above,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activities have inherent risks.</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ground-up development of improvements on real property, as opposed to the renovation and redevelopment of existing improvements, presents substantial risks. We generally do not look to acquire raw land for future development; however, we do intend to complete the development and construction of future phases of projects we already own, such as Assembly Row in Somerville, Massachusetts and Pike &amp; Rose in North Bethesda, Maryland. We may undertake development of these and other projects on our own or bring in third parties if it is justifiable on a risk-adjusted return basis. We may also choose to delay completion of a project if market conditions do not allow an appropriate return. If conditions arise and we are not able or decide not to complete a project or if the expected cash flows of our project do not exceed the book value, an impairment of the project may be required. If additional phases of any of our existing projects or if any new projects are not successful, it may adversely affect our financial condition and results of operations.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6" w:right="27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2015, construction commenced on the development of Phase II at both Assembly Row and Pike &amp; Rose. At Santana Row, we continue our on-going redevelopment efforts, and are constructing a new 234,500 square foot office building, which has been fully leased to one tenant. A further discussion of these projects, expected costs, and current status can be found in Item 7. Management's Discussion and Analysis of Financial Condition and Results of Operations in the "Outlook" subsection.</w:t>
      </w:r>
    </w:p>
    <w:p>
      <w:pPr>
        <w:spacing w:after="0" w:line="132"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In addition to the risks associated with real estate investment in general, as described elsewhere and the specific risks above, the risks associated with our remaining development activities include:</w:t>
      </w:r>
    </w:p>
    <w:p>
      <w:pPr>
        <w:spacing w:after="0" w:line="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contractor changes may delay the completion of development projects and increase overall costs;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time lag between commencement and stabilization subjects us to greater risks due to fluctuations in the general economy;</w:t>
      </w:r>
    </w:p>
    <w:p>
      <w:pPr>
        <w:spacing w:after="0" w:line="8"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delivery of residential product (both rental units and for sale condominium units) into uncertain residential environments may result in lower rents or sale prices than underwritten;</w:t>
      </w:r>
    </w:p>
    <w:p>
      <w:pPr>
        <w:ind w:left="660" w:right="2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amount of our investment is related to infrastructure, the value of which may be negatively impacted if we do not complete subsequent phases;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or inability to obtain construction or permanent financing on favorable terms;</w:t>
      </w:r>
    </w:p>
    <w:p>
      <w:pPr>
        <w:spacing w:after="0" w:line="8" w:lineRule="exact"/>
        <w:rPr>
          <w:rFonts w:ascii="Arial" w:cs="Arial" w:eastAsia="Arial" w:hAnsi="Arial"/>
          <w:sz w:val="18"/>
          <w:szCs w:val="18"/>
          <w:color w:val="auto"/>
        </w:rPr>
      </w:pPr>
    </w:p>
    <w:p>
      <w:pPr>
        <w:ind w:left="660" w:righ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or inability to obtain public funding from governmental agencies to fund infrastructure projects, including expected public funding in connection with our development at Assembly Row;</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expenditure of money and time on projects that may never be completed;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or inability of partners to perform on hotel joint ventures;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third-party developer of office or other buildings may not deliver or may encounter delays in delivering space as planned;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securing key anchor or other tenants may impact occupancy rates and projected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achieve projected rental rates or anticipated pace of lease-up;</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than estimated construction or operating costs, including labor and material costs; and</w:t>
      </w:r>
    </w:p>
    <w:p>
      <w:pPr>
        <w:spacing w:after="0" w:line="8" w:lineRule="exact"/>
        <w:rPr>
          <w:rFonts w:ascii="Arial" w:cs="Arial" w:eastAsia="Arial" w:hAnsi="Arial"/>
          <w:sz w:val="18"/>
          <w:szCs w:val="18"/>
          <w:color w:val="auto"/>
        </w:rPr>
      </w:pPr>
    </w:p>
    <w:p>
      <w:pPr>
        <w:ind w:left="660" w:hanging="328"/>
        <w:spacing w:after="0" w:line="289"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possible delay in completion of a project because of a number of factors, including weather, labor disruptions, construction delays or delays in receipt of zoning or other regulatory approvals, acts of terror or other acts of violence, or acts of God (such as fires, earthquakes or floods).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Redevelopments and acquisitions may fail to perform as expected.</w:t>
      </w:r>
    </w:p>
    <w:p>
      <w:pPr>
        <w:spacing w:after="0" w:line="94"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Our investment strategy includes the redevelopment and acquisition of high quality, retail focused properties in densely populated areas with high average household incomes and significant barriers to adding competitive retail supply. The redevelopment and acquisition of properties entail risks that include the following, any of which could adversely affect our results of operations and our ability to meet our obligations:</w:t>
      </w:r>
    </w:p>
    <w:p>
      <w:pPr>
        <w:spacing w:after="0" w:line="2" w:lineRule="exact"/>
        <w:rPr>
          <w:sz w:val="20"/>
          <w:szCs w:val="20"/>
          <w:color w:val="auto"/>
        </w:rPr>
      </w:pPr>
    </w:p>
    <w:p>
      <w:pPr>
        <w:ind w:left="660" w:right="3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time;</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identify suitable properties to acquire or may be unable to complete the acquisition of the properties we identify;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integrate an acquisition into our existing operations successfully;</w:t>
      </w:r>
    </w:p>
    <w:p>
      <w:pPr>
        <w:spacing w:after="0" w:line="8"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properties we redevelop or acquire may fail to achieve the occupancy or rental rates we project, within the time frames we project, at the time we make the decision to invest, which may result in the properties’ failure to achieve the returns we projected;</w:t>
      </w:r>
    </w:p>
    <w:p>
      <w:pPr>
        <w:ind w:left="660" w:right="20" w:hanging="328"/>
        <w:spacing w:after="0" w:line="264"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pre-acquisition evaluation of the physical condition of each new investment may not detect certain defects or identify necessary repairs until after the property is acquired, which could significantly increase our total acquisition costs or decrease cash flow from the property; and</w:t>
      </w:r>
    </w:p>
    <w:p>
      <w:pPr>
        <w:spacing w:after="0" w:line="1" w:lineRule="exact"/>
        <w:rPr>
          <w:rFonts w:ascii="Arial" w:cs="Arial" w:eastAsia="Arial" w:hAnsi="Arial"/>
          <w:sz w:val="17"/>
          <w:szCs w:val="17"/>
          <w:color w:val="auto"/>
        </w:rPr>
      </w:pPr>
    </w:p>
    <w:p>
      <w:pPr>
        <w:ind w:left="660" w:right="580" w:hanging="328"/>
        <w:spacing w:after="0" w:line="323"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grow will be limited if we cannot obtain additional capital.</w:t>
      </w:r>
    </w:p>
    <w:p>
      <w:pPr>
        <w:spacing w:after="0" w:line="9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growth strategy is focused on the redevelopment of properties we already own and the acquisition of additional properties. We believe that it will be difficult to fund our expected growth with cash from operating activities because, in addition to other requirements, we are generally required to distribute to our shareholders at least 90% of our taxable income each year to continue to qualify as a REIT for federal income tax purposes. As a result, we must rely primarily upon the availability of debt or equity capital, which may or may not be available on favorable terms or at all. Debt could include the sale of debt securities and mortgage loans from third parties. If economic conditions and conditions in the capital markets are not favorable at the time we need to raise capital, we may need to obtain capital on less favorable terms. Additionally, we cannot guarantee that additional financing, refinancing or other capital will be available in the amounts we desire or on favorable terms. Our access to</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debt or equity capital depends on a number of factors, including the market’s perception of our growth potential and risk profile, our ability to pay dividends, and our current and potential future earnings. Depending on the outcome of these factors as well as the impact of the economic environment, we could experience delay or difficulty in implementing our growth strategy on satisfactory terms, or be unable to implement this strategy.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Rising interest rates could adversely affect our cash flow and the market price of our outstanding debt and preferred shares.</w:t>
      </w:r>
    </w:p>
    <w:p>
      <w:pPr>
        <w:spacing w:after="0" w:line="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Of our approximately $2.6 billion of debt outstanding as of December 31, 2015, approximately $337.9 million bears interest at variable rates of which $275.0 million is effectively fixed through two interest rate swap agreements. We have a $600.0 million revolving credit facility, on which $53.5 million is outstanding at December 31, 2015, that bears interest at LIBOR plus 90 basis points. We may borrow additional funds at variable interest rates in the future. Increases in interest rates would increase the interest expense on our variable rate debt and reduce our cash flow, which could adversely affect our ability to service our debt and meet our other obligations and also could reduce the amount we are able to distribute to our shareholders. The interest rate on our $275.0 million term loan is currently fixed at 2.62% as a result of two interest rate swap agreements. We may enter into this type of hedging arrangements or other transactions for all or a portion of our variable rate debt to limit our exposure to rising interest rates. However, the amounts we are required to pay under the term loan and any other variable rate debt to which hedging or similar arrangements relate may increase in the event of non-performance by the counterparties to any of our hedging arrangements. In addition, an increase in market interest rates may lead purchasers of our debt securities and preferred shares to demand a higher annual yield, which could adversely affect the market price of our outstanding debt securities and preferred shares and the cost and/or timing of refinancing or issuing additional debt securities or preferred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value of our debt and equity securities is subject to various factors that may cause significant fluctuations or volatility.</w:t>
      </w:r>
    </w:p>
    <w:p>
      <w:pPr>
        <w:spacing w:after="0" w:line="9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As with other publicly traded securities, the market price of our debt and equity securities depends on various factors, which may change from time to time and/or may be unrelated to our financial condition, operating performance or prospects that may cause significant fluctuations or volatility in such prices. These factors include, among others:</w:t>
      </w:r>
    </w:p>
    <w:p>
      <w:pPr>
        <w:spacing w:after="0" w:line="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and trend of interest rates;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access the capital markets to raise additional capital;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additional equity or debt securities;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funds from operations (“FFO”) or earnings estimates;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debt or analyst ratings;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financial condition and performance;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perception of our business compared to other REITs;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perception of REITs, in general, compared to other investment alternatives.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our key management could adversely affect performance and the value of our common shares.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dependent on the efforts of our key management. Although we believe qualified replacements could be found for any departures of key executives, the loss of their services could adversely affect our performance and the value of our common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performance and value are subject to general risks associated with the real estate industry.</w:t>
      </w:r>
    </w:p>
    <w:p>
      <w:pPr>
        <w:spacing w:after="0" w:line="9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downturns in general, or in the areas where our properties are located;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changes in local real estate market conditions, such as an oversupply or reduction in demand;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tenant preferences that reduce the attractiveness of our properties to tenants;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zoning or regulatory restrictions;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decreases in market rental rates;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conditions that may increase or decrease energy costs and other weather-related expenses;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associated with the need to periodically repair, renovate and re-lease space; and</w:t>
      </w:r>
    </w:p>
    <w:p>
      <w:pPr>
        <w:spacing w:after="0" w:line="8" w:lineRule="exact"/>
        <w:rPr>
          <w:rFonts w:ascii="Arial" w:cs="Arial" w:eastAsia="Arial" w:hAnsi="Arial"/>
          <w:sz w:val="18"/>
          <w:szCs w:val="18"/>
          <w:color w:val="auto"/>
        </w:rPr>
      </w:pPr>
    </w:p>
    <w:p>
      <w:pPr>
        <w:ind w:left="660" w:right="780" w:hanging="328"/>
        <w:spacing w:after="0" w:line="26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the cost of adequate maintenance, insurance and other operating costs, including real estate taxes, associated with one or more properties, which may occur even when circumstances such as market factors and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6" w:right="25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660" w:right="160"/>
        <w:spacing w:after="0" w:line="324" w:lineRule="auto"/>
        <w:rPr>
          <w:sz w:val="20"/>
          <w:szCs w:val="20"/>
          <w:color w:val="auto"/>
        </w:rPr>
      </w:pPr>
      <w:r>
        <w:rPr>
          <w:rFonts w:ascii="Arial" w:cs="Arial" w:eastAsia="Arial" w:hAnsi="Arial"/>
          <w:sz w:val="18"/>
          <w:szCs w:val="18"/>
          <w:color w:val="auto"/>
        </w:rPr>
        <w:t>competition cause a reduction in revenues from one or more properties, although real estate taxes typically do not increase upon a reduction in such revenues.</w:t>
      </w:r>
    </w:p>
    <w:p>
      <w:pPr>
        <w:spacing w:after="0" w:line="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Each of these risks could result in decreases in market rental rates and increases in vacancy rates, which could adversely affect our financial condition and results of operation.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real estate costs are fixed, even if income from our properties decreases.</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redevelop may not produce any significant revenue immediately, and the cash flow from existing operations may be insufficient to pay the operating expenses and debt service associated with such new properties until they are fully occupied.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may limit our ability to purchase new properties and generate sufficient income from tenants.</w:t>
      </w:r>
    </w:p>
    <w:p>
      <w:pPr>
        <w:spacing w:after="0" w:line="9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Numerous commercial developers and real estate companies compete with us in seeking tenants for our existing properties and properties for acquisition. This competition may:</w:t>
      </w:r>
    </w:p>
    <w:p>
      <w:pPr>
        <w:spacing w:after="0" w:line="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properties available for acquisition;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rents payable to us;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lead to increased vacancy rates at our properties;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Retailers at our properties also face increasing competition from online retailers, outlet stores, discount shopping clubs and other forms of sales and marketing of goods, such as direct mail.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sell properties when appropriate because real estate investments are illiquid.</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including being unable to sell a property at a return we believe is appropriate due to the economic environment. Our inability to respond quickly to adverse changes in the performance of our investments could have an adverse effect on our ability to meet our obligations and make distributions to our shareholders.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coverage on our properties may be inadequate.</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currently carry comprehensive insurance on all of our properties, including insurance for liability, fire, flood, earthquake, environmental matters, rental loss and acts of terrorism. All of these policies contain coverage limitations. We believe these coverages are of the types and amounts customarily obtained for or by an owner of similar types of real property assets located in the areas where our properties are located. We intend to obtain similar insurance coverage on subsequently acquired properties.</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availability of insurance coverage may decrease and the prices for insurance may increase as a consequence of significant losses incurred by the insurance industry and other factors outside our control. As a result, we may be unable to renew or duplicate our current insurance coverage in adequate amounts or at reasonable prices. In addition, insurance companies may no longer offer coverage against certain types of losses, such as losses due to terrorist acts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seriously disrupt our operations, delay revenue and result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large expenses to repair or rebuild the property. Also, due to inflation, changes in codes and ordinances, environmental considerations and other factors, it may not be feasible to use insurance proceeds to replace a building after it has been damaged or destroyed. Further, we may be unable to collect insurance proceeds if our insurers are unable to pay or contest a claim. Events such as these could adversely affect our results of operations and our ability to meet our obligations, including distributions to our shareholders.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limited flexibility in dealing with our jointly owned investments.</w:t>
      </w:r>
    </w:p>
    <w:p>
      <w:pPr>
        <w:spacing w:after="0" w:line="9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organizational documents do not limit the amount of funds that we may invest in properties and assets owned jointly with other persons or entities. As of December 31, 2015, we held nine predominantly retail real estate projects jointly with other persons in addition to our joint venture with affiliates of a discretionary fund created and advised by Clarion Partners (“Clarion”) and properties owned in a “downREIT” structure. Additionally, we have entered into a joint venture agreement related to the hotel component of Phase II of our Pike &amp; Rose development project.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that those partners or co-investors might be in a position to take action contrary to our suggestions or instructions, or in opposition to our policies or objectives, and that disputes may develop with our joint venture partners over decisions affecting the property or the joint venture, which may result in litigation or arbitration or some other form of dispute resolution. Although as of December 31, 2015, we held the controlling interests in all of our existing co-investments (except the Clarion and hotel investments discussed above), we generally must obtain the consent of the co-investor or meet defined criteria to sell or to finance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On January 13, 2016 we acquired our partner's 70% interest in our Clarion joint venture, and subsequently own 100% of the related properties.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 and regulations could reduce the value or profitability of our properties.</w:t>
      </w:r>
    </w:p>
    <w:p>
      <w:pPr>
        <w:spacing w:after="0" w:line="9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required to investigate and clean up certain hazardous or toxic substances released on or in properties we own or operate, and also may be required to pay other costs relating to hazardous or toxic substances. This liability may be imposed without regard to whether we or our tenants knew about the release of these types of substances or were responsible for their release. The presence of contamination or the failure to properly remediate contamination at any of our properties may adversely affect our ability to sell or lease those properties or to borrow funds by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 The uses of any of our properties prior to our acquisition of the property and the building materials used at the property are among the property-specific factors that will affect how the environmental laws are applied to our properties. If we are subject to any material environmental liabilities, the liabilities could adversely affect our results of operations and our ability to meet our obligations.</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cannot predict what other environmental legislation or regulations will be enacted in the future, how existing or future laws or regulations will be administered or interpreted or what environmental conditions may be found to exist on the properties in the future. Compliance with existing and new laws and regulations may require us or our tenants to spend funds to remedy environmental problems. Our tenants, like many of their competitors, have incurred, and will continue to incur, capital and operating expenditures and other costs associated with complying with these laws and regulations, which will adversely affect their potential profitability.</w:t>
      </w:r>
    </w:p>
    <w:p>
      <w:pPr>
        <w:spacing w:after="0" w:line="13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Generally, our tenants must comply with environmental laws and meet remediation requirements. Our leases typically impose obligations on our tenants to indemnify us from any compliance costs we may incur as a result of the environmental conditions on the property caused by the tenant. If a lease does not require compliance or if a tenant fails to or cannot comply, we could be forced to pay these costs. If not addressed, environmental conditions could impair our ability to sell or re-lease the affected properties in the future or result in lower sales prices or rent payments.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6" w:right="27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Americans with Disabilities Act of 1990 could require us to take remedial steps with respect to existing or newly acquired properties.</w:t>
      </w:r>
    </w:p>
    <w:p>
      <w:pPr>
        <w:spacing w:after="0" w:line="1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this Act, or of other federal, state or local laws or regulations, also may change in the future and restrict further renovations of our properties with respect to access for disabled persons. Future compliance with this Act may require expensive changes to the properties.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revenues generated by our tenants could be negatively affected by various federal, state and local laws to which they are subject.</w:t>
      </w:r>
    </w:p>
    <w:p>
      <w:pPr>
        <w:spacing w:after="0" w:line="10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laws and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198" w:lineRule="exact"/>
        <w:rPr>
          <w:sz w:val="20"/>
          <w:szCs w:val="20"/>
          <w:color w:val="auto"/>
        </w:rPr>
      </w:pPr>
    </w:p>
    <w:p>
      <w:pPr>
        <w:ind w:right="280"/>
        <w:spacing w:after="0" w:line="281" w:lineRule="auto"/>
        <w:rPr>
          <w:sz w:val="20"/>
          <w:szCs w:val="20"/>
          <w:color w:val="auto"/>
        </w:rPr>
      </w:pPr>
      <w:r>
        <w:rPr>
          <w:rFonts w:ascii="Arial" w:cs="Arial" w:eastAsia="Arial" w:hAnsi="Arial"/>
          <w:sz w:val="18"/>
          <w:szCs w:val="18"/>
          <w:b w:val="1"/>
          <w:bCs w:val="1"/>
          <w:color w:val="auto"/>
        </w:rPr>
        <w:t>Failure to qualify as a REIT for federal income tax purposes would cause us to be taxed as a corporation, which would substantially reduce funds available for payment of distributions.</w:t>
      </w:r>
    </w:p>
    <w:p>
      <w:pPr>
        <w:spacing w:after="0" w:line="32" w:lineRule="exact"/>
        <w:rPr>
          <w:sz w:val="20"/>
          <w:szCs w:val="20"/>
          <w:color w:val="auto"/>
        </w:rPr>
      </w:pPr>
    </w:p>
    <w:p>
      <w:pPr>
        <w:ind w:right="340"/>
        <w:spacing w:after="0" w:line="307" w:lineRule="auto"/>
        <w:rPr>
          <w:sz w:val="20"/>
          <w:szCs w:val="20"/>
          <w:color w:val="auto"/>
        </w:rPr>
      </w:pPr>
      <w:r>
        <w:rPr>
          <w:rFonts w:ascii="Arial" w:cs="Arial" w:eastAsia="Arial" w:hAnsi="Arial"/>
          <w:sz w:val="17"/>
          <w:szCs w:val="17"/>
          <w:color w:val="auto"/>
        </w:rPr>
        <w:t>We believe that we are organized and qualified as a REIT for federal income tax purposes and currently intend to operate in a manner that will allow us to continue to qualify as a REIT under the Code. However, we cannot assure you that we will remain qualified as such in the future.</w:t>
      </w:r>
    </w:p>
    <w:p>
      <w:pPr>
        <w:spacing w:after="0" w:line="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certain other income. Satisfying this requirement could be difficult, for example, if defaults by tenants were to reduce the amount of income from qualifying rents. As a REIT, we must generally make annual distributions to shareholders of at least 90% of our taxable income. In addition, new legislation, new regulations, new administrative interpretations or new court decisions may significantly change the tax laws with respect to qualification as a REIT or the federal income tax consequences of such qualification. Any modification in the tax treatment of REITs could have a significant adverse impact to our net income.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If we fail to qualify as a REIT:</w:t>
      </w:r>
    </w:p>
    <w:p>
      <w:pPr>
        <w:spacing w:after="0" w:line="2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would not be allowed a deduction for distributions to shareholders in computing taxable income;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would be subject to federal income tax at regular corporate rates;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subject to the federal alternative minimum tax;</w:t>
      </w:r>
    </w:p>
    <w:p>
      <w:pPr>
        <w:spacing w:after="0" w:line="8"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unless we are entitled to relief under specific statutory provisions, we could not elect to be taxed as a REIT for four taxable years following the year during which we were disqualified;</w:t>
      </w:r>
    </w:p>
    <w:p>
      <w:pPr>
        <w:ind w:left="660" w:right="18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required to pay significant income taxes, which would substantially reduce the funds available for investment or for distribution to our shareholders for each year in which we failed or were not permitted to qualify; and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would no longer be required by law to make any distributions to our shareholders.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incur additional debt to qualify as a REIT.</w:t>
      </w:r>
    </w:p>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a REIT, we must generally make annual distributions to shareholders of at least 90% of our taxable income. We are subject to income tax on amounts of undistributed taxable income and net capital gain. In addition, we would be subject to a 4% excise tax if we fail to distribute sufficient income to meet a minimum distribution test based on our ordinary income, capital gain and aggregate undistributed income from prior years. We intend to make distributions to shareholders to comply with the Code’s distribution provisions and to avoid federal income and excise tax. We may need to borrow funds to meet our distribution requirements because:</w:t>
      </w:r>
    </w:p>
    <w:p>
      <w:pPr>
        <w:spacing w:after="0" w:line="3" w:lineRule="exact"/>
        <w:rPr>
          <w:sz w:val="20"/>
          <w:szCs w:val="20"/>
          <w:color w:val="auto"/>
        </w:rPr>
      </w:pPr>
    </w:p>
    <w:p>
      <w:pPr>
        <w:ind w:left="660" w:right="20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income may not be matched by our related expenses at the time the income is considered received for purposes of determining taxable income; and</w:t>
      </w: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non-deductible capital expenditures, creation of reserves, or debt service requirements may reduce available cash but not taxable income.</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these circumstances, we might have to borrow funds on terms we might otherwise find unfavorable and we may have to borrow funds even if our management believes the market conditions make borrowing financially unattractive. Current tax law also allows us to pay a portion of our distributions in shares instead of cash.</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maintain our status as a REIT, we limit the amount of shares any one shareholder can own.</w:t>
      </w:r>
    </w:p>
    <w:p>
      <w:pPr>
        <w:spacing w:after="0" w:line="9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Code imposes certain limitations on the ownership of the stock of a REIT. For example, not more than 50% in value of our outstanding shares of capital stock may be owned, directly or indirectly, by five or fewer individuals (as defined in the Code) during the last half of any taxable year. To protect our REIT status, our declaration of trust prohibits any one shareholder from owning (actually or constructively) more than 9.8% in value of the outstanding common shares or of any class or series of outstanding preferred shares. The constructive ownership rules are complex. Shares of our capital 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capital stock. If that happened, either the transfer of ownership would be void or the shares would be transferred to a charitable trust and then sold to someone who can own those shares without violating the 9.8% ownership limit.</w:t>
      </w:r>
    </w:p>
    <w:p>
      <w:pPr>
        <w:spacing w:after="0" w:line="1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we will continue to pay dividends at historical rates.</w:t>
      </w:r>
    </w:p>
    <w:p>
      <w:pPr>
        <w:spacing w:after="0" w:line="94" w:lineRule="exact"/>
        <w:rPr>
          <w:sz w:val="20"/>
          <w:szCs w:val="20"/>
          <w:color w:val="auto"/>
        </w:rPr>
      </w:pPr>
    </w:p>
    <w:p>
      <w:pPr>
        <w:ind w:right="500"/>
        <w:spacing w:after="0" w:line="273" w:lineRule="auto"/>
        <w:rPr>
          <w:sz w:val="20"/>
          <w:szCs w:val="20"/>
          <w:color w:val="auto"/>
        </w:rPr>
      </w:pPr>
      <w:r>
        <w:rPr>
          <w:rFonts w:ascii="Arial" w:cs="Arial" w:eastAsia="Arial" w:hAnsi="Arial"/>
          <w:sz w:val="17"/>
          <w:szCs w:val="17"/>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spacing w:after="0" w:line="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financial condition and results of future operations;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performance of lease terms by tenants;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our loan covenants;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acquire, finance, develop or redevelop and lease additional properties at attractive rates.</w:t>
      </w:r>
    </w:p>
    <w:p>
      <w:pPr>
        <w:spacing w:after="0" w:line="1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we do not maintain or increase the dividend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tax and anti-takeover provisions of our declaration of trust and bylaws may inhibit a change of our control.</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provisions contained in our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REIT ownership limit described above;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authorization of the issuance of our preferred shares with powers, preferences or rights to be determined by the Board of Trustees;</w:t>
      </w:r>
    </w:p>
    <w:p>
      <w:pPr>
        <w:spacing w:after="0" w:line="8"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special meetings of our shareholders may be called only by the chairman of the board, the chief executive officer, the president, by one-third of the trustees or by shareholders possessing no less than 25% of all the votes entitled to be cast at the meeting;</w:t>
      </w:r>
    </w:p>
    <w:p>
      <w:pPr>
        <w:ind w:left="660" w:right="2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Board of Trustees, without a shareholder vote, can classify or reclassify unissued shares of beneficial interest, including the reclassification of common shares into preferred shares and vice-versa;</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two-thirds shareholder vote is required to approve some amendments to the declaration of trust;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advance-notice requirements for proposals to be presented at shareholder meetings.</w:t>
      </w:r>
    </w:p>
    <w:p>
      <w:pPr>
        <w:spacing w:after="0" w:line="1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w:t>
      </w: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126" w:right="31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2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Our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amend or revise our business policies without your approval.</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Trustees may amend or revise our operating policies without shareholder approval. Our investment, financing and borrowing policies and policies with respect to all other activities, such as growth, debt, capitalization and operations, are determined by the Board of Trustees. The Board of Trustees may amend or revise these policies at any time and from time to time at its discretion. A change in these policies could adversely affect our financial condition and results of operations, and the market price of our securities.</w:t>
      </w:r>
    </w:p>
    <w:p>
      <w:pPr>
        <w:spacing w:after="0" w:line="13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current business plan adopted by our Board of Trustees focuses on our investment in high quality retail based properties that are typically neighborhood and community shopping centers or mixed-use properties, principally through redevelopments and acquisitions. If this business plan is not successful, it could have a material adverse effect on our financial condition and results of operations.</w:t>
      </w:r>
    </w:p>
    <w:p>
      <w:pPr>
        <w:spacing w:after="0" w:line="1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above risks and the risk factors.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disasters and severe weather conditions could have an adverse impact on our cash flow and operating results.</w:t>
      </w:r>
    </w:p>
    <w:p>
      <w:pPr>
        <w:spacing w:after="0" w:line="9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Changing weather patterns and climatic conditions, such as global warming, may have added to the unpredictability and frequency of natural disasters and severe weather conditions and created additional uncertainty as to future trends and exposures. Our operations are located in areas that are subject to natural disasters and severe weather conditions such as hurricanes, earthquakes, droughts, snow storms, floods and fires. The occurrence of natural disasters or severe weather conditions can delay new development projects, increase investment costs to repair or replace damaged properties, increase operation costs, increase future property insurance costs, and negatively impact the tenant demand for lease space. If insurance is unavailable to us or is unavailable on acceptable terms, or if our insurance is not adequate to cover business interruption or losses from these events, our earnings, liquidity or capital resources could be adversely affected.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relating to cybersecurity attacks that could cause loss of confidential information and other business disruptions.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rely extensively on computer systems to process transactions and manage our business, and our business is at risk from and may be impacted by cybersecurity attacks. These could include attempts to gain unauthorized access to our data and computer systems. Attacks can be both individual and/or highly organized attempts organized by very sophisticated hacking organizations. We employ a number of measures to prevent, detect and mitigate these threats, which include password encryption, frequent password change events, firewall detection systems, anti-virus software in-place, frequent backups, a redundant data system for core applications and annual penetration testing; however, there is no guarantee such efforts will be successful in preventing a cyber attack. A cybersecurity attack could compromise the confidential information of our employees, tenants and vendors. A successful attack could disrupt and otherwise adversely affect our business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 may adversely impact our financial results.</w:t>
      </w:r>
    </w:p>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Financial Accounting Standards Board ("FASB"), in conjunction with the SEC, has several key projects on their agenda that could impact how we currently account for our material transactions, including lease accounting and other convergence projects with the International Accounting Standards Board. At this time, we are unable to predict with certainty which, if any, proposals may be passed or what level of impact any such proposal could have on the presentation of our consolidated financial statements, our results of operations and our financial ratios required by our debt covenants.</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December 31, 2015, we owned or had a majority ownership interest in community and neighborhood shopping centers and mixed-used properties which are operated as 90 predominantly retail real estate projects comprising approximately 21.4 million square feet. These properties are located primarily in densely populated and affluent communities in strategic metropolitan markets in the Northeast and Mid-Atlantic regions of the United States, as well as California and South Florida. No single property accounted for over 10% of our 2015 total revenue. We believe that our properties are adequately covered by commercial general liability, fire, flood, earthquake, terrorism and business interruption insurance provided by reputable companies, with commercially reasonable exclusions, deductibles and limits.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 Diversification</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2015, we had approximately 2,700 leases, with tenants ranging from sole proprietors to major national and international retailers. No one tenant or affiliated group of tenants accounted for more than 2.9% of our annualized base rent as of December 31, 2015. As a result of our tenant diversification, we believe our exposure to any one bankruptcy filing in the retail sector has not been and will not be significant, however, multiple filings by a number of retailers could have a significant impact.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Diversification</w:t>
      </w:r>
    </w:p>
    <w:p>
      <w:pPr>
        <w:spacing w:after="0" w:line="94" w:lineRule="exact"/>
        <w:rPr>
          <w:sz w:val="20"/>
          <w:szCs w:val="20"/>
          <w:color w:val="auto"/>
        </w:rPr>
      </w:pPr>
    </w:p>
    <w:p>
      <w:pPr>
        <w:ind w:right="360"/>
        <w:spacing w:after="0" w:line="341" w:lineRule="auto"/>
        <w:rPr>
          <w:sz w:val="20"/>
          <w:szCs w:val="20"/>
          <w:color w:val="auto"/>
        </w:rPr>
      </w:pPr>
      <w:r>
        <w:rPr>
          <w:rFonts w:ascii="Arial" w:cs="Arial" w:eastAsia="Arial" w:hAnsi="Arial"/>
          <w:sz w:val="16"/>
          <w:szCs w:val="16"/>
          <w:color w:val="auto"/>
        </w:rPr>
        <w:t>Our 90 real estate projects are located in 12 states and the District of Columbia. The following table shows the number of projects, the gross leasable area (“GLA”) of commercial space and the percentage of total portfolio gross leasable area of commercial space in each state as of December 31, 2015.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4"/>
              </w:rPr>
              <w:t>Number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Gross Leasable</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Gross</w:t>
            </w:r>
          </w:p>
        </w:tc>
        <w:tc>
          <w:tcPr>
            <w:tcW w:w="0" w:type="dxa"/>
            <w:vAlign w:val="bottom"/>
          </w:tcPr>
          <w:p>
            <w:pPr>
              <w:spacing w:after="0"/>
              <w:rPr>
                <w:sz w:val="1"/>
                <w:szCs w:val="1"/>
                <w:color w:val="auto"/>
              </w:rPr>
            </w:pPr>
          </w:p>
        </w:tc>
      </w:tr>
      <w:tr>
        <w:trPr>
          <w:trHeight w:val="148"/>
        </w:trPr>
        <w:tc>
          <w:tcPr>
            <w:tcW w:w="6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12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Leasable</w:t>
            </w:r>
          </w:p>
        </w:tc>
        <w:tc>
          <w:tcPr>
            <w:tcW w:w="0" w:type="dxa"/>
            <w:vAlign w:val="bottom"/>
          </w:tcPr>
          <w:p>
            <w:pPr>
              <w:spacing w:after="0"/>
              <w:rPr>
                <w:sz w:val="1"/>
                <w:szCs w:val="1"/>
                <w:color w:val="auto"/>
              </w:rPr>
            </w:pPr>
          </w:p>
        </w:tc>
      </w:tr>
      <w:tr>
        <w:trPr>
          <w:trHeight w:val="192"/>
        </w:trPr>
        <w:tc>
          <w:tcPr>
            <w:tcW w:w="6360" w:type="dxa"/>
            <w:vAlign w:val="bottom"/>
            <w:gridSpan w:val="2"/>
            <w:vMerge w:val="continue"/>
          </w:tcPr>
          <w:p>
            <w:pPr>
              <w:spacing w:after="0"/>
              <w:rPr>
                <w:sz w:val="16"/>
                <w:szCs w:val="16"/>
                <w:color w:val="auto"/>
              </w:rPr>
            </w:pPr>
          </w:p>
        </w:tc>
        <w:tc>
          <w:tcPr>
            <w:tcW w:w="1200" w:type="dxa"/>
            <w:vAlign w:val="bottom"/>
          </w:tcPr>
          <w:p>
            <w:pPr>
              <w:jc w:val="center"/>
              <w:ind w:left="308"/>
              <w:spacing w:after="0"/>
              <w:rPr>
                <w:sz w:val="20"/>
                <w:szCs w:val="20"/>
                <w:color w:val="auto"/>
              </w:rPr>
            </w:pPr>
            <w:r>
              <w:rPr>
                <w:rFonts w:ascii="Arial" w:cs="Arial" w:eastAsia="Arial" w:hAnsi="Arial"/>
                <w:sz w:val="14"/>
                <w:szCs w:val="14"/>
                <w:b w:val="1"/>
                <w:bCs w:val="1"/>
                <w:color w:val="auto"/>
                <w:w w:val="90"/>
              </w:rPr>
              <w:t>Projects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Area</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6"/>
              </w:rPr>
              <w:t>Area</w:t>
            </w:r>
          </w:p>
        </w:tc>
        <w:tc>
          <w:tcPr>
            <w:tcW w:w="0" w:type="dxa"/>
            <w:vAlign w:val="bottom"/>
          </w:tcPr>
          <w:p>
            <w:pPr>
              <w:spacing w:after="0"/>
              <w:rPr>
                <w:sz w:val="1"/>
                <w:szCs w:val="1"/>
                <w:color w:val="auto"/>
              </w:rPr>
            </w:pPr>
          </w:p>
        </w:tc>
      </w:tr>
      <w:tr>
        <w:trPr>
          <w:trHeight w:val="250"/>
        </w:trPr>
        <w:tc>
          <w:tcPr>
            <w:tcW w:w="6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 square feet)</w:t>
            </w:r>
          </w:p>
        </w:tc>
        <w:tc>
          <w:tcPr>
            <w:tcW w:w="1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Maryland</w:t>
            </w:r>
          </w:p>
        </w:tc>
        <w:tc>
          <w:tcPr>
            <w:tcW w:w="1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3,977,000</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California</w:t>
            </w:r>
          </w:p>
        </w:tc>
        <w:tc>
          <w:tcPr>
            <w:tcW w:w="12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3,854,000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Virginia</w:t>
            </w: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3,601,000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Pennsylvania(1)</w:t>
            </w:r>
          </w:p>
        </w:tc>
        <w:tc>
          <w:tcPr>
            <w:tcW w:w="12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2,299,000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Massachusetts</w:t>
            </w: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1,789,000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New Jersey</w:t>
            </w:r>
          </w:p>
        </w:tc>
        <w:tc>
          <w:tcPr>
            <w:tcW w:w="12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1,718,000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1,316,000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New York</w:t>
            </w:r>
          </w:p>
        </w:tc>
        <w:tc>
          <w:tcPr>
            <w:tcW w:w="12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1,138,000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Illinois</w:t>
            </w: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752,000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Connecticut(1)</w:t>
            </w:r>
          </w:p>
        </w:tc>
        <w:tc>
          <w:tcPr>
            <w:tcW w:w="12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397,000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Michigan</w:t>
            </w: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District of Columbia</w:t>
            </w:r>
          </w:p>
        </w:tc>
        <w:tc>
          <w:tcPr>
            <w:tcW w:w="12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168,000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Carolina</w:t>
            </w:r>
          </w:p>
        </w:tc>
        <w:tc>
          <w:tcPr>
            <w:tcW w:w="1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153,000</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6"/>
        </w:trPr>
        <w:tc>
          <w:tcPr>
            <w:tcW w:w="63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21,379,000</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660" w:right="2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Additionally, we own two participating mortgages totaling approximately $29.9 million secured by multiple buildings in Manayunk, Pennsylvania, and an $11.7 million mortgage secured by a shopping center in Norwalk, Connecticut.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Lease Terms and Lease Expirations</w:t>
      </w:r>
    </w:p>
    <w:p>
      <w:pPr>
        <w:spacing w:after="0" w:line="94" w:lineRule="exact"/>
        <w:rPr>
          <w:sz w:val="20"/>
          <w:szCs w:val="20"/>
          <w:color w:val="auto"/>
        </w:rPr>
      </w:pPr>
    </w:p>
    <w:p>
      <w:pPr>
        <w:ind w:right="100"/>
        <w:spacing w:after="0" w:line="337" w:lineRule="auto"/>
        <w:rPr>
          <w:sz w:val="20"/>
          <w:szCs w:val="20"/>
          <w:color w:val="auto"/>
        </w:rPr>
      </w:pPr>
      <w:r>
        <w:rPr>
          <w:rFonts w:ascii="Arial" w:cs="Arial" w:eastAsia="Arial" w:hAnsi="Arial"/>
          <w:sz w:val="15"/>
          <w:szCs w:val="15"/>
          <w:color w:val="auto"/>
        </w:rPr>
        <w:t>Our leases are classified as operating leases and typically are structured to require the monthly payment of minimum rents in advance, subject to periodic increases during the term of the lease, percentage rents based on the level of sales achieved by tenants, and reimbursement of a majority of on-site operating expenses and real estate taxes. These features in our leases generally reduce our exposure to higher costs and allow us to participate in improved tenant sales.</w:t>
      </w:r>
    </w:p>
    <w:p>
      <w:pPr>
        <w:spacing w:after="0" w:line="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Commercial property leases generally range from three to ten years; however, certain leases, primarily with anchor tenants, may be longer. Many of our leases contain tenant options that enable the tenant to extend the term of the lease at expiration at pre-established rental rates that often include fixed rent increases, consumer price index adjustments or other market rate adjustments from the prior base rent. Leases on residential units are generally for a period of one year or less and, in 2015, represented approximately 6.1% of total rental income.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6" w:right="2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sets forth the schedule of lease expirations for our commercial leases in place as of December 31, 2015 for each of the 10 years beginning with 2016 and after 2025 in the aggregate assuming that none of the tenants exercise future renewal options. Annualized base rents reflect in-place contractual rents as of December 31, 2015.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Leased</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2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Annualized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Square</w:t>
            </w:r>
          </w:p>
        </w:tc>
        <w:tc>
          <w:tcPr>
            <w:tcW w:w="1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Leased Square</w:t>
            </w:r>
          </w:p>
        </w:tc>
        <w:tc>
          <w:tcPr>
            <w:tcW w:w="2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Base Rent</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Annualized Base Rent</w:t>
            </w:r>
          </w:p>
        </w:tc>
        <w:tc>
          <w:tcPr>
            <w:tcW w:w="0" w:type="dxa"/>
            <w:vAlign w:val="bottom"/>
          </w:tcPr>
          <w:p>
            <w:pPr>
              <w:spacing w:after="0"/>
              <w:rPr>
                <w:sz w:val="1"/>
                <w:szCs w:val="1"/>
                <w:color w:val="auto"/>
              </w:rPr>
            </w:pPr>
          </w:p>
        </w:tc>
      </w:tr>
      <w:tr>
        <w:trPr>
          <w:trHeight w:val="148"/>
        </w:trPr>
        <w:tc>
          <w:tcPr>
            <w:tcW w:w="4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of Lease Expiration</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Footage</w:t>
            </w:r>
          </w:p>
        </w:tc>
        <w:tc>
          <w:tcPr>
            <w:tcW w:w="1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Footage</w:t>
            </w: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Represented by</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Represented by Expiring</w:t>
            </w:r>
          </w:p>
        </w:tc>
        <w:tc>
          <w:tcPr>
            <w:tcW w:w="0" w:type="dxa"/>
            <w:vAlign w:val="bottom"/>
          </w:tcPr>
          <w:p>
            <w:pPr>
              <w:spacing w:after="0"/>
              <w:rPr>
                <w:sz w:val="1"/>
                <w:szCs w:val="1"/>
                <w:color w:val="auto"/>
              </w:rPr>
            </w:pPr>
          </w:p>
        </w:tc>
      </w:tr>
      <w:tr>
        <w:trPr>
          <w:trHeight w:val="192"/>
        </w:trPr>
        <w:tc>
          <w:tcPr>
            <w:tcW w:w="4600" w:type="dxa"/>
            <w:vAlign w:val="bottom"/>
            <w:gridSpan w:val="2"/>
            <w:vMerge w:val="continue"/>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Expiring</w:t>
            </w: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Expiring</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Expiring Leases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249"/>
        </w:trPr>
        <w:tc>
          <w:tcPr>
            <w:tcW w:w="45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1,117,000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33,337,000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2,601,000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67,645,000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2,507,000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63,129,000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2,632,000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65,970,000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2,026,000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55,177,000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2,115,000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54,767,000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1,390,000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34,514,000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885,000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27,868,000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1,050,000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31,088,000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1,299,000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36,668,000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2,364,000</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55,055,000</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6"/>
        </w:trPr>
        <w:tc>
          <w:tcPr>
            <w:tcW w:w="460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19,986,000</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525,218,000</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9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For 2015, we signed leases for a total of 1,593,000 square feet of retail space including 1,405,000 square feet of comparable space leases (leases for which there was a prior tenant) at an average rental increase of 17% on a cash basis and 29% on a straight-line basis. New leases for comparable spaces were signed for 547,000 square feet at an average rental increase of 22% on a cash basis and 35% on a straight-line basis. Renewals for comparable spaces were signed for 859,000 square feet at an average rental increase of 14% on a cash basis and 24% on a straight-line basis. Tenant improvements and incentives for comparable spaces were $60.98 per square foot for new leases and $8.79 per square foot for renewals in 2015.</w:t>
      </w:r>
    </w:p>
    <w:p>
      <w:pPr>
        <w:spacing w:after="0" w:line="4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For 2014, we signed leases for a total of 1,765,000 square feet of retail space including 1,545,000 square feet of comparable space leases (leases for which there was a prior tenant) at an average rental increase of 16% on a cash basis and 29% on a straight-line basis. New leases for comparable spaces were signed for 704,000 square feet at an average rental increase of 25% on a cash basis and 38% on a straight-line basis. Renewals for comparable spaces were signed for 840,000 square feet at an average rental increase of 11% on a cash basis and 23% on a straight-line basis. Tenant improvements and incentives for comparable spaces were $44.46 per square foot for new leases and $1.27 for renewal leases in 2014.</w:t>
      </w:r>
    </w:p>
    <w:p>
      <w:pPr>
        <w:spacing w:after="0" w:line="1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spacing w:after="0" w:line="13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leases signed in 2015 generally become effective over the following two years though some may not become effective until 2018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Historically, we have executed comparable space leases for 1.2 to 1.5 million square feet of retail space each year and expect the volume for 2016 will be in line with our historical averages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6" w:right="2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and Residential Properties</w:t>
      </w:r>
    </w:p>
    <w:p>
      <w:pPr>
        <w:spacing w:after="0" w:line="9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following table sets forth information concerning all real estate projects in which we owned an equity interest, had a leasehold interest, or otherwise controlled and are consolidated as of December 31, 2015. Except as otherwise noted, we are the sole owner of our retail real estate projects. Principal tenants are the largest tenants in the project based on square feet leased or are tenants important to a project’s success due to their ability to attract retail customers.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1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Year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 Rent</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/Apartment</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 Square</w:t>
            </w:r>
          </w:p>
        </w:tc>
        <w:tc>
          <w:tcPr>
            <w:tcW w:w="114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9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Acquired</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61"/>
        </w:trPr>
        <w:tc>
          <w:tcPr>
            <w:tcW w:w="31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California</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23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1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150 Post Street</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1908, 1965</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105,000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$35.18</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83%</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H &amp; M</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rPr>
              <w:t>San Francisco, CA 94108</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rPr>
              <w:t>Colorado Blvd</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1905-1988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1996/1998</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69,000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$41.05</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Pottery Barn</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Pasadena, CA 91103(4)</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Crow Canyon Commons</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1980, 1998,</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3"/>
              </w:rPr>
              <w:t>2005/2007</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241,000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$26.44</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95%</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Sprouts</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rPr>
              <w:t>San Ramon, CA 94583</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2006</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Rite Aid Sports Authority</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Orchard Supply Hardware</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rPr>
              <w:t>East Bay Bridge</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1994-2001,</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2012</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438,000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$17.72</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99%</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7"/>
              </w:rPr>
              <w:t>Home Depot Michaels Pak-N-Save</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Emeryville &amp; Oakland, CA 94608</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2011, 2012</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Sports Authority</w:t>
            </w: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Escondido Promenade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1987</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3"/>
              </w:rPr>
              <w:t>1996/2010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298,000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$24.34</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98%</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Escondido, CA 92029(5)</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Toys R Us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rPr>
              <w:t>Hermosa Avenue</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1922</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24,000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$37.64</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Hermosa Beach, CA 90254</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00" w:type="dxa"/>
            <w:vAlign w:val="bottom"/>
            <w:gridSpan w:val="4"/>
          </w:tcPr>
          <w:p>
            <w:pPr>
              <w:ind w:left="40"/>
              <w:spacing w:after="0"/>
              <w:rPr>
                <w:sz w:val="20"/>
                <w:szCs w:val="20"/>
                <w:color w:val="auto"/>
              </w:rPr>
            </w:pPr>
            <w:r>
              <w:rPr>
                <w:rFonts w:ascii="Arial" w:cs="Arial" w:eastAsia="Arial" w:hAnsi="Arial"/>
                <w:sz w:val="14"/>
                <w:szCs w:val="14"/>
                <w:color w:val="auto"/>
              </w:rPr>
              <w:t>Hollywood Blvd</w:t>
            </w: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1929, 1991</w:t>
            </w: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1999</w:t>
            </w:r>
          </w:p>
        </w:tc>
        <w:tc>
          <w:tcPr>
            <w:tcW w:w="1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0"/>
              </w:rPr>
              <w:t>180,000</w:t>
            </w:r>
          </w:p>
        </w:tc>
        <w:tc>
          <w:tcPr>
            <w:tcW w:w="1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$33.56</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91%</w:t>
            </w:r>
          </w:p>
        </w:tc>
        <w:tc>
          <w:tcPr>
            <w:tcW w:w="100" w:type="dxa"/>
            <w:vAlign w:val="bottom"/>
          </w:tcPr>
          <w:p>
            <w:pPr>
              <w:spacing w:after="0"/>
              <w:rPr>
                <w:sz w:val="14"/>
                <w:szCs w:val="14"/>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Marshalls La La Land DSW</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rPr>
              <w:t>Hollywood, CA 90028(6)</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63"/>
        </w:trPr>
        <w:tc>
          <w:tcPr>
            <w:tcW w:w="31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Kings Court</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1960</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1998</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80,000</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$31.46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Lunardi’s Supermarket</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Los Gatos, CA 95032(4)(7)</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Old Town Center</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1962, 1998</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88"/>
              </w:rPr>
              <w:t>95,000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$38.55</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97%</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Gap</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rPr>
              <w:t>Los Gatos, CA 95030</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Banana Republic Anthropologie</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rPr>
              <w:t>Plaza El Segundo / The Point</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2006-2007</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2011/2015</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450,000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$41.63</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98%</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H&amp;M</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El Segundo, CA 90245(5)(10)</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Dick's Sporting Goods Container</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3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Store</w:t>
            </w: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Santana Row</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2002, 2009</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651,000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$50.13</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98%</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H&amp;M Crate &amp; Barrel</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San Jose, CA 95128</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Container Store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CineArts Theatre</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Hotel Valencia</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rPr>
              <w:t>Santana Row Residential</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2003-2006,</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w w:val="94"/>
              </w:rPr>
              <w:t>1997, 2012</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100"/>
              <w:spacing w:after="0" w:line="157" w:lineRule="exact"/>
              <w:rPr>
                <w:sz w:val="20"/>
                <w:szCs w:val="20"/>
                <w:color w:val="auto"/>
              </w:rPr>
            </w:pPr>
            <w:r>
              <w:rPr>
                <w:rFonts w:ascii="Arial" w:cs="Arial" w:eastAsia="Arial" w:hAnsi="Arial"/>
                <w:sz w:val="14"/>
                <w:szCs w:val="14"/>
                <w:color w:val="auto"/>
                <w:w w:val="94"/>
              </w:rPr>
              <w:t>662 units</w:t>
            </w:r>
          </w:p>
        </w:tc>
        <w:tc>
          <w:tcPr>
            <w:tcW w:w="1360" w:type="dxa"/>
            <w:vAlign w:val="bottom"/>
            <w:gridSpan w:val="2"/>
            <w:shd w:val="clear" w:color="auto" w:fill="CCEEFF"/>
          </w:tcPr>
          <w:p>
            <w:pPr>
              <w:jc w:val="center"/>
              <w:ind w:right="100"/>
              <w:spacing w:after="0" w:line="157" w:lineRule="exact"/>
              <w:rPr>
                <w:sz w:val="20"/>
                <w:szCs w:val="20"/>
                <w:color w:val="auto"/>
              </w:rPr>
            </w:pPr>
            <w:r>
              <w:rPr>
                <w:rFonts w:ascii="Arial" w:cs="Arial" w:eastAsia="Arial" w:hAnsi="Arial"/>
                <w:sz w:val="14"/>
                <w:szCs w:val="14"/>
                <w:color w:val="auto"/>
              </w:rPr>
              <w:t>N/A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95%</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San Jose, CA 95128</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2011, 2014</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San Antonio Center</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3"/>
              </w:rPr>
              <w:t>1958, 1964-</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376,000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$12.67</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96%</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Mountain View, CA 94040 (4)(7)</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3"/>
              </w:rPr>
              <w:t>1965, 1974-</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Walmart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2"/>
              </w:rPr>
              <w:t>1975, 1995-1997</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24 Hour Fitness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Jo-Ann Stores</w:t>
            </w:r>
          </w:p>
        </w:tc>
        <w:tc>
          <w:tcPr>
            <w:tcW w:w="0" w:type="dxa"/>
            <w:vAlign w:val="bottom"/>
          </w:tcPr>
          <w:p>
            <w:pPr>
              <w:spacing w:after="0"/>
              <w:rPr>
                <w:sz w:val="1"/>
                <w:szCs w:val="1"/>
                <w:color w:val="auto"/>
              </w:rPr>
            </w:pPr>
          </w:p>
        </w:tc>
      </w:tr>
      <w:tr>
        <w:trPr>
          <w:trHeight w:val="163"/>
        </w:trPr>
        <w:tc>
          <w:tcPr>
            <w:tcW w:w="31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Third Street Promenade</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1888-2000</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1996-2000</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209,000</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$71.00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99%</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Abercrombie &amp; Fitch</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Santa Monica, CA 90401</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J. Crew</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3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Westgate Center</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1960-1966</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638,000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$17.38</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98%</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Nike Factory Target Walmart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San Jose, CA 95129</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Neighborhood Market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Burlington Coat Factory</w:t>
            </w:r>
          </w:p>
        </w:tc>
        <w:tc>
          <w:tcPr>
            <w:tcW w:w="0" w:type="dxa"/>
            <w:vAlign w:val="bottom"/>
          </w:tcPr>
          <w:p>
            <w:pPr>
              <w:spacing w:after="0"/>
              <w:rPr>
                <w:sz w:val="1"/>
                <w:szCs w:val="1"/>
                <w:color w:val="auto"/>
              </w:rPr>
            </w:pPr>
          </w:p>
        </w:tc>
      </w:tr>
    </w:tbl>
    <w:p>
      <w:pPr>
        <w:ind w:left="9280"/>
        <w:spacing w:after="0" w:line="221" w:lineRule="auto"/>
        <w:rPr>
          <w:sz w:val="20"/>
          <w:szCs w:val="20"/>
          <w:color w:val="auto"/>
        </w:rPr>
      </w:pPr>
      <w:r>
        <w:rPr>
          <w:rFonts w:ascii="Arial" w:cs="Arial" w:eastAsia="Arial" w:hAnsi="Arial"/>
          <w:sz w:val="14"/>
          <w:szCs w:val="14"/>
          <w:color w:val="auto"/>
        </w:rPr>
        <w:t>Ross Dress For Less</w:t>
      </w:r>
    </w:p>
    <w:p>
      <w:pPr>
        <w:ind w:left="9280"/>
        <w:spacing w:after="0" w:line="221" w:lineRule="auto"/>
        <w:rPr>
          <w:sz w:val="20"/>
          <w:szCs w:val="20"/>
          <w:color w:val="auto"/>
        </w:rPr>
      </w:pPr>
      <w:r>
        <w:rPr>
          <w:rFonts w:ascii="Arial" w:cs="Arial" w:eastAsia="Arial" w:hAnsi="Arial"/>
          <w:sz w:val="14"/>
          <w:szCs w:val="14"/>
          <w:color w:val="auto"/>
        </w:rPr>
        <w:t>Michaels Nordstrom Rack J. Crew</w:t>
      </w:r>
    </w:p>
    <w:p>
      <w:pPr>
        <w:ind w:left="9280"/>
        <w:spacing w:after="0"/>
        <w:rPr>
          <w:sz w:val="20"/>
          <w:szCs w:val="20"/>
          <w:color w:val="auto"/>
        </w:rPr>
      </w:pPr>
      <w:r>
        <w:rPr>
          <w:rFonts w:ascii="Arial" w:cs="Arial" w:eastAsia="Arial" w:hAnsi="Arial"/>
          <w:sz w:val="14"/>
          <w:szCs w:val="14"/>
          <w:color w:val="auto"/>
        </w:rPr>
        <w:t>Gap Factory Store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6"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 Rent</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/Apartment</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 Square</w:t>
            </w:r>
          </w:p>
        </w:tc>
        <w:tc>
          <w:tcPr>
            <w:tcW w:w="1140" w:type="dxa"/>
            <w:vAlign w:val="bottom"/>
            <w:gridSpan w:val="2"/>
            <w:vMerge w:val="continue"/>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9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Foot(2)</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20" w:type="dxa"/>
            <w:vAlign w:val="bottom"/>
            <w:tcBorders>
              <w:bottom w:val="single" w:sz="8" w:color="CCEEFF"/>
            </w:tcBorders>
          </w:tcPr>
          <w:p>
            <w:pPr>
              <w:spacing w:after="0"/>
              <w:rPr>
                <w:sz w:val="17"/>
                <w:szCs w:val="17"/>
                <w:color w:val="auto"/>
              </w:rPr>
            </w:pPr>
          </w:p>
        </w:tc>
        <w:tc>
          <w:tcPr>
            <w:tcW w:w="21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61"/>
        </w:trPr>
        <w:tc>
          <w:tcPr>
            <w:tcW w:w="302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Connecticut</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16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1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1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02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Bristol Plaza</w:t>
            </w:r>
          </w:p>
        </w:tc>
        <w:tc>
          <w:tcPr>
            <w:tcW w:w="1160" w:type="dxa"/>
            <w:vAlign w:val="bottom"/>
          </w:tcPr>
          <w:p>
            <w:pPr>
              <w:jc w:val="center"/>
              <w:spacing w:after="0" w:line="157" w:lineRule="exact"/>
              <w:rPr>
                <w:sz w:val="20"/>
                <w:szCs w:val="20"/>
                <w:color w:val="auto"/>
              </w:rPr>
            </w:pPr>
            <w:r>
              <w:rPr>
                <w:rFonts w:ascii="Arial" w:cs="Arial" w:eastAsia="Arial" w:hAnsi="Arial"/>
                <w:sz w:val="14"/>
                <w:szCs w:val="14"/>
                <w:color w:val="auto"/>
                <w:w w:val="89"/>
              </w:rPr>
              <w:t>1959</w:t>
            </w:r>
          </w:p>
        </w:tc>
        <w:tc>
          <w:tcPr>
            <w:tcW w:w="12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1995</w:t>
            </w:r>
          </w:p>
        </w:tc>
        <w:tc>
          <w:tcPr>
            <w:tcW w:w="12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266,000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$13.17</w:t>
            </w:r>
          </w:p>
        </w:tc>
        <w:tc>
          <w:tcPr>
            <w:tcW w:w="10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92%</w:t>
            </w:r>
          </w:p>
        </w:tc>
        <w:tc>
          <w:tcPr>
            <w:tcW w:w="120" w:type="dxa"/>
            <w:vAlign w:val="bottom"/>
          </w:tcPr>
          <w:p>
            <w:pPr>
              <w:spacing w:after="0"/>
              <w:rPr>
                <w:sz w:val="13"/>
                <w:szCs w:val="13"/>
                <w:color w:val="auto"/>
              </w:rPr>
            </w:pPr>
          </w:p>
        </w:tc>
        <w:tc>
          <w:tcPr>
            <w:tcW w:w="2140" w:type="dxa"/>
            <w:vAlign w:val="bottom"/>
          </w:tcPr>
          <w:p>
            <w:pPr>
              <w:ind w:left="20"/>
              <w:spacing w:after="0" w:line="157"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980" w:type="dxa"/>
            <w:vAlign w:val="bottom"/>
            <w:gridSpan w:val="7"/>
          </w:tcPr>
          <w:p>
            <w:pPr>
              <w:ind w:left="140"/>
              <w:spacing w:after="0"/>
              <w:rPr>
                <w:sz w:val="20"/>
                <w:szCs w:val="20"/>
                <w:color w:val="auto"/>
              </w:rPr>
            </w:pPr>
            <w:r>
              <w:rPr>
                <w:rFonts w:ascii="Arial" w:cs="Arial" w:eastAsia="Arial" w:hAnsi="Arial"/>
                <w:sz w:val="14"/>
                <w:szCs w:val="14"/>
                <w:color w:val="auto"/>
              </w:rPr>
              <w:t>Bristol, CT 06010</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Darien</w:t>
            </w:r>
          </w:p>
        </w:tc>
        <w:tc>
          <w:tcPr>
            <w:tcW w:w="11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1920-2009</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2013</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95,000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$28.30</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20" w:type="dxa"/>
            <w:vAlign w:val="bottom"/>
            <w:shd w:val="clear" w:color="auto" w:fill="CCEEFF"/>
          </w:tcPr>
          <w:p>
            <w:pPr>
              <w:spacing w:after="0"/>
              <w:rPr>
                <w:sz w:val="13"/>
                <w:szCs w:val="13"/>
                <w:color w:val="auto"/>
              </w:rPr>
            </w:pPr>
          </w:p>
        </w:tc>
        <w:tc>
          <w:tcPr>
            <w:tcW w:w="21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Stop &amp; Shop Equinox</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2980" w:type="dxa"/>
            <w:vAlign w:val="bottom"/>
            <w:tcBorders>
              <w:bottom w:val="single" w:sz="8" w:color="CCEEFF"/>
            </w:tcBorders>
            <w:gridSpan w:val="7"/>
            <w:shd w:val="clear" w:color="auto" w:fill="CCEEFF"/>
          </w:tcPr>
          <w:p>
            <w:pPr>
              <w:ind w:left="140"/>
              <w:spacing w:after="0"/>
              <w:rPr>
                <w:sz w:val="20"/>
                <w:szCs w:val="20"/>
                <w:color w:val="auto"/>
              </w:rPr>
            </w:pPr>
            <w:r>
              <w:rPr>
                <w:rFonts w:ascii="Arial" w:cs="Arial" w:eastAsia="Arial" w:hAnsi="Arial"/>
                <w:sz w:val="14"/>
                <w:szCs w:val="14"/>
                <w:color w:val="auto"/>
              </w:rPr>
              <w:t>Darien, CT 06820</w:t>
            </w: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02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Greenwich Avenue</w:t>
            </w:r>
          </w:p>
        </w:tc>
        <w:tc>
          <w:tcPr>
            <w:tcW w:w="1160" w:type="dxa"/>
            <w:vAlign w:val="bottom"/>
          </w:tcPr>
          <w:p>
            <w:pPr>
              <w:jc w:val="center"/>
              <w:spacing w:after="0" w:line="157" w:lineRule="exact"/>
              <w:rPr>
                <w:sz w:val="20"/>
                <w:szCs w:val="20"/>
                <w:color w:val="auto"/>
              </w:rPr>
            </w:pPr>
            <w:r>
              <w:rPr>
                <w:rFonts w:ascii="Arial" w:cs="Arial" w:eastAsia="Arial" w:hAnsi="Arial"/>
                <w:sz w:val="14"/>
                <w:szCs w:val="14"/>
                <w:color w:val="auto"/>
                <w:w w:val="89"/>
              </w:rPr>
              <w:t>1968</w:t>
            </w:r>
          </w:p>
        </w:tc>
        <w:tc>
          <w:tcPr>
            <w:tcW w:w="12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1995</w:t>
            </w:r>
          </w:p>
        </w:tc>
        <w:tc>
          <w:tcPr>
            <w:tcW w:w="12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36,000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$61.00</w:t>
            </w:r>
          </w:p>
        </w:tc>
        <w:tc>
          <w:tcPr>
            <w:tcW w:w="10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3"/>
                <w:szCs w:val="13"/>
                <w:color w:val="auto"/>
              </w:rPr>
            </w:pPr>
          </w:p>
        </w:tc>
        <w:tc>
          <w:tcPr>
            <w:tcW w:w="2140" w:type="dxa"/>
            <w:vAlign w:val="bottom"/>
          </w:tcPr>
          <w:p>
            <w:pPr>
              <w:ind w:left="20"/>
              <w:spacing w:after="0" w:line="157" w:lineRule="exact"/>
              <w:rPr>
                <w:sz w:val="20"/>
                <w:szCs w:val="20"/>
                <w:color w:val="auto"/>
              </w:rPr>
            </w:pPr>
            <w:r>
              <w:rPr>
                <w:rFonts w:ascii="Arial" w:cs="Arial" w:eastAsia="Arial" w:hAnsi="Arial"/>
                <w:sz w:val="14"/>
                <w:szCs w:val="14"/>
                <w:color w:val="auto"/>
              </w:rPr>
              <w:t>Saks Fifth Avenue</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980" w:type="dxa"/>
            <w:vAlign w:val="bottom"/>
            <w:gridSpan w:val="7"/>
          </w:tcPr>
          <w:p>
            <w:pPr>
              <w:ind w:left="140"/>
              <w:spacing w:after="0"/>
              <w:rPr>
                <w:sz w:val="20"/>
                <w:szCs w:val="20"/>
                <w:color w:val="auto"/>
              </w:rPr>
            </w:pPr>
            <w:r>
              <w:rPr>
                <w:rFonts w:ascii="Arial" w:cs="Arial" w:eastAsia="Arial" w:hAnsi="Arial"/>
                <w:sz w:val="14"/>
                <w:szCs w:val="14"/>
                <w:color w:val="auto"/>
              </w:rPr>
              <w:t>Greenwich Avenue, CT 06830</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02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District of Columbia</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6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1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1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02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Friendship Center</w:t>
            </w:r>
          </w:p>
        </w:tc>
        <w:tc>
          <w:tcPr>
            <w:tcW w:w="1160" w:type="dxa"/>
            <w:vAlign w:val="bottom"/>
          </w:tcPr>
          <w:p>
            <w:pPr>
              <w:jc w:val="center"/>
              <w:spacing w:after="0" w:line="157" w:lineRule="exact"/>
              <w:rPr>
                <w:sz w:val="20"/>
                <w:szCs w:val="20"/>
                <w:color w:val="auto"/>
              </w:rPr>
            </w:pPr>
            <w:r>
              <w:rPr>
                <w:rFonts w:ascii="Arial" w:cs="Arial" w:eastAsia="Arial" w:hAnsi="Arial"/>
                <w:sz w:val="14"/>
                <w:szCs w:val="14"/>
                <w:color w:val="auto"/>
                <w:w w:val="89"/>
              </w:rPr>
              <w:t>1998</w:t>
            </w:r>
          </w:p>
        </w:tc>
        <w:tc>
          <w:tcPr>
            <w:tcW w:w="12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2001</w:t>
            </w:r>
          </w:p>
        </w:tc>
        <w:tc>
          <w:tcPr>
            <w:tcW w:w="12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119,000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$28.12</w:t>
            </w:r>
          </w:p>
        </w:tc>
        <w:tc>
          <w:tcPr>
            <w:tcW w:w="10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3"/>
                <w:szCs w:val="13"/>
                <w:color w:val="auto"/>
              </w:rPr>
            </w:pPr>
          </w:p>
        </w:tc>
        <w:tc>
          <w:tcPr>
            <w:tcW w:w="2140" w:type="dxa"/>
            <w:vAlign w:val="bottom"/>
          </w:tcPr>
          <w:p>
            <w:pPr>
              <w:ind w:left="20"/>
              <w:spacing w:after="0" w:line="157" w:lineRule="exact"/>
              <w:rPr>
                <w:sz w:val="20"/>
                <w:szCs w:val="20"/>
                <w:color w:val="auto"/>
              </w:rPr>
            </w:pPr>
            <w:r>
              <w:rPr>
                <w:rFonts w:ascii="Arial" w:cs="Arial" w:eastAsia="Arial" w:hAnsi="Arial"/>
                <w:sz w:val="14"/>
                <w:szCs w:val="14"/>
                <w:color w:val="auto"/>
              </w:rPr>
              <w:t>Marshalls DSW Maggiano’s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980" w:type="dxa"/>
            <w:vAlign w:val="bottom"/>
            <w:gridSpan w:val="7"/>
          </w:tcPr>
          <w:p>
            <w:pPr>
              <w:ind w:left="140"/>
              <w:spacing w:after="0"/>
              <w:rPr>
                <w:sz w:val="20"/>
                <w:szCs w:val="20"/>
                <w:color w:val="auto"/>
              </w:rPr>
            </w:pPr>
            <w:r>
              <w:rPr>
                <w:rFonts w:ascii="Arial" w:cs="Arial" w:eastAsia="Arial" w:hAnsi="Arial"/>
                <w:sz w:val="14"/>
                <w:szCs w:val="14"/>
                <w:color w:val="auto"/>
              </w:rPr>
              <w:t>Washington, DC 20015</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Sam’s Park &amp; Shop</w:t>
            </w:r>
          </w:p>
        </w:tc>
        <w:tc>
          <w:tcPr>
            <w:tcW w:w="11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1930</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1995</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49,000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$44.28</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86%</w:t>
            </w:r>
          </w:p>
        </w:tc>
        <w:tc>
          <w:tcPr>
            <w:tcW w:w="120" w:type="dxa"/>
            <w:vAlign w:val="bottom"/>
            <w:shd w:val="clear" w:color="auto" w:fill="CCEEFF"/>
          </w:tcPr>
          <w:p>
            <w:pPr>
              <w:spacing w:after="0"/>
              <w:rPr>
                <w:sz w:val="13"/>
                <w:szCs w:val="13"/>
                <w:color w:val="auto"/>
              </w:rPr>
            </w:pPr>
          </w:p>
        </w:tc>
        <w:tc>
          <w:tcPr>
            <w:tcW w:w="21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2980" w:type="dxa"/>
            <w:vAlign w:val="bottom"/>
            <w:tcBorders>
              <w:bottom w:val="single" w:sz="8" w:color="CCEEFF"/>
            </w:tcBorders>
            <w:gridSpan w:val="7"/>
            <w:shd w:val="clear" w:color="auto" w:fill="CCEEFF"/>
          </w:tcPr>
          <w:p>
            <w:pPr>
              <w:ind w:left="140"/>
              <w:spacing w:after="0"/>
              <w:rPr>
                <w:sz w:val="20"/>
                <w:szCs w:val="20"/>
                <w:color w:val="auto"/>
              </w:rPr>
            </w:pPr>
            <w:r>
              <w:rPr>
                <w:rFonts w:ascii="Arial" w:cs="Arial" w:eastAsia="Arial" w:hAnsi="Arial"/>
                <w:sz w:val="14"/>
                <w:szCs w:val="14"/>
                <w:color w:val="auto"/>
              </w:rPr>
              <w:t>Washington, DC 20008</w:t>
            </w: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20" w:type="dxa"/>
            <w:vAlign w:val="bottom"/>
            <w:gridSpan w:val="8"/>
          </w:tcPr>
          <w:p>
            <w:pPr>
              <w:ind w:left="40"/>
              <w:spacing w:after="0"/>
              <w:rPr>
                <w:sz w:val="20"/>
                <w:szCs w:val="20"/>
                <w:color w:val="auto"/>
              </w:rPr>
            </w:pPr>
            <w:r>
              <w:rPr>
                <w:rFonts w:ascii="Arial" w:cs="Arial" w:eastAsia="Arial" w:hAnsi="Arial"/>
                <w:sz w:val="14"/>
                <w:szCs w:val="14"/>
                <w:b w:val="1"/>
                <w:bCs w:val="1"/>
                <w:color w:val="auto"/>
              </w:rPr>
              <w:t>Florida</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02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CocoWalk</w:t>
            </w:r>
          </w:p>
        </w:tc>
        <w:tc>
          <w:tcPr>
            <w:tcW w:w="11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1990/1994, 1922-</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2015</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216,000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$36.20</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82%</w:t>
            </w:r>
          </w:p>
        </w:tc>
        <w:tc>
          <w:tcPr>
            <w:tcW w:w="120" w:type="dxa"/>
            <w:vAlign w:val="bottom"/>
            <w:shd w:val="clear" w:color="auto" w:fill="CCEEFF"/>
          </w:tcPr>
          <w:p>
            <w:pPr>
              <w:spacing w:after="0"/>
              <w:rPr>
                <w:sz w:val="13"/>
                <w:szCs w:val="13"/>
                <w:color w:val="auto"/>
              </w:rPr>
            </w:pPr>
          </w:p>
        </w:tc>
        <w:tc>
          <w:tcPr>
            <w:tcW w:w="21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Cinepolis Theaters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980" w:type="dxa"/>
            <w:vAlign w:val="bottom"/>
            <w:gridSpan w:val="7"/>
            <w:shd w:val="clear" w:color="auto" w:fill="CCEEFF"/>
          </w:tcPr>
          <w:p>
            <w:pPr>
              <w:ind w:left="140"/>
              <w:spacing w:after="0" w:line="149" w:lineRule="exact"/>
              <w:rPr>
                <w:sz w:val="20"/>
                <w:szCs w:val="20"/>
                <w:color w:val="auto"/>
              </w:rPr>
            </w:pPr>
            <w:r>
              <w:rPr>
                <w:rFonts w:ascii="Arial" w:cs="Arial" w:eastAsia="Arial" w:hAnsi="Arial"/>
                <w:sz w:val="14"/>
                <w:szCs w:val="14"/>
                <w:color w:val="auto"/>
              </w:rPr>
              <w:t>Coconut Grove, FL 33133 (5)(13)</w:t>
            </w: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1973</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Gap</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Youfit Health Club</w:t>
            </w:r>
          </w:p>
        </w:tc>
        <w:tc>
          <w:tcPr>
            <w:tcW w:w="0" w:type="dxa"/>
            <w:vAlign w:val="bottom"/>
          </w:tcPr>
          <w:p>
            <w:pPr>
              <w:spacing w:after="0"/>
              <w:rPr>
                <w:sz w:val="1"/>
                <w:szCs w:val="1"/>
                <w:color w:val="auto"/>
              </w:rPr>
            </w:pPr>
          </w:p>
        </w:tc>
      </w:tr>
      <w:tr>
        <w:trPr>
          <w:trHeight w:val="157"/>
        </w:trPr>
        <w:tc>
          <w:tcPr>
            <w:tcW w:w="302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Del Mar Village</w:t>
            </w:r>
          </w:p>
        </w:tc>
        <w:tc>
          <w:tcPr>
            <w:tcW w:w="1160" w:type="dxa"/>
            <w:vAlign w:val="bottom"/>
          </w:tcPr>
          <w:p>
            <w:pPr>
              <w:jc w:val="center"/>
              <w:spacing w:after="0" w:line="157" w:lineRule="exact"/>
              <w:rPr>
                <w:sz w:val="20"/>
                <w:szCs w:val="20"/>
                <w:color w:val="auto"/>
              </w:rPr>
            </w:pPr>
            <w:r>
              <w:rPr>
                <w:rFonts w:ascii="Arial" w:cs="Arial" w:eastAsia="Arial" w:hAnsi="Arial"/>
                <w:sz w:val="14"/>
                <w:szCs w:val="14"/>
                <w:color w:val="auto"/>
                <w:w w:val="94"/>
              </w:rPr>
              <w:t>1982, 1994 &amp; 2007</w:t>
            </w:r>
          </w:p>
        </w:tc>
        <w:tc>
          <w:tcPr>
            <w:tcW w:w="12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93"/>
              </w:rPr>
              <w:t>2008/2014</w:t>
            </w:r>
          </w:p>
        </w:tc>
        <w:tc>
          <w:tcPr>
            <w:tcW w:w="12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196,000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$16.21</w:t>
            </w:r>
          </w:p>
        </w:tc>
        <w:tc>
          <w:tcPr>
            <w:tcW w:w="10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74%</w:t>
            </w:r>
          </w:p>
        </w:tc>
        <w:tc>
          <w:tcPr>
            <w:tcW w:w="120" w:type="dxa"/>
            <w:vAlign w:val="bottom"/>
          </w:tcPr>
          <w:p>
            <w:pPr>
              <w:spacing w:after="0"/>
              <w:rPr>
                <w:sz w:val="13"/>
                <w:szCs w:val="13"/>
                <w:color w:val="auto"/>
              </w:rPr>
            </w:pPr>
          </w:p>
        </w:tc>
        <w:tc>
          <w:tcPr>
            <w:tcW w:w="2140" w:type="dxa"/>
            <w:vAlign w:val="bottom"/>
          </w:tcPr>
          <w:p>
            <w:pPr>
              <w:ind w:left="20"/>
              <w:spacing w:after="0" w:line="157" w:lineRule="exact"/>
              <w:rPr>
                <w:sz w:val="20"/>
                <w:szCs w:val="20"/>
                <w:color w:val="auto"/>
              </w:rPr>
            </w:pPr>
            <w:r>
              <w:rPr>
                <w:rFonts w:ascii="Arial" w:cs="Arial" w:eastAsia="Arial" w:hAnsi="Arial"/>
                <w:sz w:val="14"/>
                <w:szCs w:val="14"/>
                <w:color w:val="auto"/>
              </w:rPr>
              <w:t>Winn Dixie</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980" w:type="dxa"/>
            <w:vAlign w:val="bottom"/>
            <w:gridSpan w:val="7"/>
          </w:tcPr>
          <w:p>
            <w:pPr>
              <w:ind w:left="140"/>
              <w:spacing w:after="0"/>
              <w:rPr>
                <w:sz w:val="20"/>
                <w:szCs w:val="20"/>
                <w:color w:val="auto"/>
              </w:rPr>
            </w:pPr>
            <w:r>
              <w:rPr>
                <w:rFonts w:ascii="Arial" w:cs="Arial" w:eastAsia="Arial" w:hAnsi="Arial"/>
                <w:sz w:val="14"/>
                <w:szCs w:val="14"/>
                <w:color w:val="auto"/>
              </w:rPr>
              <w:t>Boca Raton, FL 33433</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The Shops at Sunset Place</w:t>
            </w:r>
          </w:p>
        </w:tc>
        <w:tc>
          <w:tcPr>
            <w:tcW w:w="11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1999</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2015</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515,000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$22.53</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82%</w:t>
            </w:r>
          </w:p>
        </w:tc>
        <w:tc>
          <w:tcPr>
            <w:tcW w:w="120" w:type="dxa"/>
            <w:vAlign w:val="bottom"/>
            <w:shd w:val="clear" w:color="auto" w:fill="CCEEFF"/>
          </w:tcPr>
          <w:p>
            <w:pPr>
              <w:spacing w:after="0"/>
              <w:rPr>
                <w:sz w:val="13"/>
                <w:szCs w:val="13"/>
                <w:color w:val="auto"/>
              </w:rPr>
            </w:pPr>
          </w:p>
        </w:tc>
        <w:tc>
          <w:tcPr>
            <w:tcW w:w="21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AMC Theaters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980" w:type="dxa"/>
            <w:vAlign w:val="bottom"/>
            <w:gridSpan w:val="7"/>
            <w:shd w:val="clear" w:color="auto" w:fill="CCEEFF"/>
          </w:tcPr>
          <w:p>
            <w:pPr>
              <w:ind w:left="140"/>
              <w:spacing w:after="0" w:line="149" w:lineRule="exact"/>
              <w:rPr>
                <w:sz w:val="20"/>
                <w:szCs w:val="20"/>
                <w:color w:val="auto"/>
              </w:rPr>
            </w:pPr>
            <w:r>
              <w:rPr>
                <w:rFonts w:ascii="Arial" w:cs="Arial" w:eastAsia="Arial" w:hAnsi="Arial"/>
                <w:sz w:val="14"/>
                <w:szCs w:val="14"/>
                <w:color w:val="auto"/>
              </w:rPr>
              <w:t>South Miami, FL 33143 (5)(10)</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GameTime</w:t>
            </w:r>
          </w:p>
        </w:tc>
        <w:tc>
          <w:tcPr>
            <w:tcW w:w="0" w:type="dxa"/>
            <w:vAlign w:val="bottom"/>
          </w:tcPr>
          <w:p>
            <w:pPr>
              <w:spacing w:after="0"/>
              <w:rPr>
                <w:sz w:val="1"/>
                <w:szCs w:val="1"/>
                <w:color w:val="auto"/>
              </w:rPr>
            </w:pPr>
          </w:p>
        </w:tc>
      </w:tr>
      <w:tr>
        <w:trPr>
          <w:trHeight w:val="157"/>
        </w:trPr>
        <w:tc>
          <w:tcPr>
            <w:tcW w:w="302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Tower Shops</w:t>
            </w:r>
          </w:p>
        </w:tc>
        <w:tc>
          <w:tcPr>
            <w:tcW w:w="1160" w:type="dxa"/>
            <w:vAlign w:val="bottom"/>
          </w:tcPr>
          <w:p>
            <w:pPr>
              <w:jc w:val="center"/>
              <w:spacing w:after="0" w:line="157" w:lineRule="exact"/>
              <w:rPr>
                <w:sz w:val="20"/>
                <w:szCs w:val="20"/>
                <w:color w:val="auto"/>
              </w:rPr>
            </w:pPr>
            <w:r>
              <w:rPr>
                <w:rFonts w:ascii="Arial" w:cs="Arial" w:eastAsia="Arial" w:hAnsi="Arial"/>
                <w:sz w:val="14"/>
                <w:szCs w:val="14"/>
                <w:color w:val="auto"/>
                <w:w w:val="89"/>
              </w:rPr>
              <w:t>1989</w:t>
            </w:r>
          </w:p>
        </w:tc>
        <w:tc>
          <w:tcPr>
            <w:tcW w:w="12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90"/>
              </w:rPr>
              <w:t>2011/2014</w:t>
            </w:r>
          </w:p>
        </w:tc>
        <w:tc>
          <w:tcPr>
            <w:tcW w:w="12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389,000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$20.14</w:t>
            </w:r>
          </w:p>
        </w:tc>
        <w:tc>
          <w:tcPr>
            <w:tcW w:w="10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98%</w:t>
            </w:r>
          </w:p>
        </w:tc>
        <w:tc>
          <w:tcPr>
            <w:tcW w:w="120" w:type="dxa"/>
            <w:vAlign w:val="bottom"/>
          </w:tcPr>
          <w:p>
            <w:pPr>
              <w:spacing w:after="0"/>
              <w:rPr>
                <w:sz w:val="13"/>
                <w:szCs w:val="13"/>
                <w:color w:val="auto"/>
              </w:rPr>
            </w:pPr>
          </w:p>
        </w:tc>
        <w:tc>
          <w:tcPr>
            <w:tcW w:w="2140" w:type="dxa"/>
            <w:vAlign w:val="bottom"/>
          </w:tcPr>
          <w:p>
            <w:pPr>
              <w:ind w:left="20"/>
              <w:spacing w:after="0" w:line="157" w:lineRule="exact"/>
              <w:rPr>
                <w:sz w:val="20"/>
                <w:szCs w:val="20"/>
                <w:color w:val="auto"/>
              </w:rPr>
            </w:pPr>
            <w:r>
              <w:rPr>
                <w:rFonts w:ascii="Arial" w:cs="Arial" w:eastAsia="Arial" w:hAnsi="Arial"/>
                <w:sz w:val="14"/>
                <w:szCs w:val="14"/>
                <w:color w:val="auto"/>
              </w:rPr>
              <w:t>Ulta Best Buy</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980" w:type="dxa"/>
            <w:vAlign w:val="bottom"/>
            <w:gridSpan w:val="7"/>
          </w:tcPr>
          <w:p>
            <w:pPr>
              <w:ind w:left="140"/>
              <w:spacing w:after="0" w:line="149" w:lineRule="exact"/>
              <w:rPr>
                <w:sz w:val="20"/>
                <w:szCs w:val="20"/>
                <w:color w:val="auto"/>
              </w:rPr>
            </w:pPr>
            <w:r>
              <w:rPr>
                <w:rFonts w:ascii="Arial" w:cs="Arial" w:eastAsia="Arial" w:hAnsi="Arial"/>
                <w:sz w:val="14"/>
                <w:szCs w:val="14"/>
                <w:color w:val="auto"/>
              </w:rPr>
              <w:t>Davie, FL 33324</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02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Illinois</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16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1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1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02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Crossroads</w:t>
            </w:r>
          </w:p>
        </w:tc>
        <w:tc>
          <w:tcPr>
            <w:tcW w:w="1160" w:type="dxa"/>
            <w:vAlign w:val="bottom"/>
          </w:tcPr>
          <w:p>
            <w:pPr>
              <w:jc w:val="center"/>
              <w:spacing w:after="0" w:line="157" w:lineRule="exact"/>
              <w:rPr>
                <w:sz w:val="20"/>
                <w:szCs w:val="20"/>
                <w:color w:val="auto"/>
              </w:rPr>
            </w:pPr>
            <w:r>
              <w:rPr>
                <w:rFonts w:ascii="Arial" w:cs="Arial" w:eastAsia="Arial" w:hAnsi="Arial"/>
                <w:sz w:val="14"/>
                <w:szCs w:val="14"/>
                <w:color w:val="auto"/>
                <w:w w:val="89"/>
              </w:rPr>
              <w:t>1959</w:t>
            </w:r>
          </w:p>
        </w:tc>
        <w:tc>
          <w:tcPr>
            <w:tcW w:w="12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2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168,000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$22.29</w:t>
            </w:r>
          </w:p>
        </w:tc>
        <w:tc>
          <w:tcPr>
            <w:tcW w:w="10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91%</w:t>
            </w:r>
          </w:p>
        </w:tc>
        <w:tc>
          <w:tcPr>
            <w:tcW w:w="120" w:type="dxa"/>
            <w:vAlign w:val="bottom"/>
          </w:tcPr>
          <w:p>
            <w:pPr>
              <w:spacing w:after="0"/>
              <w:rPr>
                <w:sz w:val="13"/>
                <w:szCs w:val="13"/>
                <w:color w:val="auto"/>
              </w:rPr>
            </w:pPr>
          </w:p>
        </w:tc>
        <w:tc>
          <w:tcPr>
            <w:tcW w:w="2140" w:type="dxa"/>
            <w:vAlign w:val="bottom"/>
          </w:tcPr>
          <w:p>
            <w:pPr>
              <w:ind w:left="20"/>
              <w:spacing w:after="0" w:line="157" w:lineRule="exact"/>
              <w:rPr>
                <w:sz w:val="20"/>
                <w:szCs w:val="20"/>
                <w:color w:val="auto"/>
              </w:rPr>
            </w:pPr>
            <w:r>
              <w:rPr>
                <w:rFonts w:ascii="Arial" w:cs="Arial" w:eastAsia="Arial" w:hAnsi="Arial"/>
                <w:sz w:val="14"/>
                <w:szCs w:val="14"/>
                <w:color w:val="auto"/>
              </w:rPr>
              <w:t>Golfsmith</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980" w:type="dxa"/>
            <w:vAlign w:val="bottom"/>
            <w:gridSpan w:val="7"/>
          </w:tcPr>
          <w:p>
            <w:pPr>
              <w:ind w:left="140"/>
              <w:spacing w:after="0" w:line="149" w:lineRule="exact"/>
              <w:rPr>
                <w:sz w:val="20"/>
                <w:szCs w:val="20"/>
                <w:color w:val="auto"/>
              </w:rPr>
            </w:pPr>
            <w:r>
              <w:rPr>
                <w:rFonts w:ascii="Arial" w:cs="Arial" w:eastAsia="Arial" w:hAnsi="Arial"/>
                <w:sz w:val="14"/>
                <w:szCs w:val="14"/>
                <w:color w:val="auto"/>
              </w:rPr>
              <w:t>Highland Park, IL 60035</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Arial" w:cs="Arial" w:eastAsia="Arial" w:hAnsi="Arial"/>
                <w:sz w:val="14"/>
                <w:szCs w:val="14"/>
                <w:color w:val="auto"/>
              </w:rPr>
              <w:t>Guitar Center</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Finley Square</w:t>
            </w:r>
          </w:p>
        </w:tc>
        <w:tc>
          <w:tcPr>
            <w:tcW w:w="11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1974</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1995</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315,000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$12.49</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91%</w:t>
            </w:r>
          </w:p>
        </w:tc>
        <w:tc>
          <w:tcPr>
            <w:tcW w:w="120" w:type="dxa"/>
            <w:vAlign w:val="bottom"/>
            <w:shd w:val="clear" w:color="auto" w:fill="CCEEFF"/>
          </w:tcPr>
          <w:p>
            <w:pPr>
              <w:spacing w:after="0"/>
              <w:rPr>
                <w:sz w:val="13"/>
                <w:szCs w:val="13"/>
                <w:color w:val="auto"/>
              </w:rPr>
            </w:pPr>
          </w:p>
        </w:tc>
        <w:tc>
          <w:tcPr>
            <w:tcW w:w="21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980" w:type="dxa"/>
            <w:vAlign w:val="bottom"/>
            <w:gridSpan w:val="7"/>
            <w:shd w:val="clear" w:color="auto" w:fill="CCEEFF"/>
          </w:tcPr>
          <w:p>
            <w:pPr>
              <w:ind w:left="140"/>
              <w:spacing w:after="0" w:line="149" w:lineRule="exact"/>
              <w:rPr>
                <w:sz w:val="20"/>
                <w:szCs w:val="20"/>
                <w:color w:val="auto"/>
              </w:rPr>
            </w:pPr>
            <w:r>
              <w:rPr>
                <w:rFonts w:ascii="Arial" w:cs="Arial" w:eastAsia="Arial" w:hAnsi="Arial"/>
                <w:sz w:val="14"/>
                <w:szCs w:val="14"/>
                <w:color w:val="auto"/>
              </w:rPr>
              <w:t>Downers Grove, IL 60515</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Petsmart</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57"/>
        </w:trPr>
        <w:tc>
          <w:tcPr>
            <w:tcW w:w="302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Garden Market</w:t>
            </w:r>
          </w:p>
        </w:tc>
        <w:tc>
          <w:tcPr>
            <w:tcW w:w="1160" w:type="dxa"/>
            <w:vAlign w:val="bottom"/>
          </w:tcPr>
          <w:p>
            <w:pPr>
              <w:jc w:val="center"/>
              <w:spacing w:after="0" w:line="157" w:lineRule="exact"/>
              <w:rPr>
                <w:sz w:val="20"/>
                <w:szCs w:val="20"/>
                <w:color w:val="auto"/>
              </w:rPr>
            </w:pPr>
            <w:r>
              <w:rPr>
                <w:rFonts w:ascii="Arial" w:cs="Arial" w:eastAsia="Arial" w:hAnsi="Arial"/>
                <w:sz w:val="14"/>
                <w:szCs w:val="14"/>
                <w:color w:val="auto"/>
                <w:w w:val="89"/>
              </w:rPr>
              <w:t>1958</w:t>
            </w:r>
          </w:p>
        </w:tc>
        <w:tc>
          <w:tcPr>
            <w:tcW w:w="12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1994</w:t>
            </w:r>
          </w:p>
        </w:tc>
        <w:tc>
          <w:tcPr>
            <w:tcW w:w="12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140,000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$13.30</w:t>
            </w:r>
          </w:p>
        </w:tc>
        <w:tc>
          <w:tcPr>
            <w:tcW w:w="10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3"/>
                <w:szCs w:val="13"/>
                <w:color w:val="auto"/>
              </w:rPr>
            </w:pPr>
          </w:p>
        </w:tc>
        <w:tc>
          <w:tcPr>
            <w:tcW w:w="2140" w:type="dxa"/>
            <w:vAlign w:val="bottom"/>
          </w:tcPr>
          <w:p>
            <w:pPr>
              <w:ind w:left="20"/>
              <w:spacing w:after="0" w:line="157" w:lineRule="exact"/>
              <w:rPr>
                <w:sz w:val="20"/>
                <w:szCs w:val="20"/>
                <w:color w:val="auto"/>
              </w:rPr>
            </w:pPr>
            <w:r>
              <w:rPr>
                <w:rFonts w:ascii="Arial" w:cs="Arial" w:eastAsia="Arial" w:hAnsi="Arial"/>
                <w:sz w:val="14"/>
                <w:szCs w:val="14"/>
                <w:color w:val="auto"/>
                <w:w w:val="96"/>
              </w:rPr>
              <w:t>Mariano's Fresh Market Walgreens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980" w:type="dxa"/>
            <w:vAlign w:val="bottom"/>
            <w:gridSpan w:val="7"/>
          </w:tcPr>
          <w:p>
            <w:pPr>
              <w:ind w:left="140"/>
              <w:spacing w:after="0"/>
              <w:rPr>
                <w:sz w:val="20"/>
                <w:szCs w:val="20"/>
                <w:color w:val="auto"/>
              </w:rPr>
            </w:pPr>
            <w:r>
              <w:rPr>
                <w:rFonts w:ascii="Arial" w:cs="Arial" w:eastAsia="Arial" w:hAnsi="Arial"/>
                <w:sz w:val="14"/>
                <w:szCs w:val="14"/>
                <w:color w:val="auto"/>
              </w:rPr>
              <w:t>Western Springs, IL 60558</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North Lake Commons</w:t>
            </w:r>
          </w:p>
        </w:tc>
        <w:tc>
          <w:tcPr>
            <w:tcW w:w="11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1989</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1994</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129,000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$10.95</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85%</w:t>
            </w:r>
          </w:p>
        </w:tc>
        <w:tc>
          <w:tcPr>
            <w:tcW w:w="120" w:type="dxa"/>
            <w:vAlign w:val="bottom"/>
            <w:shd w:val="clear" w:color="auto" w:fill="CCEEFF"/>
          </w:tcPr>
          <w:p>
            <w:pPr>
              <w:spacing w:after="0"/>
              <w:rPr>
                <w:sz w:val="13"/>
                <w:szCs w:val="13"/>
                <w:color w:val="auto"/>
              </w:rPr>
            </w:pPr>
          </w:p>
        </w:tc>
        <w:tc>
          <w:tcPr>
            <w:tcW w:w="21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Jewel Osco</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2980" w:type="dxa"/>
            <w:vAlign w:val="bottom"/>
            <w:tcBorders>
              <w:bottom w:val="single" w:sz="8" w:color="CCEEFF"/>
            </w:tcBorders>
            <w:gridSpan w:val="7"/>
            <w:shd w:val="clear" w:color="auto" w:fill="CCEEFF"/>
          </w:tcPr>
          <w:p>
            <w:pPr>
              <w:ind w:left="140"/>
              <w:spacing w:after="0"/>
              <w:rPr>
                <w:sz w:val="20"/>
                <w:szCs w:val="20"/>
                <w:color w:val="auto"/>
              </w:rPr>
            </w:pPr>
            <w:r>
              <w:rPr>
                <w:rFonts w:ascii="Arial" w:cs="Arial" w:eastAsia="Arial" w:hAnsi="Arial"/>
                <w:sz w:val="14"/>
                <w:szCs w:val="14"/>
                <w:color w:val="auto"/>
              </w:rPr>
              <w:t>Lake Zurich, IL 60047</w:t>
            </w: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20" w:type="dxa"/>
            <w:vAlign w:val="bottom"/>
            <w:gridSpan w:val="8"/>
          </w:tcPr>
          <w:p>
            <w:pPr>
              <w:ind w:left="40"/>
              <w:spacing w:after="0"/>
              <w:rPr>
                <w:sz w:val="20"/>
                <w:szCs w:val="20"/>
                <w:color w:val="auto"/>
              </w:rPr>
            </w:pPr>
            <w:r>
              <w:rPr>
                <w:rFonts w:ascii="Arial" w:cs="Arial" w:eastAsia="Arial" w:hAnsi="Arial"/>
                <w:sz w:val="14"/>
                <w:szCs w:val="14"/>
                <w:b w:val="1"/>
                <w:bCs w:val="1"/>
                <w:color w:val="auto"/>
              </w:rPr>
              <w:t>Maryland</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02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Bethesda Row</w:t>
            </w:r>
          </w:p>
        </w:tc>
        <w:tc>
          <w:tcPr>
            <w:tcW w:w="11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1945-1991 2001,</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1993-2006</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533,000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$49.07</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98%</w:t>
            </w:r>
          </w:p>
        </w:tc>
        <w:tc>
          <w:tcPr>
            <w:tcW w:w="120" w:type="dxa"/>
            <w:vAlign w:val="bottom"/>
            <w:shd w:val="clear" w:color="auto" w:fill="CCEEFF"/>
          </w:tcPr>
          <w:p>
            <w:pPr>
              <w:spacing w:after="0"/>
              <w:rPr>
                <w:sz w:val="13"/>
                <w:szCs w:val="13"/>
                <w:color w:val="auto"/>
              </w:rPr>
            </w:pPr>
          </w:p>
        </w:tc>
        <w:tc>
          <w:tcPr>
            <w:tcW w:w="21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Apple Computer</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980" w:type="dxa"/>
            <w:vAlign w:val="bottom"/>
            <w:gridSpan w:val="7"/>
            <w:shd w:val="clear" w:color="auto" w:fill="CCEEFF"/>
          </w:tcPr>
          <w:p>
            <w:pPr>
              <w:ind w:left="140"/>
              <w:spacing w:after="0" w:line="149" w:lineRule="exact"/>
              <w:rPr>
                <w:sz w:val="20"/>
                <w:szCs w:val="20"/>
                <w:color w:val="auto"/>
              </w:rPr>
            </w:pPr>
            <w:r>
              <w:rPr>
                <w:rFonts w:ascii="Arial" w:cs="Arial" w:eastAsia="Arial" w:hAnsi="Arial"/>
                <w:sz w:val="14"/>
                <w:szCs w:val="14"/>
                <w:color w:val="auto"/>
              </w:rPr>
              <w:t>Bethesda, MD 20814(4)</w:t>
            </w: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2008</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2008/2010</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Equinox Giant Food</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Landmark Theater</w:t>
            </w:r>
          </w:p>
        </w:tc>
        <w:tc>
          <w:tcPr>
            <w:tcW w:w="0" w:type="dxa"/>
            <w:vAlign w:val="bottom"/>
          </w:tcPr>
          <w:p>
            <w:pPr>
              <w:spacing w:after="0"/>
              <w:rPr>
                <w:sz w:val="1"/>
                <w:szCs w:val="1"/>
                <w:color w:val="auto"/>
              </w:rPr>
            </w:pPr>
          </w:p>
        </w:tc>
      </w:tr>
      <w:tr>
        <w:trPr>
          <w:trHeight w:val="157"/>
        </w:trPr>
        <w:tc>
          <w:tcPr>
            <w:tcW w:w="302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Bethesda Row Residential</w:t>
            </w:r>
          </w:p>
        </w:tc>
        <w:tc>
          <w:tcPr>
            <w:tcW w:w="1160" w:type="dxa"/>
            <w:vAlign w:val="bottom"/>
          </w:tcPr>
          <w:p>
            <w:pPr>
              <w:jc w:val="center"/>
              <w:spacing w:after="0" w:line="157" w:lineRule="exact"/>
              <w:rPr>
                <w:sz w:val="20"/>
                <w:szCs w:val="20"/>
                <w:color w:val="auto"/>
              </w:rPr>
            </w:pPr>
            <w:r>
              <w:rPr>
                <w:rFonts w:ascii="Arial" w:cs="Arial" w:eastAsia="Arial" w:hAnsi="Arial"/>
                <w:sz w:val="14"/>
                <w:szCs w:val="14"/>
                <w:color w:val="auto"/>
                <w:w w:val="89"/>
              </w:rPr>
              <w:t>2008</w:t>
            </w:r>
          </w:p>
        </w:tc>
        <w:tc>
          <w:tcPr>
            <w:tcW w:w="12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20" w:type="dxa"/>
            <w:vAlign w:val="bottom"/>
          </w:tcPr>
          <w:p>
            <w:pPr>
              <w:spacing w:after="0"/>
              <w:rPr>
                <w:sz w:val="13"/>
                <w:szCs w:val="13"/>
                <w:color w:val="auto"/>
              </w:rPr>
            </w:pPr>
          </w:p>
        </w:tc>
        <w:tc>
          <w:tcPr>
            <w:tcW w:w="136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4"/>
              </w:rPr>
              <w:t>180 units</w:t>
            </w:r>
          </w:p>
        </w:tc>
        <w:tc>
          <w:tcPr>
            <w:tcW w:w="136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rPr>
              <w:t>N/A</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95%</w:t>
            </w: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980" w:type="dxa"/>
            <w:vAlign w:val="bottom"/>
            <w:gridSpan w:val="7"/>
          </w:tcPr>
          <w:p>
            <w:pPr>
              <w:ind w:left="140"/>
              <w:spacing w:after="0"/>
              <w:rPr>
                <w:sz w:val="20"/>
                <w:szCs w:val="20"/>
                <w:color w:val="auto"/>
              </w:rPr>
            </w:pPr>
            <w:r>
              <w:rPr>
                <w:rFonts w:ascii="Arial" w:cs="Arial" w:eastAsia="Arial" w:hAnsi="Arial"/>
                <w:sz w:val="14"/>
                <w:szCs w:val="14"/>
                <w:color w:val="auto"/>
              </w:rPr>
              <w:t>Bethesda, MD 20814</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Congressional Plaza</w:t>
            </w:r>
          </w:p>
        </w:tc>
        <w:tc>
          <w:tcPr>
            <w:tcW w:w="11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1965</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1965</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325,000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$40.10</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20" w:type="dxa"/>
            <w:vAlign w:val="bottom"/>
            <w:shd w:val="clear" w:color="auto" w:fill="CCEEFF"/>
          </w:tcPr>
          <w:p>
            <w:pPr>
              <w:spacing w:after="0"/>
              <w:rPr>
                <w:sz w:val="13"/>
                <w:szCs w:val="13"/>
                <w:color w:val="auto"/>
              </w:rPr>
            </w:pPr>
          </w:p>
        </w:tc>
        <w:tc>
          <w:tcPr>
            <w:tcW w:w="21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980" w:type="dxa"/>
            <w:vAlign w:val="bottom"/>
            <w:gridSpan w:val="7"/>
            <w:shd w:val="clear" w:color="auto" w:fill="CCEEFF"/>
          </w:tcPr>
          <w:p>
            <w:pPr>
              <w:ind w:left="140"/>
              <w:spacing w:after="0" w:line="149" w:lineRule="exact"/>
              <w:rPr>
                <w:sz w:val="20"/>
                <w:szCs w:val="20"/>
                <w:color w:val="auto"/>
              </w:rPr>
            </w:pPr>
            <w:r>
              <w:rPr>
                <w:rFonts w:ascii="Arial" w:cs="Arial" w:eastAsia="Arial" w:hAnsi="Arial"/>
                <w:sz w:val="14"/>
                <w:szCs w:val="14"/>
                <w:color w:val="auto"/>
              </w:rPr>
              <w:t>Rockville, MD 20852(5)</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6"/>
              </w:rPr>
              <w:t>Last Call Studio by Neiman Marcus</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8"/>
              </w:rPr>
              <w:t>Container Store The Fresh Market</w:t>
            </w:r>
          </w:p>
        </w:tc>
        <w:tc>
          <w:tcPr>
            <w:tcW w:w="0" w:type="dxa"/>
            <w:vAlign w:val="bottom"/>
          </w:tcPr>
          <w:p>
            <w:pPr>
              <w:spacing w:after="0"/>
              <w:rPr>
                <w:sz w:val="1"/>
                <w:szCs w:val="1"/>
                <w:color w:val="auto"/>
              </w:rPr>
            </w:pPr>
          </w:p>
        </w:tc>
      </w:tr>
      <w:tr>
        <w:trPr>
          <w:trHeight w:val="157"/>
        </w:trPr>
        <w:tc>
          <w:tcPr>
            <w:tcW w:w="302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Congressional Plaza Residential</w:t>
            </w:r>
          </w:p>
        </w:tc>
        <w:tc>
          <w:tcPr>
            <w:tcW w:w="1160" w:type="dxa"/>
            <w:vAlign w:val="bottom"/>
          </w:tcPr>
          <w:p>
            <w:pPr>
              <w:jc w:val="center"/>
              <w:spacing w:after="0" w:line="157" w:lineRule="exact"/>
              <w:rPr>
                <w:sz w:val="20"/>
                <w:szCs w:val="20"/>
                <w:color w:val="auto"/>
              </w:rPr>
            </w:pPr>
            <w:r>
              <w:rPr>
                <w:rFonts w:ascii="Arial" w:cs="Arial" w:eastAsia="Arial" w:hAnsi="Arial"/>
                <w:sz w:val="14"/>
                <w:szCs w:val="14"/>
                <w:color w:val="auto"/>
                <w:w w:val="89"/>
              </w:rPr>
              <w:t>2003</w:t>
            </w:r>
          </w:p>
        </w:tc>
        <w:tc>
          <w:tcPr>
            <w:tcW w:w="12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1965</w:t>
            </w:r>
          </w:p>
        </w:tc>
        <w:tc>
          <w:tcPr>
            <w:tcW w:w="120" w:type="dxa"/>
            <w:vAlign w:val="bottom"/>
          </w:tcPr>
          <w:p>
            <w:pPr>
              <w:spacing w:after="0"/>
              <w:rPr>
                <w:sz w:val="13"/>
                <w:szCs w:val="13"/>
                <w:color w:val="auto"/>
              </w:rPr>
            </w:pPr>
          </w:p>
        </w:tc>
        <w:tc>
          <w:tcPr>
            <w:tcW w:w="136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4"/>
              </w:rPr>
              <w:t>146 units</w:t>
            </w:r>
          </w:p>
        </w:tc>
        <w:tc>
          <w:tcPr>
            <w:tcW w:w="136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rPr>
              <w:t>N/A</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91%</w:t>
            </w: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980" w:type="dxa"/>
            <w:vAlign w:val="bottom"/>
            <w:gridSpan w:val="7"/>
          </w:tcPr>
          <w:p>
            <w:pPr>
              <w:ind w:left="140"/>
              <w:spacing w:after="0"/>
              <w:rPr>
                <w:sz w:val="20"/>
                <w:szCs w:val="20"/>
                <w:color w:val="auto"/>
              </w:rPr>
            </w:pPr>
            <w:r>
              <w:rPr>
                <w:rFonts w:ascii="Arial" w:cs="Arial" w:eastAsia="Arial" w:hAnsi="Arial"/>
                <w:sz w:val="14"/>
                <w:szCs w:val="14"/>
                <w:color w:val="auto"/>
              </w:rPr>
              <w:t>Rockville, MD 20852(5)</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Courthouse Center</w:t>
            </w:r>
          </w:p>
        </w:tc>
        <w:tc>
          <w:tcPr>
            <w:tcW w:w="11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1975</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35,000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$23.60</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66%</w:t>
            </w:r>
          </w:p>
        </w:tc>
        <w:tc>
          <w:tcPr>
            <w:tcW w:w="12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2980" w:type="dxa"/>
            <w:vAlign w:val="bottom"/>
            <w:tcBorders>
              <w:bottom w:val="single" w:sz="8" w:color="CCEEFF"/>
            </w:tcBorders>
            <w:gridSpan w:val="7"/>
            <w:shd w:val="clear" w:color="auto" w:fill="CCEEFF"/>
          </w:tcPr>
          <w:p>
            <w:pPr>
              <w:ind w:left="140"/>
              <w:spacing w:after="0"/>
              <w:rPr>
                <w:sz w:val="20"/>
                <w:szCs w:val="20"/>
                <w:color w:val="auto"/>
              </w:rPr>
            </w:pPr>
            <w:r>
              <w:rPr>
                <w:rFonts w:ascii="Arial" w:cs="Arial" w:eastAsia="Arial" w:hAnsi="Arial"/>
                <w:sz w:val="14"/>
                <w:szCs w:val="14"/>
                <w:color w:val="auto"/>
              </w:rPr>
              <w:t>Rockville, MD 20852</w:t>
            </w: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02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Federal Plaza</w:t>
            </w:r>
          </w:p>
        </w:tc>
        <w:tc>
          <w:tcPr>
            <w:tcW w:w="1160" w:type="dxa"/>
            <w:vAlign w:val="bottom"/>
          </w:tcPr>
          <w:p>
            <w:pPr>
              <w:jc w:val="center"/>
              <w:spacing w:after="0" w:line="157" w:lineRule="exact"/>
              <w:rPr>
                <w:sz w:val="20"/>
                <w:szCs w:val="20"/>
                <w:color w:val="auto"/>
              </w:rPr>
            </w:pPr>
            <w:r>
              <w:rPr>
                <w:rFonts w:ascii="Arial" w:cs="Arial" w:eastAsia="Arial" w:hAnsi="Arial"/>
                <w:sz w:val="14"/>
                <w:szCs w:val="14"/>
                <w:color w:val="auto"/>
                <w:w w:val="89"/>
              </w:rPr>
              <w:t>1970</w:t>
            </w:r>
          </w:p>
        </w:tc>
        <w:tc>
          <w:tcPr>
            <w:tcW w:w="12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1989</w:t>
            </w:r>
          </w:p>
        </w:tc>
        <w:tc>
          <w:tcPr>
            <w:tcW w:w="12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248,000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$34.48</w:t>
            </w:r>
          </w:p>
        </w:tc>
        <w:tc>
          <w:tcPr>
            <w:tcW w:w="10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99%</w:t>
            </w:r>
          </w:p>
        </w:tc>
        <w:tc>
          <w:tcPr>
            <w:tcW w:w="120" w:type="dxa"/>
            <w:vAlign w:val="bottom"/>
          </w:tcPr>
          <w:p>
            <w:pPr>
              <w:spacing w:after="0"/>
              <w:rPr>
                <w:sz w:val="13"/>
                <w:szCs w:val="13"/>
                <w:color w:val="auto"/>
              </w:rPr>
            </w:pPr>
          </w:p>
        </w:tc>
        <w:tc>
          <w:tcPr>
            <w:tcW w:w="2140" w:type="dxa"/>
            <w:vAlign w:val="bottom"/>
          </w:tcPr>
          <w:p>
            <w:pPr>
              <w:ind w:left="20"/>
              <w:spacing w:after="0" w:line="157"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980" w:type="dxa"/>
            <w:vAlign w:val="bottom"/>
            <w:gridSpan w:val="7"/>
          </w:tcPr>
          <w:p>
            <w:pPr>
              <w:ind w:left="140"/>
              <w:spacing w:after="0" w:line="149" w:lineRule="exact"/>
              <w:rPr>
                <w:sz w:val="20"/>
                <w:szCs w:val="20"/>
                <w:color w:val="auto"/>
              </w:rPr>
            </w:pPr>
            <w:r>
              <w:rPr>
                <w:rFonts w:ascii="Arial" w:cs="Arial" w:eastAsia="Arial" w:hAnsi="Arial"/>
                <w:sz w:val="14"/>
                <w:szCs w:val="14"/>
                <w:color w:val="auto"/>
              </w:rPr>
              <w:t>Rockville, MD 20852</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Free State Shopping Center</w:t>
            </w:r>
          </w:p>
        </w:tc>
        <w:tc>
          <w:tcPr>
            <w:tcW w:w="11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1970</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279,000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$16.61</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94%</w:t>
            </w:r>
          </w:p>
        </w:tc>
        <w:tc>
          <w:tcPr>
            <w:tcW w:w="120" w:type="dxa"/>
            <w:vAlign w:val="bottom"/>
            <w:shd w:val="clear" w:color="auto" w:fill="CCEEFF"/>
          </w:tcPr>
          <w:p>
            <w:pPr>
              <w:spacing w:after="0"/>
              <w:rPr>
                <w:sz w:val="13"/>
                <w:szCs w:val="13"/>
                <w:color w:val="auto"/>
              </w:rPr>
            </w:pPr>
          </w:p>
        </w:tc>
        <w:tc>
          <w:tcPr>
            <w:tcW w:w="21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980" w:type="dxa"/>
            <w:vAlign w:val="bottom"/>
            <w:gridSpan w:val="7"/>
            <w:shd w:val="clear" w:color="auto" w:fill="CCEEFF"/>
          </w:tcPr>
          <w:p>
            <w:pPr>
              <w:ind w:left="140"/>
              <w:spacing w:after="0" w:line="149" w:lineRule="exact"/>
              <w:rPr>
                <w:sz w:val="20"/>
                <w:szCs w:val="20"/>
                <w:color w:val="auto"/>
              </w:rPr>
            </w:pPr>
            <w:r>
              <w:rPr>
                <w:rFonts w:ascii="Arial" w:cs="Arial" w:eastAsia="Arial" w:hAnsi="Arial"/>
                <w:sz w:val="14"/>
                <w:szCs w:val="14"/>
                <w:color w:val="auto"/>
              </w:rPr>
              <w:t>Bowie, MD 20715(9)</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25"/>
        </w:trPr>
        <w:tc>
          <w:tcPr>
            <w:tcW w:w="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6" w:right="2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 Rent</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/Apartment</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 Square</w:t>
            </w:r>
          </w:p>
        </w:tc>
        <w:tc>
          <w:tcPr>
            <w:tcW w:w="114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9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Pr>
          <w:p>
            <w:pPr>
              <w:spacing w:after="0"/>
              <w:rPr>
                <w:sz w:val="17"/>
                <w:szCs w:val="17"/>
                <w:color w:val="auto"/>
              </w:rPr>
            </w:pPr>
          </w:p>
        </w:tc>
        <w:tc>
          <w:tcPr>
            <w:tcW w:w="21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56"/>
        </w:trPr>
        <w:tc>
          <w:tcPr>
            <w:tcW w:w="3100" w:type="dxa"/>
            <w:vAlign w:val="bottom"/>
            <w:gridSpan w:val="4"/>
          </w:tcPr>
          <w:p>
            <w:pPr>
              <w:ind w:left="40"/>
              <w:spacing w:after="0" w:line="156" w:lineRule="exact"/>
              <w:rPr>
                <w:sz w:val="20"/>
                <w:szCs w:val="20"/>
                <w:color w:val="auto"/>
              </w:rPr>
            </w:pPr>
            <w:r>
              <w:rPr>
                <w:rFonts w:ascii="Arial" w:cs="Arial" w:eastAsia="Arial" w:hAnsi="Arial"/>
                <w:sz w:val="14"/>
                <w:szCs w:val="14"/>
                <w:color w:val="auto"/>
              </w:rPr>
              <w:t>Gaithersburg Square</w:t>
            </w:r>
          </w:p>
        </w:tc>
        <w:tc>
          <w:tcPr>
            <w:tcW w:w="1040" w:type="dxa"/>
            <w:vAlign w:val="bottom"/>
          </w:tcPr>
          <w:p>
            <w:pPr>
              <w:jc w:val="center"/>
              <w:spacing w:after="0" w:line="156" w:lineRule="exact"/>
              <w:rPr>
                <w:sz w:val="20"/>
                <w:szCs w:val="20"/>
                <w:color w:val="auto"/>
              </w:rPr>
            </w:pPr>
            <w:r>
              <w:rPr>
                <w:rFonts w:ascii="Arial" w:cs="Arial" w:eastAsia="Arial" w:hAnsi="Arial"/>
                <w:sz w:val="14"/>
                <w:szCs w:val="14"/>
                <w:color w:val="auto"/>
                <w:w w:val="89"/>
              </w:rPr>
              <w:t>1966</w:t>
            </w:r>
          </w:p>
        </w:tc>
        <w:tc>
          <w:tcPr>
            <w:tcW w:w="12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Arial" w:cs="Arial" w:eastAsia="Arial" w:hAnsi="Arial"/>
                <w:sz w:val="14"/>
                <w:szCs w:val="14"/>
                <w:color w:val="auto"/>
                <w:w w:val="89"/>
              </w:rPr>
              <w:t>1993</w:t>
            </w:r>
          </w:p>
        </w:tc>
        <w:tc>
          <w:tcPr>
            <w:tcW w:w="100" w:type="dxa"/>
            <w:vAlign w:val="bottom"/>
          </w:tcPr>
          <w:p>
            <w:pPr>
              <w:spacing w:after="0"/>
              <w:rPr>
                <w:sz w:val="13"/>
                <w:szCs w:val="13"/>
                <w:color w:val="auto"/>
              </w:rPr>
            </w:pPr>
          </w:p>
        </w:tc>
        <w:tc>
          <w:tcPr>
            <w:tcW w:w="1260" w:type="dxa"/>
            <w:vAlign w:val="bottom"/>
          </w:tcPr>
          <w:p>
            <w:pPr>
              <w:jc w:val="center"/>
              <w:spacing w:after="0" w:line="156" w:lineRule="exact"/>
              <w:rPr>
                <w:sz w:val="20"/>
                <w:szCs w:val="20"/>
                <w:color w:val="auto"/>
              </w:rPr>
            </w:pPr>
            <w:r>
              <w:rPr>
                <w:rFonts w:ascii="Arial" w:cs="Arial" w:eastAsia="Arial" w:hAnsi="Arial"/>
                <w:sz w:val="14"/>
                <w:szCs w:val="14"/>
                <w:color w:val="auto"/>
                <w:w w:val="90"/>
              </w:rPr>
              <w:t>207,000</w:t>
            </w:r>
          </w:p>
        </w:tc>
        <w:tc>
          <w:tcPr>
            <w:tcW w:w="100" w:type="dxa"/>
            <w:vAlign w:val="bottom"/>
          </w:tcPr>
          <w:p>
            <w:pPr>
              <w:spacing w:after="0"/>
              <w:rPr>
                <w:sz w:val="13"/>
                <w:szCs w:val="13"/>
                <w:color w:val="auto"/>
              </w:rPr>
            </w:pPr>
          </w:p>
        </w:tc>
        <w:tc>
          <w:tcPr>
            <w:tcW w:w="1260" w:type="dxa"/>
            <w:vAlign w:val="bottom"/>
          </w:tcPr>
          <w:p>
            <w:pPr>
              <w:jc w:val="center"/>
              <w:spacing w:after="0" w:line="156" w:lineRule="exact"/>
              <w:rPr>
                <w:sz w:val="20"/>
                <w:szCs w:val="20"/>
                <w:color w:val="auto"/>
              </w:rPr>
            </w:pPr>
            <w:r>
              <w:rPr>
                <w:rFonts w:ascii="Arial" w:cs="Arial" w:eastAsia="Arial" w:hAnsi="Arial"/>
                <w:sz w:val="14"/>
                <w:szCs w:val="14"/>
                <w:color w:val="auto"/>
                <w:w w:val="93"/>
              </w:rPr>
              <w:t>$26.53</w:t>
            </w:r>
          </w:p>
        </w:tc>
        <w:tc>
          <w:tcPr>
            <w:tcW w:w="10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Arial" w:cs="Arial" w:eastAsia="Arial" w:hAnsi="Arial"/>
                <w:sz w:val="14"/>
                <w:szCs w:val="14"/>
                <w:color w:val="auto"/>
                <w:w w:val="99"/>
              </w:rPr>
              <w:t>92%</w:t>
            </w:r>
          </w:p>
        </w:tc>
        <w:tc>
          <w:tcPr>
            <w:tcW w:w="100" w:type="dxa"/>
            <w:vAlign w:val="bottom"/>
          </w:tcPr>
          <w:p>
            <w:pPr>
              <w:spacing w:after="0"/>
              <w:rPr>
                <w:sz w:val="13"/>
                <w:szCs w:val="13"/>
                <w:color w:val="auto"/>
              </w:rPr>
            </w:pPr>
          </w:p>
        </w:tc>
        <w:tc>
          <w:tcPr>
            <w:tcW w:w="2160" w:type="dxa"/>
            <w:vAlign w:val="bottom"/>
          </w:tcPr>
          <w:p>
            <w:pPr>
              <w:ind w:left="20"/>
              <w:spacing w:after="0" w:line="156"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Gaithersburg, MD 20878</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Ross Dress For Less Ashley</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Furniture HomeStore</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rPr>
              <w:t>Governor Plaza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1963</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1985</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243,000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$18.95</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Glen Burnie, MD 21961</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Laurel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1956</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1986</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389,000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$22.41</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80%</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L.A. Fitness Giant Food</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rPr>
              <w:t>Laurel, MD 20707</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rPr>
              <w:t>Montrose Crossing</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1960-1979,</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2011/2013</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366,000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$24.56</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93%</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A.C. Moore Giant Food</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Rockville, MD 20852 (5)(10)</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1996, 2011</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Sports Authority</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Perring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1963</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1985</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395,000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$14.35</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Micro Center Burlington Coat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Baltimore, MD 21134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Factory</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Jo-Ann Stores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rPr>
              <w:t>Pike &amp; Rose</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1"/>
              </w:rPr>
              <w:t>1963, 2014</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1982/2007/2012</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208,000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$44.14</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96%</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iPic Theater Gap/Gap Kids</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30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North Bethesda, MD 20852 (12)</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Sport &amp; Health</w:t>
            </w: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Pike &amp; Rose Residential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3"/>
              </w:rPr>
              <w:t>1982/2007</w:t>
            </w: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4"/>
              </w:rPr>
              <w:t>389 units</w:t>
            </w:r>
          </w:p>
        </w:tc>
        <w:tc>
          <w:tcPr>
            <w:tcW w:w="136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rPr>
              <w:t>N/A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73%</w:t>
            </w: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rPr>
              <w:t>North Bethesda, MD 20852 (12)</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1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Plaza Del Mercado</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1969</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96,000</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$35.46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92%</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Silver Spring, MD 20906(9)</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Quince Orchard</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1975</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267,000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$21.78</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96%</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rPr>
              <w:t>Gaithersburg, MD 20877(4)</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HomeGoods L.A. Fitness Staples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rPr>
              <w:t>Rockville Town Square</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2006-2007</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2006-2007</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187,000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$29.59</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93%</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Rockville, MD 20852 (8)</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Gold’s Gym</w:t>
            </w: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Rollingwood Apartments</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1960</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1971</w:t>
            </w: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4"/>
              </w:rPr>
              <w:t>282 units</w:t>
            </w:r>
          </w:p>
        </w:tc>
        <w:tc>
          <w:tcPr>
            <w:tcW w:w="136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rPr>
              <w:t>N/A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95%</w:t>
            </w: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Silver Spring, MD 20910</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rPr>
              <w:t>9 three-story buildings(10)</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rPr>
              <w:t>THE AVENUE at White Marsh</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305,000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$24.24</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99%</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AMC Loews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Baltimore, MD 21236(7)(10)</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The Shoppes at Nottingham Square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2005-2006</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88"/>
              </w:rPr>
              <w:t>32,000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$48.13</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rPr>
              <w:t>Baltimore, MD 21236</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rPr>
              <w:t>White Marsh Other</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1985</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73,000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$31.67</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98%</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Baltimore, MD 21236</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White Marsh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1987</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88"/>
              </w:rPr>
              <w:t>80,000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$21.80</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96%</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rPr>
              <w:t>Baltimore, MD 21236</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rPr>
              <w:t>Wildwood</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1958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1969</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84,000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$95.44</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99%</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Bethesda, MD 20814</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Balducci’s</w:t>
            </w:r>
          </w:p>
        </w:tc>
        <w:tc>
          <w:tcPr>
            <w:tcW w:w="0" w:type="dxa"/>
            <w:vAlign w:val="bottom"/>
          </w:tcPr>
          <w:p>
            <w:pPr>
              <w:spacing w:after="0"/>
              <w:rPr>
                <w:sz w:val="1"/>
                <w:szCs w:val="1"/>
                <w:color w:val="auto"/>
              </w:rPr>
            </w:pPr>
          </w:p>
        </w:tc>
      </w:tr>
      <w:tr>
        <w:trPr>
          <w:trHeight w:val="162"/>
        </w:trPr>
        <w:tc>
          <w:tcPr>
            <w:tcW w:w="3100" w:type="dxa"/>
            <w:vAlign w:val="bottom"/>
            <w:gridSpan w:val="4"/>
          </w:tcPr>
          <w:p>
            <w:pPr>
              <w:ind w:left="40"/>
              <w:spacing w:after="0"/>
              <w:rPr>
                <w:sz w:val="20"/>
                <w:szCs w:val="20"/>
                <w:color w:val="auto"/>
              </w:rPr>
            </w:pPr>
            <w:r>
              <w:rPr>
                <w:rFonts w:ascii="Arial" w:cs="Arial" w:eastAsia="Arial" w:hAnsi="Arial"/>
                <w:sz w:val="14"/>
                <w:szCs w:val="14"/>
                <w:b w:val="1"/>
                <w:bCs w:val="1"/>
                <w:color w:val="auto"/>
              </w:rPr>
              <w:t>Massachusetts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rPr>
              <w:t>Assembly Row/</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1"/>
              </w:rPr>
              <w:t>2005, 2014</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2005-2011, 2013</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738,000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$22.49</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AMC Theatres LEGOLAND</w:t>
            </w:r>
          </w:p>
        </w:tc>
        <w:tc>
          <w:tcPr>
            <w:tcW w:w="0" w:type="dxa"/>
            <w:vAlign w:val="bottom"/>
          </w:tcPr>
          <w:p>
            <w:pPr>
              <w:spacing w:after="0"/>
              <w:rPr>
                <w:sz w:val="1"/>
                <w:szCs w:val="1"/>
                <w:color w:val="auto"/>
              </w:rPr>
            </w:pPr>
          </w:p>
        </w:tc>
      </w:tr>
      <w:tr>
        <w:trPr>
          <w:trHeight w:val="148"/>
        </w:trPr>
        <w:tc>
          <w:tcPr>
            <w:tcW w:w="31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Assembly Square Marketplace</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Discovery Center Saks Fifth</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Somerville, MA 02145 (12)</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Avenue Off 5th Nike Factory J.</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Crew Legal on the Mystic Bed,</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Bath &amp; Beyond</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Atlantic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1960</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123,000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$15.83</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90%</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rPr>
              <w:t>North Reading, MA 01864(9)</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rPr>
              <w:t>Campus Plaza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1970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116,000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$14.86</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Roche Brothers</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Bridgewater, MA 02324(9)</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Burlington Coat Factory</w:t>
            </w: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Chelsea Commons</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1962-1969, 2008</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2006-2008</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222,000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88"/>
              </w:rPr>
              <w:t>$11.43</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Sav-A-Lot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Chelsea, MA 02150(10)</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rPr>
              <w:t>Chelsea Commons Residential</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2013</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2008</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100"/>
              <w:spacing w:after="0" w:line="157" w:lineRule="exact"/>
              <w:rPr>
                <w:sz w:val="20"/>
                <w:szCs w:val="20"/>
                <w:color w:val="auto"/>
              </w:rPr>
            </w:pPr>
            <w:r>
              <w:rPr>
                <w:rFonts w:ascii="Arial" w:cs="Arial" w:eastAsia="Arial" w:hAnsi="Arial"/>
                <w:sz w:val="14"/>
                <w:szCs w:val="14"/>
                <w:color w:val="auto"/>
                <w:w w:val="93"/>
              </w:rPr>
              <w:t>56 units</w:t>
            </w:r>
          </w:p>
        </w:tc>
        <w:tc>
          <w:tcPr>
            <w:tcW w:w="1360" w:type="dxa"/>
            <w:vAlign w:val="bottom"/>
            <w:gridSpan w:val="2"/>
            <w:shd w:val="clear" w:color="auto" w:fill="CCEEFF"/>
          </w:tcPr>
          <w:p>
            <w:pPr>
              <w:jc w:val="center"/>
              <w:ind w:right="100"/>
              <w:spacing w:after="0" w:line="157" w:lineRule="exact"/>
              <w:rPr>
                <w:sz w:val="20"/>
                <w:szCs w:val="20"/>
                <w:color w:val="auto"/>
              </w:rPr>
            </w:pPr>
            <w:r>
              <w:rPr>
                <w:rFonts w:ascii="Arial" w:cs="Arial" w:eastAsia="Arial" w:hAnsi="Arial"/>
                <w:sz w:val="14"/>
                <w:szCs w:val="14"/>
                <w:color w:val="auto"/>
              </w:rPr>
              <w:t>N/A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95%</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Chelsea, MA 02150</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Dedham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1959</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241,000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$15.90</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92%</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Star Market</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rPr>
              <w:t>Dedham, MA 02026</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6" w:right="2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 Rent</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/Apartment</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 Square</w:t>
            </w:r>
          </w:p>
        </w:tc>
        <w:tc>
          <w:tcPr>
            <w:tcW w:w="114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9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56"/>
        </w:trPr>
        <w:tc>
          <w:tcPr>
            <w:tcW w:w="3100" w:type="dxa"/>
            <w:vAlign w:val="bottom"/>
            <w:gridSpan w:val="7"/>
            <w:shd w:val="clear" w:color="auto" w:fill="CCEEFF"/>
          </w:tcPr>
          <w:p>
            <w:pPr>
              <w:ind w:left="40"/>
              <w:spacing w:after="0" w:line="156" w:lineRule="exact"/>
              <w:rPr>
                <w:sz w:val="20"/>
                <w:szCs w:val="20"/>
                <w:color w:val="auto"/>
              </w:rPr>
            </w:pPr>
            <w:r>
              <w:rPr>
                <w:rFonts w:ascii="Arial" w:cs="Arial" w:eastAsia="Arial" w:hAnsi="Arial"/>
                <w:sz w:val="14"/>
                <w:szCs w:val="14"/>
                <w:color w:val="auto"/>
              </w:rPr>
              <w:t>Linden Square</w:t>
            </w:r>
          </w:p>
        </w:tc>
        <w:tc>
          <w:tcPr>
            <w:tcW w:w="104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91"/>
              </w:rPr>
              <w:t>1960, 2008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9"/>
              </w:rPr>
              <w:t>2006</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90"/>
              </w:rPr>
              <w:t>223,000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93"/>
              </w:rPr>
              <w:t>$46.08</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99"/>
              </w:rPr>
              <w:t>94%</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Roche Brothers Supermarket</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4"/>
                <w:szCs w:val="14"/>
                <w:color w:val="auto"/>
              </w:rPr>
              <w:t>Wellesley, MA 02481</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57"/>
        </w:trPr>
        <w:tc>
          <w:tcPr>
            <w:tcW w:w="31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North Dartmouth</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2004</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88"/>
              </w:rPr>
              <w:t>48,000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$15.71</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6"/>
          </w:tcPr>
          <w:p>
            <w:pPr>
              <w:ind w:left="140"/>
              <w:spacing w:after="0"/>
              <w:rPr>
                <w:sz w:val="20"/>
                <w:szCs w:val="20"/>
                <w:color w:val="auto"/>
              </w:rPr>
            </w:pPr>
            <w:r>
              <w:rPr>
                <w:rFonts w:ascii="Arial" w:cs="Arial" w:eastAsia="Arial" w:hAnsi="Arial"/>
                <w:sz w:val="14"/>
                <w:szCs w:val="14"/>
                <w:color w:val="auto"/>
              </w:rPr>
              <w:t>North Dartmouth, MA 02747</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7"/>
            <w:shd w:val="clear" w:color="auto" w:fill="CCEEFF"/>
          </w:tcPr>
          <w:p>
            <w:pPr>
              <w:ind w:left="40"/>
              <w:spacing w:after="0" w:line="157" w:lineRule="exact"/>
              <w:rPr>
                <w:sz w:val="20"/>
                <w:szCs w:val="20"/>
                <w:color w:val="auto"/>
              </w:rPr>
            </w:pPr>
            <w:r>
              <w:rPr>
                <w:rFonts w:ascii="Arial" w:cs="Arial" w:eastAsia="Arial" w:hAnsi="Arial"/>
                <w:sz w:val="14"/>
                <w:szCs w:val="14"/>
                <w:color w:val="auto"/>
              </w:rPr>
              <w:t>Queen Anne Plaza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1967</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1994</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149,000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$16.64</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6"/>
            <w:shd w:val="clear" w:color="auto" w:fill="CCEEFF"/>
          </w:tcPr>
          <w:p>
            <w:pPr>
              <w:ind w:left="140"/>
              <w:spacing w:after="0" w:line="149" w:lineRule="exact"/>
              <w:rPr>
                <w:sz w:val="20"/>
                <w:szCs w:val="20"/>
                <w:color w:val="auto"/>
              </w:rPr>
            </w:pPr>
            <w:r>
              <w:rPr>
                <w:rFonts w:ascii="Arial" w:cs="Arial" w:eastAsia="Arial" w:hAnsi="Arial"/>
                <w:sz w:val="14"/>
                <w:szCs w:val="14"/>
                <w:color w:val="auto"/>
              </w:rPr>
              <w:t>Norwell, MA 02061</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Hannaford</w:t>
            </w:r>
          </w:p>
        </w:tc>
        <w:tc>
          <w:tcPr>
            <w:tcW w:w="0" w:type="dxa"/>
            <w:vAlign w:val="bottom"/>
          </w:tcPr>
          <w:p>
            <w:pPr>
              <w:spacing w:after="0"/>
              <w:rPr>
                <w:sz w:val="1"/>
                <w:szCs w:val="1"/>
                <w:color w:val="auto"/>
              </w:rPr>
            </w:pPr>
          </w:p>
        </w:tc>
      </w:tr>
      <w:tr>
        <w:trPr>
          <w:trHeight w:val="157"/>
        </w:trPr>
        <w:tc>
          <w:tcPr>
            <w:tcW w:w="31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Saugus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1976</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1996</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168,000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88"/>
              </w:rPr>
              <w:t>$11.99</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Kmart</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6"/>
          </w:tcPr>
          <w:p>
            <w:pPr>
              <w:ind w:left="140"/>
              <w:spacing w:after="0"/>
              <w:rPr>
                <w:sz w:val="20"/>
                <w:szCs w:val="20"/>
                <w:color w:val="auto"/>
              </w:rPr>
            </w:pPr>
            <w:r>
              <w:rPr>
                <w:rFonts w:ascii="Arial" w:cs="Arial" w:eastAsia="Arial" w:hAnsi="Arial"/>
                <w:sz w:val="14"/>
                <w:szCs w:val="14"/>
                <w:color w:val="auto"/>
              </w:rPr>
              <w:t>Saugus, MA 01906</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Super Stop &amp; Shop</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100" w:type="dxa"/>
            <w:vAlign w:val="bottom"/>
            <w:gridSpan w:val="7"/>
            <w:shd w:val="clear" w:color="auto" w:fill="CCEEFF"/>
          </w:tcPr>
          <w:p>
            <w:pPr>
              <w:ind w:left="40"/>
              <w:spacing w:after="0"/>
              <w:rPr>
                <w:sz w:val="20"/>
                <w:szCs w:val="20"/>
                <w:color w:val="auto"/>
              </w:rPr>
            </w:pPr>
            <w:r>
              <w:rPr>
                <w:rFonts w:ascii="Arial" w:cs="Arial" w:eastAsia="Arial" w:hAnsi="Arial"/>
                <w:sz w:val="14"/>
                <w:szCs w:val="14"/>
                <w:b w:val="1"/>
                <w:bCs w:val="1"/>
                <w:color w:val="auto"/>
              </w:rPr>
              <w:t>Michigan</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20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1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Gratiot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1964</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1973</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217,000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88"/>
              </w:rPr>
              <w:t>$11.91</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99%</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6"/>
          </w:tcPr>
          <w:p>
            <w:pPr>
              <w:ind w:left="140"/>
              <w:spacing w:after="0" w:line="149" w:lineRule="exact"/>
              <w:rPr>
                <w:sz w:val="20"/>
                <w:szCs w:val="20"/>
                <w:color w:val="auto"/>
              </w:rPr>
            </w:pPr>
            <w:r>
              <w:rPr>
                <w:rFonts w:ascii="Arial" w:cs="Arial" w:eastAsia="Arial" w:hAnsi="Arial"/>
                <w:sz w:val="14"/>
                <w:szCs w:val="14"/>
                <w:color w:val="auto"/>
              </w:rPr>
              <w:t>Roseville, MI 48066</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100" w:type="dxa"/>
            <w:vAlign w:val="bottom"/>
            <w:gridSpan w:val="7"/>
            <w:shd w:val="clear" w:color="auto" w:fill="CCEEFF"/>
          </w:tcPr>
          <w:p>
            <w:pPr>
              <w:ind w:left="40"/>
              <w:spacing w:after="0"/>
              <w:rPr>
                <w:sz w:val="20"/>
                <w:szCs w:val="20"/>
                <w:color w:val="auto"/>
              </w:rPr>
            </w:pPr>
            <w:r>
              <w:rPr>
                <w:rFonts w:ascii="Arial" w:cs="Arial" w:eastAsia="Arial" w:hAnsi="Arial"/>
                <w:sz w:val="14"/>
                <w:szCs w:val="14"/>
                <w:b w:val="1"/>
                <w:bCs w:val="1"/>
                <w:color w:val="auto"/>
              </w:rPr>
              <w:t>North Carolina</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20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1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Eastgate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1963</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1986</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153,000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$24.06</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91%</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6"/>
          </w:tcPr>
          <w:p>
            <w:pPr>
              <w:ind w:left="140"/>
              <w:spacing w:after="0"/>
              <w:rPr>
                <w:sz w:val="20"/>
                <w:szCs w:val="20"/>
                <w:color w:val="auto"/>
              </w:rPr>
            </w:pPr>
            <w:r>
              <w:rPr>
                <w:rFonts w:ascii="Arial" w:cs="Arial" w:eastAsia="Arial" w:hAnsi="Arial"/>
                <w:sz w:val="14"/>
                <w:szCs w:val="14"/>
                <w:color w:val="auto"/>
              </w:rPr>
              <w:t>Chapel Hill, NC 27514</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1"/>
        </w:trPr>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00" w:type="dxa"/>
            <w:vAlign w:val="bottom"/>
            <w:gridSpan w:val="7"/>
          </w:tcPr>
          <w:p>
            <w:pPr>
              <w:ind w:left="40"/>
              <w:spacing w:after="0"/>
              <w:rPr>
                <w:sz w:val="20"/>
                <w:szCs w:val="20"/>
                <w:color w:val="auto"/>
              </w:rPr>
            </w:pPr>
            <w:r>
              <w:rPr>
                <w:rFonts w:ascii="Arial" w:cs="Arial" w:eastAsia="Arial" w:hAnsi="Arial"/>
                <w:sz w:val="14"/>
                <w:szCs w:val="14"/>
                <w:b w:val="1"/>
                <w:bCs w:val="1"/>
                <w:color w:val="auto"/>
              </w:rPr>
              <w:t>New Jersey</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7"/>
            <w:shd w:val="clear" w:color="auto" w:fill="CCEEFF"/>
          </w:tcPr>
          <w:p>
            <w:pPr>
              <w:ind w:left="40"/>
              <w:spacing w:after="0" w:line="157" w:lineRule="exact"/>
              <w:rPr>
                <w:sz w:val="20"/>
                <w:szCs w:val="20"/>
                <w:color w:val="auto"/>
              </w:rPr>
            </w:pPr>
            <w:r>
              <w:rPr>
                <w:rFonts w:ascii="Arial" w:cs="Arial" w:eastAsia="Arial" w:hAnsi="Arial"/>
                <w:sz w:val="14"/>
                <w:szCs w:val="14"/>
                <w:color w:val="auto"/>
              </w:rPr>
              <w:t>Brick Plaza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1958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1989</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422,000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$19.56</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74%</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6"/>
            <w:shd w:val="clear" w:color="auto" w:fill="CCEEFF"/>
          </w:tcPr>
          <w:p>
            <w:pPr>
              <w:ind w:left="140"/>
              <w:spacing w:after="0" w:line="149" w:lineRule="exact"/>
              <w:rPr>
                <w:sz w:val="20"/>
                <w:szCs w:val="20"/>
                <w:color w:val="auto"/>
              </w:rPr>
            </w:pPr>
            <w:r>
              <w:rPr>
                <w:rFonts w:ascii="Arial" w:cs="Arial" w:eastAsia="Arial" w:hAnsi="Arial"/>
                <w:sz w:val="14"/>
                <w:szCs w:val="14"/>
                <w:color w:val="auto"/>
              </w:rPr>
              <w:t>Brick Township, NJ 08723(4)</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AMC Loews</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Sports Authority</w:t>
            </w:r>
          </w:p>
        </w:tc>
        <w:tc>
          <w:tcPr>
            <w:tcW w:w="0" w:type="dxa"/>
            <w:vAlign w:val="bottom"/>
          </w:tcPr>
          <w:p>
            <w:pPr>
              <w:spacing w:after="0"/>
              <w:rPr>
                <w:sz w:val="1"/>
                <w:szCs w:val="1"/>
                <w:color w:val="auto"/>
              </w:rPr>
            </w:pPr>
          </w:p>
        </w:tc>
      </w:tr>
      <w:tr>
        <w:trPr>
          <w:trHeight w:val="157"/>
        </w:trPr>
        <w:tc>
          <w:tcPr>
            <w:tcW w:w="31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Brook 35</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1986, 2004</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88"/>
              </w:rPr>
              <w:t>98,000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$34.79</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98%</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Ann Taylor</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6"/>
          </w:tcPr>
          <w:p>
            <w:pPr>
              <w:ind w:left="140"/>
              <w:spacing w:after="0" w:line="149" w:lineRule="exact"/>
              <w:rPr>
                <w:sz w:val="20"/>
                <w:szCs w:val="20"/>
                <w:color w:val="auto"/>
              </w:rPr>
            </w:pPr>
            <w:r>
              <w:rPr>
                <w:rFonts w:ascii="Arial" w:cs="Arial" w:eastAsia="Arial" w:hAnsi="Arial"/>
                <w:sz w:val="14"/>
                <w:szCs w:val="14"/>
                <w:color w:val="auto"/>
              </w:rPr>
              <w:t>Sea Girt, NJ 08750(5)(7)(10)</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Coach</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Williams-Sonoma</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7"/>
            <w:shd w:val="clear" w:color="auto" w:fill="CCEEFF"/>
          </w:tcPr>
          <w:p>
            <w:pPr>
              <w:ind w:left="40"/>
              <w:spacing w:after="0" w:line="157" w:lineRule="exact"/>
              <w:rPr>
                <w:sz w:val="20"/>
                <w:szCs w:val="20"/>
                <w:color w:val="auto"/>
              </w:rPr>
            </w:pPr>
            <w:r>
              <w:rPr>
                <w:rFonts w:ascii="Arial" w:cs="Arial" w:eastAsia="Arial" w:hAnsi="Arial"/>
                <w:sz w:val="14"/>
                <w:szCs w:val="14"/>
                <w:color w:val="auto"/>
              </w:rPr>
              <w:t>Ellisburg</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1959</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1992</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268,000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$15.94</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97%</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Whole Foods Buy Buy Baby</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4"/>
                <w:szCs w:val="14"/>
                <w:color w:val="auto"/>
              </w:rPr>
              <w:t>Cherry Hill, NJ 08034</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57"/>
        </w:trPr>
        <w:tc>
          <w:tcPr>
            <w:tcW w:w="31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Mercer Mall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1975</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2003</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527,000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$23.60</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99%</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Raymour &amp; Flanigan</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6"/>
          </w:tcPr>
          <w:p>
            <w:pPr>
              <w:ind w:left="140"/>
              <w:spacing w:after="0" w:line="149" w:lineRule="exact"/>
              <w:rPr>
                <w:sz w:val="20"/>
                <w:szCs w:val="20"/>
                <w:color w:val="auto"/>
              </w:rPr>
            </w:pPr>
            <w:r>
              <w:rPr>
                <w:rFonts w:ascii="Arial" w:cs="Arial" w:eastAsia="Arial" w:hAnsi="Arial"/>
                <w:sz w:val="14"/>
                <w:szCs w:val="14"/>
                <w:color w:val="auto"/>
              </w:rPr>
              <w:t>Lawrenceville, NJ 08648(4)(8)</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REI</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7"/>
            <w:shd w:val="clear" w:color="auto" w:fill="CCEEFF"/>
          </w:tcPr>
          <w:p>
            <w:pPr>
              <w:ind w:left="40"/>
              <w:spacing w:after="0" w:line="157" w:lineRule="exact"/>
              <w:rPr>
                <w:sz w:val="20"/>
                <w:szCs w:val="20"/>
                <w:color w:val="auto"/>
              </w:rPr>
            </w:pPr>
            <w:r>
              <w:rPr>
                <w:rFonts w:ascii="Arial" w:cs="Arial" w:eastAsia="Arial" w:hAnsi="Arial"/>
                <w:sz w:val="14"/>
                <w:szCs w:val="14"/>
                <w:color w:val="auto"/>
              </w:rPr>
              <w:t>The Grove at Shrewsbury</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5"/>
              </w:rPr>
              <w:t>1988, 1993 &amp;</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2014</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192,000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$43.51</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99%</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Lululemon</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6"/>
            <w:shd w:val="clear" w:color="auto" w:fill="CCEEFF"/>
          </w:tcPr>
          <w:p>
            <w:pPr>
              <w:ind w:left="140"/>
              <w:spacing w:after="0" w:line="149" w:lineRule="exact"/>
              <w:rPr>
                <w:sz w:val="20"/>
                <w:szCs w:val="20"/>
                <w:color w:val="auto"/>
              </w:rPr>
            </w:pPr>
            <w:r>
              <w:rPr>
                <w:rFonts w:ascii="Arial" w:cs="Arial" w:eastAsia="Arial" w:hAnsi="Arial"/>
                <w:sz w:val="14"/>
                <w:szCs w:val="14"/>
                <w:color w:val="auto"/>
              </w:rPr>
              <w:t>Shrewsbury, NJ 07702(5)(7)(10)</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2007</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Brooks Brothers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Pottery Barn</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J. Crew</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Williams-Sonoma</w:t>
            </w:r>
          </w:p>
        </w:tc>
        <w:tc>
          <w:tcPr>
            <w:tcW w:w="0" w:type="dxa"/>
            <w:vAlign w:val="bottom"/>
          </w:tcPr>
          <w:p>
            <w:pPr>
              <w:spacing w:after="0"/>
              <w:rPr>
                <w:sz w:val="1"/>
                <w:szCs w:val="1"/>
                <w:color w:val="auto"/>
              </w:rPr>
            </w:pPr>
          </w:p>
        </w:tc>
      </w:tr>
      <w:tr>
        <w:trPr>
          <w:trHeight w:val="157"/>
        </w:trPr>
        <w:tc>
          <w:tcPr>
            <w:tcW w:w="31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Troy</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1966</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211,000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$27.92</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67%</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6"/>
          </w:tcPr>
          <w:p>
            <w:pPr>
              <w:ind w:left="140"/>
              <w:spacing w:after="0"/>
              <w:rPr>
                <w:sz w:val="20"/>
                <w:szCs w:val="20"/>
                <w:color w:val="auto"/>
              </w:rPr>
            </w:pPr>
            <w:r>
              <w:rPr>
                <w:rFonts w:ascii="Arial" w:cs="Arial" w:eastAsia="Arial" w:hAnsi="Arial"/>
                <w:sz w:val="14"/>
                <w:szCs w:val="14"/>
                <w:color w:val="auto"/>
              </w:rPr>
              <w:t>Parsippany-Troy, NJ 07054</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100" w:type="dxa"/>
            <w:vAlign w:val="bottom"/>
            <w:gridSpan w:val="7"/>
            <w:shd w:val="clear" w:color="auto" w:fill="CCEEFF"/>
          </w:tcPr>
          <w:p>
            <w:pPr>
              <w:ind w:left="40"/>
              <w:spacing w:after="0"/>
              <w:rPr>
                <w:sz w:val="20"/>
                <w:szCs w:val="20"/>
                <w:color w:val="auto"/>
              </w:rPr>
            </w:pPr>
            <w:r>
              <w:rPr>
                <w:rFonts w:ascii="Arial" w:cs="Arial" w:eastAsia="Arial" w:hAnsi="Arial"/>
                <w:sz w:val="14"/>
                <w:szCs w:val="14"/>
                <w:b w:val="1"/>
                <w:bCs w:val="1"/>
                <w:color w:val="auto"/>
              </w:rPr>
              <w:t>New York</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20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1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Fresh Meadows</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1949</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404,000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$30.60</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Island of Gold Modell's AMC</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6"/>
          </w:tcPr>
          <w:p>
            <w:pPr>
              <w:ind w:left="140"/>
              <w:spacing w:after="0" w:line="149" w:lineRule="exact"/>
              <w:rPr>
                <w:sz w:val="20"/>
                <w:szCs w:val="20"/>
                <w:color w:val="auto"/>
              </w:rPr>
            </w:pPr>
            <w:r>
              <w:rPr>
                <w:rFonts w:ascii="Arial" w:cs="Arial" w:eastAsia="Arial" w:hAnsi="Arial"/>
                <w:sz w:val="14"/>
                <w:szCs w:val="14"/>
                <w:color w:val="auto"/>
              </w:rPr>
              <w:t>Queens, NY 11365</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Loews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Kohl’s Michaels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7"/>
            <w:shd w:val="clear" w:color="auto" w:fill="CCEEFF"/>
          </w:tcPr>
          <w:p>
            <w:pPr>
              <w:ind w:left="40"/>
              <w:spacing w:after="0" w:line="157" w:lineRule="exact"/>
              <w:rPr>
                <w:sz w:val="20"/>
                <w:szCs w:val="20"/>
                <w:color w:val="auto"/>
              </w:rPr>
            </w:pPr>
            <w:r>
              <w:rPr>
                <w:rFonts w:ascii="Arial" w:cs="Arial" w:eastAsia="Arial" w:hAnsi="Arial"/>
                <w:sz w:val="14"/>
                <w:szCs w:val="14"/>
                <w:color w:val="auto"/>
              </w:rPr>
              <w:t>Greenlawn Plaza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1"/>
              </w:rPr>
              <w:t>1975, 2004</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2006</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106,000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$17.18</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93%</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Greenlawn Farms</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4"/>
                <w:szCs w:val="14"/>
                <w:color w:val="auto"/>
              </w:rPr>
              <w:t>Greenlawn, NY 11743(9)(10)</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Tuesday Morning</w:t>
            </w:r>
          </w:p>
        </w:tc>
        <w:tc>
          <w:tcPr>
            <w:tcW w:w="0" w:type="dxa"/>
            <w:vAlign w:val="bottom"/>
          </w:tcPr>
          <w:p>
            <w:pPr>
              <w:spacing w:after="0"/>
              <w:rPr>
                <w:sz w:val="1"/>
                <w:szCs w:val="1"/>
                <w:color w:val="auto"/>
              </w:rPr>
            </w:pPr>
          </w:p>
        </w:tc>
      </w:tr>
      <w:tr>
        <w:trPr>
          <w:trHeight w:val="157"/>
        </w:trPr>
        <w:tc>
          <w:tcPr>
            <w:tcW w:w="31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Hauppauge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1963</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1998</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134,000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$28.10</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6"/>
          </w:tcPr>
          <w:p>
            <w:pPr>
              <w:ind w:left="140"/>
              <w:spacing w:after="0"/>
              <w:rPr>
                <w:sz w:val="20"/>
                <w:szCs w:val="20"/>
                <w:color w:val="auto"/>
              </w:rPr>
            </w:pPr>
            <w:r>
              <w:rPr>
                <w:rFonts w:ascii="Arial" w:cs="Arial" w:eastAsia="Arial" w:hAnsi="Arial"/>
                <w:sz w:val="14"/>
                <w:szCs w:val="14"/>
                <w:color w:val="auto"/>
              </w:rPr>
              <w:t>Hauppauge, NY 11788</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7"/>
            <w:shd w:val="clear" w:color="auto" w:fill="CCEEFF"/>
          </w:tcPr>
          <w:p>
            <w:pPr>
              <w:ind w:left="40"/>
              <w:spacing w:after="0" w:line="157" w:lineRule="exact"/>
              <w:rPr>
                <w:sz w:val="20"/>
                <w:szCs w:val="20"/>
                <w:color w:val="auto"/>
              </w:rPr>
            </w:pPr>
            <w:r>
              <w:rPr>
                <w:rFonts w:ascii="Arial" w:cs="Arial" w:eastAsia="Arial" w:hAnsi="Arial"/>
                <w:sz w:val="14"/>
                <w:szCs w:val="14"/>
                <w:color w:val="auto"/>
              </w:rPr>
              <w:t>Huntington</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1962</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1988/2007</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279,000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$25.92</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Nordstrom Rack Bed, Bath &amp;</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6"/>
            <w:shd w:val="clear" w:color="auto" w:fill="CCEEFF"/>
          </w:tcPr>
          <w:p>
            <w:pPr>
              <w:ind w:left="140"/>
              <w:spacing w:after="0" w:line="149" w:lineRule="exact"/>
              <w:rPr>
                <w:sz w:val="20"/>
                <w:szCs w:val="20"/>
                <w:color w:val="auto"/>
              </w:rPr>
            </w:pPr>
            <w:r>
              <w:rPr>
                <w:rFonts w:ascii="Arial" w:cs="Arial" w:eastAsia="Arial" w:hAnsi="Arial"/>
                <w:sz w:val="14"/>
                <w:szCs w:val="14"/>
                <w:color w:val="auto"/>
              </w:rPr>
              <w:t>Huntington, NY 11746</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Beyond</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57"/>
        </w:trPr>
        <w:tc>
          <w:tcPr>
            <w:tcW w:w="31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Huntington Square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1980, 2007</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88"/>
              </w:rPr>
              <w:t>74,000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$26.90</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93%</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6"/>
          </w:tcPr>
          <w:p>
            <w:pPr>
              <w:ind w:left="140"/>
              <w:spacing w:after="0"/>
              <w:rPr>
                <w:sz w:val="20"/>
                <w:szCs w:val="20"/>
                <w:color w:val="auto"/>
              </w:rPr>
            </w:pPr>
            <w:r>
              <w:rPr>
                <w:rFonts w:ascii="Arial" w:cs="Arial" w:eastAsia="Arial" w:hAnsi="Arial"/>
                <w:sz w:val="14"/>
                <w:szCs w:val="14"/>
                <w:color w:val="auto"/>
              </w:rPr>
              <w:t>East Northport, NY 11731(4)</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7"/>
            <w:shd w:val="clear" w:color="auto" w:fill="CCEEFF"/>
          </w:tcPr>
          <w:p>
            <w:pPr>
              <w:ind w:left="40"/>
              <w:spacing w:after="0" w:line="157" w:lineRule="exact"/>
              <w:rPr>
                <w:sz w:val="20"/>
                <w:szCs w:val="20"/>
                <w:color w:val="auto"/>
              </w:rPr>
            </w:pPr>
            <w:r>
              <w:rPr>
                <w:rFonts w:ascii="Arial" w:cs="Arial" w:eastAsia="Arial" w:hAnsi="Arial"/>
                <w:sz w:val="14"/>
                <w:szCs w:val="14"/>
                <w:color w:val="auto"/>
              </w:rPr>
              <w:t>Melville Mall</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1974</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2006</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247,000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$24.01</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73%</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6"/>
            <w:shd w:val="clear" w:color="auto" w:fill="CCEEFF"/>
          </w:tcPr>
          <w:p>
            <w:pPr>
              <w:ind w:left="140"/>
              <w:spacing w:after="0" w:line="149" w:lineRule="exact"/>
              <w:rPr>
                <w:sz w:val="20"/>
                <w:szCs w:val="20"/>
                <w:color w:val="auto"/>
              </w:rPr>
            </w:pPr>
            <w:r>
              <w:rPr>
                <w:rFonts w:ascii="Arial" w:cs="Arial" w:eastAsia="Arial" w:hAnsi="Arial"/>
                <w:sz w:val="14"/>
                <w:szCs w:val="14"/>
                <w:color w:val="auto"/>
              </w:rPr>
              <w:t>Huntington, NY 11747(4)</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Macy's Backstage</w:t>
            </w:r>
          </w:p>
        </w:tc>
        <w:tc>
          <w:tcPr>
            <w:tcW w:w="0" w:type="dxa"/>
            <w:vAlign w:val="bottom"/>
          </w:tcPr>
          <w:p>
            <w:pPr>
              <w:spacing w:after="0"/>
              <w:rPr>
                <w:sz w:val="1"/>
                <w:szCs w:val="1"/>
                <w:color w:val="auto"/>
              </w:rPr>
            </w:pPr>
          </w:p>
        </w:tc>
      </w:tr>
      <w:tr>
        <w:trPr>
          <w:trHeight w:val="25"/>
        </w:trPr>
        <w:tc>
          <w:tcPr>
            <w:tcW w:w="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6"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 Rent</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/Apartment</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 Square</w:t>
            </w:r>
          </w:p>
        </w:tc>
        <w:tc>
          <w:tcPr>
            <w:tcW w:w="114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9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61"/>
        </w:trPr>
        <w:tc>
          <w:tcPr>
            <w:tcW w:w="310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Pennsylvania</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21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1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Andorra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1953</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1988</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265,000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$15.65</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95%</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Philadelphia, PA 19128</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Bala Cynwyd</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1955</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294,000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$23.77</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Bala Cynwyd, PA 19004</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Lord &amp; Taylor</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Flourtown</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1957</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156,000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$20.81</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97%</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4"/>
          </w:tcPr>
          <w:p>
            <w:pPr>
              <w:ind w:left="140"/>
              <w:spacing w:after="0"/>
              <w:rPr>
                <w:sz w:val="20"/>
                <w:szCs w:val="20"/>
                <w:color w:val="auto"/>
              </w:rPr>
            </w:pPr>
            <w:r>
              <w:rPr>
                <w:rFonts w:ascii="Arial" w:cs="Arial" w:eastAsia="Arial" w:hAnsi="Arial"/>
                <w:sz w:val="14"/>
                <w:szCs w:val="14"/>
                <w:color w:val="auto"/>
              </w:rPr>
              <w:t>Flourtown, PA 19031</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Movie Tavern</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Lancaster</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1958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127,000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$17.73</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97%</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Lancaster, PA 17601(8)</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Langhorne Square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1966</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1985</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219,000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$17.39</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4"/>
          </w:tcPr>
          <w:p>
            <w:pPr>
              <w:ind w:left="140"/>
              <w:spacing w:after="0"/>
              <w:rPr>
                <w:sz w:val="20"/>
                <w:szCs w:val="20"/>
                <w:color w:val="auto"/>
              </w:rPr>
            </w:pPr>
            <w:r>
              <w:rPr>
                <w:rFonts w:ascii="Arial" w:cs="Arial" w:eastAsia="Arial" w:hAnsi="Arial"/>
                <w:sz w:val="14"/>
                <w:szCs w:val="14"/>
                <w:color w:val="auto"/>
              </w:rPr>
              <w:t>Levittown, PA 19056</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Redner’s Warehouse Market</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Lawrence Park</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1972</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364,000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$20.45</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96%</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Broomall, PA 19008</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HomeGoods Virginia College</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Northeast</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1959</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1983</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288,000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$12.02</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87%</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Burlington Coat Factory</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Philadelphia, PA 19114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Home Gallery</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Town Center of New Britain</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1969</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2006</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124,000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1"/>
              </w:rPr>
              <w:t>$9.91</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New Britain, PA 18901</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Willow Grove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1953</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1984</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211,000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$19.51</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99%</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Home Goods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4"/>
          </w:tcPr>
          <w:p>
            <w:pPr>
              <w:ind w:left="140"/>
              <w:spacing w:after="0"/>
              <w:rPr>
                <w:sz w:val="20"/>
                <w:szCs w:val="20"/>
                <w:color w:val="auto"/>
              </w:rPr>
            </w:pPr>
            <w:r>
              <w:rPr>
                <w:rFonts w:ascii="Arial" w:cs="Arial" w:eastAsia="Arial" w:hAnsi="Arial"/>
                <w:sz w:val="14"/>
                <w:szCs w:val="14"/>
                <w:color w:val="auto"/>
              </w:rPr>
              <w:t>Willow Grove, PA 19090</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Marshalls Barnes &amp; Noble</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Wynnewood</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1948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1996</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251,000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$27.24</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DSW Bed, Bath &amp; Beyond</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Wynnewood, PA 19096</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62"/>
        </w:trPr>
        <w:tc>
          <w:tcPr>
            <w:tcW w:w="3100" w:type="dxa"/>
            <w:vAlign w:val="bottom"/>
            <w:gridSpan w:val="5"/>
          </w:tcPr>
          <w:p>
            <w:pPr>
              <w:ind w:left="40"/>
              <w:spacing w:after="0"/>
              <w:rPr>
                <w:sz w:val="20"/>
                <w:szCs w:val="20"/>
                <w:color w:val="auto"/>
              </w:rPr>
            </w:pPr>
            <w:r>
              <w:rPr>
                <w:rFonts w:ascii="Arial" w:cs="Arial" w:eastAsia="Arial" w:hAnsi="Arial"/>
                <w:sz w:val="14"/>
                <w:szCs w:val="14"/>
                <w:b w:val="1"/>
                <w:bCs w:val="1"/>
                <w:color w:val="auto"/>
              </w:rPr>
              <w:t>Virginia</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29</w:t>
            </w:r>
            <w:r>
              <w:rPr>
                <w:rFonts w:ascii="Arial" w:cs="Arial" w:eastAsia="Arial" w:hAnsi="Arial"/>
                <w:sz w:val="8"/>
                <w:szCs w:val="8"/>
                <w:color w:val="auto"/>
              </w:rPr>
              <w:t>th</w:t>
            </w:r>
            <w:r>
              <w:rPr>
                <w:rFonts w:ascii="Arial" w:cs="Arial" w:eastAsia="Arial" w:hAnsi="Arial"/>
                <w:sz w:val="14"/>
                <w:szCs w:val="14"/>
                <w:color w:val="auto"/>
              </w:rPr>
              <w:t xml:space="preserve"> Place   Charlottesville, VA 22091(10)</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1975-2001</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169,000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$17.60</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98%</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HomeGoods DSW Stein Mart</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Barcroft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5"/>
              </w:rPr>
              <w:t>1963, 1972 &amp;</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2006-2007</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100,000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$24.61</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92%</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4"/>
          </w:tcPr>
          <w:p>
            <w:pPr>
              <w:ind w:left="140"/>
              <w:spacing w:after="0"/>
              <w:rPr>
                <w:sz w:val="20"/>
                <w:szCs w:val="20"/>
                <w:color w:val="auto"/>
              </w:rPr>
            </w:pPr>
            <w:r>
              <w:rPr>
                <w:rFonts w:ascii="Arial" w:cs="Arial" w:eastAsia="Arial" w:hAnsi="Arial"/>
                <w:sz w:val="14"/>
                <w:szCs w:val="14"/>
                <w:color w:val="auto"/>
              </w:rPr>
              <w:t>Falls Church, VA 22041(9)(10)</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1990</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Bank of America</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Barracks Road</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1958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1985</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497,000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$25.05</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99%</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Charlottesville, VA 22905</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Falls Plaza/Falls Plaza—East</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1960-1962</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3"/>
              </w:rPr>
              <w:t>1967/1972</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144,000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$34.43</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97%</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Falls Church, VA 22046</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Graham Park Plaza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1971</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1983</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260,000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$27.77</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93%</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3060" w:type="dxa"/>
            <w:vAlign w:val="bottom"/>
            <w:gridSpan w:val="4"/>
            <w:shd w:val="clear" w:color="auto" w:fill="CCEEFF"/>
          </w:tcPr>
          <w:p>
            <w:pPr>
              <w:ind w:left="140"/>
              <w:spacing w:after="0"/>
              <w:rPr>
                <w:sz w:val="20"/>
                <w:szCs w:val="20"/>
                <w:color w:val="auto"/>
              </w:rPr>
            </w:pPr>
            <w:r>
              <w:rPr>
                <w:rFonts w:ascii="Arial" w:cs="Arial" w:eastAsia="Arial" w:hAnsi="Arial"/>
                <w:sz w:val="14"/>
                <w:szCs w:val="14"/>
                <w:color w:val="auto"/>
              </w:rPr>
              <w:t>Fairfax, VA 22042</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Giant Food L.A. Fitness</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Idylwood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1991</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1994</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88"/>
              </w:rPr>
              <w:t>73,000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$46.59</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4"/>
          </w:tcPr>
          <w:p>
            <w:pPr>
              <w:ind w:left="140"/>
              <w:spacing w:after="0"/>
              <w:rPr>
                <w:sz w:val="20"/>
                <w:szCs w:val="20"/>
                <w:color w:val="auto"/>
              </w:rPr>
            </w:pPr>
            <w:r>
              <w:rPr>
                <w:rFonts w:ascii="Arial" w:cs="Arial" w:eastAsia="Arial" w:hAnsi="Arial"/>
                <w:sz w:val="14"/>
                <w:szCs w:val="14"/>
                <w:color w:val="auto"/>
              </w:rPr>
              <w:t>Falls Church, VA 22030</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Leesburg Plaza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1967</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1998</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236,000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$23.04</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94%</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Leesburg, VA 20176</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Pier 1 Imports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Petsmart</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Mount Vernon/South Valley/</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1966, 1972,1987</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3"/>
              </w:rPr>
              <w:t>2003/2006</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569,000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$17.14</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97%</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7770 Richmond Hwy</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9"/>
              </w:rPr>
              <w:t>&amp; 2001</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Alexandria, VA 22306(4)(7)</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Gold’s Gym Staples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Old Keene Mill</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1976</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92,000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$41.19</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84%</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3060" w:type="dxa"/>
            <w:vAlign w:val="bottom"/>
            <w:gridSpan w:val="4"/>
            <w:shd w:val="clear" w:color="auto" w:fill="CCEEFF"/>
          </w:tcPr>
          <w:p>
            <w:pPr>
              <w:ind w:left="140"/>
              <w:spacing w:after="0"/>
              <w:rPr>
                <w:sz w:val="20"/>
                <w:szCs w:val="20"/>
                <w:color w:val="auto"/>
              </w:rPr>
            </w:pPr>
            <w:r>
              <w:rPr>
                <w:rFonts w:ascii="Arial" w:cs="Arial" w:eastAsia="Arial" w:hAnsi="Arial"/>
                <w:sz w:val="14"/>
                <w:szCs w:val="14"/>
                <w:color w:val="auto"/>
              </w:rPr>
              <w:t>Springfield, VA 22152</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25"/>
        </w:trPr>
        <w:tc>
          <w:tcPr>
            <w:tcW w:w="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6" w:right="2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Square Feet(1)</w:t>
            </w: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 Rent</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/Apartment</w:t>
            </w: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 Square</w:t>
            </w:r>
          </w:p>
        </w:tc>
        <w:tc>
          <w:tcPr>
            <w:tcW w:w="114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Pr>
          <w:p>
            <w:pPr>
              <w:spacing w:after="0"/>
              <w:rPr>
                <w:sz w:val="17"/>
                <w:szCs w:val="17"/>
                <w:color w:val="auto"/>
              </w:rPr>
            </w:pPr>
          </w:p>
        </w:tc>
        <w:tc>
          <w:tcPr>
            <w:tcW w:w="21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56"/>
        </w:trPr>
        <w:tc>
          <w:tcPr>
            <w:tcW w:w="3100" w:type="dxa"/>
            <w:vAlign w:val="bottom"/>
            <w:gridSpan w:val="2"/>
          </w:tcPr>
          <w:p>
            <w:pPr>
              <w:ind w:left="40"/>
              <w:spacing w:after="0" w:line="156" w:lineRule="exact"/>
              <w:rPr>
                <w:sz w:val="20"/>
                <w:szCs w:val="20"/>
                <w:color w:val="auto"/>
              </w:rPr>
            </w:pPr>
            <w:r>
              <w:rPr>
                <w:rFonts w:ascii="Arial" w:cs="Arial" w:eastAsia="Arial" w:hAnsi="Arial"/>
                <w:sz w:val="14"/>
                <w:szCs w:val="14"/>
                <w:color w:val="auto"/>
              </w:rPr>
              <w:t>Pan Am</w:t>
            </w:r>
          </w:p>
        </w:tc>
        <w:tc>
          <w:tcPr>
            <w:tcW w:w="1040" w:type="dxa"/>
            <w:vAlign w:val="bottom"/>
          </w:tcPr>
          <w:p>
            <w:pPr>
              <w:jc w:val="center"/>
              <w:spacing w:after="0" w:line="156" w:lineRule="exact"/>
              <w:rPr>
                <w:sz w:val="20"/>
                <w:szCs w:val="20"/>
                <w:color w:val="auto"/>
              </w:rPr>
            </w:pPr>
            <w:r>
              <w:rPr>
                <w:rFonts w:ascii="Arial" w:cs="Arial" w:eastAsia="Arial" w:hAnsi="Arial"/>
                <w:sz w:val="14"/>
                <w:szCs w:val="14"/>
                <w:color w:val="auto"/>
                <w:w w:val="89"/>
              </w:rPr>
              <w:t>1979</w:t>
            </w:r>
          </w:p>
        </w:tc>
        <w:tc>
          <w:tcPr>
            <w:tcW w:w="12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Arial" w:cs="Arial" w:eastAsia="Arial" w:hAnsi="Arial"/>
                <w:sz w:val="14"/>
                <w:szCs w:val="14"/>
                <w:color w:val="auto"/>
                <w:w w:val="89"/>
              </w:rPr>
              <w:t>1993</w:t>
            </w:r>
          </w:p>
        </w:tc>
        <w:tc>
          <w:tcPr>
            <w:tcW w:w="100" w:type="dxa"/>
            <w:vAlign w:val="bottom"/>
          </w:tcPr>
          <w:p>
            <w:pPr>
              <w:spacing w:after="0"/>
              <w:rPr>
                <w:sz w:val="13"/>
                <w:szCs w:val="13"/>
                <w:color w:val="auto"/>
              </w:rPr>
            </w:pPr>
          </w:p>
        </w:tc>
        <w:tc>
          <w:tcPr>
            <w:tcW w:w="1260" w:type="dxa"/>
            <w:vAlign w:val="bottom"/>
          </w:tcPr>
          <w:p>
            <w:pPr>
              <w:jc w:val="center"/>
              <w:spacing w:after="0" w:line="156" w:lineRule="exact"/>
              <w:rPr>
                <w:sz w:val="20"/>
                <w:szCs w:val="20"/>
                <w:color w:val="auto"/>
              </w:rPr>
            </w:pPr>
            <w:r>
              <w:rPr>
                <w:rFonts w:ascii="Arial" w:cs="Arial" w:eastAsia="Arial" w:hAnsi="Arial"/>
                <w:sz w:val="14"/>
                <w:szCs w:val="14"/>
                <w:color w:val="auto"/>
                <w:w w:val="90"/>
              </w:rPr>
              <w:t>227,000</w:t>
            </w:r>
          </w:p>
        </w:tc>
        <w:tc>
          <w:tcPr>
            <w:tcW w:w="1360" w:type="dxa"/>
            <w:vAlign w:val="bottom"/>
            <w:gridSpan w:val="2"/>
          </w:tcPr>
          <w:p>
            <w:pPr>
              <w:jc w:val="center"/>
              <w:ind w:left="48"/>
              <w:spacing w:after="0" w:line="156" w:lineRule="exact"/>
              <w:rPr>
                <w:sz w:val="20"/>
                <w:szCs w:val="20"/>
                <w:color w:val="auto"/>
              </w:rPr>
            </w:pPr>
            <w:r>
              <w:rPr>
                <w:rFonts w:ascii="Arial" w:cs="Arial" w:eastAsia="Arial" w:hAnsi="Arial"/>
                <w:sz w:val="14"/>
                <w:szCs w:val="14"/>
                <w:color w:val="auto"/>
                <w:w w:val="93"/>
              </w:rPr>
              <w:t>$22.37</w:t>
            </w:r>
          </w:p>
        </w:tc>
        <w:tc>
          <w:tcPr>
            <w:tcW w:w="10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Arial" w:cs="Arial" w:eastAsia="Arial" w:hAnsi="Arial"/>
                <w:sz w:val="14"/>
                <w:szCs w:val="14"/>
                <w:color w:val="auto"/>
                <w:w w:val="99"/>
              </w:rPr>
              <w:t>98%</w:t>
            </w:r>
          </w:p>
        </w:tc>
        <w:tc>
          <w:tcPr>
            <w:tcW w:w="100" w:type="dxa"/>
            <w:vAlign w:val="bottom"/>
          </w:tcPr>
          <w:p>
            <w:pPr>
              <w:spacing w:after="0"/>
              <w:rPr>
                <w:sz w:val="13"/>
                <w:szCs w:val="13"/>
                <w:color w:val="auto"/>
              </w:rPr>
            </w:pPr>
          </w:p>
        </w:tc>
        <w:tc>
          <w:tcPr>
            <w:tcW w:w="2160" w:type="dxa"/>
            <w:vAlign w:val="bottom"/>
          </w:tcPr>
          <w:p>
            <w:pPr>
              <w:ind w:left="20"/>
              <w:spacing w:after="0" w:line="156"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8"/>
        </w:trPr>
        <w:tc>
          <w:tcPr>
            <w:tcW w:w="31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Fairfax, VA 22031</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82"/>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Safeway</w:t>
            </w: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Pentagon Row</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2001-2002</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1998/2010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299,000</w:t>
            </w:r>
          </w:p>
        </w:tc>
        <w:tc>
          <w:tcPr>
            <w:tcW w:w="1360" w:type="dxa"/>
            <w:vAlign w:val="bottom"/>
            <w:gridSpan w:val="2"/>
            <w:shd w:val="clear" w:color="auto" w:fill="CCEEFF"/>
          </w:tcPr>
          <w:p>
            <w:pPr>
              <w:jc w:val="center"/>
              <w:ind w:left="48"/>
              <w:spacing w:after="0" w:line="157" w:lineRule="exact"/>
              <w:rPr>
                <w:sz w:val="20"/>
                <w:szCs w:val="20"/>
                <w:color w:val="auto"/>
              </w:rPr>
            </w:pPr>
            <w:r>
              <w:rPr>
                <w:rFonts w:ascii="Arial" w:cs="Arial" w:eastAsia="Arial" w:hAnsi="Arial"/>
                <w:sz w:val="14"/>
                <w:szCs w:val="14"/>
                <w:color w:val="auto"/>
                <w:w w:val="93"/>
              </w:rPr>
              <w:t>$38.63</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78%</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48"/>
        </w:trPr>
        <w:tc>
          <w:tcPr>
            <w:tcW w:w="31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Arlington, VA 22202</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88"/>
        </w:trPr>
        <w:tc>
          <w:tcPr>
            <w:tcW w:w="2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57"/>
        </w:trPr>
        <w:tc>
          <w:tcPr>
            <w:tcW w:w="31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Pike 7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1968</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3"/>
              </w:rPr>
              <w:t>1997/2015</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164,000</w:t>
            </w:r>
          </w:p>
        </w:tc>
        <w:tc>
          <w:tcPr>
            <w:tcW w:w="136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$42.75</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99%</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8"/>
        </w:trPr>
        <w:tc>
          <w:tcPr>
            <w:tcW w:w="31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Vienna, VA 22180</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82"/>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Tower Shopping Center</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1998</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112,000</w:t>
            </w:r>
          </w:p>
        </w:tc>
        <w:tc>
          <w:tcPr>
            <w:tcW w:w="1360" w:type="dxa"/>
            <w:vAlign w:val="bottom"/>
            <w:gridSpan w:val="2"/>
            <w:shd w:val="clear" w:color="auto" w:fill="CCEEFF"/>
          </w:tcPr>
          <w:p>
            <w:pPr>
              <w:jc w:val="center"/>
              <w:ind w:left="48"/>
              <w:spacing w:after="0" w:line="157" w:lineRule="exact"/>
              <w:rPr>
                <w:sz w:val="20"/>
                <w:szCs w:val="20"/>
                <w:color w:val="auto"/>
              </w:rPr>
            </w:pPr>
            <w:r>
              <w:rPr>
                <w:rFonts w:ascii="Arial" w:cs="Arial" w:eastAsia="Arial" w:hAnsi="Arial"/>
                <w:sz w:val="14"/>
                <w:szCs w:val="14"/>
                <w:color w:val="auto"/>
                <w:w w:val="93"/>
              </w:rPr>
              <w:t>$24.38</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92%</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Talbots L.A. Mart</w:t>
            </w:r>
          </w:p>
        </w:tc>
        <w:tc>
          <w:tcPr>
            <w:tcW w:w="0" w:type="dxa"/>
            <w:vAlign w:val="bottom"/>
          </w:tcPr>
          <w:p>
            <w:pPr>
              <w:spacing w:after="0"/>
              <w:rPr>
                <w:sz w:val="1"/>
                <w:szCs w:val="1"/>
                <w:color w:val="auto"/>
              </w:rPr>
            </w:pPr>
          </w:p>
        </w:tc>
      </w:tr>
      <w:tr>
        <w:trPr>
          <w:trHeight w:val="188"/>
        </w:trPr>
        <w:tc>
          <w:tcPr>
            <w:tcW w:w="3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Springfield, VA 22150</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Wine &amp; More</w:t>
            </w:r>
          </w:p>
        </w:tc>
        <w:tc>
          <w:tcPr>
            <w:tcW w:w="0" w:type="dxa"/>
            <w:vAlign w:val="bottom"/>
          </w:tcPr>
          <w:p>
            <w:pPr>
              <w:spacing w:after="0"/>
              <w:rPr>
                <w:sz w:val="1"/>
                <w:szCs w:val="1"/>
                <w:color w:val="auto"/>
              </w:rPr>
            </w:pPr>
          </w:p>
        </w:tc>
      </w:tr>
      <w:tr>
        <w:trPr>
          <w:trHeight w:val="157"/>
        </w:trPr>
        <w:tc>
          <w:tcPr>
            <w:tcW w:w="31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Tyson’s Station</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1954</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1978</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88"/>
              </w:rPr>
              <w:t>49,000</w:t>
            </w:r>
          </w:p>
        </w:tc>
        <w:tc>
          <w:tcPr>
            <w:tcW w:w="136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$43.20</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92%</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82"/>
        </w:trPr>
        <w:tc>
          <w:tcPr>
            <w:tcW w:w="3100" w:type="dxa"/>
            <w:vAlign w:val="bottom"/>
            <w:gridSpan w:val="2"/>
          </w:tcPr>
          <w:p>
            <w:pPr>
              <w:ind w:left="180"/>
              <w:spacing w:after="0"/>
              <w:rPr>
                <w:sz w:val="20"/>
                <w:szCs w:val="20"/>
                <w:color w:val="auto"/>
              </w:rPr>
            </w:pPr>
            <w:r>
              <w:rPr>
                <w:rFonts w:ascii="Arial" w:cs="Arial" w:eastAsia="Arial" w:hAnsi="Arial"/>
                <w:sz w:val="14"/>
                <w:szCs w:val="14"/>
                <w:color w:val="auto"/>
              </w:rPr>
              <w:t>Falls Church, VA 22043</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Village at Shirlington</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1940, 2006-2009</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1995</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265,000</w:t>
            </w:r>
          </w:p>
        </w:tc>
        <w:tc>
          <w:tcPr>
            <w:tcW w:w="1360" w:type="dxa"/>
            <w:vAlign w:val="bottom"/>
            <w:gridSpan w:val="2"/>
            <w:shd w:val="clear" w:color="auto" w:fill="CCEEFF"/>
          </w:tcPr>
          <w:p>
            <w:pPr>
              <w:jc w:val="center"/>
              <w:ind w:left="48"/>
              <w:spacing w:after="0" w:line="157" w:lineRule="exact"/>
              <w:rPr>
                <w:sz w:val="20"/>
                <w:szCs w:val="20"/>
                <w:color w:val="auto"/>
              </w:rPr>
            </w:pPr>
            <w:r>
              <w:rPr>
                <w:rFonts w:ascii="Arial" w:cs="Arial" w:eastAsia="Arial" w:hAnsi="Arial"/>
                <w:sz w:val="14"/>
                <w:szCs w:val="14"/>
                <w:color w:val="auto"/>
                <w:w w:val="93"/>
              </w:rPr>
              <w:t>$36.17</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88%</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AMC Loews</w:t>
            </w:r>
          </w:p>
        </w:tc>
        <w:tc>
          <w:tcPr>
            <w:tcW w:w="0" w:type="dxa"/>
            <w:vAlign w:val="bottom"/>
          </w:tcPr>
          <w:p>
            <w:pPr>
              <w:spacing w:after="0"/>
              <w:rPr>
                <w:sz w:val="1"/>
                <w:szCs w:val="1"/>
                <w:color w:val="auto"/>
              </w:rPr>
            </w:pPr>
          </w:p>
        </w:tc>
      </w:tr>
      <w:tr>
        <w:trPr>
          <w:trHeight w:val="148"/>
        </w:trPr>
        <w:tc>
          <w:tcPr>
            <w:tcW w:w="31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Arlington, VA 22206(8)</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Carlyle Grand Café</w:t>
            </w:r>
          </w:p>
        </w:tc>
        <w:tc>
          <w:tcPr>
            <w:tcW w:w="0" w:type="dxa"/>
            <w:vAlign w:val="bottom"/>
          </w:tcPr>
          <w:p>
            <w:pPr>
              <w:spacing w:after="0"/>
              <w:rPr>
                <w:sz w:val="1"/>
                <w:szCs w:val="1"/>
                <w:color w:val="auto"/>
              </w:rPr>
            </w:pPr>
          </w:p>
        </w:tc>
      </w:tr>
      <w:tr>
        <w:trPr>
          <w:trHeight w:val="188"/>
        </w:trPr>
        <w:tc>
          <w:tcPr>
            <w:tcW w:w="2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57"/>
        </w:trPr>
        <w:tc>
          <w:tcPr>
            <w:tcW w:w="31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Willow Lawn</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1957</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1983</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445,000</w:t>
            </w:r>
          </w:p>
        </w:tc>
        <w:tc>
          <w:tcPr>
            <w:tcW w:w="136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$17.91</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93%</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8"/>
        </w:trPr>
        <w:tc>
          <w:tcPr>
            <w:tcW w:w="31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Richmond, VA 23230</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82"/>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25"/>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All Regions—Retail(11)</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21,379,000</w:t>
            </w:r>
          </w:p>
        </w:tc>
        <w:tc>
          <w:tcPr>
            <w:tcW w:w="1360" w:type="dxa"/>
            <w:vAlign w:val="bottom"/>
            <w:gridSpan w:val="2"/>
            <w:vMerge w:val="restart"/>
            <w:shd w:val="clear" w:color="auto" w:fill="CCEEFF"/>
          </w:tcPr>
          <w:p>
            <w:pPr>
              <w:jc w:val="center"/>
              <w:ind w:left="48"/>
              <w:spacing w:after="0"/>
              <w:rPr>
                <w:sz w:val="20"/>
                <w:szCs w:val="20"/>
                <w:color w:val="auto"/>
              </w:rPr>
            </w:pPr>
            <w:r>
              <w:rPr>
                <w:rFonts w:ascii="Arial" w:cs="Arial" w:eastAsia="Arial" w:hAnsi="Arial"/>
                <w:sz w:val="14"/>
                <w:szCs w:val="14"/>
                <w:b w:val="1"/>
                <w:bCs w:val="1"/>
                <w:color w:val="auto"/>
                <w:w w:val="93"/>
              </w:rPr>
              <w:t>$26.28</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94%</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All Regions—Residential</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1,715 units</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90%</w:t>
            </w: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w:t>
      </w:r>
    </w:p>
    <w:p>
      <w:pPr>
        <w:spacing w:after="0" w:line="8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the GLA of the commercial portion of the property. Some of our properties include office space which is included in this square footage but is not material in total.</w:t>
      </w:r>
    </w:p>
    <w:p>
      <w:pPr>
        <w:spacing w:after="0" w:line="12" w:lineRule="exact"/>
        <w:rPr>
          <w:rFonts w:ascii="Arial" w:cs="Arial" w:eastAsia="Arial" w:hAnsi="Arial"/>
          <w:sz w:val="14"/>
          <w:szCs w:val="14"/>
          <w:color w:val="auto"/>
        </w:rPr>
      </w:pPr>
    </w:p>
    <w:p>
      <w:pPr>
        <w:ind w:left="660" w:right="40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base rent is calculated as the aggregate, annualized in-place contractual (defined as cash basis including adjustments for concessions) minimum rent for all occupied spaces divided by the aggregate GLA of all occupied spaces.</w:t>
      </w:r>
    </w:p>
    <w:p>
      <w:pPr>
        <w:ind w:left="660" w:right="44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Percentage leased is expressed as a percentage of rentable commercial square feet occupied or subject to a lease. Residential percentage leased is expressed as a percentage of units occupied or subject to a lease.</w:t>
      </w: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All or a portion of this property is owned pursuant to a ground lease.</w:t>
      </w: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own the controlling interest in this center.</w:t>
      </w: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own a 90% general and limited partnership interest in these buildings.</w:t>
      </w:r>
    </w:p>
    <w:p>
      <w:pPr>
        <w:ind w:left="660" w:right="44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own all or a portion of this property in a “downREIT” partnership, of which a wholly owned subsidiary of the Trust is the sole general partner, with third party partners holding operating partnership units.</w:t>
      </w: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All or a portion of this property is subject to a capital lease obligation.</w:t>
      </w:r>
    </w:p>
    <w:p>
      <w:pPr>
        <w:ind w:left="660" w:right="16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Properties acquired through a joint venture arrangement with affiliates of a discretionary fund created and advised by Clarion Partners. On January 13, 2016, we acquired Clarion's 70% interest in these properties.</w:t>
      </w: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All or a portion of this property is encumbered by a mortgage loan.</w:t>
      </w:r>
    </w:p>
    <w:p>
      <w:pPr>
        <w:ind w:left="660" w:right="8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Aggregate information is calculated on a GLA weighted-average basis, excluding properties owned through a joint venture arrangement with affiliates of a discretionary fund created and advised by Clarion Partners.</w:t>
      </w:r>
    </w:p>
    <w:p>
      <w:pPr>
        <w:ind w:left="660" w:hanging="328"/>
        <w:spacing w:after="0"/>
        <w:tabs>
          <w:tab w:leader="none" w:pos="6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Portion of property is currently under development. See further discussion in Item 7. Management's Discussion and Analysis of Financial Condition and Results of Operations.</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property includes partial interests in eight buildings in addition to our initial acquisition. See further discussion in Note 3 to the Financial Statements.</w:t>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6" w:right="2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200"/>
        <w:spacing w:after="0" w:line="281" w:lineRule="auto"/>
        <w:rPr>
          <w:sz w:val="20"/>
          <w:szCs w:val="20"/>
          <w:color w:val="auto"/>
        </w:rPr>
      </w:pPr>
      <w:r>
        <w:rPr>
          <w:rFonts w:ascii="Arial" w:cs="Arial" w:eastAsia="Arial" w:hAnsi="Arial"/>
          <w:sz w:val="18"/>
          <w:szCs w:val="18"/>
          <w:b w:val="1"/>
          <w:bCs w:val="1"/>
          <w:color w:val="auto"/>
        </w:rPr>
        <w:t>ITEM 5. MARKET FOR OUR COMMON EQUITY AND RELATED SHAREHOLDER MATTERS AND ISSUER PURCHASES OF EQUITY SECURITIES</w:t>
      </w:r>
    </w:p>
    <w:p>
      <w:pPr>
        <w:spacing w:after="0" w:line="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common shares trade on the New York Stock Exchange under the symbol “FRT.” Listed below are the high and low closing prices of our common shares as reported on the New York Stock Exchange and the dividends declared for each of the periods indicated.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Price Per Share</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Dividends</w:t>
            </w: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restart"/>
          </w:tcPr>
          <w:p>
            <w:pPr>
              <w:jc w:val="center"/>
              <w:ind w:right="155"/>
              <w:spacing w:after="0" w:line="139" w:lineRule="exact"/>
              <w:rPr>
                <w:sz w:val="20"/>
                <w:szCs w:val="20"/>
                <w:color w:val="auto"/>
              </w:rPr>
            </w:pPr>
            <w:r>
              <w:rPr>
                <w:rFonts w:ascii="Arial" w:cs="Arial" w:eastAsia="Arial" w:hAnsi="Arial"/>
                <w:sz w:val="14"/>
                <w:szCs w:val="14"/>
                <w:b w:val="1"/>
                <w:bCs w:val="1"/>
                <w:color w:val="auto"/>
                <w:w w:val="94"/>
              </w:rPr>
              <w:t>Declared</w:t>
            </w:r>
          </w:p>
        </w:tc>
        <w:tc>
          <w:tcPr>
            <w:tcW w:w="0" w:type="dxa"/>
            <w:vAlign w:val="bottom"/>
          </w:tcPr>
          <w:p>
            <w:pPr>
              <w:spacing w:after="0"/>
              <w:rPr>
                <w:sz w:val="1"/>
                <w:szCs w:val="1"/>
                <w:color w:val="auto"/>
              </w:rPr>
            </w:pPr>
          </w:p>
        </w:tc>
      </w:tr>
      <w:tr>
        <w:trPr>
          <w:trHeight w:val="65"/>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5"/>
                <w:szCs w:val="5"/>
                <w:color w:val="auto"/>
              </w:rPr>
            </w:pPr>
          </w:p>
        </w:tc>
        <w:tc>
          <w:tcPr>
            <w:tcW w:w="8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9"/>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149.96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135.60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0.940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124.96</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0.940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149.20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127.84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0.870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135.74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0.870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118.28</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0.870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125.80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117.12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0.870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112.07</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0.780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114.72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100.90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0.780</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On February 5, 2016, there were 2,840 holders of record of our common shares.</w:t>
      </w:r>
    </w:p>
    <w:p>
      <w:pPr>
        <w:spacing w:after="0" w:line="17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Our ongoing operations generally will not be subject to federal income taxes as long as we maintain our REIT status and distribute to shareholders at least 100% of our taxable income. Under the Code, REITs are subject to numerous organizational and operational requirements, including the requirement to generally distribute at least 90% of taxable income.</w:t>
      </w:r>
    </w:p>
    <w:p>
      <w:pPr>
        <w:spacing w:after="0" w:line="1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regular annual dividend rate for 48 consecutive years.</w:t>
      </w:r>
    </w:p>
    <w:p>
      <w:pPr>
        <w:spacing w:after="0" w:line="1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total annual dividends paid per common share for 2015 and 2014 were $3.55 per share and $3.21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2016 or subsequent years will constitute a return of capital for federal income tax purposes. During a year in which a REIT earns a net long-term capital gain, the REIT can elect under Section 857(b)(3) of the Code to designate a portion of dividends paid to shareholders as capital gain dividends. If this election is made, then the capital gain dividends are generally taxable to the shareholder as long-term capital gains.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income tax status of distributions per share paid to common shareholders:</w:t>
      </w:r>
    </w:p>
    <w:p>
      <w:pPr>
        <w:spacing w:after="0" w:line="351"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Year Ended</w:t>
      </w:r>
    </w:p>
    <w:p>
      <w:pPr>
        <w:spacing w:after="0" w:line="3"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5444490</wp:posOffset>
            </wp:positionH>
            <wp:positionV relativeFrom="paragraph">
              <wp:posOffset>13335</wp:posOffset>
            </wp:positionV>
            <wp:extent cx="1807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7210" cy="8255"/>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Ordinary dividend</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3.515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3.178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Capital gain</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0.035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0.032</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8"/>
        </w:trPr>
        <w:tc>
          <w:tcPr>
            <w:tcW w:w="85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3.550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3.210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Distributions on our 5.417% Series 1 Cumulative Convertible Preferred Shares were paid at the rate of $1.354 per share per annum commencing on the issuance date of March 8, 2007. We do not believe that the preferential rights available to the holders of our preferred shares or the financial covenants contained in our debt agreements had or will have an adverse effect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6" w:right="2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our ability to pay dividends in the normal course of business to our common shareholders or to distribute amounts necessary to maintain our qualification as a REIT.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Stockholder Return Performance</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performance graph compares the cumulative total shareholder return on Federal Realty's common shares with the S&amp;P 500 Index and the index of equity real estate investment trusts prepared by the National Association of Real Estate Investment Trusts ("NAREIT") for the five fiscal years commencing December 31, 2010, and ending December 31, 2015, assuming an investment of $100 and the reinvestment of all dividends into additional common shares during the holding period. Equity real estate investment trusts are defined as those that derive more than 75% of their income from equity investments in real estate assets. The FTSE NAREIT Equity REIT Total Return Index includes all tax qualified real estate investment trusts listed on the NYSE, NYSE Amex (formerly known as the American Stock Exchange), or the NASDAQ National Market. Stock performance for the past five years is not necessarily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Shares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During the three months ended December 31, 2015, there were no redemptions of operating partnership units. All other equity securities sold by us during 2015 that were not registered have been previously reported in a Quarterly Report on Form 10-Q.</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During 2015, 9,915 restricted common shares were forfeited by former employees.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describes stock repurchases during the fourth quarter of the fiscal year ended December 31, 2015:</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6" w:right="25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140" w:type="dxa"/>
            <w:vAlign w:val="bottom"/>
          </w:tcPr>
          <w:p>
            <w:pPr>
              <w:spacing w:after="0"/>
              <w:rPr>
                <w:sz w:val="14"/>
                <w:szCs w:val="14"/>
                <w:color w:val="auto"/>
              </w:rPr>
            </w:pPr>
          </w:p>
        </w:tc>
        <w:tc>
          <w:tcPr>
            <w:tcW w:w="2260" w:type="dxa"/>
            <w:vAlign w:val="bottom"/>
          </w:tcPr>
          <w:p>
            <w:pPr>
              <w:jc w:val="center"/>
              <w:ind w:right="44"/>
              <w:spacing w:after="0"/>
              <w:rPr>
                <w:sz w:val="20"/>
                <w:szCs w:val="20"/>
                <w:color w:val="auto"/>
              </w:rPr>
            </w:pPr>
            <w:r>
              <w:rPr>
                <w:rFonts w:ascii="Arial" w:cs="Arial" w:eastAsia="Arial" w:hAnsi="Arial"/>
                <w:sz w:val="14"/>
                <w:szCs w:val="14"/>
                <w:b w:val="1"/>
                <w:bCs w:val="1"/>
                <w:color w:val="auto"/>
                <w:w w:val="95"/>
              </w:rPr>
              <w:t>Maximum number or approximate</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244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1"/>
              </w:rPr>
              <w:t>Total number of shares purchased</w:t>
            </w:r>
          </w:p>
        </w:tc>
        <w:tc>
          <w:tcPr>
            <w:tcW w:w="15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Average price paid per</w:t>
            </w:r>
          </w:p>
        </w:tc>
        <w:tc>
          <w:tcPr>
            <w:tcW w:w="2160" w:type="dxa"/>
            <w:vAlign w:val="bottom"/>
            <w:vMerge w:val="continue"/>
          </w:tcPr>
          <w:p>
            <w:pPr>
              <w:spacing w:after="0"/>
              <w:rPr>
                <w:sz w:val="12"/>
                <w:szCs w:val="12"/>
                <w:color w:val="auto"/>
              </w:rPr>
            </w:pPr>
          </w:p>
        </w:tc>
        <w:tc>
          <w:tcPr>
            <w:tcW w:w="2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dollar amount of shares that may yet</w:t>
            </w:r>
          </w:p>
        </w:tc>
        <w:tc>
          <w:tcPr>
            <w:tcW w:w="0" w:type="dxa"/>
            <w:vAlign w:val="bottom"/>
          </w:tcPr>
          <w:p>
            <w:pPr>
              <w:spacing w:after="0"/>
              <w:rPr>
                <w:sz w:val="1"/>
                <w:szCs w:val="1"/>
                <w:color w:val="auto"/>
              </w:rPr>
            </w:pPr>
          </w:p>
        </w:tc>
      </w:tr>
      <w:tr>
        <w:trPr>
          <w:trHeight w:val="148"/>
        </w:trPr>
        <w:tc>
          <w:tcPr>
            <w:tcW w:w="292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Period</w:t>
            </w:r>
          </w:p>
        </w:tc>
        <w:tc>
          <w:tcPr>
            <w:tcW w:w="2440" w:type="dxa"/>
            <w:vAlign w:val="bottom"/>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w:t>
            </w:r>
          </w:p>
        </w:tc>
        <w:tc>
          <w:tcPr>
            <w:tcW w:w="140" w:type="dxa"/>
            <w:vAlign w:val="bottom"/>
          </w:tcPr>
          <w:p>
            <w:pPr>
              <w:spacing w:after="0"/>
              <w:rPr>
                <w:sz w:val="12"/>
                <w:szCs w:val="12"/>
                <w:color w:val="auto"/>
              </w:rPr>
            </w:pPr>
          </w:p>
        </w:tc>
        <w:tc>
          <w:tcPr>
            <w:tcW w:w="22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1"/>
              </w:rPr>
              <w:t>be purchased under the plans or</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auto"/>
            </w:tcBorders>
            <w:vMerge w:val="continue"/>
          </w:tcPr>
          <w:p>
            <w:pPr>
              <w:spacing w:after="0"/>
              <w:rPr>
                <w:sz w:val="16"/>
                <w:szCs w:val="16"/>
                <w:color w:val="auto"/>
              </w:rPr>
            </w:pPr>
          </w:p>
        </w:tc>
        <w:tc>
          <w:tcPr>
            <w:tcW w:w="2440" w:type="dxa"/>
            <w:vAlign w:val="bottom"/>
            <w:tcBorders>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0"/>
              </w:rPr>
              <w:t>share</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w:t>
            </w: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programs</w:t>
            </w:r>
          </w:p>
        </w:tc>
        <w:tc>
          <w:tcPr>
            <w:tcW w:w="0" w:type="dxa"/>
            <w:vAlign w:val="bottom"/>
          </w:tcPr>
          <w:p>
            <w:pPr>
              <w:spacing w:after="0"/>
              <w:rPr>
                <w:sz w:val="1"/>
                <w:szCs w:val="1"/>
                <w:color w:val="auto"/>
              </w:rPr>
            </w:pPr>
          </w:p>
        </w:tc>
      </w:tr>
      <w:tr>
        <w:trPr>
          <w:trHeight w:val="242"/>
        </w:trPr>
        <w:tc>
          <w:tcPr>
            <w:tcW w:w="2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October 1, 2015 - October 31, 2015</w:t>
            </w:r>
          </w:p>
        </w:tc>
        <w:tc>
          <w:tcPr>
            <w:tcW w:w="24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rPr>
              <w:t>29,064</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142.05</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shares delivered in payment of withholding taxes in connection with restricted stock vesting by participants.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26</w:t>
      </w:r>
    </w:p>
    <w:p>
      <w:pPr>
        <w:sectPr>
          <w:pgSz w:w="11900" w:h="16838" w:orient="portrait"/>
          <w:cols w:equalWidth="0" w:num="1">
            <w:col w:w="11420"/>
          </w:cols>
          <w:pgMar w:left="240" w:top="126" w:right="2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94" w:lineRule="exact"/>
        <w:rPr>
          <w:sz w:val="20"/>
          <w:szCs w:val="20"/>
          <w:color w:val="auto"/>
        </w:rPr>
      </w:pPr>
    </w:p>
    <w:p>
      <w:pPr>
        <w:ind w:right="440"/>
        <w:spacing w:after="0" w:line="341" w:lineRule="auto"/>
        <w:rPr>
          <w:sz w:val="20"/>
          <w:szCs w:val="20"/>
          <w:color w:val="auto"/>
        </w:rPr>
      </w:pPr>
      <w:r>
        <w:rPr>
          <w:rFonts w:ascii="Arial" w:cs="Arial" w:eastAsia="Arial" w:hAnsi="Arial"/>
          <w:sz w:val="16"/>
          <w:szCs w:val="16"/>
          <w:color w:val="auto"/>
        </w:rPr>
        <w:t>The following table includes certain financial information on a consolidated historical basis. You should read this section in conjunction with “Item 7. Management’s Discussion and Analysis of Financial Condition and Results of Operations” and “Item 8. Financial Statements and Supplementary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20" w:type="dxa"/>
            <w:vAlign w:val="bottom"/>
            <w:gridSpan w:val="7"/>
          </w:tcPr>
          <w:p>
            <w:pPr>
              <w:jc w:val="center"/>
              <w:ind w:right="211"/>
              <w:spacing w:after="0"/>
              <w:rPr>
                <w:sz w:val="20"/>
                <w:szCs w:val="20"/>
                <w:color w:val="auto"/>
              </w:rPr>
            </w:pPr>
            <w:r>
              <w:rPr>
                <w:rFonts w:ascii="Arial" w:cs="Arial" w:eastAsia="Arial" w:hAnsi="Arial"/>
                <w:sz w:val="14"/>
                <w:szCs w:val="14"/>
                <w:b w:val="1"/>
                <w:bCs w:val="1"/>
                <w:color w:val="auto"/>
                <w:w w:val="91"/>
              </w:rPr>
              <w:t>(In thousands, except per share data and ratios)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Rental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727,812</w:t>
            </w:r>
          </w:p>
        </w:tc>
        <w:tc>
          <w:tcPr>
            <w:tcW w:w="220" w:type="dxa"/>
            <w:vAlign w:val="bottom"/>
          </w:tcPr>
          <w:p>
            <w:pPr>
              <w:spacing w:after="0"/>
              <w:rPr>
                <w:sz w:val="21"/>
                <w:szCs w:val="21"/>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666,322</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620,089</w:t>
            </w:r>
          </w:p>
        </w:tc>
        <w:tc>
          <w:tcPr>
            <w:tcW w:w="3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580,114</w:t>
            </w:r>
          </w:p>
        </w:tc>
        <w:tc>
          <w:tcPr>
            <w:tcW w:w="3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536,749</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operating income(1)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510,595</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474,167</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446,959</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426,721</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381,335</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190,094</w:t>
            </w:r>
          </w:p>
        </w:tc>
        <w:tc>
          <w:tcPr>
            <w:tcW w:w="220" w:type="dxa"/>
            <w:vAlign w:val="bottom"/>
          </w:tcPr>
          <w:p>
            <w:pPr>
              <w:spacing w:after="0"/>
              <w:rPr>
                <w:sz w:val="21"/>
                <w:szCs w:val="21"/>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167,888</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137,811</w:t>
            </w:r>
          </w:p>
        </w:tc>
        <w:tc>
          <w:tcPr>
            <w:tcW w:w="3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142,972</w:t>
            </w:r>
          </w:p>
        </w:tc>
        <w:tc>
          <w:tcPr>
            <w:tcW w:w="3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130,319</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28,330</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4,401</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28,855</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11,860</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15,075</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218,424</w:t>
            </w:r>
          </w:p>
        </w:tc>
        <w:tc>
          <w:tcPr>
            <w:tcW w:w="220" w:type="dxa"/>
            <w:vAlign w:val="bottom"/>
          </w:tcPr>
          <w:p>
            <w:pPr>
              <w:spacing w:after="0"/>
              <w:rPr>
                <w:sz w:val="21"/>
                <w:szCs w:val="21"/>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172,289</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167,608</w:t>
            </w:r>
          </w:p>
        </w:tc>
        <w:tc>
          <w:tcPr>
            <w:tcW w:w="3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156,232</w:t>
            </w:r>
          </w:p>
        </w:tc>
        <w:tc>
          <w:tcPr>
            <w:tcW w:w="3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149,612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210,219</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164,535</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162,681</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151,925</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143,917</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209,678</w:t>
            </w:r>
          </w:p>
        </w:tc>
        <w:tc>
          <w:tcPr>
            <w:tcW w:w="220" w:type="dxa"/>
            <w:vAlign w:val="bottom"/>
          </w:tcPr>
          <w:p>
            <w:pPr>
              <w:spacing w:after="0"/>
              <w:rPr>
                <w:sz w:val="21"/>
                <w:szCs w:val="21"/>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163,994</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162,140</w:t>
            </w:r>
          </w:p>
        </w:tc>
        <w:tc>
          <w:tcPr>
            <w:tcW w:w="3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151,384</w:t>
            </w:r>
          </w:p>
        </w:tc>
        <w:tc>
          <w:tcPr>
            <w:tcW w:w="3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143,376</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359,835</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346,130</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314,498</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296,633</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244,711</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(353,763)</w:t>
            </w:r>
          </w:p>
        </w:tc>
        <w:tc>
          <w:tcPr>
            <w:tcW w:w="220" w:type="dxa"/>
            <w:vAlign w:val="bottom"/>
          </w:tcPr>
          <w:p>
            <w:pPr>
              <w:spacing w:after="0"/>
              <w:rPr>
                <w:sz w:val="21"/>
                <w:szCs w:val="21"/>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(396,150)</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(345,198)</w:t>
            </w:r>
          </w:p>
        </w:tc>
        <w:tc>
          <w:tcPr>
            <w:tcW w:w="3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(273,558)</w:t>
            </w:r>
          </w:p>
        </w:tc>
        <w:tc>
          <w:tcPr>
            <w:tcW w:w="3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(196,369)</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(32,977)</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9,044</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82,639</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(53,893)</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3,667</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Dividends declared on common shares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250,388</w:t>
            </w:r>
          </w:p>
        </w:tc>
        <w:tc>
          <w:tcPr>
            <w:tcW w:w="220" w:type="dxa"/>
            <w:vAlign w:val="bottom"/>
          </w:tcPr>
          <w:p>
            <w:pPr>
              <w:spacing w:after="0"/>
              <w:rPr>
                <w:sz w:val="21"/>
                <w:szCs w:val="21"/>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224,190</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198,965</w:t>
            </w:r>
          </w:p>
        </w:tc>
        <w:tc>
          <w:tcPr>
            <w:tcW w:w="3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182,813</w:t>
            </w:r>
          </w:p>
        </w:tc>
        <w:tc>
          <w:tcPr>
            <w:tcW w:w="3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171,335</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68,797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67,322</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65,331</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63,881</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62,438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68,981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67,492</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65,483</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64,056</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62,603</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Earnings per common share, basic:</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0.38</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0.31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0.41</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0.07</w:t>
            </w:r>
          </w:p>
        </w:tc>
        <w:tc>
          <w:tcPr>
            <w:tcW w:w="3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3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12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2.42</w:t>
            </w:r>
          </w:p>
        </w:tc>
        <w:tc>
          <w:tcPr>
            <w:tcW w:w="3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w:t>
            </w:r>
          </w:p>
        </w:tc>
        <w:tc>
          <w:tcPr>
            <w:tcW w:w="3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diluted:</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21"/>
                <w:szCs w:val="21"/>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2.34</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2.14</w:t>
            </w:r>
          </w:p>
        </w:tc>
        <w:tc>
          <w:tcPr>
            <w:tcW w:w="3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0.38</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0.31</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Gain on sale of real estate</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0.41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0.07</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0.08</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w:t>
            </w: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Dividends declared per common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3.62</w:t>
            </w:r>
          </w:p>
        </w:tc>
        <w:tc>
          <w:tcPr>
            <w:tcW w:w="220" w:type="dxa"/>
            <w:vAlign w:val="bottom"/>
          </w:tcPr>
          <w:p>
            <w:pPr>
              <w:spacing w:after="0"/>
              <w:rPr>
                <w:sz w:val="19"/>
                <w:szCs w:val="19"/>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3.30</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3.02</w:t>
            </w:r>
          </w:p>
        </w:tc>
        <w:tc>
          <w:tcPr>
            <w:tcW w:w="3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3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Data: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120" w:type="dxa"/>
            <w:vAlign w:val="bottom"/>
          </w:tcPr>
          <w:p>
            <w:pPr>
              <w:ind w:left="40"/>
              <w:spacing w:after="0"/>
              <w:rPr>
                <w:sz w:val="20"/>
                <w:szCs w:val="20"/>
                <w:color w:val="auto"/>
              </w:rPr>
            </w:pPr>
            <w:r>
              <w:rPr>
                <w:rFonts w:ascii="Arial" w:cs="Arial" w:eastAsia="Arial" w:hAnsi="Arial"/>
                <w:sz w:val="18"/>
                <w:szCs w:val="18"/>
                <w:color w:val="auto"/>
              </w:rPr>
              <w:t>Funds from operations available to common</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shareholders(2)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352,857</w:t>
            </w:r>
          </w:p>
        </w:tc>
        <w:tc>
          <w:tcPr>
            <w:tcW w:w="220" w:type="dxa"/>
            <w:vAlign w:val="bottom"/>
          </w:tcPr>
          <w:p>
            <w:pPr>
              <w:spacing w:after="0"/>
              <w:rPr>
                <w:sz w:val="20"/>
                <w:szCs w:val="20"/>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327,597</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289,938</w:t>
            </w:r>
          </w:p>
        </w:tc>
        <w:tc>
          <w:tcPr>
            <w:tcW w:w="3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277,237</w:t>
            </w:r>
          </w:p>
        </w:tc>
        <w:tc>
          <w:tcPr>
            <w:tcW w:w="3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251,576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504,696</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447,495</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446,555</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410,918</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374,131</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Adjusted EBITDA(3)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476,366</w:t>
            </w:r>
          </w:p>
        </w:tc>
        <w:tc>
          <w:tcPr>
            <w:tcW w:w="220" w:type="dxa"/>
            <w:vAlign w:val="bottom"/>
          </w:tcPr>
          <w:p>
            <w:pPr>
              <w:spacing w:after="0"/>
              <w:rPr>
                <w:sz w:val="21"/>
                <w:szCs w:val="21"/>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443,094</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417,700</w:t>
            </w:r>
          </w:p>
        </w:tc>
        <w:tc>
          <w:tcPr>
            <w:tcW w:w="3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399,058</w:t>
            </w:r>
          </w:p>
        </w:tc>
        <w:tc>
          <w:tcPr>
            <w:tcW w:w="3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357,030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Ratio of EBITDA to combined fixed charges and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share dividends(3)(4)</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58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x</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8"/>
        </w:trPr>
        <w:tc>
          <w:tcPr>
            <w:tcW w:w="4120" w:type="dxa"/>
            <w:vAlign w:val="bottom"/>
          </w:tcPr>
          <w:p>
            <w:pPr>
              <w:ind w:left="40"/>
              <w:spacing w:after="0"/>
              <w:rPr>
                <w:sz w:val="20"/>
                <w:szCs w:val="20"/>
                <w:color w:val="auto"/>
              </w:rPr>
            </w:pPr>
            <w:r>
              <w:rPr>
                <w:rFonts w:ascii="Arial" w:cs="Arial" w:eastAsia="Arial" w:hAnsi="Arial"/>
                <w:sz w:val="18"/>
                <w:szCs w:val="18"/>
                <w:color w:val="auto"/>
                <w:w w:val="96"/>
              </w:rPr>
              <w:t>Ratio of Adjusted EBITDA to combined fixed charges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and preferred share dividends(3)(4)</w:t>
            </w:r>
          </w:p>
        </w:tc>
        <w:tc>
          <w:tcPr>
            <w:tcW w:w="26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220" w:type="dxa"/>
            <w:vAlign w:val="bottom"/>
          </w:tcPr>
          <w:p>
            <w:pPr>
              <w:ind w:left="20"/>
              <w:spacing w:after="0"/>
              <w:rPr>
                <w:sz w:val="20"/>
                <w:szCs w:val="20"/>
                <w:color w:val="auto"/>
              </w:rPr>
            </w:pPr>
            <w:r>
              <w:rPr>
                <w:rFonts w:ascii="Arial" w:cs="Arial" w:eastAsia="Arial" w:hAnsi="Arial"/>
                <w:sz w:val="18"/>
                <w:szCs w:val="18"/>
                <w:color w:val="auto"/>
              </w:rPr>
              <w:t>x</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580" w:type="dxa"/>
            <w:vAlign w:val="bottom"/>
            <w:gridSpan w:val="2"/>
          </w:tcPr>
          <w:p>
            <w:pPr>
              <w:jc w:val="right"/>
              <w:ind w:right="370"/>
              <w:spacing w:after="0"/>
              <w:rPr>
                <w:sz w:val="20"/>
                <w:szCs w:val="20"/>
                <w:color w:val="auto"/>
              </w:rPr>
            </w:pPr>
            <w:r>
              <w:rPr>
                <w:rFonts w:ascii="Arial" w:cs="Arial" w:eastAsia="Arial" w:hAnsi="Arial"/>
                <w:sz w:val="18"/>
                <w:szCs w:val="18"/>
                <w:color w:val="auto"/>
              </w:rPr>
              <w:t>x</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320" w:type="dxa"/>
            <w:vAlign w:val="bottom"/>
          </w:tcPr>
          <w:p>
            <w:pPr>
              <w:ind w:left="20"/>
              <w:spacing w:after="0"/>
              <w:rPr>
                <w:sz w:val="20"/>
                <w:szCs w:val="20"/>
                <w:color w:val="auto"/>
              </w:rPr>
            </w:pPr>
            <w:r>
              <w:rPr>
                <w:rFonts w:ascii="Arial" w:cs="Arial" w:eastAsia="Arial" w:hAnsi="Arial"/>
                <w:sz w:val="18"/>
                <w:szCs w:val="18"/>
                <w:color w:val="auto"/>
              </w:rPr>
              <w:t>x</w:t>
            </w:r>
          </w:p>
        </w:tc>
        <w:tc>
          <w:tcPr>
            <w:tcW w:w="2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340" w:type="dxa"/>
            <w:vAlign w:val="bottom"/>
          </w:tcPr>
          <w:p>
            <w:pPr>
              <w:ind w:left="40"/>
              <w:spacing w:after="0"/>
              <w:rPr>
                <w:sz w:val="20"/>
                <w:szCs w:val="20"/>
                <w:color w:val="auto"/>
              </w:rPr>
            </w:pPr>
            <w:r>
              <w:rPr>
                <w:rFonts w:ascii="Arial" w:cs="Arial" w:eastAsia="Arial" w:hAnsi="Arial"/>
                <w:sz w:val="18"/>
                <w:szCs w:val="18"/>
                <w:color w:val="auto"/>
              </w:rPr>
              <w:t>x</w:t>
            </w:r>
          </w:p>
        </w:tc>
        <w:tc>
          <w:tcPr>
            <w:tcW w:w="2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220" w:type="dxa"/>
            <w:vAlign w:val="bottom"/>
          </w:tcPr>
          <w:p>
            <w:pPr>
              <w:ind w:lef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86"/>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89"/>
              </w:rPr>
              <w:t>27</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3"/>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2013</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r>
      <w:tr>
        <w:trPr>
          <w:trHeight w:val="196"/>
        </w:trPr>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(In thousands)</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Real estate, at cost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6,064,406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5,608,998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5,149,463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4,779,674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4,426,444</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4,911,709</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4,546,870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4,219,294</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3,898,565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3,666,210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Mortgages payable and capital lease obligations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554,442</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635,345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660,127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832,482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810,616</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343,600</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290,519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300,822</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299,575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295,159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1,744,324</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1,483,813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1,360,913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1,076,545</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1,004,635</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shares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9,997</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9,997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9,997</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9,997</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1,781,931</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1,692,556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1,471,297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1,310,593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1,240,604</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common shares outstanding</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69,493</w:t>
            </w: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68,606</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66,701</w:t>
            </w: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64,815</w:t>
            </w: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63,544</w:t>
            </w:r>
          </w:p>
        </w:tc>
      </w:tr>
      <w:tr>
        <w:trPr>
          <w:trHeight w:val="27"/>
        </w:trPr>
        <w:tc>
          <w:tcPr>
            <w:tcW w:w="4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1" w:lineRule="exact"/>
        <w:rPr>
          <w:sz w:val="20"/>
          <w:szCs w:val="20"/>
          <w:color w:val="auto"/>
        </w:rPr>
      </w:pPr>
    </w:p>
    <w:p>
      <w:pPr>
        <w:ind w:left="340" w:right="200" w:hanging="332"/>
        <w:spacing w:after="0" w:line="25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other property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operating income to property operating income is as follows:</w:t>
      </w:r>
    </w:p>
    <w:p>
      <w:pPr>
        <w:spacing w:after="0" w:line="230"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2011</w:t>
            </w:r>
          </w:p>
        </w:tc>
      </w:tr>
      <w:tr>
        <w:trPr>
          <w:trHeight w:val="250"/>
        </w:trPr>
        <w:tc>
          <w:tcPr>
            <w:tcW w:w="4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300,154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271,037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254,161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253,862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226,462</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35,645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32,316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31,970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31,158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28,985</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174,796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170,814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160,828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141,701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125,888</w:t>
            </w:r>
          </w:p>
        </w:tc>
      </w:tr>
      <w:tr>
        <w:trPr>
          <w:trHeight w:val="236"/>
        </w:trPr>
        <w:tc>
          <w:tcPr>
            <w:tcW w:w="44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510,595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474,167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446,959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426,721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381,335</w:t>
            </w:r>
          </w:p>
        </w:tc>
      </w:tr>
      <w:tr>
        <w:trPr>
          <w:trHeight w:val="27"/>
        </w:trPr>
        <w:tc>
          <w:tcPr>
            <w:tcW w:w="4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340" w:right="20" w:hanging="332"/>
        <w:spacing w:after="0" w:line="301"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Funds from operations ("FFO") is a supplemental non-GAAP financial measure of real estate companies’ operating performances. The National Association of Real Estate Investment Trusts (“NAREIT”) defines FFO as follows: net income, computed in accordance with U.S. GAAP, plus real estate related depreciation and amortization and excluding extraordinary items and gains on the sale of real estate. We compute FFO in accordance with the NAREIT definition, and we have historically reported our FFO available for common shareholders in addition to our net income.</w:t>
      </w:r>
    </w:p>
    <w:p>
      <w:pPr>
        <w:spacing w:after="0" w:line="21" w:lineRule="exact"/>
        <w:rPr>
          <w:rFonts w:ascii="Arial" w:cs="Arial" w:eastAsia="Arial" w:hAnsi="Arial"/>
          <w:sz w:val="16"/>
          <w:szCs w:val="16"/>
          <w:color w:val="auto"/>
        </w:rPr>
      </w:pPr>
    </w:p>
    <w:p>
      <w:pPr>
        <w:ind w:left="340" w:right="100"/>
        <w:spacing w:after="0" w:line="273" w:lineRule="auto"/>
        <w:rPr>
          <w:rFonts w:ascii="Arial" w:cs="Arial" w:eastAsia="Arial" w:hAnsi="Arial"/>
          <w:sz w:val="16"/>
          <w:szCs w:val="16"/>
          <w:color w:val="auto"/>
        </w:rPr>
      </w:pPr>
      <w:r>
        <w:rPr>
          <w:rFonts w:ascii="Arial" w:cs="Arial" w:eastAsia="Arial" w:hAnsi="Arial"/>
          <w:sz w:val="17"/>
          <w:szCs w:val="17"/>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 Additional information regarding our calculation of FFO is contained in “Item 7. Management’s Discussion and Analysis of Financial Condition and Results of Operations.”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6" w:right="2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2011</w:t>
            </w:r>
          </w:p>
        </w:tc>
      </w:tr>
      <w:tr>
        <w:trPr>
          <w:trHeight w:val="250"/>
        </w:trPr>
        <w:tc>
          <w:tcPr>
            <w:tcW w:w="4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172,289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149,612</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(5,695)</w:t>
            </w:r>
          </w:p>
        </w:tc>
      </w:tr>
      <w:tr>
        <w:trPr>
          <w:trHeight w:val="27"/>
        </w:trPr>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(15,075)</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Gain on deconsolidation of VIE</w:t>
            </w:r>
          </w:p>
        </w:tc>
        <w:tc>
          <w:tcPr>
            <w:tcW w:w="2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(2,026)</w:t>
            </w:r>
          </w:p>
        </w:tc>
      </w:tr>
      <w:tr>
        <w:trPr>
          <w:trHeight w:val="27"/>
        </w:trPr>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of real estate assets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113,188</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Amortization of initial direct costs of leases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10,432</w:t>
            </w:r>
          </w:p>
        </w:tc>
      </w:tr>
      <w:tr>
        <w:trPr>
          <w:trHeight w:val="27"/>
        </w:trPr>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of joint venture real estate assets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r>
      <w:tr>
        <w:trPr>
          <w:trHeight w:val="236"/>
        </w:trPr>
        <w:tc>
          <w:tcPr>
            <w:tcW w:w="4840" w:type="dxa"/>
            <w:vAlign w:val="bottom"/>
          </w:tcPr>
          <w:p>
            <w:pPr>
              <w:ind w:left="20"/>
              <w:spacing w:after="0"/>
              <w:rPr>
                <w:sz w:val="20"/>
                <w:szCs w:val="20"/>
                <w:color w:val="auto"/>
              </w:rPr>
            </w:pPr>
            <w:r>
              <w:rPr>
                <w:rFonts w:ascii="Arial" w:cs="Arial" w:eastAsia="Arial" w:hAnsi="Arial"/>
                <w:sz w:val="18"/>
                <w:szCs w:val="18"/>
                <w:color w:val="auto"/>
              </w:rPr>
              <w:t>Funds from operations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351,147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326,585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290,897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278,124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252,207</w:t>
            </w:r>
          </w:p>
        </w:tc>
      </w:tr>
      <w:tr>
        <w:trPr>
          <w:trHeight w:val="27"/>
        </w:trPr>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on preferred shares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Income attributable to operating partnership units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981</w:t>
            </w:r>
          </w:p>
        </w:tc>
      </w:tr>
      <w:tr>
        <w:trPr>
          <w:trHeight w:val="27"/>
        </w:trPr>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attributable to unvested shares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r>
      <w:tr>
        <w:trPr>
          <w:trHeight w:val="236"/>
        </w:trPr>
        <w:tc>
          <w:tcPr>
            <w:tcW w:w="4840" w:type="dxa"/>
            <w:vAlign w:val="bottom"/>
          </w:tcPr>
          <w:p>
            <w:pPr>
              <w:ind w:left="20"/>
              <w:spacing w:after="0"/>
              <w:rPr>
                <w:sz w:val="20"/>
                <w:szCs w:val="20"/>
                <w:color w:val="auto"/>
              </w:rPr>
            </w:pPr>
            <w:r>
              <w:rPr>
                <w:rFonts w:ascii="Arial" w:cs="Arial" w:eastAsia="Arial" w:hAnsi="Arial"/>
                <w:sz w:val="18"/>
                <w:szCs w:val="18"/>
                <w:color w:val="auto"/>
              </w:rPr>
              <w:t>Funds from operations available for common shareholders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352,857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327,597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289,938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277,237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251,576</w:t>
            </w:r>
          </w:p>
        </w:tc>
      </w:tr>
      <w:tr>
        <w:trPr>
          <w:trHeight w:val="27"/>
        </w:trPr>
        <w:tc>
          <w:tcPr>
            <w:tcW w:w="4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4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340" w:right="40" w:hanging="332"/>
        <w:spacing w:after="0" w:line="256" w:lineRule="auto"/>
        <w:tabs>
          <w:tab w:leader="none" w:pos="2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SEC has stated that EBITDA is a non-GAAP measure as calculated in the table below. Adjusted EBITDA is a non-GAAP measure that means net income or loss plus net interest expense, income taxes, depreciation and amortization,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Adjusted EBITDA as presented may not be comparable to other similarly titled measures used by other REITs.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net income to EBITDA and adjusted EBITDA for the periods presented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2011</w:t>
            </w:r>
          </w:p>
        </w:tc>
      </w:tr>
      <w:tr>
        <w:trPr>
          <w:trHeight w:val="250"/>
        </w:trPr>
        <w:tc>
          <w:tcPr>
            <w:tcW w:w="4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218,424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172,289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167,608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156,232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149,612</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174,796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170,814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161,099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142,039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126,568</w:t>
            </w:r>
          </w:p>
        </w:tc>
      </w:tr>
      <w:tr>
        <w:trPr>
          <w:trHeight w:val="27"/>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98,465</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Early extinguishment of debt</w:t>
            </w: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19,072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7"/>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interest income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36"/>
        </w:trPr>
        <w:tc>
          <w:tcPr>
            <w:tcW w:w="4380" w:type="dxa"/>
            <w:vAlign w:val="bottom"/>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504,696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447,495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446,555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410,918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374,131</w:t>
            </w:r>
          </w:p>
        </w:tc>
      </w:tr>
      <w:tr>
        <w:trPr>
          <w:trHeight w:val="27"/>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(15,075)</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Gain on deconsolidation of VIE</w:t>
            </w: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(2,026)</w:t>
            </w:r>
          </w:p>
        </w:tc>
      </w:tr>
      <w:tr>
        <w:trPr>
          <w:trHeight w:val="27"/>
        </w:trPr>
        <w:tc>
          <w:tcPr>
            <w:tcW w:w="4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476,366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443,094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417,700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399,058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357,030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line="256" w:lineRule="auto"/>
        <w:tabs>
          <w:tab w:leader="none" w:pos="2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Fixed charges consist of interest on borrowed funds (including capitalized interest), amortization of debt discount/ premiums and debt costs, costs related to the early extinguishment of debt, and the portion of rent expense representing an interest factor. Excluding the $19.1 million, $10.5 million, and $13.3 million of early extinguishment of debt charge from fixed charges in 2015, 2014, and 2013, respectively, the ratio of EBITDA and adjusted EBITDA to combined fixed charges and preferred share dividends is 4.5x and 4.3x, respectively, for 2015, 3.9x and 3.8x, respectively, for 2014, and 3.7x and 3.4x, respectively for 2013.</w:t>
      </w:r>
    </w:p>
    <w:p>
      <w:pPr>
        <w:spacing w:after="0" w:line="214" w:lineRule="exact"/>
        <w:rPr>
          <w:sz w:val="20"/>
          <w:szCs w:val="20"/>
          <w:color w:val="auto"/>
        </w:rPr>
      </w:pPr>
    </w:p>
    <w:p>
      <w:pPr>
        <w:ind w:right="1160"/>
        <w:spacing w:after="0" w:line="34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Forward-Looking Statements</w:t>
      </w:r>
    </w:p>
    <w:p>
      <w:pPr>
        <w:spacing w:after="0" w:line="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Certain statements in this section or elsewhere in this report may be deemed “forward-looking statements”. See “Item 1A. Risk Factors” in this report for important information regarding these forward-looking statements and certain risk and uncertainties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126" w:right="35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that may affect us. The following discussion should be read in conjunction with the consolidated financial statements and notes thereto appearing in “Item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Supplementary Data” of this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and South Florida. As of December 31, 2015, we owned or had a majority interest in community and neighborhood shopping centers and mixed-use properties which are operated as 90 predominantly retail real estate projects comprising approximately 21.4 million square feet. In total, the real estate projects were 94.3% leased and 93.5% occupied at December 31, 2015. A joint venture in which we owned a 30% interest owned six retail real estate projects totaling approximately 0.8 million square feet as of December 31, 2015. In total, the joint venture properties in which we owned a 30% interest were 93.6% leased and 85.3% occupied at December 31, 2015. On January 13, 2016, we acquired our partner's 70% interest in the joint venture and subsequently own 100% of the related properties. We have paid quarterly dividends to our shareholders continuously since our founding in 1962 and have increased our dividends per common share for 48 consecutive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A discussion of possible risks which may affect these estimates is included in “Item 1A. Risk Factors” of this report. Management considers an accounting estimate to be critical if changes in the estimate could have a material impact on our consolidated results of operations or financial condition.</w:t>
      </w:r>
    </w:p>
    <w:p>
      <w:pPr>
        <w:spacing w:after="0" w:line="12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significant accounting policies are more fully described in Note 2 to the consolidated financial statements; however, the most critical accounting policies, which involve the use of estimates and assumptions as to future uncertainties and, therefore, may result in actual amounts that differ from estimates, are as follows: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Accounts Receivable</w:t>
      </w:r>
    </w:p>
    <w:p>
      <w:pPr>
        <w:spacing w:after="0" w:line="9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For a tenant to terminate its lease agreement prior to the end of the agreed term, we may require that they pay a fee to cancel the lease agreement. Lease termination fees for which the tenant has relinquished control of the space are generally recognized on the termination date. When a lease is terminated early but the tenant continues to control the space under a modified lease agreement, the lease termination fee is generally recognized evenly over the remaining term of the modified lease agreement.</w:t>
      </w:r>
    </w:p>
    <w:p>
      <w:pPr>
        <w:spacing w:after="0" w:line="12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Current accounts receivable from tenants primarily relate to contractual minimum rent and percentage rent as well as real estate tax and other cost reimbursements. Accounts receivable from straight-line rent is typically longer term in nature and relates to the cumulative amount by which straight-line rental income recorded to date exceeds cash rents billed to date under the contractual lease agreement.</w:t>
      </w:r>
    </w:p>
    <w:p>
      <w:pPr>
        <w:spacing w:after="0" w:line="1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make estimates of the collectability of our current accounts receivable and straight-line rents receivable which requires significant judgment by management. The collectability of receivables is affected by numerous factors including current economic conditions, bankruptcies, and the ability of the tenant to perform under the terms of their lease agreement. While we make estimates of potentially uncollectible amounts and provide an allowance for them through bad debt expense, actual collectability could differ from those estimates which could affect our net income. With respect to the allowance for current uncollectible tenant receivables, we assess the collectability of outstanding receivables by evaluating such factors as nature and age of the receivable, past history and current financial condition of the specific tenant including our assessment of the tenant’s ability to meet its contractual lease obligations, and the status of any pending disputes or lease negotiations with the tenant. At December 31, 2015 and 2014, our allowance for doubtful accounts was $11.7 million and $12.4 million, respectively.</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6" w:right="27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Historically, we have recognized bad debt expense between 0.3% and 1.3% of rental income and it was 0.2% in 2015 reflecting positive economic changes and their impact to our tenants. A change in the estimate of collectability of a receivable would result in a change to our allowance for doubtful accounts and correspondingly bad debt expense and net income. For example, in the event our estimates were not accurate and we were required to increase our allowance by 1% of rental income, our bad debt expense would have increased and our net income would have decreased by $7.3 million.</w:t>
      </w:r>
    </w:p>
    <w:p>
      <w:pPr>
        <w:spacing w:after="0" w:line="10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Due to the nature of the accounts receivable from straight-line rents, the collection period of these amounts typically extends beyond one year. Our experience relative to unbilled straight-line rents is that a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If our 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 At December 31, 2015 and 2014, accounts receivable includes approximately $72.7 million and $66.1 million, respectively, related to straight-line rents. Correspondingly, these estimates of collectability have a direct impact on our net income.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9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nature of our business as an owner, redeveloper and operator of retail shopping centers and mixed-use properties means that we invest significant amounts of capital. Depreciation and maintenance costs relating to our properties constitute substantial costs for us as well as the industry as a whole. We capitalize real estate investments and depreciate them on a straight-line basis in accordance with GAAP and consistent with industry standards based on our best estimates of the assets’ physical and economic useful lives. We periodically review the estimated lives of our assets and implement changes, as necessary, to these estimates and, therefore, to our depreciation rates. These reviews may take into account such factors as the historical retirement and replacement of our assets, expected redevelopments, and general economic and real estate factors. Certain events, such as unforeseen competition or changes in customer shopping habits, could substantially alter our assumptions regarding our ability to realize the expected return on investment in the property and therefore reduce the economic life of the asset and affect the amount of depreciation expense to be charged against both the current and future revenues. These assessments have a direct impact on our net income. The longer the economic useful life, the lower the depreciation expense will be for that asset in a fiscal period, which in turn will increase our net income. Similarly, having a shorter economic useful life would increase the depreciation for a fiscal period and decrease our net income.</w:t>
      </w:r>
    </w:p>
    <w:p>
      <w:pPr>
        <w:spacing w:after="0" w:line="12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Land, buildings and real estate under development are recorded at cost. We compute depreciation using the straight-line method with useful lives ranging generally from 35 years to a maximum of 50 years on buildings and major improvements. Maintenance and repair costs are charged to operations as incurred. Tenant work and other major improvements, which improve or extend the life of the asset, are capitalized and depreciated over the life of the lease or the estimated useful life of the improvements, whichever is shorter. Minor improvements, furniture and equipment are capitalized and depreciated over useful lives ranging from 2 to 20 years.</w:t>
      </w:r>
    </w:p>
    <w:p>
      <w:pPr>
        <w:spacing w:after="0" w:line="13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Capitalized costs associated with leases are depreciated or amortized over the base term of the lease. Unamortized leasing costs are charged to expense if the applicable tenant vacates before the expiration of its lease. Undepreciated tenant work is written-off if the applicable tenant vacates and the tenant work is replaced or has no future value. Additionally, we make estimates as to the probability of certain development and redevelopment projects being completed. If we determine the redevelopment is no longer probable of completion, we immediately expense all capitalized costs which are not recoverable.</w:t>
      </w:r>
    </w:p>
    <w:p>
      <w:pPr>
        <w:spacing w:after="0" w:line="1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Interest costs on developments and major redevelopments are capitalized as part of developments and redevelopments not yet placed in service. Capitalization of interest commences when development activities and expenditures begin and end upon completion, which is when the asset is ready for its intended use. Generally, rental property is considered substantially complete and ready for its intended use upon completion of tenant improvements, but no later than one year from completion of major construction activity. We make judgments as to the time period over which to capitalize such costs and these assumptions have a direct impact on net income because capitalized costs are not subtracted in calculating net income. If the time period for capitalizing interest is extended, more interest is capitalized, thereby decreasing interest expense and increasing net income during that period.</w:t>
      </w:r>
    </w:p>
    <w:p>
      <w:pPr>
        <w:spacing w:after="0" w:line="1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external and internal costs related to both development and redevelopment activities of $232 million and $8 million, respectively, for 2015 and $277 million and $7 million, respectively, for 2014. We capitalized external</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6" w:right="25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and internal costs related to other property improvements of $42 million and $2 million, respectively, for 2015 and $45 million and $2 million, respectively, for 2014. We capitalized external and internal costs related to leasing activities of $17 million and $6 million, respectively, for 2015 and $29 million and $7 million, respectively, for 2014. The amount of capitalized internal costs for salaries and related benefits for development and redevelopment activities, other property improvements, and leasing activities were $7 million, $1 million, and $6 million, for both 2015 and 2014. Total capitalized costs were $307 million and $367 million for 2015 and 2014, respectively.</w:t>
      </w:r>
    </w:p>
    <w:p>
      <w:pPr>
        <w:spacing w:after="0" w:line="13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When applicable, as lessee, we classify our leases of land and building as operating or capital leases. We are required to use judgment and make estimates in determining the lease term, the estimated economic life of the property and the interest rate to be used in determining whether or not the lease meets the qualification of a capital lease and is recorded as an asset.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Acquisitions</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Upon acquisition of operating real estate properties, we estimate the fair value of assets and liabilities acquired including land, building, improvements, leasing costs, intangibles such as in-place leases, assumed debt, and current assets and liabilities, if any. Based on these estimates, we allocate the purchase price to the applicable assets and liabilities. We utilize methods similar to those used by independent appraisers in estimating the fair value of acquired assets and liabilities. The value allocated to in-place leases is amortized over the related lease term and reflected as rental income in the statement of operations.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 and Impairment</w:t>
      </w:r>
    </w:p>
    <w:p>
      <w:pPr>
        <w:spacing w:after="0" w:line="9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including residual value, to the current net book value of the property. If the undiscounted cash flows are less than the net book value, the property is written down to expected fair value.</w:t>
      </w:r>
    </w:p>
    <w:p>
      <w:pPr>
        <w:spacing w:after="0" w:line="10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Actual results could be significantly different from the estimates. These estimates have a direct impact on net income, because recording an impairment charge results in a negative adjustment to net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Any difference between our estimate of a potential loss and the actual outcome would result in an increase or decrease to net income.</w:t>
      </w:r>
    </w:p>
    <w:p>
      <w:pPr>
        <w:spacing w:after="0" w:line="13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addition, we reserve for estimated losses, if any, associated with warranties given to a buyer at the time an asset is sold or other potential liabilities relating to that sale, taking any insurance policies into account. These warranties may extend up to ten years and the calculation of potential liability requires significant judgment. If changes in facts and circumstances indicate that warranty reserves are understated, we will accrue additional reserves at such time a liability has been incurred and the costs can be reasonably estimated. Warranty reserves are released once the legal liability period has expired or all related work has been substantially completed. Any changes to our estimated warranty losses would result in an increase or decrease in net income.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6" w:right="2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w:t>
      </w:r>
    </w:p>
    <w:p>
      <w:pPr>
        <w:spacing w:after="0" w:line="9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projected to be incurred but not yet reported. Management considers a number of factors, including third-party actuarial analysis, previous experience in our portfolio, and future increases in costs of claims, when making these determinations. If our liability costs differ from these accruals, it will increase or decrease our net income.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Recently Issued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Significant Property Acquisitions and Dispositions</w:t>
      </w:r>
    </w:p>
    <w:p>
      <w:pPr>
        <w:spacing w:after="0" w:line="17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January 2015, we acquired a controlling interest in San Antonio Center, a 376,000 square foot shopping center in Mountain View, California based on a total value of $62.2 million. Our effective interest approximates 80% and was funded by the assumption of our share of $18.7 million of mortgage debt, 58,000 downREIT operating partnership units, and $27 million of cash. A portion of the land is controlled under a long-term ground lease. Approximately $8.1 million of assets acquired were allocated to lease intangibles and included within other assets. Approximately $19.1 million was allocated to lease intangibles primarily related to "below market leases," and is included within other liabilities. Additionally, $16.3 million was allocated to noncontrolling interests. We incurred $1.8 million of acquisition costs, of which $1.1 million were incurred in 2015, and included in "general and administrative expense" in 2015 and 2014.</w:t>
      </w:r>
    </w:p>
    <w:p>
      <w:pPr>
        <w:spacing w:after="0" w:line="58" w:lineRule="exact"/>
        <w:rPr>
          <w:sz w:val="20"/>
          <w:szCs w:val="20"/>
          <w:color w:val="auto"/>
        </w:rPr>
      </w:pPr>
    </w:p>
    <w:p>
      <w:pPr>
        <w:ind w:right="780"/>
        <w:spacing w:after="0" w:line="263" w:lineRule="auto"/>
        <w:rPr>
          <w:sz w:val="20"/>
          <w:szCs w:val="20"/>
          <w:color w:val="auto"/>
        </w:rPr>
      </w:pPr>
      <w:r>
        <w:rPr>
          <w:rFonts w:ascii="Arial" w:cs="Arial" w:eastAsia="Arial" w:hAnsi="Arial"/>
          <w:sz w:val="18"/>
          <w:szCs w:val="18"/>
          <w:color w:val="auto"/>
        </w:rPr>
        <w:t>On February 25, 2015, we acquired the interest of one of the noncontrolling interest holders in The Grove at Shrewsbury for $8.8 million. As this noncontrolling interest was mandatorily redeemable, it was classified as a liability and was included in "other liabilities and deferred credits" on the accompanying December 31, 2014 consolidated balance sheet.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On April 24, 2015, we sold our Houston Street property in San Antonio, Texas for a sales price of $46.1 million, resulting in a gain of $11.5 million.</w:t>
      </w:r>
    </w:p>
    <w:p>
      <w:pPr>
        <w:spacing w:after="0" w:line="10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On May 4, 2015, we acquired CocoWalk, a 198,000 square foot retail property located in the Coconut Grove neighborhood of Miami, Florida for $87.5 million. The acquisition was completed through a newly formed entity ("CocoWalk LLC") for which we own a preferred interest and an 80% common interest. Approximately $1.5 million and $4.3 million of net assets acquired were allocated to other assets for "above market leases," and other liabilities for "below market leases," respectively. Additionally, approximately $6.9 million was allocated to noncontrolling interests. On July 1, 2015 and December 16, 2015, we acquired partial interests in eight buildings in the Coconut Grove neighborhood of Miami, Florida for $7.8 million through our CocoWalk LLC entity. In total, we incurred $1.1 million in acquisition costs which are included in "general and administrative expenses" in 2015.</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On July 8, 2015 we acquired a parcel of land adjacent to our Pike 7 Plaza property for $5.0 million.</w:t>
      </w:r>
    </w:p>
    <w:p>
      <w:pPr>
        <w:spacing w:after="0" w:line="90"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On October 1, 2015, we acquired The Shops at Sunset Place, a 515,000 square foot mixed-use property located in South Miami, Florida based on a gross value of $110.2 million. The acquisition was completed through a newly formed entity for which we own an 85% interest. Approximately $4.8 million and $6.6 million of net assets acquired were allocated to other assets for "above market leases," and other liabilities for "below market leases," respectively. Additionally, approximately $6.3 million was allocated to noncontrolling interests. We incurred $0.9 million of acquisition costs, which are included in "general and administrative expenses" in 2015. The transaction includes the assumption of an existing $70.8 million mortgage loan.</w:t>
      </w:r>
    </w:p>
    <w:p>
      <w:pPr>
        <w:spacing w:after="0" w:line="26" w:lineRule="exact"/>
        <w:rPr>
          <w:sz w:val="20"/>
          <w:szCs w:val="20"/>
          <w:color w:val="auto"/>
        </w:rPr>
      </w:pPr>
    </w:p>
    <w:p>
      <w:pPr>
        <w:ind w:right="200"/>
        <w:spacing w:after="0" w:line="391" w:lineRule="auto"/>
        <w:rPr>
          <w:sz w:val="20"/>
          <w:szCs w:val="20"/>
          <w:color w:val="auto"/>
        </w:rPr>
      </w:pPr>
      <w:r>
        <w:rPr>
          <w:rFonts w:ascii="Arial" w:cs="Arial" w:eastAsia="Arial" w:hAnsi="Arial"/>
          <w:sz w:val="18"/>
          <w:szCs w:val="18"/>
          <w:color w:val="auto"/>
        </w:rPr>
        <w:t xml:space="preserve">On November 19, 2015, we sold our Courtyard Shops property in Wellington, Florida for a sales price of $52.8 million, resulting in a gain of $16.8 million. </w:t>
      </w:r>
      <w:r>
        <w:rPr>
          <w:rFonts w:ascii="Arial" w:cs="Arial" w:eastAsia="Arial" w:hAnsi="Arial"/>
          <w:sz w:val="18"/>
          <w:szCs w:val="18"/>
          <w:b w:val="1"/>
          <w:bCs w:val="1"/>
          <w:color w:val="auto"/>
        </w:rPr>
        <w:t>Subsequent Event - 2016 Property Acquisition</w:t>
      </w:r>
    </w:p>
    <w:p>
      <w:pPr>
        <w:spacing w:after="0" w:line="259" w:lineRule="auto"/>
        <w:rPr>
          <w:sz w:val="20"/>
          <w:szCs w:val="20"/>
          <w:color w:val="auto"/>
        </w:rPr>
      </w:pPr>
      <w:r>
        <w:rPr>
          <w:rFonts w:ascii="Arial" w:cs="Arial" w:eastAsia="Arial" w:hAnsi="Arial"/>
          <w:sz w:val="18"/>
          <w:szCs w:val="18"/>
          <w:color w:val="auto"/>
        </w:rPr>
        <w:t>On January 13, 2016, we acquired our partner's 70% equity interest in our joint venture arrangement with affiliates of a discretionary fund created and advised by Clarion Partners (“Clarion”), for $153.7 million, which includes $130 million of cash and the assumption of three interest only mortgage loans with a total principal balance of $34.4 million. With the acquisition, we gained control of the six underlying properties, which will be consolidated as of the acquisition date.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6" w:right="25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Significant Debt and Equity Transactions</w:t>
      </w:r>
    </w:p>
    <w:p>
      <w:pPr>
        <w:spacing w:after="0" w:line="9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connection with the acquisition of San Antonio Center in January 2015, we assumed a mortgage loan with a face amount of $18.7 million and a fair value of $19.3 million. The mortgage loan bore interest at 5.27%, and had an original maturity date of January 1, 2016. On November 2, 2015, we repaid the mortgage loan at par for $18.1 million.</w:t>
      </w:r>
    </w:p>
    <w:p>
      <w:pPr>
        <w:spacing w:after="0" w:line="1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March 16, 2015, we issued $200.0 million aggregate principal amount of 4.50% senior unsecured notes due December 1, 2044. The notes were offered at 105.38% of the principal amount with a yield to maturity of 4.18%. The notes have the same terms and are of the same series as the $250.0 million senior notes issued on November 14, 2014. Our net proceeds from the March note offering after issuance premium, underwriting fees and other costs were $208.6 million. The proceeds were used on April 11, 2015 to repay our $200.0 million 6.20% notes prior to the original maturity date of January 15, 2017. The redemption price of $222.2 million included a make-whole premium of $19.2 million and accrued but unpaid interest of $3.0 million. The make-whole premium is included in "early extinguishment of debt" in 2015.</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On August 3, 2015 we repaid the following mortgage loans, which had a weighted average interest rate of 7.9%, at par prior to their maturity date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1, 2015:</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9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ind w:right="192"/>
              <w:spacing w:after="0"/>
              <w:rPr>
                <w:sz w:val="20"/>
                <w:szCs w:val="20"/>
                <w:color w:val="auto"/>
              </w:rPr>
            </w:pPr>
            <w:r>
              <w:rPr>
                <w:rFonts w:ascii="Arial" w:cs="Arial" w:eastAsia="Arial" w:hAnsi="Arial"/>
                <w:sz w:val="16"/>
                <w:szCs w:val="16"/>
                <w:b w:val="1"/>
                <w:bCs w:val="1"/>
                <w:color w:val="auto"/>
                <w:w w:val="95"/>
              </w:rPr>
              <w:t>Principal Payoff Amount</w:t>
            </w:r>
          </w:p>
        </w:tc>
      </w:tr>
      <w:tr>
        <w:trPr>
          <w:trHeight w:val="33"/>
        </w:trPr>
        <w:tc>
          <w:tcPr>
            <w:tcW w:w="9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7"/>
        </w:trPr>
        <w:tc>
          <w:tcPr>
            <w:tcW w:w="9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ind w:right="632"/>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9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Barracks Road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Brick Plaza</w:t>
            </w:r>
          </w:p>
        </w:tc>
        <w:tc>
          <w:tcPr>
            <w:tcW w:w="200" w:type="dxa"/>
            <w:vAlign w:val="bottom"/>
          </w:tcPr>
          <w:p>
            <w:pPr>
              <w:spacing w:after="0"/>
              <w:rPr>
                <w:sz w:val="21"/>
                <w:szCs w:val="21"/>
                <w:color w:val="auto"/>
              </w:rPr>
            </w:pP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25.9</w:t>
            </w:r>
          </w:p>
        </w:tc>
      </w:tr>
      <w:tr>
        <w:trPr>
          <w:trHeight w:val="27"/>
        </w:trPr>
        <w:tc>
          <w:tcPr>
            <w:tcW w:w="9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Wynnewood</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Lawrence Park</w:t>
            </w:r>
          </w:p>
        </w:tc>
        <w:tc>
          <w:tcPr>
            <w:tcW w:w="200" w:type="dxa"/>
            <w:vAlign w:val="bottom"/>
          </w:tcPr>
          <w:p>
            <w:pPr>
              <w:spacing w:after="0"/>
              <w:rPr>
                <w:sz w:val="21"/>
                <w:szCs w:val="21"/>
                <w:color w:val="auto"/>
              </w:rPr>
            </w:pP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25.0</w:t>
            </w:r>
          </w:p>
        </w:tc>
      </w:tr>
      <w:tr>
        <w:trPr>
          <w:trHeight w:val="27"/>
        </w:trPr>
        <w:tc>
          <w:tcPr>
            <w:tcW w:w="9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Wildwood</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Hauppauge</w:t>
            </w:r>
          </w:p>
        </w:tc>
        <w:tc>
          <w:tcPr>
            <w:tcW w:w="200" w:type="dxa"/>
            <w:vAlign w:val="bottom"/>
          </w:tcPr>
          <w:p>
            <w:pPr>
              <w:spacing w:after="0"/>
              <w:rPr>
                <w:sz w:val="21"/>
                <w:szCs w:val="21"/>
                <w:color w:val="auto"/>
              </w:rPr>
            </w:pP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13.3</w:t>
            </w:r>
          </w:p>
        </w:tc>
      </w:tr>
      <w:tr>
        <w:trPr>
          <w:trHeight w:val="27"/>
        </w:trPr>
        <w:tc>
          <w:tcPr>
            <w:tcW w:w="9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6"/>
        </w:trPr>
        <w:tc>
          <w:tcPr>
            <w:tcW w:w="90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147.0</w:t>
            </w:r>
          </w:p>
        </w:tc>
      </w:tr>
      <w:tr>
        <w:trPr>
          <w:trHeight w:val="27"/>
        </w:trPr>
        <w:tc>
          <w:tcPr>
            <w:tcW w:w="9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r>
    </w:tbl>
    <w:p>
      <w:pPr>
        <w:spacing w:after="0" w:line="20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September 28, 2015, we issued $250.0 million of fixed rate senior notes that mature on January 15, 2021 and bear interest at 2.55%. The net proceeds from this note offering after issuance discounts, underwriting fees, and other costs were approximately $247.5 million.</w:t>
      </w:r>
    </w:p>
    <w:p>
      <w:pPr>
        <w:spacing w:after="0" w:line="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connection with the acquisition of The Shops at Sunset Place on October 1, 2015, we assumed a mortgage loan with a face amount of $70.8 million and a fair value of $76.5 million. The mortgage loan bears interest at 5.62% and has a maturity date of September 1, 2020.</w:t>
      </w:r>
    </w:p>
    <w:p>
      <w:pPr>
        <w:spacing w:after="0" w:line="1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May 11, 2015 we replaced our existing at the market (“ATM”) equity program with a new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of outstanding under our revolving credit facility and/or for general corporate purposes. For the three months ended December 31, 2015, we issued 63,007 common shares at a weighted average price per share of $144.54 for net cash proceeds of $9.0 million and paid $0.1 million in commissions and less than $0.1 million in additional offering expenses related to the sales of these common shares. For the year ended December 31, 2015, we issued 813,414 common shares at a weighted average price per share of $135.01 for net cash proceeds of $108.5 million and paid $1.1 million in commissions and $0.2 million in additional offering expenses related to the sales of these common shares. As of December 31, 2015, we had the capacity to issue up to $190.2 million in common shares under our ATM equity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2"/>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We have generally continued to see an encouraging operating environment for many of our tenants as well as strong levels of interest from prospective tenants for our retail spaces. While there can be no assurance that these conditions will continue, we believe the locations of our centers and diverse tenant base partially mitigates any negative changes in the economic environment. However, any significant reduction in our tenants' abilities to pay base rent, percentage rent or other charges, will adversely affect our financial condition and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6" w:right="25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results of operations. We seek to maintain a mix of strong national, regional, and local retailers. At December 31, 2015, no single tenant accounted for more than 2.9% of annualized base rent.</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properties are located primarily in densely populated and/or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In 2016, we expect to have redevelopment projects stabilizing with projected costs of approximately $154 million.</w:t>
      </w:r>
    </w:p>
    <w:p>
      <w:pPr>
        <w:spacing w:after="0" w:line="13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continue our ongoing redevelopment efforts at Santana Row, and are currently proceeding with our next phase of redevelopment which is a six story building with 234,500 square feet of office space and 670 parking spaces. During the third quarter 2015, we executed a lease with Splunk Inc. for the entire building. The building is expected to cost between $110 and $115 million and stabilize in 2017. After current phases, we have approximately 9 acres remaining for further redevelopment and entitlements in place for an additional 395 residential units and 634,000 square feet of commercial space. Additionally, we control an additional 12 acres of land adjacent to Santana Row.</w:t>
      </w:r>
    </w:p>
    <w:p>
      <w:pPr>
        <w:spacing w:after="0" w:line="13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continue to invest in the development at Assembly Row which is a long-term multi-phased mixed-use development project we expect to be involved in over the coming years. The carrying value of the development portion of this project at December 31, 2015 is approximately $395 million. The project currently has zoning entitlements to build 3.4 million square feet of commercial-use buildings, 1,843 residential units, and a 170 room hotel. The first phase consists of approximately 331,000 square feet of retail space and 98,000 square feet of office space (both owned by the Trust) and 445 residential units owned by AvalonBay Communities. The Massachusetts Bay Transit Authority (MBTA) constructed the new orange line T-Stop at the property, which opened in September 2014. Minimal amounts of construction remain to be completed on the first phase. The retail space in Phase I opened during 2014 and currently is 100% leased. Additionally, as of December 31, 2015, 74,000 square feet of office space is open, and we expect the remainder to open through the first half of 2016. Phase I is expected to stabilize in 2016. Total expected costs for Phase I of Assembly Row, net of reimbursements expected, range from $194 million to $196 million, of which $193 million has been incurred to date.</w:t>
      </w:r>
    </w:p>
    <w:p>
      <w:pPr>
        <w:spacing w:after="0" w:line="1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also proceeding with development of Phase II of Assembly Row which will include 167,000 square feet of retail space, a 160 room boutique hotel and 447 residential units. The hotel will be owned and operated by a joint venture in which we will be a partner. Total expected costs range from $270 million to $285 million and stabilization is expected in 2018/2019. Construction commenced on Phase II in July 2015. Phase II is also expected to include 134 for-sale condominium units with an expected total cost of $70 million to $75 million. Additionally, as part of the second phase, we entered into a ground lease agreement with Partners HealthCare to bring more than 700,000 square feet of office space to Assembly Row. The ground lease agreement includes a purchase option. Partners HealthCare commenced construction on this new building in September 2014 and plans to relocate over 4,500 employees to Assembly Row starting in 2016.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invested $41 million in Assembly Row in 2015 and expect to invest between $100 million and $125 million in Assembly Row in 2016.</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Pike &amp; Rose project in North Bethesda, MD, a long-term multi-phased mixed-use development project, currently has zoning entitlements to build 1.6 million square feet of commercial-use buildings and 1,605 residential units. Phase I of Pike &amp; Rose includes 493 residential units, 157,000 square feet of retail space and 79,000 square feet of office space. In late June 2014, our 174 unit residential building opened and achieved stabilized occupancy in the 1st quarter 2015. As of December 31, 2015, 132,000 square feet of the retail space and 45,000 square feet of the office space in Phase I is open, and in July the first tenants moved into our 319 unit residential building. We expect the remaining retail, office and 319 unit residential building to open in early 2016, and expect Phase I to stabilize in 2016. Total expected costs for Phase I of Pike &amp; Rose range from $265 million to $270 million of which $259 million has been incurred to date.</w:t>
      </w:r>
    </w:p>
    <w:p>
      <w:pPr>
        <w:spacing w:after="0" w:line="13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Additionally, we are proceeding with development of Phase II of Pike &amp; Rose and building construction has commenced. Phase II will include approximately 190,000 square feet of retail space, a 177 room select-service hotel and 272 residential units, as well as a pre-leased auto dealership building. Total expected costs range from $200 million to $207 million and stabilization is expected in 2018/2019. The hotel will be owned and operated by a joint venture in which we will be a partner. Phase II is also expected to include 104 for-sale condominium units with an expected cost of $53 million to $58 million. We invested $88 million in Pike &amp; Rose in 2015 and expect to invest between $105 million and $130 million in Pike &amp; Rose in 2016.</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6" w:right="25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downREIT units as well as through new or assumed mortgages.</w:t>
      </w:r>
    </w:p>
    <w:p>
      <w:pPr>
        <w:spacing w:after="0" w:line="12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December 31, 2015, the leasable square feet in our properties was 93.5% occupied and 94.3%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 For the year ended December 31, 2015 and the comparison of 2015 and 2014, all or a portion of 77 properties were considered same-center and fourteen properties were considered redevelopment or expansion. For the year ended December 31, 2015, three properties were moved from acquisition to same-center, three properties were moved from same-center to redevelopment, two properties were removed from same-center as they were sold during 2015, and one property was moved from redevelopment to same-center, compared to the designations as of December 31, 2014. For the year ended December 31, 2014 and the comparison of 2014 and 2013, all or a portion of 78 properties were considered same-center and thirteen properties were considered redevelopment or expansion. For the year ended December 31, 2014, two properties were moved from same-center to redevelopment, one property was moved from redevelopment to same-center, and one property was moved from redevelopment as it was vacant and was demolished in 2014, compared to the designations as of December 31, 2013. While there is judgment surrounding changes in designations, we typically move redevelopment properties to same-center once they have stabilized, which is typically considered 95% occupancy or when the growth expected from the redevelopment has been included in the comparable periods. We typically remove properties from same center when the redevelopment has or is expected to have a significant impact to property operating income within the calendar year. Acquisitions are moved to same-center once we have owned the property for the entirety of comparable periods and the property is not under significant redevelopment or expansion.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6" w:right="25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2015 COMPARED TO YEAR ENDED DECEMBER 31, 2014</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r>
      <w:tr>
        <w:trPr>
          <w:trHeight w:val="263"/>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Dollars</w:t>
            </w: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6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727,812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666,322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61,490</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11,810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14,758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(2,948)</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6"/>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744,012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686,090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57,922</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147,593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135,417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12,176</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85,824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76,506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9,318</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3"/>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233,417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211,923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21,494</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36"/>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510,595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474,167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36,428</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173</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1,388</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(8,527)</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80.9 %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(174,796)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(170,814)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(3,982)</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3"/>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(320,501)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(306,279)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(14,222)</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36"/>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190,094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167,888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22,206</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23,929</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543.7 %</w:t>
            </w:r>
          </w:p>
        </w:tc>
      </w:tr>
      <w:tr>
        <w:trPr>
          <w:trHeight w:val="236"/>
        </w:trPr>
        <w:tc>
          <w:tcPr>
            <w:tcW w:w="58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218,424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172,289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46,135</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210,219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164,535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45,684</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Total property revenue increased $57.9 million, or 8.4%, to $744.0 million in 2015 compared to $686.1 million in 2014. The percentage occupied at our shopping centers decreased to 93.5% at December 31, 2015 compared to 94.7% at December 31, 2014. Changes in the components of property revenue are discussed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$61.5 million, or 9.2%, to $727.8 million in 2015 compared to $666.3 million in 2014 due primarily to the following:</w:t>
      </w:r>
    </w:p>
    <w:p>
      <w:pPr>
        <w:spacing w:after="0" w:line="8" w:lineRule="exact"/>
        <w:rPr>
          <w:sz w:val="20"/>
          <w:szCs w:val="20"/>
          <w:color w:val="auto"/>
        </w:rPr>
      </w:pPr>
    </w:p>
    <w:p>
      <w:pPr>
        <w:ind w:left="1700" w:right="280" w:hanging="802"/>
        <w:spacing w:after="0" w:line="277" w:lineRule="auto"/>
        <w:tabs>
          <w:tab w:leader="none" w:pos="1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$22.1 million from Assembly Row and Pike &amp; Rose as portions of both projects opened beginning in second quarter 2014 through 2015,</w:t>
      </w:r>
    </w:p>
    <w:p>
      <w:pPr>
        <w:spacing w:after="0" w:line="7" w:lineRule="exact"/>
        <w:rPr>
          <w:rFonts w:ascii="Arial" w:cs="Arial" w:eastAsia="Arial" w:hAnsi="Arial"/>
          <w:sz w:val="18"/>
          <w:szCs w:val="18"/>
          <w:color w:val="auto"/>
        </w:rPr>
      </w:pPr>
    </w:p>
    <w:p>
      <w:pPr>
        <w:ind w:left="1700" w:hanging="802"/>
        <w:spacing w:after="0"/>
        <w:tabs>
          <w:tab w:leader="none" w:pos="1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$16.6 million attributable to properties acquired in 2015 and 2014,</w:t>
      </w:r>
    </w:p>
    <w:p>
      <w:pPr>
        <w:spacing w:after="0" w:line="62" w:lineRule="exact"/>
        <w:rPr>
          <w:rFonts w:ascii="Arial" w:cs="Arial" w:eastAsia="Arial" w:hAnsi="Arial"/>
          <w:sz w:val="18"/>
          <w:szCs w:val="18"/>
          <w:color w:val="auto"/>
        </w:rPr>
      </w:pPr>
    </w:p>
    <w:p>
      <w:pPr>
        <w:ind w:left="1700" w:right="480" w:hanging="802"/>
        <w:spacing w:after="0" w:line="263" w:lineRule="auto"/>
        <w:tabs>
          <w:tab w:leader="none" w:pos="1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$15.7 million at same-center properties due primarily to higher rental rates of approximately $10.0 million, a $4.0 million increase in recovery income (primarily the result of reimbursements for higher real estate taxes and other tenant reimbursables), and occupancy impacts of approximately $0.8 million, and</w:t>
      </w:r>
    </w:p>
    <w:p>
      <w:pPr>
        <w:spacing w:after="0" w:line="20" w:lineRule="exact"/>
        <w:rPr>
          <w:rFonts w:ascii="Arial" w:cs="Arial" w:eastAsia="Arial" w:hAnsi="Arial"/>
          <w:sz w:val="18"/>
          <w:szCs w:val="18"/>
          <w:color w:val="auto"/>
        </w:rPr>
      </w:pPr>
    </w:p>
    <w:p>
      <w:pPr>
        <w:ind w:left="1700" w:right="460" w:hanging="802"/>
        <w:spacing w:after="0" w:line="277" w:lineRule="auto"/>
        <w:tabs>
          <w:tab w:leader="none" w:pos="1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$10.4 million at redevelopment properties due primarily to the lease-up of our new 212 unit residential building at Santana Row and the lease-up of four of our retail redevelopments,</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280" w:hanging="802"/>
        <w:spacing w:after="0" w:line="277" w:lineRule="auto"/>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decrease of $3.8 million due to the sale of our Houston Street and Courtyard Shops properties in April 2015 and November 2015, respectively.</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6" w:right="2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Property Income</w:t>
      </w:r>
    </w:p>
    <w:p>
      <w:pPr>
        <w:spacing w:after="0" w:line="63" w:lineRule="exact"/>
        <w:rPr>
          <w:sz w:val="20"/>
          <w:szCs w:val="20"/>
          <w:color w:val="auto"/>
        </w:rPr>
      </w:pPr>
    </w:p>
    <w:p>
      <w:pPr>
        <w:jc w:val="both"/>
        <w:ind w:left="60" w:right="80"/>
        <w:spacing w:after="0" w:line="286" w:lineRule="auto"/>
        <w:rPr>
          <w:sz w:val="20"/>
          <w:szCs w:val="20"/>
          <w:color w:val="auto"/>
        </w:rPr>
      </w:pPr>
      <w:r>
        <w:rPr>
          <w:rFonts w:ascii="Arial" w:cs="Arial" w:eastAsia="Arial" w:hAnsi="Arial"/>
          <w:sz w:val="17"/>
          <w:szCs w:val="17"/>
          <w:color w:val="auto"/>
        </w:rPr>
        <w:t>Other property income decreased $2.9 million, or 20.0%, to $11.8 million in 2015 compared to $14.8 million in 2014. Included in other property income are items which, although recurring, inherently tend to fluctuate more than rental income from period to period, such as lease termination fees. This decrease is primarily due to lower lease termination and other fees at our same-center and redevelopment properties.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Total property expenses increased $21.5 million, or 10.1%, to $233.4 million in 2015 compared to $211.9 million in 2014. Changes in the components of property expenses are discussed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Rental expenses increased $12.2 million, or 9.0%, to $147.6 million in 2015 compared to $135.4 million in 2014. This increase is primarily due to the following:</w:t>
      </w:r>
    </w:p>
    <w:p>
      <w:pPr>
        <w:spacing w:after="0" w:line="8" w:lineRule="exact"/>
        <w:rPr>
          <w:sz w:val="20"/>
          <w:szCs w:val="20"/>
          <w:color w:val="auto"/>
        </w:rPr>
      </w:pPr>
    </w:p>
    <w:p>
      <w:pPr>
        <w:ind w:left="1700" w:hanging="802"/>
        <w:spacing w:after="0"/>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of $5.3 million related to properties acquired in 2015 and 2014,</w:t>
      </w:r>
    </w:p>
    <w:p>
      <w:pPr>
        <w:spacing w:after="0" w:line="62" w:lineRule="exact"/>
        <w:rPr>
          <w:rFonts w:ascii="Arial" w:cs="Arial" w:eastAsia="Arial" w:hAnsi="Arial"/>
          <w:sz w:val="18"/>
          <w:szCs w:val="18"/>
          <w:color w:val="auto"/>
        </w:rPr>
      </w:pPr>
    </w:p>
    <w:p>
      <w:pPr>
        <w:ind w:left="1700" w:right="460" w:hanging="802"/>
        <w:spacing w:after="0" w:line="277" w:lineRule="auto"/>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of $4.3 million related to Assembly Row and Pike &amp; Rose, as portions of these projects opened beginning in second quarter 2014,</w:t>
      </w:r>
    </w:p>
    <w:p>
      <w:pPr>
        <w:spacing w:after="0" w:line="7" w:lineRule="exact"/>
        <w:rPr>
          <w:rFonts w:ascii="Arial" w:cs="Arial" w:eastAsia="Arial" w:hAnsi="Arial"/>
          <w:sz w:val="18"/>
          <w:szCs w:val="18"/>
          <w:color w:val="auto"/>
        </w:rPr>
      </w:pPr>
    </w:p>
    <w:p>
      <w:pPr>
        <w:ind w:left="1700" w:right="100" w:hanging="802"/>
        <w:spacing w:after="0" w:line="277" w:lineRule="auto"/>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of $3.2 million in repairs and maintenance expenses at same-center and redevelopment properties primarily due to higher snow removal costs, and</w:t>
      </w:r>
    </w:p>
    <w:p>
      <w:pPr>
        <w:spacing w:after="0" w:line="7" w:lineRule="exact"/>
        <w:rPr>
          <w:rFonts w:ascii="Arial" w:cs="Arial" w:eastAsia="Arial" w:hAnsi="Arial"/>
          <w:sz w:val="18"/>
          <w:szCs w:val="18"/>
          <w:color w:val="auto"/>
        </w:rPr>
      </w:pPr>
    </w:p>
    <w:p>
      <w:pPr>
        <w:ind w:left="1700" w:hanging="802"/>
        <w:spacing w:after="0"/>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of $0.6 million in utilities at our same-center properties,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240" w:hanging="802"/>
        <w:spacing w:after="0" w:line="277" w:lineRule="auto"/>
        <w:tabs>
          <w:tab w:leader="none" w:pos="1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decrease of $1.2 million due to the sale of our Houston Street and Courtyard Shops properties in April 2015 and November 2015, respectively.</w:t>
      </w:r>
    </w:p>
    <w:p>
      <w:pPr>
        <w:spacing w:after="0" w:line="116" w:lineRule="exact"/>
        <w:rPr>
          <w:sz w:val="20"/>
          <w:szCs w:val="20"/>
          <w:color w:val="auto"/>
        </w:rPr>
      </w:pPr>
    </w:p>
    <w:p>
      <w:pPr>
        <w:ind w:right="480"/>
        <w:spacing w:after="0" w:line="307" w:lineRule="auto"/>
        <w:rPr>
          <w:sz w:val="20"/>
          <w:szCs w:val="20"/>
          <w:color w:val="auto"/>
        </w:rPr>
      </w:pPr>
      <w:r>
        <w:rPr>
          <w:rFonts w:ascii="Arial" w:cs="Arial" w:eastAsia="Arial" w:hAnsi="Arial"/>
          <w:sz w:val="17"/>
          <w:szCs w:val="17"/>
          <w:color w:val="auto"/>
        </w:rPr>
        <w:t>As a result of the changes in rental income and rental expenses as discussed above, rental expenses as a percentage of rental income plus other property income increased to 20.0% for the year ended December 31, 2015 from 19.9% for the year ended December 31,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Real estate tax expense increased $9.3 million, or 12.2% to $85.8 million in 2015 compared to $76.5 million in 2014 due primarily to Assembly Row and Pike &amp; Rose, higher assessments at our same-center and redevelopment properties, and properties acquired in 2015 and 2014, partially offset by the sale of our Houston Street and Courtyard Shops properties in April 2015 and November 2015,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Property operating income increased $36.4 million, or 7.7%, to $510.6 million in 2015 compared to $474.2 million in 2014. This increase is primarily due to portions of Assembly Row and Pike &amp; Rose opening beginning in second quarter 2014, growth in earnings at same-center and redevelopment properties, and properties acquired in 2015 and 2014, partially offset by the sale of our Houston Street and Courtyard Shops properties in April 2015 and November 2015,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decreased $1.4 million, or 1.5%, to $92.6 million in 2015 compared to $93.9 million in 2014. This decrease is due primarily to the following:</w:t>
      </w:r>
    </w:p>
    <w:p>
      <w:pPr>
        <w:spacing w:after="0" w:line="86" w:lineRule="exact"/>
        <w:rPr>
          <w:sz w:val="20"/>
          <w:szCs w:val="20"/>
          <w:color w:val="auto"/>
        </w:rPr>
      </w:pPr>
    </w:p>
    <w:p>
      <w:pPr>
        <w:ind w:left="1700" w:hanging="802"/>
        <w:spacing w:after="0"/>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decrease of $12.2 million due to a lower overall weighted average borrowing rate, 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2"/>
        <w:spacing w:after="0"/>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of $8.1 million due to higher borrowings.</w:t>
      </w:r>
    </w:p>
    <w:p>
      <w:pPr>
        <w:spacing w:after="0" w:line="62" w:lineRule="exact"/>
        <w:rPr>
          <w:rFonts w:ascii="Arial" w:cs="Arial" w:eastAsia="Arial" w:hAnsi="Arial"/>
          <w:sz w:val="18"/>
          <w:szCs w:val="18"/>
          <w:color w:val="auto"/>
        </w:rPr>
      </w:pPr>
    </w:p>
    <w:p>
      <w:pPr>
        <w:ind w:left="1700" w:right="420" w:hanging="802"/>
        <w:spacing w:after="0" w:line="277" w:lineRule="auto"/>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decrease of $2.8 million in capitalized interest due primarily to Phase I of Assembly Row and Pike &amp; Rose, as portions of both projects opened beginning second quarter 2014.</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Gross interest costs were $110.7 million and $114.9 million in 2015 and 2014, respectively. Capitalized interest was $18.1 million and $21.0 million in 2015 and 2014, respectively.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6" w:right="27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$19.1 million early extinguishment of debt in 2015 relates to the make-whole premium paid as part of the early redemption of our 6.20% senior notes, partially offset by the related net write-off of unamortized premium and debt fees.</w:t>
      </w:r>
    </w:p>
    <w:p>
      <w:pPr>
        <w:spacing w:after="0" w:line="35"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The $10.5 million early extinguishment of debt in 2014 relates to the make-whole premium paid as part of the early redemption of our 5.65% senior notes, the prepayment premium on our East Bay Bridge mortgage loan, and the related write-off of unamortized debt fees and mortgage premium balance.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General and administrative expense increased $3.3 million, or 10.3%, to $35.6 million in 2015 from $32.3 million in 2014. This increase is primarily due to higher personnel related costs and higher transaction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Depreciation and amortization expense increased $4.0 million, or 2.3%, to $174.8 million in 2015 from $170.8 million in 2014. This increase is due primarily to depreciation on Assembly Row and Pike &amp; Rose and properties acquired in 2015, partially offset by accelerated depreciation in 2014 due to the change in use of a redevelopment property.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$28.3 million gain on sale of real estate for 2015 is due to the sale of our Houston Street property in April 2015 and the sale of our Courtyard Shops property in November 2015.</w:t>
      </w:r>
    </w:p>
    <w:p>
      <w:pPr>
        <w:spacing w:after="0" w:line="3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$4.4 million gain on sale of real estate for 2014 is due to our portion of the gain resulting from the Partnership's sale of the fee interest in Pleasant Shops in Weymouth, Massachusetts.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6" w:right="25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2014 COMPARED TO YEAR ENDED DECEMBER 31, 2013</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3"/>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666,322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620,089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46,233</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14,758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12,169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2,589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6"/>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686,090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637,413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48,677</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135,417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118,695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16,722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76,506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71,759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4,747</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3"/>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211,923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190,454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21,469</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r>
      <w:tr>
        <w:trPr>
          <w:trHeight w:val="236"/>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474,167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446,959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27,208</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11,036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2,759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(170,814)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(160,828)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(9,986)</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3"/>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(306,279)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2,869</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6"/>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167,888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137,811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30,077</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Discontinued operations - gain on sale of real estate</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23,861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(23,861)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6"/>
        </w:trPr>
        <w:tc>
          <w:tcPr>
            <w:tcW w:w="58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172,289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167,608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4,681</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57.4 %</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164,535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162,681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1,854</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Total property revenue increased $48.7 million, or 7.6%, to $686.1 million in 2014 compared to $637.4 million in 2013. The percentage occupied at our shopping centers decreased to 94.7% at December 31, 2014 compared to 95.1% at December 31, 2013. Changes in the components of property revenue are discussed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$46.2 million, or 7.5%, to $666.3 million in 2014 compared to $620.1 million in 2013 due primarily to the following:</w:t>
      </w:r>
    </w:p>
    <w:p>
      <w:pPr>
        <w:spacing w:after="0" w:line="8" w:lineRule="exact"/>
        <w:rPr>
          <w:sz w:val="20"/>
          <w:szCs w:val="20"/>
          <w:color w:val="auto"/>
        </w:rPr>
      </w:pPr>
    </w:p>
    <w:p>
      <w:pPr>
        <w:ind w:left="1700" w:right="320" w:hanging="802"/>
        <w:spacing w:after="0" w:line="298" w:lineRule="auto"/>
        <w:tabs>
          <w:tab w:leader="none" w:pos="17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increase of $17.7 million at same-center properties due primarily to higher rental rates of approximately $9.4 million and a $7.4 million increase in recovery income (largely the result of reimbursements for higher snow removal costs),</w:t>
      </w:r>
    </w:p>
    <w:p>
      <w:pPr>
        <w:ind w:left="1700" w:hanging="802"/>
        <w:spacing w:after="0"/>
        <w:tabs>
          <w:tab w:leader="none" w:pos="1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of $16.6 million attributable to properties acquired in 2014 and 2013,</w:t>
      </w:r>
    </w:p>
    <w:p>
      <w:pPr>
        <w:spacing w:after="0" w:line="62" w:lineRule="exact"/>
        <w:rPr>
          <w:rFonts w:ascii="Arial" w:cs="Arial" w:eastAsia="Arial" w:hAnsi="Arial"/>
          <w:sz w:val="18"/>
          <w:szCs w:val="18"/>
          <w:color w:val="auto"/>
        </w:rPr>
      </w:pPr>
    </w:p>
    <w:p>
      <w:pPr>
        <w:ind w:left="1700" w:right="560" w:hanging="802"/>
        <w:spacing w:after="0" w:line="277" w:lineRule="auto"/>
        <w:tabs>
          <w:tab w:leader="none" w:pos="1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of $8.0 million at redevelopment properties due primarily to the lease-up of our new 212 unit residential building at Santana Row and the net impact of other redevelopment properties, and</w:t>
      </w:r>
    </w:p>
    <w:p>
      <w:pPr>
        <w:spacing w:after="0" w:line="7" w:lineRule="exact"/>
        <w:rPr>
          <w:rFonts w:ascii="Arial" w:cs="Arial" w:eastAsia="Arial" w:hAnsi="Arial"/>
          <w:sz w:val="18"/>
          <w:szCs w:val="18"/>
          <w:color w:val="auto"/>
        </w:rPr>
      </w:pPr>
    </w:p>
    <w:p>
      <w:pPr>
        <w:ind w:left="1700" w:hanging="802"/>
        <w:spacing w:after="0"/>
        <w:tabs>
          <w:tab w:leader="none" w:pos="1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of $6.4 million from Assembly Row and Pike &amp;Rose as portions of both projects opened in 2014,</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5620" w:right="240" w:hanging="4722"/>
        <w:spacing w:after="0" w:line="558" w:lineRule="auto"/>
        <w:tabs>
          <w:tab w:leader="none" w:pos="1704"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decrease of $1.9 million from Mid-Pike Plaza as the property was demolished in 2014 for the future development of Pike &amp; Rose. 40</w:t>
      </w:r>
    </w:p>
    <w:p>
      <w:pPr>
        <w:sectPr>
          <w:pgSz w:w="11900" w:h="16838" w:orient="portrait"/>
          <w:cols w:equalWidth="0" w:num="1">
            <w:col w:w="11420"/>
          </w:cols>
          <w:pgMar w:left="240" w:top="126" w:right="2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Other property income increased $2.6 million, or 21.3%, to $14.8 million in 2014 compared to $12.2 million in 2013. Included in other property income are items which, although recurring, inherently tend to fluctuate more than rental income from period to period, such as lease termination fees. This increase is primarily due an increase in lease termination fees at same-center properties.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property expenses increased $21.5 million, or 11.3%, to $211.9 million in 2014 compared to $190.5 million in 2013. Changes in the components of property expenses are discussed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Rental expenses increased $16.7 million, or 14.1%, to $135.4 million in 2014 compared to $118.7 million in 2013. This increase is primarily due to the following:</w:t>
      </w:r>
    </w:p>
    <w:p>
      <w:pPr>
        <w:spacing w:after="0" w:line="8" w:lineRule="exact"/>
        <w:rPr>
          <w:sz w:val="20"/>
          <w:szCs w:val="20"/>
          <w:color w:val="auto"/>
        </w:rPr>
      </w:pPr>
    </w:p>
    <w:p>
      <w:pPr>
        <w:ind w:left="1700" w:right="120" w:hanging="802"/>
        <w:spacing w:after="0" w:line="277" w:lineRule="auto"/>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$5.6 million in repairs and maintenance expenses at same-center and redevelopment properties primarily due to higher snow removal costs,</w:t>
      </w:r>
    </w:p>
    <w:p>
      <w:pPr>
        <w:spacing w:after="0" w:line="7" w:lineRule="exact"/>
        <w:rPr>
          <w:rFonts w:ascii="Arial" w:cs="Arial" w:eastAsia="Arial" w:hAnsi="Arial"/>
          <w:sz w:val="18"/>
          <w:szCs w:val="18"/>
          <w:color w:val="auto"/>
        </w:rPr>
      </w:pPr>
    </w:p>
    <w:p>
      <w:pPr>
        <w:ind w:left="1700" w:hanging="802"/>
        <w:spacing w:after="0"/>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$5.4 million related to Assembly Row and Pike &amp; Rose, as portions of these projects opened in 2014,</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$3.2 million related to properties acquired in 2014 and 2013,</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$1.6 million in bad debt expense at same-center properties, and</w:t>
      </w:r>
    </w:p>
    <w:p>
      <w:pPr>
        <w:spacing w:after="0" w:line="62" w:lineRule="exact"/>
        <w:rPr>
          <w:rFonts w:ascii="Arial" w:cs="Arial" w:eastAsia="Arial" w:hAnsi="Arial"/>
          <w:sz w:val="18"/>
          <w:szCs w:val="18"/>
          <w:color w:val="auto"/>
        </w:rPr>
      </w:pPr>
    </w:p>
    <w:p>
      <w:pPr>
        <w:ind w:left="1700" w:hanging="802"/>
        <w:spacing w:after="0" w:line="277" w:lineRule="auto"/>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$0.8 million in utilities at our same-center and redevelopment properties primarily due to higher electric costs and usage as a result of the harsh winter.</w:t>
      </w:r>
    </w:p>
    <w:p>
      <w:pPr>
        <w:spacing w:after="0" w:line="116" w:lineRule="exact"/>
        <w:rPr>
          <w:sz w:val="20"/>
          <w:szCs w:val="20"/>
          <w:color w:val="auto"/>
        </w:rPr>
      </w:pPr>
    </w:p>
    <w:p>
      <w:pPr>
        <w:ind w:right="500"/>
        <w:spacing w:after="0" w:line="307" w:lineRule="auto"/>
        <w:rPr>
          <w:sz w:val="20"/>
          <w:szCs w:val="20"/>
          <w:color w:val="auto"/>
        </w:rPr>
      </w:pPr>
      <w:r>
        <w:rPr>
          <w:rFonts w:ascii="Arial" w:cs="Arial" w:eastAsia="Arial" w:hAnsi="Arial"/>
          <w:sz w:val="17"/>
          <w:szCs w:val="17"/>
          <w:color w:val="auto"/>
        </w:rPr>
        <w:t>As a result of the changes in rental income and rental expenses as discussed above, rental expenses as a percentage of rental income plus other property income increased to 19.9% for the year ended December 31, 2014 from 18.8% for the year ended December 31,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160"/>
        <w:spacing w:after="0" w:line="307" w:lineRule="auto"/>
        <w:rPr>
          <w:sz w:val="20"/>
          <w:szCs w:val="20"/>
          <w:color w:val="auto"/>
        </w:rPr>
      </w:pPr>
      <w:r>
        <w:rPr>
          <w:rFonts w:ascii="Arial" w:cs="Arial" w:eastAsia="Arial" w:hAnsi="Arial"/>
          <w:sz w:val="17"/>
          <w:szCs w:val="17"/>
          <w:color w:val="auto"/>
        </w:rPr>
        <w:t>Real estate tax expense increased $4.7 million, or 6.6% to $76.5 million in 2014 compared to $71.8 million in 2013 due primarily to higher assessments and lower refunds at our same-center and redevelopment properties and real estate taxes on properties acquired in 2014 and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Property operating income increased $27.2 million, or 6.1%, to $474.2 million in 2014 compared to $447.0 million in 2013. This increase is primarily due to growth in earnings at same-center properties, properties acquired in 2014 and 2013, and earnings from our redevelopment properties, partially offset by a decline in earnings at Mid-Pike Plaza, which was demolished in 2014.</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Interest expense decreased $11.0 million, or 10.5%, to $93.9 million in 2014 compared to $105.0 million in 2013. This decrease is due primarily to the following:</w:t>
      </w:r>
    </w:p>
    <w:p>
      <w:pPr>
        <w:spacing w:after="0" w:line="8" w:lineRule="exact"/>
        <w:rPr>
          <w:sz w:val="20"/>
          <w:szCs w:val="20"/>
          <w:color w:val="auto"/>
        </w:rPr>
      </w:pPr>
    </w:p>
    <w:p>
      <w:pPr>
        <w:ind w:left="1700" w:hanging="802"/>
        <w:spacing w:after="0"/>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decrease of $12.0 million due to a lower overall weighted average borrowing rate, and</w:t>
      </w:r>
    </w:p>
    <w:p>
      <w:pPr>
        <w:spacing w:after="0" w:line="62" w:lineRule="exact"/>
        <w:rPr>
          <w:rFonts w:ascii="Arial" w:cs="Arial" w:eastAsia="Arial" w:hAnsi="Arial"/>
          <w:sz w:val="18"/>
          <w:szCs w:val="18"/>
          <w:color w:val="auto"/>
        </w:rPr>
      </w:pPr>
    </w:p>
    <w:p>
      <w:pPr>
        <w:ind w:left="1700" w:right="300" w:hanging="802"/>
        <w:spacing w:after="0" w:line="277" w:lineRule="auto"/>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$4.8 million in capitalized interest due primarily to our ongoing development projects at Assembly Row and Pike &amp; Rose,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2"/>
        <w:spacing w:after="0"/>
        <w:tabs>
          <w:tab w:leader="none" w:pos="1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increase of $5.6 million due to higher borrowings.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Gross interest costs were $114.9 million and $121.2 million in 2014 and 2013, respectively. Capitalized interest was $21.0 million and $16.2 million in 2014 and 2013,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6" w:right="25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spacing w:after="0" w:line="334" w:lineRule="auto"/>
        <w:rPr>
          <w:sz w:val="20"/>
          <w:szCs w:val="20"/>
          <w:color w:val="auto"/>
        </w:rPr>
      </w:pPr>
      <w:r>
        <w:rPr>
          <w:rFonts w:ascii="Arial" w:cs="Arial" w:eastAsia="Arial" w:hAnsi="Arial"/>
          <w:sz w:val="16"/>
          <w:szCs w:val="16"/>
          <w:color w:val="auto"/>
        </w:rPr>
        <w:t>The $10.5 million early extinguishment of debt in 2014 relates to the make-whole premium paid as part of the early redemption of our 5.65% senior notes, the prepayment premium on our East Bay Bridge mortgage loan, and the related write-off of unamortized debt fees and mortgage premium balance.</w:t>
      </w:r>
    </w:p>
    <w:p>
      <w:pPr>
        <w:spacing w:after="0" w:line="1" w:lineRule="exact"/>
        <w:rPr>
          <w:sz w:val="20"/>
          <w:szCs w:val="20"/>
          <w:color w:val="auto"/>
        </w:rPr>
      </w:pPr>
    </w:p>
    <w:p>
      <w:pPr>
        <w:ind w:right="240"/>
        <w:spacing w:after="0" w:line="307" w:lineRule="auto"/>
        <w:rPr>
          <w:sz w:val="20"/>
          <w:szCs w:val="20"/>
          <w:color w:val="auto"/>
        </w:rPr>
      </w:pPr>
      <w:r>
        <w:rPr>
          <w:rFonts w:ascii="Arial" w:cs="Arial" w:eastAsia="Arial" w:hAnsi="Arial"/>
          <w:sz w:val="17"/>
          <w:szCs w:val="17"/>
          <w:color w:val="auto"/>
        </w:rPr>
        <w:t>The $13.3 million early extinguishment of debt in 2013 relates to the make-whole premiums paid as part of the early redemption of our 5.40% senior notes and 5.95% senior notes, the prepayment premium on our 7.5% mortgage loans, and the related write-off of unamortized debt fees.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Depreciation and amortization expense increased $10.0 million, or 6.2%, to $170.8 million in 2014 from $160.8 million in 2013. This increase is due primarily to 2014 acquisitions and redevelopment projects placed in service during 2014, partially offset by accelerated depreciation in 2013 due to the change in use of a redevelopment property.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Income</w:t>
      </w:r>
    </w:p>
    <w:p>
      <w:pPr>
        <w:spacing w:after="0" w:line="9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Income from discontinued operations represents the operating income of properties that were disposed prior to January 1, 2014, which were required to be reported separately from results of ongoing operations. The reported operating income of $0.9 million for 2013 primarily represents the operating income for the period during which we owned properties sold in 2013.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Operations—Gain on Sale of Real Estate</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$23.9 million gain on sale of real estate from discontinued operations for 2013 is due to the sale of the fee interest in our final building at Fifth Avenue on July 22, 2013 and the sale of the fee interest in our building in Forest Hills on September 10,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$4.4 million gain on sale of real estate for 2014 is due to our portion of the gain resulting from the Partnership's sale of the fee interest in Pleasant Shops in Weymouth, Massachusetts.</w:t>
      </w:r>
    </w:p>
    <w:p>
      <w:pPr>
        <w:spacing w:after="0" w:line="3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$5.0 million gain on sale of real estate for 2013 is primarily due to the sale of the fee interest in the land under an office building at our Village of Shirlington property in Arlington, Virginia, that was subject to a long term ground lease. The ground lease included an option for the tenant to purchase the fee interest.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9"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3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At December 31, 2015, we had $21.0 million of cash and cash equivalents and $53.5 million borrowings outstanding on our $600.0 million revolving credit facility that matures on April 21, 2017, subject to a one-year extension at our option. In addition, we have an option (subject to bank approval) to increase the credit facility through an accordion feature to $1.0 billion. Our $275.0 million unsecured term loan that matures on November 21, 2018, subject to a one-year extension at our option, also has an option (subject to bank approval) to increase the term loan through an accordion feature to $350.0 million. As of December 31, 2015, we had the capacity to issue up to $190.2 million in common shares under our ATM equity program.</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For 2015, the maximum amount of borrowings outstanding under our revolving credit facility was $324.0 million, the weighted average amount of borrowings outstanding was $109.7 million and the weighted average interest rate, before amortization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6" w:right="25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debt fees, was 1.1%. During 2015, we accessed the public debt markets twice, issuing $200 million of 4.50% senior notes in March 2015, that mature on December 1, 2044 and in September 2015, issuing $250 million of 2.55% senior notes that mature on January 15, 2021. The net proceeds of these two offerings after net issuance premium, underwriting fees, and other costs were approximately $456.2 million. We used the net proceeds from these transactions to redeem our 6.20% senior notes prior to their original maturity date of January 15, 2017, and repay $147 million of mortgage debt that had a weighted average interest rate of 7.9%. During 2016, we have only $9.4 million of debt maturing.</w:t>
      </w:r>
    </w:p>
    <w:p>
      <w:pPr>
        <w:spacing w:after="0" w:line="191" w:lineRule="exact"/>
        <w:rPr>
          <w:sz w:val="20"/>
          <w:szCs w:val="20"/>
          <w:color w:val="auto"/>
        </w:rPr>
      </w:pPr>
    </w:p>
    <w:p>
      <w:pPr>
        <w:ind w:right="240"/>
        <w:spacing w:after="0" w:line="307" w:lineRule="auto"/>
        <w:rPr>
          <w:sz w:val="20"/>
          <w:szCs w:val="20"/>
          <w:color w:val="auto"/>
        </w:rPr>
      </w:pPr>
      <w:r>
        <w:rPr>
          <w:rFonts w:ascii="Arial" w:cs="Arial" w:eastAsia="Arial" w:hAnsi="Arial"/>
          <w:sz w:val="17"/>
          <w:szCs w:val="17"/>
          <w:color w:val="auto"/>
        </w:rPr>
        <w:t>We currently believe that cash flows from operations, cash on hand, our ATM equity program, our revolving credit facility and our general ability to access the capital markets will be sufficient to finance our operations and fund our debt service requirements and capital expenditures.</w:t>
      </w:r>
    </w:p>
    <w:p>
      <w:pPr>
        <w:spacing w:after="0" w:line="9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overall capital requirements during 2016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continue to see higher levels of capital investments in our properties under development and redevelopment which is the result of construction on Phase II at both Assembly Row and Pike &amp; Rose and construction of the 234,500 square foot office building at Santana Row.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2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60" w:hanging="802"/>
        <w:spacing w:after="0" w:line="250" w:lineRule="auto"/>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2"/>
        <w:spacing w:after="0"/>
        <w:tabs>
          <w:tab w:leader="none" w:pos="17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359,835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346,130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(353,763)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(396,150)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provided by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(32,977)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9,044</w:t>
            </w:r>
          </w:p>
        </w:tc>
      </w:tr>
      <w:tr>
        <w:trPr>
          <w:trHeight w:val="236"/>
        </w:trPr>
        <w:tc>
          <w:tcPr>
            <w:tcW w:w="8580" w:type="dxa"/>
            <w:vAlign w:val="bottom"/>
          </w:tcPr>
          <w:p>
            <w:pPr>
              <w:ind w:left="40"/>
              <w:spacing w:after="0"/>
              <w:rPr>
                <w:sz w:val="20"/>
                <w:szCs w:val="20"/>
                <w:color w:val="auto"/>
              </w:rPr>
            </w:pPr>
            <w:r>
              <w:rPr>
                <w:rFonts w:ascii="Arial" w:cs="Arial" w:eastAsia="Arial" w:hAnsi="Arial"/>
                <w:sz w:val="18"/>
                <w:szCs w:val="18"/>
                <w:color w:val="auto"/>
              </w:rPr>
              <w:t>Decrease in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(26,905)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(40,976)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47,951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88,927</w:t>
            </w:r>
          </w:p>
        </w:tc>
      </w:tr>
      <w:tr>
        <w:trPr>
          <w:trHeight w:val="236"/>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end of year</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21,046</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47,951</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ind w:right="60"/>
        <w:spacing w:after="0" w:line="307" w:lineRule="auto"/>
        <w:rPr>
          <w:sz w:val="20"/>
          <w:szCs w:val="20"/>
          <w:color w:val="auto"/>
        </w:rPr>
      </w:pPr>
      <w:r>
        <w:rPr>
          <w:rFonts w:ascii="Arial" w:cs="Arial" w:eastAsia="Arial" w:hAnsi="Arial"/>
          <w:sz w:val="17"/>
          <w:szCs w:val="17"/>
          <w:color w:val="auto"/>
        </w:rPr>
        <w:t>Net cash provided by operating activities increased $13.7 million to $359.8 million during 2015 from $346.1 million during 2014. The increase was primarily attributable to higher net income before certain non-cash items, partially offset by the timing of interest payments and other operating costs.</w:t>
      </w:r>
    </w:p>
    <w:p>
      <w:pPr>
        <w:spacing w:after="0" w:line="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cash used in investing activities decreased $42.4 million to $353.8 million during 2015 from $396.2 million during 2014. The decrease in net cash used was primarily attributable to:</w:t>
      </w:r>
    </w:p>
    <w:p>
      <w:pPr>
        <w:spacing w:after="0" w:line="278" w:lineRule="exact"/>
        <w:rPr>
          <w:sz w:val="20"/>
          <w:szCs w:val="20"/>
          <w:color w:val="auto"/>
        </w:rPr>
      </w:pPr>
    </w:p>
    <w:p>
      <w:pPr>
        <w:ind w:left="1700" w:hanging="802"/>
        <w:spacing w:after="0"/>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$91.3 million decrease in capital investments and leasing costs,</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$87.0 million increase in proceeds from the sale of real estate, as we sold both Houston Street and Courtyard Shops in 2015,</w:t>
      </w:r>
    </w:p>
    <w:p>
      <w:pPr>
        <w:spacing w:after="0" w:line="74" w:lineRule="exact"/>
        <w:rPr>
          <w:rFonts w:ascii="Arial" w:cs="Arial" w:eastAsia="Arial" w:hAnsi="Arial"/>
          <w:sz w:val="17"/>
          <w:szCs w:val="17"/>
          <w:color w:val="auto"/>
        </w:rPr>
      </w:pPr>
    </w:p>
    <w:p>
      <w:pPr>
        <w:ind w:left="1700" w:hanging="802"/>
        <w:spacing w:after="0"/>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$5.3 million increase in repayment of mortgage and other notes receivable, and</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$3.9 million decrease in contributions to real estate partnerships,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6" w:right="2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2"/>
        <w:spacing w:after="0"/>
        <w:tabs>
          <w:tab w:leader="none" w:pos="1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$145.2 million increase in acquisitions of real estate.</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cash provided by financing activities decreased $42.0 million to $33.0 million used during 2015 from $9.0 million provided in 2014. The decrease was primarily attributable to:</w:t>
      </w:r>
    </w:p>
    <w:p>
      <w:pPr>
        <w:spacing w:after="0" w:line="8" w:lineRule="exact"/>
        <w:rPr>
          <w:sz w:val="20"/>
          <w:szCs w:val="20"/>
          <w:color w:val="auto"/>
        </w:rPr>
      </w:pPr>
    </w:p>
    <w:p>
      <w:pPr>
        <w:jc w:val="both"/>
        <w:ind w:left="1700" w:right="120" w:hanging="802"/>
        <w:spacing w:after="0" w:line="263" w:lineRule="auto"/>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$105.3 million decrease in net proceeds from the issuance of common shares due primarily to the sale of 0.8 million shares under our ATM equity program at a weighted average price of $135.01 during 2015 compared to 1.8 million shares at a weighted average price of $122.09 during 2014,</w:t>
      </w:r>
    </w:p>
    <w:p>
      <w:pPr>
        <w:spacing w:after="0" w:line="20" w:lineRule="exact"/>
        <w:rPr>
          <w:rFonts w:ascii="Arial" w:cs="Arial" w:eastAsia="Arial" w:hAnsi="Arial"/>
          <w:sz w:val="18"/>
          <w:szCs w:val="18"/>
          <w:color w:val="auto"/>
        </w:rPr>
      </w:pPr>
    </w:p>
    <w:p>
      <w:pPr>
        <w:ind w:left="1700" w:right="340" w:hanging="802"/>
        <w:spacing w:after="0" w:line="298" w:lineRule="auto"/>
        <w:tabs>
          <w:tab w:leader="none" w:pos="1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$86.9 million increase in repayment of mortgages, capital leases and notes payable primarily due to the payoff of seven mortgages totaling $165.1 million in 2015 compared to the repayment of two mortgages totaling $84.3 million in 2014,</w:t>
      </w:r>
    </w:p>
    <w:p>
      <w:pPr>
        <w:ind w:left="1700" w:right="140" w:hanging="802"/>
        <w:spacing w:after="0" w:line="298" w:lineRule="auto"/>
        <w:tabs>
          <w:tab w:leader="none" w:pos="1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$85.0 million increase due to the redemption of $200.0 million of senior notes with a make-whole premium of $19.2 million in 2015, as compared to the redemption of $125.0 million of senior notes with a make-whole premium of $9.2 million in 2014, and</w:t>
      </w:r>
    </w:p>
    <w:p>
      <w:pPr>
        <w:ind w:left="1700" w:right="600" w:hanging="802"/>
        <w:spacing w:after="0" w:line="277" w:lineRule="auto"/>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$28.1 million increase in dividends paid to shareholders due to an increase in the dividend rate and increased number of shares outstanding,</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20" w:hanging="802"/>
        <w:spacing w:after="0" w:line="263" w:lineRule="auto"/>
        <w:tabs>
          <w:tab w:leader="none" w:pos="1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$211.6 million increase from net proceeds on senior note issuances due to $456.2 million from the re-opening of our 4.5% senior notes in March 2015 and the issuance of 2.55% notes in September 2015 as compared to $244.6 million from our 4.50% senior notes issued in November 2014, and</w:t>
      </w:r>
    </w:p>
    <w:p>
      <w:pPr>
        <w:spacing w:after="0" w:line="20" w:lineRule="exact"/>
        <w:rPr>
          <w:rFonts w:ascii="Arial" w:cs="Arial" w:eastAsia="Arial" w:hAnsi="Arial"/>
          <w:sz w:val="18"/>
          <w:szCs w:val="18"/>
          <w:color w:val="auto"/>
        </w:rPr>
      </w:pPr>
    </w:p>
    <w:p>
      <w:pPr>
        <w:ind w:left="1700" w:hanging="802"/>
        <w:spacing w:after="0"/>
        <w:tabs>
          <w:tab w:leader="none" w:pos="1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$53.5 million increase in net borrowings on our revolving credit facility.</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Commitments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fixed, noncancelable obligations as of December 31, 2015:</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center"/>
              <w:ind w:left="774"/>
              <w:spacing w:after="0"/>
              <w:rPr>
                <w:sz w:val="20"/>
                <w:szCs w:val="20"/>
                <w:color w:val="auto"/>
              </w:rPr>
            </w:pPr>
            <w:r>
              <w:rPr>
                <w:rFonts w:ascii="Arial" w:cs="Arial" w:eastAsia="Arial" w:hAnsi="Arial"/>
                <w:sz w:val="14"/>
                <w:szCs w:val="14"/>
                <w:b w:val="1"/>
                <w:bCs w:val="1"/>
                <w:color w:val="auto"/>
                <w:w w:val="92"/>
              </w:rPr>
              <w:t>Commitments Due by Period</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1240" w:type="dxa"/>
            <w:vAlign w:val="bottom"/>
            <w:gridSpan w:val="2"/>
          </w:tcPr>
          <w:p>
            <w:pPr>
              <w:jc w:val="center"/>
              <w:ind w:right="340"/>
              <w:spacing w:after="0" w:line="152" w:lineRule="exact"/>
              <w:rPr>
                <w:sz w:val="20"/>
                <w:szCs w:val="20"/>
                <w:color w:val="auto"/>
              </w:rPr>
            </w:pPr>
            <w:r>
              <w:rPr>
                <w:rFonts w:ascii="Arial" w:cs="Arial" w:eastAsia="Arial" w:hAnsi="Arial"/>
                <w:sz w:val="14"/>
                <w:szCs w:val="14"/>
                <w:b w:val="1"/>
                <w:bCs w:val="1"/>
                <w:color w:val="auto"/>
                <w:w w:val="89"/>
              </w:rPr>
              <w:t>Less Than</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1-3 Years</w:t>
            </w:r>
          </w:p>
        </w:tc>
        <w:tc>
          <w:tcPr>
            <w:tcW w:w="260" w:type="dxa"/>
            <w:vAlign w:val="bottom"/>
          </w:tcPr>
          <w:p>
            <w:pPr>
              <w:spacing w:after="0"/>
              <w:rPr>
                <w:sz w:val="13"/>
                <w:szCs w:val="13"/>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3-5 Years</w:t>
            </w:r>
          </w:p>
        </w:tc>
        <w:tc>
          <w:tcPr>
            <w:tcW w:w="280" w:type="dxa"/>
            <w:vAlign w:val="bottom"/>
          </w:tcPr>
          <w:p>
            <w:pPr>
              <w:spacing w:after="0"/>
              <w:rPr>
                <w:sz w:val="13"/>
                <w:szCs w:val="13"/>
                <w:color w:val="auto"/>
              </w:rPr>
            </w:pPr>
          </w:p>
        </w:tc>
        <w:tc>
          <w:tcPr>
            <w:tcW w:w="1080" w:type="dxa"/>
            <w:vAlign w:val="bottom"/>
          </w:tcPr>
          <w:p>
            <w:pPr>
              <w:jc w:val="right"/>
              <w:ind w:right="373"/>
              <w:spacing w:after="0" w:line="152" w:lineRule="exact"/>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1 Year</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 debt (principal and interest)(1)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3,536,531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105,776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696,128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389,996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2,344,631</w:t>
            </w:r>
          </w:p>
        </w:tc>
        <w:tc>
          <w:tcPr>
            <w:tcW w:w="0" w:type="dxa"/>
            <w:vAlign w:val="bottom"/>
          </w:tcPr>
          <w:p>
            <w:pPr>
              <w:spacing w:after="0"/>
              <w:rPr>
                <w:sz w:val="1"/>
                <w:szCs w:val="1"/>
                <w:color w:val="auto"/>
              </w:rPr>
            </w:pPr>
          </w:p>
        </w:tc>
      </w:tr>
      <w:tr>
        <w:trPr>
          <w:trHeight w:val="228"/>
        </w:trPr>
        <w:tc>
          <w:tcPr>
            <w:tcW w:w="4120" w:type="dxa"/>
            <w:vAlign w:val="bottom"/>
          </w:tcPr>
          <w:p>
            <w:pPr>
              <w:ind w:left="40"/>
              <w:spacing w:after="0"/>
              <w:rPr>
                <w:sz w:val="20"/>
                <w:szCs w:val="20"/>
                <w:color w:val="auto"/>
              </w:rPr>
            </w:pPr>
            <w:r>
              <w:rPr>
                <w:rFonts w:ascii="Arial" w:cs="Arial" w:eastAsia="Arial" w:hAnsi="Arial"/>
                <w:sz w:val="18"/>
                <w:szCs w:val="18"/>
                <w:color w:val="auto"/>
                <w:w w:val="92"/>
              </w:rPr>
              <w:t>Fixed rate debt - unconsolidated real estate partnership</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(principal and interest)(2)</w:t>
            </w:r>
          </w:p>
        </w:tc>
        <w:tc>
          <w:tcPr>
            <w:tcW w:w="34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10,674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10,674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 (principal and interest)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183,395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154,410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Variable rate debt (principal only)(3)</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62,900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9,400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53,500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171,649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157,324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Real estate commitments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67,500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67,500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Development, redevelopment, and capital improvement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380,682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259,254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121,423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Contractual operating obligations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40,610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20,535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15,666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4,349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Hotel joint venture obligations (4)</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120" w:type="dxa"/>
            <w:vAlign w:val="bottom"/>
          </w:tcPr>
          <w:p>
            <w:pPr>
              <w:ind w:left="40"/>
              <w:spacing w:after="0"/>
              <w:rPr>
                <w:sz w:val="20"/>
                <w:szCs w:val="20"/>
                <w:color w:val="auto"/>
              </w:rPr>
            </w:pPr>
            <w:r>
              <w:rPr>
                <w:rFonts w:ascii="Arial" w:cs="Arial" w:eastAsia="Arial" w:hAnsi="Arial"/>
                <w:sz w:val="18"/>
                <w:szCs w:val="18"/>
                <w:color w:val="auto"/>
              </w:rPr>
              <w:t>Total contractual obligations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4,454,356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414,468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904,024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411,939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2,723,925</w:t>
            </w:r>
          </w:p>
        </w:tc>
        <w:tc>
          <w:tcPr>
            <w:tcW w:w="0" w:type="dxa"/>
            <w:vAlign w:val="bottom"/>
          </w:tcPr>
          <w:p>
            <w:pPr>
              <w:spacing w:after="0"/>
              <w:rPr>
                <w:sz w:val="1"/>
                <w:szCs w:val="1"/>
                <w:color w:val="auto"/>
              </w:rPr>
            </w:pPr>
          </w:p>
        </w:tc>
      </w:tr>
      <w:tr>
        <w:trPr>
          <w:trHeight w:val="27"/>
        </w:trPr>
        <w:tc>
          <w:tcPr>
            <w:tcW w:w="412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Fixed rate debt includes our $275.0 million term loan as the rate is effectively fixed by two interest rate swap agreements.</w:t>
      </w:r>
    </w:p>
    <w:p>
      <w:pPr>
        <w:spacing w:after="0" w:line="62" w:lineRule="exact"/>
        <w:rPr>
          <w:rFonts w:ascii="Arial" w:cs="Arial" w:eastAsia="Arial" w:hAnsi="Arial"/>
          <w:sz w:val="18"/>
          <w:szCs w:val="18"/>
          <w:color w:val="auto"/>
        </w:rPr>
      </w:pPr>
    </w:p>
    <w:p>
      <w:pPr>
        <w:ind w:left="660" w:right="360" w:hanging="328"/>
        <w:spacing w:after="0" w:line="316"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Amounts reflect our share, as of December 31, 2015, of principal and interest payments on our unconsolidated joint venture's fixed rate debt. On January 13, 2016, we acquired our partner's 70% equity interest in the joint venture. Our 2016 obligation after this transaction is $35.6 million.</w:t>
      </w:r>
    </w:p>
    <w:p>
      <w:pPr>
        <w:spacing w:after="0" w:line="1" w:lineRule="exact"/>
        <w:rPr>
          <w:rFonts w:ascii="Arial" w:cs="Arial" w:eastAsia="Arial" w:hAnsi="Arial"/>
          <w:sz w:val="16"/>
          <w:szCs w:val="16"/>
          <w:color w:val="auto"/>
        </w:rPr>
      </w:pPr>
    </w:p>
    <w:p>
      <w:pPr>
        <w:ind w:left="660" w:right="500" w:hanging="328"/>
        <w:spacing w:after="0" w:line="25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Variable rate debt includes a $9.4 million bond that had an interest rate of 0.03% at December 31, 2015 and our revolving credit facility, which currently has $53.5 million outstanding and bears interest at LIBOR plus 0.90%.</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include our share of our hotel joint venture related obligations.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6" w:right="2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amounts set forth in the table above and other liquidity requirements previously discussed, the following potential commitments exist:</w:t>
      </w:r>
    </w:p>
    <w:p>
      <w:pPr>
        <w:spacing w:after="0" w:line="101" w:lineRule="exact"/>
        <w:rPr>
          <w:sz w:val="20"/>
          <w:szCs w:val="20"/>
          <w:color w:val="auto"/>
        </w:rPr>
      </w:pPr>
    </w:p>
    <w:p>
      <w:pPr>
        <w:ind w:right="20" w:firstLine="413"/>
        <w:spacing w:after="0" w:line="279" w:lineRule="auto"/>
        <w:tabs>
          <w:tab w:leader="none" w:pos="649" w:val="left"/>
        </w:tabs>
        <w:numPr>
          <w:ilvl w:val="0"/>
          <w:numId w:val="48"/>
        </w:numPr>
        <w:rPr>
          <w:rFonts w:ascii="Arial" w:cs="Arial" w:eastAsia="Arial" w:hAnsi="Arial"/>
          <w:sz w:val="17"/>
          <w:szCs w:val="17"/>
          <w:color w:val="auto"/>
        </w:rPr>
      </w:pPr>
      <w:r>
        <w:rPr>
          <w:rFonts w:ascii="Arial" w:cs="Arial" w:eastAsia="Arial" w:hAnsi="Arial"/>
          <w:sz w:val="17"/>
          <w:szCs w:val="17"/>
          <w:color w:val="auto"/>
        </w:rPr>
        <w:t>Under the terms of the Congressional Plaza partnership agreement, from and after January 1, 1986, an unaffiliated third party has the right to require us and the other minority partner to purchase its 29.47% interest in Congressional Plaza at the interest’s then-current fair market value. If the other minority partner defaults in their obligation, we must purchase the full interest. Based on management’s current estimate of fair market value as of December 31, 2015, our estimated liability upon exercise of the put option would range from approximately $78 million to $82 million.</w:t>
      </w:r>
    </w:p>
    <w:p>
      <w:pPr>
        <w:spacing w:after="0" w:line="35" w:lineRule="exact"/>
        <w:rPr>
          <w:rFonts w:ascii="Arial" w:cs="Arial" w:eastAsia="Arial" w:hAnsi="Arial"/>
          <w:sz w:val="17"/>
          <w:szCs w:val="17"/>
          <w:color w:val="auto"/>
        </w:rPr>
      </w:pPr>
    </w:p>
    <w:p>
      <w:pPr>
        <w:ind w:right="160" w:firstLine="440"/>
        <w:spacing w:after="0" w:line="279" w:lineRule="auto"/>
        <w:tabs>
          <w:tab w:leader="none" w:pos="686" w:val="left"/>
        </w:tabs>
        <w:numPr>
          <w:ilvl w:val="1"/>
          <w:numId w:val="48"/>
        </w:numPr>
        <w:rPr>
          <w:rFonts w:ascii="Arial" w:cs="Arial" w:eastAsia="Arial" w:hAnsi="Arial"/>
          <w:sz w:val="17"/>
          <w:szCs w:val="17"/>
          <w:color w:val="auto"/>
        </w:rPr>
      </w:pPr>
      <w:r>
        <w:rPr>
          <w:rFonts w:ascii="Arial" w:cs="Arial" w:eastAsia="Arial" w:hAnsi="Arial"/>
          <w:sz w:val="17"/>
          <w:szCs w:val="17"/>
          <w:color w:val="auto"/>
        </w:rPr>
        <w:t>Under the terms of a partnership which owns a project in southern California, if certain leasing and revenue levels are obtained for the property owned by the partnership, the other partner may require us to purchase their 10% partnership interest at a formula price based upon property operating income. The purchase price for the partnership interest will be paid using our common shares or, subject to certain conditions, cash. If the other partner does not redeem their interest, we may choose to purchase the partnership interest upon the same terms.</w:t>
      </w:r>
    </w:p>
    <w:p>
      <w:pPr>
        <w:spacing w:after="0" w:line="35" w:lineRule="exact"/>
        <w:rPr>
          <w:rFonts w:ascii="Arial" w:cs="Arial" w:eastAsia="Arial" w:hAnsi="Arial"/>
          <w:sz w:val="17"/>
          <w:szCs w:val="17"/>
          <w:color w:val="auto"/>
        </w:rPr>
      </w:pPr>
    </w:p>
    <w:p>
      <w:pPr>
        <w:ind w:right="360" w:firstLine="440"/>
        <w:spacing w:after="0" w:line="334" w:lineRule="auto"/>
        <w:tabs>
          <w:tab w:leader="none" w:pos="676" w:val="left"/>
        </w:tabs>
        <w:numPr>
          <w:ilvl w:val="1"/>
          <w:numId w:val="48"/>
        </w:numPr>
        <w:rPr>
          <w:rFonts w:ascii="Arial" w:cs="Arial" w:eastAsia="Arial" w:hAnsi="Arial"/>
          <w:sz w:val="16"/>
          <w:szCs w:val="16"/>
          <w:color w:val="auto"/>
        </w:rPr>
      </w:pPr>
      <w:r>
        <w:rPr>
          <w:rFonts w:ascii="Arial" w:cs="Arial" w:eastAsia="Arial" w:hAnsi="Arial"/>
          <w:sz w:val="16"/>
          <w:szCs w:val="16"/>
          <w:color w:val="auto"/>
        </w:rPr>
        <w:t>Under the terms of various other partnership agreements, the partners have the right to exchange their operating partnership units for cash or the same number of our common shares, at our option. As of December 31, 2015, a total of 934,405 operating partnership units are outstanding.</w:t>
      </w:r>
    </w:p>
    <w:p>
      <w:pPr>
        <w:jc w:val="both"/>
        <w:ind w:right="160" w:firstLine="440"/>
        <w:spacing w:after="0" w:line="259" w:lineRule="auto"/>
        <w:tabs>
          <w:tab w:leader="none" w:pos="686"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other member in Montrose Crossing has the right to require us to purchase all of its 10.1% interest in Montrose Crossing at the interest's then-current fair market value. If the other member fails to exercise its put option, we have the right to purchase its interest on or after December 27, 2021 at fair market value. Based on management’s current estimate of fair market value as of December 31, 2015, our estimated maximum liability upon exercise of the put option would range from approximately $8 million to $9 million.</w:t>
      </w:r>
    </w:p>
    <w:p>
      <w:pPr>
        <w:spacing w:after="0" w:line="50" w:lineRule="exact"/>
        <w:rPr>
          <w:rFonts w:ascii="Arial" w:cs="Arial" w:eastAsia="Arial" w:hAnsi="Arial"/>
          <w:sz w:val="18"/>
          <w:szCs w:val="18"/>
          <w:color w:val="auto"/>
        </w:rPr>
      </w:pPr>
    </w:p>
    <w:p>
      <w:pPr>
        <w:ind w:right="60" w:firstLine="440"/>
        <w:spacing w:after="0" w:line="273" w:lineRule="auto"/>
        <w:tabs>
          <w:tab w:leader="none" w:pos="676" w:val="left"/>
        </w:tabs>
        <w:numPr>
          <w:ilvl w:val="1"/>
          <w:numId w:val="48"/>
        </w:numPr>
        <w:rPr>
          <w:rFonts w:ascii="Arial" w:cs="Arial" w:eastAsia="Arial" w:hAnsi="Arial"/>
          <w:sz w:val="17"/>
          <w:szCs w:val="17"/>
          <w:color w:val="auto"/>
        </w:rPr>
      </w:pPr>
      <w:r>
        <w:rPr>
          <w:rFonts w:ascii="Arial" w:cs="Arial" w:eastAsia="Arial" w:hAnsi="Arial"/>
          <w:sz w:val="17"/>
          <w:szCs w:val="17"/>
          <w:color w:val="auto"/>
        </w:rPr>
        <w:t>Two of the members in Plaza El Segundo have the right to require us to purchase their 10.0% and 11.8% ownership interests at the interests' then-current fair market value. If the members fail to exercise their put options, we have the right to purchase each of their interests on or after December 30, 2026 at fair market value. Based on management’s current estimate of fair market value as of December 31, 2015, our estimated maximum liability upon exercise of the put option would range from approximately $21 million to $24 million. Also, between January 1, 2017 and February 1, 2017, we have an option to purchase the preferred interest of another member in Plaza El Segundo. The purchase price will be the lesser of fair value or the $4.9 million stated value of the preferred interest plus any accrued and unpaid preferred returns.</w:t>
      </w:r>
    </w:p>
    <w:p>
      <w:pPr>
        <w:spacing w:after="0" w:line="41" w:lineRule="exact"/>
        <w:rPr>
          <w:rFonts w:ascii="Arial" w:cs="Arial" w:eastAsia="Arial" w:hAnsi="Arial"/>
          <w:sz w:val="17"/>
          <w:szCs w:val="17"/>
          <w:color w:val="auto"/>
        </w:rPr>
      </w:pPr>
    </w:p>
    <w:p>
      <w:pPr>
        <w:ind w:right="160" w:firstLine="440"/>
        <w:spacing w:after="0" w:line="259" w:lineRule="auto"/>
        <w:tabs>
          <w:tab w:leader="none" w:pos="656" w:val="left"/>
        </w:tabs>
        <w:numPr>
          <w:ilvl w:val="1"/>
          <w:numId w:val="48"/>
        </w:numPr>
        <w:rPr>
          <w:rFonts w:ascii="Arial" w:cs="Arial" w:eastAsia="Arial" w:hAnsi="Arial"/>
          <w:sz w:val="18"/>
          <w:szCs w:val="18"/>
          <w:color w:val="auto"/>
        </w:rPr>
      </w:pPr>
      <w:r>
        <w:rPr>
          <w:rFonts w:ascii="Arial" w:cs="Arial" w:eastAsia="Arial" w:hAnsi="Arial"/>
          <w:sz w:val="18"/>
          <w:szCs w:val="18"/>
          <w:color w:val="auto"/>
        </w:rPr>
        <w:t>Effective January 1, 2017, the other member in The Grove at Shrewsbury and Brook 35 has the right to require us to purchase all of its approximately 4.8% interest in The Grove at Shrewsbury and approximately 8.8% interest in Brook 35 at the interests' then-current fair market value. Based on management's current estimate of fair market value as of December 31, 2015, our estimated maximum liability upon exercise of the put option would range from $9 million to $10 million.</w:t>
      </w:r>
    </w:p>
    <w:p>
      <w:pPr>
        <w:spacing w:after="0" w:line="50" w:lineRule="exact"/>
        <w:rPr>
          <w:rFonts w:ascii="Arial" w:cs="Arial" w:eastAsia="Arial" w:hAnsi="Arial"/>
          <w:sz w:val="18"/>
          <w:szCs w:val="18"/>
          <w:color w:val="auto"/>
        </w:rPr>
      </w:pPr>
    </w:p>
    <w:p>
      <w:pPr>
        <w:ind w:right="140" w:firstLine="440"/>
        <w:spacing w:after="0" w:line="277" w:lineRule="auto"/>
        <w:tabs>
          <w:tab w:leader="none" w:pos="686" w:val="left"/>
        </w:tabs>
        <w:numPr>
          <w:ilvl w:val="1"/>
          <w:numId w:val="48"/>
        </w:numPr>
        <w:rPr>
          <w:rFonts w:ascii="Arial" w:cs="Arial" w:eastAsia="Arial" w:hAnsi="Arial"/>
          <w:sz w:val="18"/>
          <w:szCs w:val="18"/>
          <w:color w:val="auto"/>
        </w:rPr>
      </w:pPr>
      <w:r>
        <w:rPr>
          <w:rFonts w:ascii="Arial" w:cs="Arial" w:eastAsia="Arial" w:hAnsi="Arial"/>
          <w:sz w:val="18"/>
          <w:szCs w:val="18"/>
          <w:color w:val="auto"/>
        </w:rPr>
        <w:t>At December 31, 2015, we had letters of credit outstanding of approximately $13.0 million which are collateral for existing indebtedness and other obligations of the Trust.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At December 31, 2015, we had a joint venture arrangement (the “Partnership”) with affiliates of a discretionary fund created and advised by Clarion Partners (“Clarion”). We owned 30% of the equity in the Partnership and Clarion owned 70%. We held a general partnership interest, however, Clarion also held a general partnership interest and had substantive participating rights. We could not make significant decisions without Clarion’s approval. Accordingly, we accounted for our interest in the Partnership using the equity method. As of December 31, 2015, the Partnership owned six retail real estate properties. We were the manager of the Partnership and its properties, earning fees for acquisitions, management, leasing and financing. We also had the opportunity to receive performance-based earnings through our Partnership interest. Accounting policies for the Partnership were similar to accounting policies followed by the Trust. At December 31, 2015, our investment in the Partnership was $31.7 million and the Partnership had $34.4 million of mortgages payable outstanding.</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On January 13, 2016, we acquired Clarion's 70% interest and assumed the related mortgage obligations.</w:t>
      </w:r>
    </w:p>
    <w:p>
      <w:pPr>
        <w:spacing w:after="0" w:line="9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Other than the joint venture described above and items disclosed in the Contractual Commitments Table, we have no off-balance sheet arrangements as of December 31, 2015 that are reasonably likely to have a current or future material effect on our financial condition, revenues or expenses, results of operations, liquidity, capital expenditures or capital resources.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6" w:right="25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December 31, 2015:</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80" w:type="dxa"/>
            <w:vAlign w:val="bottom"/>
          </w:tcPr>
          <w:p>
            <w:pPr>
              <w:jc w:val="center"/>
              <w:ind w:right="20"/>
              <w:spacing w:after="0"/>
              <w:rPr>
                <w:sz w:val="20"/>
                <w:szCs w:val="20"/>
                <w:color w:val="auto"/>
              </w:rPr>
            </w:pPr>
            <w:r>
              <w:rPr>
                <w:rFonts w:ascii="Arial" w:cs="Arial" w:eastAsia="Arial" w:hAnsi="Arial"/>
                <w:sz w:val="14"/>
                <w:szCs w:val="14"/>
                <w:b w:val="1"/>
                <w:bCs w:val="1"/>
                <w:color w:val="auto"/>
                <w:w w:val="94"/>
              </w:rPr>
              <w:t>Original</w:t>
            </w:r>
          </w:p>
        </w:tc>
        <w:tc>
          <w:tcPr>
            <w:tcW w:w="120" w:type="dxa"/>
            <w:vAlign w:val="bottom"/>
          </w:tcPr>
          <w:p>
            <w:pPr>
              <w:spacing w:after="0"/>
              <w:rPr>
                <w:sz w:val="14"/>
                <w:szCs w:val="14"/>
                <w:color w:val="auto"/>
              </w:rPr>
            </w:pPr>
          </w:p>
        </w:tc>
        <w:tc>
          <w:tcPr>
            <w:tcW w:w="15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2"/>
              </w:rPr>
              <w:t>Principal Balance as of</w:t>
            </w:r>
          </w:p>
        </w:tc>
        <w:tc>
          <w:tcPr>
            <w:tcW w:w="100" w:type="dxa"/>
            <w:vAlign w:val="bottom"/>
          </w:tcPr>
          <w:p>
            <w:pPr>
              <w:spacing w:after="0"/>
              <w:rPr>
                <w:sz w:val="14"/>
                <w:szCs w:val="14"/>
                <w:color w:val="auto"/>
              </w:rPr>
            </w:pP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Stated Interest Rate as of</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4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Debt</w:t>
            </w: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16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148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Issued</w:t>
            </w:r>
          </w:p>
        </w:tc>
        <w:tc>
          <w:tcPr>
            <w:tcW w:w="120" w:type="dxa"/>
            <w:vAlign w:val="bottom"/>
          </w:tcPr>
          <w:p>
            <w:pPr>
              <w:spacing w:after="0"/>
              <w:rPr>
                <w:sz w:val="16"/>
                <w:szCs w:val="16"/>
                <w:color w:val="auto"/>
              </w:rPr>
            </w:pPr>
          </w:p>
        </w:tc>
        <w:tc>
          <w:tcPr>
            <w:tcW w:w="1580" w:type="dxa"/>
            <w:vAlign w:val="bottom"/>
          </w:tcPr>
          <w:p>
            <w:pPr>
              <w:jc w:val="right"/>
              <w:ind w:right="180"/>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2015</w:t>
            </w: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180" w:type="dxa"/>
            <w:vAlign w:val="bottom"/>
            <w:tcBorders>
              <w:top w:val="single" w:sz="8" w:color="auto"/>
            </w:tcBorders>
            <w:gridSpan w:val="3"/>
          </w:tcPr>
          <w:p>
            <w:pPr>
              <w:jc w:val="right"/>
              <w:ind w:right="82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 (1)</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160"/>
              <w:spacing w:after="0"/>
              <w:rPr>
                <w:sz w:val="20"/>
                <w:szCs w:val="20"/>
                <w:color w:val="auto"/>
              </w:rPr>
            </w:pPr>
            <w:r>
              <w:rPr>
                <w:rFonts w:ascii="Arial" w:cs="Arial" w:eastAsia="Arial" w:hAnsi="Arial"/>
                <w:sz w:val="16"/>
                <w:szCs w:val="16"/>
                <w:i w:val="1"/>
                <w:iCs w:val="1"/>
                <w:color w:val="auto"/>
              </w:rPr>
              <w:t>Secured fixed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Plaza El Segundo</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5, 2017</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The Grove at Shrewsbury (East)</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43,557</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October 1, 2017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Grove at Shrewsbury (West)</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11,024</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1, 2018</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Rollingwood Apartments</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24,050</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21,716</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Shops at Sunset Place</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70,542</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2020</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29th Place</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4,753</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AVENUE at White Marsh</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52,705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52,705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Montrose Crossing</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80,000</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74,329</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Brook 35</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11,500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Chelsea</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6,868</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471,994</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920"/>
              <w:spacing w:after="0"/>
              <w:rPr>
                <w:sz w:val="20"/>
                <w:szCs w:val="20"/>
                <w:color w:val="auto"/>
              </w:rPr>
            </w:pPr>
            <w:r>
              <w:rPr>
                <w:rFonts w:ascii="Arial" w:cs="Arial" w:eastAsia="Arial" w:hAnsi="Arial"/>
                <w:sz w:val="16"/>
                <w:szCs w:val="16"/>
                <w:color w:val="auto"/>
              </w:rPr>
              <w:t>Net unamortized premium</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10,828</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mortgages payable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482,822</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Notes payable</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rPr>
              <w:t>Unsecured fixed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Term Loan (2)</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6"/>
                <w:szCs w:val="16"/>
                <w:color w:val="auto"/>
              </w:rPr>
              <w:t>LIBOR + 0.90%</w:t>
            </w:r>
          </w:p>
        </w:tc>
        <w:tc>
          <w:tcPr>
            <w:tcW w:w="2160" w:type="dxa"/>
            <w:vAlign w:val="bottom"/>
          </w:tcPr>
          <w:p>
            <w:pPr>
              <w:jc w:val="right"/>
              <w:spacing w:after="0"/>
              <w:rPr>
                <w:sz w:val="20"/>
                <w:szCs w:val="20"/>
                <w:color w:val="auto"/>
              </w:rPr>
            </w:pPr>
            <w:r>
              <w:rPr>
                <w:rFonts w:ascii="Arial" w:cs="Arial" w:eastAsia="Arial" w:hAnsi="Arial"/>
                <w:sz w:val="16"/>
                <w:szCs w:val="16"/>
                <w:color w:val="auto"/>
              </w:rPr>
              <w:t>November 21, 2018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7,239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223"/>
        </w:trPr>
        <w:tc>
          <w:tcPr>
            <w:tcW w:w="4120" w:type="dxa"/>
            <w:vAlign w:val="bottom"/>
          </w:tcPr>
          <w:p>
            <w:pPr>
              <w:ind w:left="160"/>
              <w:spacing w:after="0"/>
              <w:rPr>
                <w:sz w:val="20"/>
                <w:szCs w:val="20"/>
                <w:color w:val="auto"/>
              </w:rPr>
            </w:pPr>
            <w:r>
              <w:rPr>
                <w:rFonts w:ascii="Arial" w:cs="Arial" w:eastAsia="Arial" w:hAnsi="Arial"/>
                <w:sz w:val="16"/>
                <w:szCs w:val="16"/>
                <w:i w:val="1"/>
                <w:iCs w:val="1"/>
                <w:color w:val="auto"/>
              </w:rPr>
              <w:t>Unsecured variable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Escondido (municipal bonds) (3)</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9,400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October 1, 2016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Revolving credit facility (4)</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600,000</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53,500</w:t>
            </w:r>
          </w:p>
        </w:tc>
        <w:tc>
          <w:tcPr>
            <w:tcW w:w="100" w:type="dxa"/>
            <w:vAlign w:val="bottom"/>
          </w:tcPr>
          <w:p>
            <w:pPr>
              <w:spacing w:after="0"/>
              <w:rPr>
                <w:sz w:val="20"/>
                <w:szCs w:val="20"/>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6"/>
                <w:szCs w:val="16"/>
                <w:color w:val="auto"/>
              </w:rPr>
              <w:t>LIBOR + 0.90%</w:t>
            </w:r>
          </w:p>
        </w:tc>
        <w:tc>
          <w:tcPr>
            <w:tcW w:w="2160" w:type="dxa"/>
            <w:vAlign w:val="bottom"/>
          </w:tcPr>
          <w:p>
            <w:pPr>
              <w:jc w:val="right"/>
              <w:spacing w:after="0"/>
              <w:rPr>
                <w:sz w:val="20"/>
                <w:szCs w:val="20"/>
                <w:color w:val="auto"/>
              </w:rPr>
            </w:pPr>
            <w:r>
              <w:rPr>
                <w:rFonts w:ascii="Arial" w:cs="Arial" w:eastAsia="Arial" w:hAnsi="Arial"/>
                <w:sz w:val="16"/>
                <w:szCs w:val="16"/>
                <w:color w:val="auto"/>
              </w:rPr>
              <w:t>April 21, 2017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notes payable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343,600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rPr>
              <w:t>Unsecured fixed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5.90% notes</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150,000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April 1, 2020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2.55% notes</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2021</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3.00% notes</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250,000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2.75% notes</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275,000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3.95% notes</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300,000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7.48% debentures</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29,200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6.82% medium term notes</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40,000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4.50% notes</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450,000</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217"/>
        </w:trPr>
        <w:tc>
          <w:tcPr>
            <w:tcW w:w="4120" w:type="dxa"/>
            <w:vAlign w:val="bottom"/>
          </w:tcPr>
          <w:p>
            <w:pPr>
              <w:ind w:left="700"/>
              <w:spacing w:after="0"/>
              <w:rPr>
                <w:sz w:val="20"/>
                <w:szCs w:val="20"/>
                <w:color w:val="auto"/>
              </w:rPr>
            </w:pPr>
            <w:r>
              <w:rPr>
                <w:rFonts w:ascii="Arial" w:cs="Arial" w:eastAsia="Arial" w:hAnsi="Arial"/>
                <w:sz w:val="16"/>
                <w:szCs w:val="16"/>
                <w:color w:val="auto"/>
              </w:rPr>
              <w:t>Subtotal</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1,744,200</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premium</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700"/>
              <w:spacing w:after="0"/>
              <w:rPr>
                <w:sz w:val="20"/>
                <w:szCs w:val="20"/>
                <w:color w:val="auto"/>
              </w:rPr>
            </w:pPr>
            <w:r>
              <w:rPr>
                <w:rFonts w:ascii="Arial" w:cs="Arial" w:eastAsia="Arial" w:hAnsi="Arial"/>
                <w:sz w:val="16"/>
                <w:szCs w:val="16"/>
                <w:color w:val="auto"/>
              </w:rPr>
              <w:t>Total senior notes and debentures</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1,744,324</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600"/>
              <w:spacing w:after="0"/>
              <w:rPr>
                <w:sz w:val="20"/>
                <w:szCs w:val="20"/>
                <w:color w:val="auto"/>
              </w:rPr>
            </w:pPr>
            <w:r>
              <w:rPr>
                <w:rFonts w:ascii="Arial" w:cs="Arial" w:eastAsia="Arial" w:hAnsi="Arial"/>
                <w:sz w:val="16"/>
                <w:szCs w:val="16"/>
                <w:color w:val="auto"/>
              </w:rPr>
              <w:t>Various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71,620</w:t>
            </w:r>
          </w:p>
        </w:tc>
        <w:tc>
          <w:tcPr>
            <w:tcW w:w="100" w:type="dxa"/>
            <w:vAlign w:val="bottom"/>
          </w:tcPr>
          <w:p>
            <w:pPr>
              <w:spacing w:after="0"/>
              <w:rPr>
                <w:sz w:val="20"/>
                <w:szCs w:val="20"/>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6"/>
                <w:szCs w:val="16"/>
                <w:color w:val="auto"/>
              </w:rPr>
              <w:t>Various</w:t>
            </w:r>
          </w:p>
        </w:tc>
        <w:tc>
          <w:tcPr>
            <w:tcW w:w="2160" w:type="dxa"/>
            <w:vAlign w:val="bottom"/>
          </w:tcPr>
          <w:p>
            <w:pPr>
              <w:jc w:val="right"/>
              <w:spacing w:after="0"/>
              <w:rPr>
                <w:sz w:val="20"/>
                <w:szCs w:val="20"/>
                <w:color w:val="auto"/>
              </w:rPr>
            </w:pPr>
            <w:r>
              <w:rPr>
                <w:rFonts w:ascii="Arial" w:cs="Arial" w:eastAsia="Arial" w:hAnsi="Arial"/>
                <w:sz w:val="16"/>
                <w:szCs w:val="16"/>
                <w:color w:val="auto"/>
              </w:rPr>
              <w:t>Various through 2106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2,642,366</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40" w:hanging="652"/>
        <w:spacing w:after="0" w:line="316"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Mortgages payable do not include our 30% share ($10.3 million) of the $34.4 million debt of the partnership with a discretionary fund created and advised by Clarion Partners. On January 13, 2016, we acquired Clarion's 70% joint venture interest and assumed 100% of the related debt.</w:t>
      </w:r>
    </w:p>
    <w:p>
      <w:pPr>
        <w:spacing w:after="0" w:line="1" w:lineRule="exact"/>
        <w:rPr>
          <w:rFonts w:ascii="Arial" w:cs="Arial" w:eastAsia="Arial" w:hAnsi="Arial"/>
          <w:sz w:val="16"/>
          <w:szCs w:val="16"/>
          <w:color w:val="auto"/>
        </w:rPr>
      </w:pPr>
    </w:p>
    <w:p>
      <w:pPr>
        <w:ind w:left="660" w:right="180" w:hanging="652"/>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entered into two interest rate swap agreements that fix the LIBOR portion of the interest rate on the term loan at 1.72%. The spread on the term loan is 90 basis points resulting in a fixed rate of 2.62%.</w:t>
      </w:r>
    </w:p>
    <w:p>
      <w:pPr>
        <w:spacing w:after="0" w:line="7" w:lineRule="exact"/>
        <w:rPr>
          <w:rFonts w:ascii="Arial" w:cs="Arial" w:eastAsia="Arial" w:hAnsi="Arial"/>
          <w:sz w:val="18"/>
          <w:szCs w:val="18"/>
          <w:color w:val="auto"/>
        </w:rPr>
      </w:pPr>
    </w:p>
    <w:p>
      <w:pPr>
        <w:ind w:left="660" w:right="460" w:hanging="652"/>
        <w:spacing w:after="0" w:line="316"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bonds require monthly interest only payments through maturity. The bonds bear interest at a variable rate determined weekly, which would enable the bonds to be remarketed at 100% of their principal amount. The Escondido Promenade property is not encumbered by a lien.</w:t>
      </w:r>
    </w:p>
    <w:p>
      <w:pPr>
        <w:spacing w:after="0" w:line="1" w:lineRule="exact"/>
        <w:rPr>
          <w:rFonts w:ascii="Arial" w:cs="Arial" w:eastAsia="Arial" w:hAnsi="Arial"/>
          <w:sz w:val="16"/>
          <w:szCs w:val="16"/>
          <w:color w:val="auto"/>
        </w:rPr>
      </w:pPr>
    </w:p>
    <w:p>
      <w:pPr>
        <w:ind w:left="660" w:right="140" w:hanging="652"/>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2015 was $324.0 million and the weighted average effective interest rate on borrowings under our revolving credit facility, before amortization of debt fees, was 1.09%.</w:t>
      </w:r>
    </w:p>
    <w:p>
      <w:pPr>
        <w:sectPr>
          <w:pgSz w:w="11900" w:h="16838" w:orient="portrait"/>
          <w:cols w:equalWidth="0" w:num="1">
            <w:col w:w="11420"/>
          </w:cols>
          <w:pgMar w:left="240" w:top="126" w:right="239" w:bottom="546"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6" w:right="239" w:bottom="546" w:gutter="0" w:footer="0" w:header="0"/>
          <w:type w:val="continuous"/>
        </w:sectPr>
      </w:pPr>
    </w:p>
    <w:bookmarkStart w:id="46" w:name="page47"/>
    <w:bookmarkEnd w:id="46"/>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Our revolving credit facility, term loan and other debt agreements include financial and other covenants that may limit our operating activities in the future. As of December 31, 2015,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December 31, 2015:</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Secured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9,812</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15,511</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53,957</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(1)</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222,469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276,460</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275,507</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291,021</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561</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25,006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25,609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150,623</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64,687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215,356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1,597,340</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138,690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71,427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1,807,457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2,087,800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471,994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71,620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2,631,414</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40" w:hanging="652"/>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$600.0 million revolving credit facility matures on April 21, 2017, subject to a one-year extension at our option. As of December 31, 2015, there was $53.5 million outstanding under this credit facility.</w:t>
      </w:r>
    </w:p>
    <w:p>
      <w:pPr>
        <w:spacing w:after="0" w:line="7"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or discount on certain mortgage loans and senior notes as of December 31,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(loss) income which is included in accumulated other comprehensive loss on our consolidated balance sheet and our consolidated statement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 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1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of December 31, 2015, we are party to two interest rate swap agreements that effectively fixed the rate on the term loan at 2.62%. Both swaps were designated and qualified as cash flow hedges and were recorded at fair value. Hedge ineffectiveness has not impacted earnings in 2015, 2014 and 2013, and we do not anticipate it will have a significant effect in the future.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9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6" w:right="2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real estate related depreciation and amortization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9" w:lineRule="exact"/>
        <w:rPr>
          <w:sz w:val="20"/>
          <w:szCs w:val="20"/>
          <w:color w:val="auto"/>
        </w:rPr>
      </w:pPr>
    </w:p>
    <w:p>
      <w:pPr>
        <w:ind w:left="1700" w:right="440" w:hanging="802"/>
        <w:spacing w:after="0" w:line="277" w:lineRule="auto"/>
        <w:tabs>
          <w:tab w:leader="none" w:pos="1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7" w:lineRule="exact"/>
        <w:rPr>
          <w:rFonts w:ascii="Arial" w:cs="Arial" w:eastAsia="Arial" w:hAnsi="Arial"/>
          <w:sz w:val="18"/>
          <w:szCs w:val="18"/>
          <w:color w:val="auto"/>
        </w:rPr>
      </w:pPr>
    </w:p>
    <w:p>
      <w:pPr>
        <w:ind w:left="1700" w:hanging="802"/>
        <w:spacing w:after="0"/>
        <w:tabs>
          <w:tab w:leader="none" w:pos="1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9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addition to FFO, we have also included FFO excluding the "early extinguishment of debt" charges in 2015, 2014, and 2013 which relate to the early redemption of our 6.20% senior notes in 2015, our 5.65% senior notes and East Bay Bridge mortgage loan in 2014, and our 5.40% senior notes, 5.95% senior notes, and 7.50% mortgages loans in 2013. We believe the unusual nature of these charges, being make-whole payments on the remaining principal and interest on the redeemed notes/mortgages, is worthy of separate evaluation and consequently have provided both relevant metrics.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6" w:right="25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reconciliation of net income to FFO available for common shareholders and to FFO available for common shareholders excluding early extinguishment of debt is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80" w:type="dxa"/>
            <w:vAlign w:val="bottom"/>
            <w:gridSpan w:val="8"/>
          </w:tcPr>
          <w:p>
            <w:pPr>
              <w:jc w:val="center"/>
              <w:ind w:left="532"/>
              <w:spacing w:after="0"/>
              <w:rPr>
                <w:sz w:val="20"/>
                <w:szCs w:val="20"/>
                <w:color w:val="auto"/>
              </w:rPr>
            </w:pPr>
            <w:r>
              <w:rPr>
                <w:rFonts w:ascii="Arial" w:cs="Arial" w:eastAsia="Arial" w:hAnsi="Arial"/>
                <w:sz w:val="14"/>
                <w:szCs w:val="14"/>
                <w:b w:val="1"/>
                <w:bCs w:val="1"/>
                <w:color w:val="auto"/>
                <w:w w:val="91"/>
              </w:rPr>
              <w:t>(In thousands, except per share data)</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218,424</w:t>
            </w: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172,289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167,608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(7,754)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152,888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152,505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144,873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12,391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Depreciation of joint venture real estate assets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1,555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351,147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326,585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290,897</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Dividends on preferred shares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 available for common shareholders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352,857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327,597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289,938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Early extinguishment of debt, net of allocation to unvested shares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10,498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13,244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Funds from operations available for common shareholders excluding early extinguishment</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371,863</w:t>
            </w:r>
          </w:p>
        </w:tc>
        <w:tc>
          <w:tcPr>
            <w:tcW w:w="4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338,095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303,182</w:t>
            </w:r>
          </w:p>
        </w:tc>
        <w:tc>
          <w:tcPr>
            <w:tcW w:w="0" w:type="dxa"/>
            <w:vAlign w:val="bottom"/>
          </w:tcPr>
          <w:p>
            <w:pPr>
              <w:spacing w:after="0"/>
              <w:rPr>
                <w:sz w:val="1"/>
                <w:szCs w:val="1"/>
                <w:color w:val="auto"/>
              </w:rPr>
            </w:pPr>
          </w:p>
        </w:tc>
      </w:tr>
      <w:tr>
        <w:trPr>
          <w:trHeight w:val="237"/>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of debt</w:t>
            </w:r>
          </w:p>
        </w:tc>
        <w:tc>
          <w:tcPr>
            <w:tcW w:w="34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460" w:type="dxa"/>
            <w:vAlign w:val="bottom"/>
            <w:gridSpan w:val="3"/>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common shares, diluted (1)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69,920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68,410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65,778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5.05</w:t>
            </w: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080" w:type="dxa"/>
            <w:vAlign w:val="bottom"/>
          </w:tcPr>
          <w:p>
            <w:pPr>
              <w:ind w:left="40"/>
              <w:spacing w:after="0"/>
              <w:rPr>
                <w:sz w:val="20"/>
                <w:szCs w:val="20"/>
                <w:color w:val="auto"/>
              </w:rPr>
            </w:pPr>
            <w:r>
              <w:rPr>
                <w:rFonts w:ascii="Arial" w:cs="Arial" w:eastAsia="Arial" w:hAnsi="Arial"/>
                <w:sz w:val="18"/>
                <w:szCs w:val="18"/>
                <w:color w:val="auto"/>
                <w:w w:val="95"/>
              </w:rPr>
              <w:t>Funds from operations available for common shareholders excluding early extinguishment of</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5.32</w:t>
            </w:r>
          </w:p>
        </w:tc>
        <w:tc>
          <w:tcPr>
            <w:tcW w:w="46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11"/>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debt, per diluted share</w:t>
            </w:r>
          </w:p>
        </w:tc>
        <w:tc>
          <w:tcPr>
            <w:tcW w:w="34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460" w:type="dxa"/>
            <w:vAlign w:val="bottom"/>
            <w:gridSpan w:val="3"/>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4502150</wp:posOffset>
            </wp:positionH>
            <wp:positionV relativeFrom="paragraph">
              <wp:posOffset>8255</wp:posOffset>
            </wp:positionV>
            <wp:extent cx="27495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4502150</wp:posOffset>
            </wp:positionH>
            <wp:positionV relativeFrom="paragraph">
              <wp:posOffset>-130175</wp:posOffset>
            </wp:positionV>
            <wp:extent cx="27495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spacing w:after="0" w:line="43" w:lineRule="exact"/>
        <w:rPr>
          <w:sz w:val="20"/>
          <w:szCs w:val="20"/>
          <w:color w:val="auto"/>
        </w:rPr>
      </w:pPr>
    </w:p>
    <w:p>
      <w:pPr>
        <w:jc w:val="both"/>
        <w:ind w:left="660" w:right="80" w:hanging="652"/>
        <w:spacing w:after="0" w:line="263"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00" w:lineRule="exact"/>
        <w:rPr>
          <w:sz w:val="20"/>
          <w:szCs w:val="20"/>
          <w:color w:val="auto"/>
        </w:rPr>
      </w:pPr>
    </w:p>
    <w:p>
      <w:pPr>
        <w:spacing w:after="0" w:line="2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9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December 31, 2015, we were party to two interest rate swap agreements that effectively fix the rate on the $275.0 million term loan at 2.62%.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6" w:right="23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majority of our outstanding debt obligations (maturing at various times through 2044 or, with respect to capital lease obligations through 2106) have fixed interest rates which limit the risk of fluctuating interest rates. However, interest rate fluctuations may affect the fair value of our fixed rate debt instruments. At December 31, 2015, we had $2.5 billion of fixed-rate debt outstanding, including our $275.0 million term loan as the rate is effectively fixed by two interest rate swap agreements; we also had capital lease obligations of $71.6 million. If market interest rates used to calculate the fair value on our fixed-rate debt instruments at December 31, 2015 had been 1.0% higher, the fair value of those debt instruments on that date would have decreased by approximately $157.9 million. If market interest rates used to calculate the fair value on our fixed-rate debt instruments at December 31, 2015 had been 1.0% lower, the fair value of those debt instruments on that date would have increased by approximately $179.5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Generally, we believe that our primary interest rate risk is due to fluctuations in interest rates on our variable rate debt. At December 31, 2015, we had $62.9 million of variable rate debt outstanding which consisted of $53.5 million on our revolving credit facility and $9.4 million of municipal bonds. Based upon this amount of variable rate debt and the specific terms, if market interest rates increased 1.0%, our annual interest expense would increase by approximately $0.6 million, and our net income and cash flows for the year would decrease by approximately $0.6 million. Conversely, if market interest rates decreased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1.0%, our annual interest expense would decrease by approximately $0.5 million with a corresponding increase in our net income and cash flows for the year.</w:t>
      </w:r>
    </w:p>
    <w:p>
      <w:pPr>
        <w:spacing w:after="0" w:line="200" w:lineRule="exact"/>
        <w:rPr>
          <w:sz w:val="20"/>
          <w:szCs w:val="20"/>
          <w:color w:val="auto"/>
        </w:rPr>
      </w:pPr>
    </w:p>
    <w:p>
      <w:pPr>
        <w:spacing w:after="0" w:line="27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consolidated financial statements and supplementary data are included as a separate section of this Annual Report on Form 10-K commencing on page F-1 and are incorporated herein by reference.</w:t>
      </w:r>
    </w:p>
    <w:p>
      <w:pPr>
        <w:spacing w:after="0" w:line="193" w:lineRule="exact"/>
        <w:rPr>
          <w:sz w:val="20"/>
          <w:szCs w:val="20"/>
          <w:color w:val="auto"/>
        </w:rPr>
      </w:pPr>
    </w:p>
    <w:p>
      <w:pPr>
        <w:ind w:right="1040"/>
        <w:spacing w:after="0" w:line="375"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Assessment</w:t>
      </w:r>
    </w:p>
    <w:p>
      <w:pPr>
        <w:spacing w:after="0" w:line="94"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We carried out an assessment as of December 31, 2015 of the effectiveness of the design and operation of our disclosure controls and procedures and our internal control over financial reporting. This assessment was done under the supervision and with the participation of management, including our Chief Executive Officer and our Chief Financial Officer. Rules adopted by the Securities and Exchange Commission ("SEC") require that we present the conclusions of our principal executive officer and our principal financial officer about the effectiveness of our disclosure controls and procedures and the conclusions of our management about the effectiveness of our internal control over financial reporting as of the end of the period covered by this annual report.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Officer and Principal Financial Officer Certifications</w:t>
      </w:r>
    </w:p>
    <w:p>
      <w:pPr>
        <w:spacing w:after="0" w:line="94" w:lineRule="exact"/>
        <w:rPr>
          <w:sz w:val="20"/>
          <w:szCs w:val="20"/>
          <w:color w:val="auto"/>
        </w:rPr>
      </w:pPr>
    </w:p>
    <w:p>
      <w:pPr>
        <w:ind w:right="440"/>
        <w:spacing w:after="0" w:line="301" w:lineRule="auto"/>
        <w:rPr>
          <w:sz w:val="20"/>
          <w:szCs w:val="20"/>
          <w:color w:val="auto"/>
        </w:rPr>
      </w:pPr>
      <w:r>
        <w:rPr>
          <w:rFonts w:ascii="Arial" w:cs="Arial" w:eastAsia="Arial" w:hAnsi="Arial"/>
          <w:sz w:val="16"/>
          <w:szCs w:val="16"/>
          <w:color w:val="auto"/>
        </w:rPr>
        <w:t>Included as Exhibits 31.1 and 31.2 to this Annual Report on Form 10-K are forms of “Certification” of our principal executive officer and our principal financial officer. The forms of Certification are required in accordance with Section 302 of the Sarbanes-Oxley Act of 2002. This section of this Annual Report on Form 10-K that you are currently reading is the information concerning the assessment referred to in the Section 302 certifications and this information should be read in conjunction with the Section 302 certifications for a more complete understanding of the topics presented.</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126" w:right="27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information required to be disclosed in our Exchange Act reports, such as this report on Form 10-K, is recorded, processed, summarized and reported within the time periods specified in the SEC’s rules and forms, and that such information is accumulated and communicated to our management, including our President and Chief Executive Officer and Executive Vice President-Chief Financial Officer, as appropriate, to allow timely decisions regarding required disclosure. These controls and procedures are based closely on the definition of “disclosure controls and procedures” in Rule 13a-15(e) promulgated under the Exchange Act. Rules adopted by the SEC require that we present the conclusions of the Chief Executive Officer and Chief Financial Officer about the effectiveness of our disclosure controls and procedures as of the end of the period covered by this annual report.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Establishing and maintaining internal control over financial reporting is a process designed by, or under the supervision of, our President and Chief Executive Officer and Executive Vice President-Chief Financial Officer,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in the United States of America. This process includes policies and procedures that:</w:t>
      </w:r>
    </w:p>
    <w:p>
      <w:pPr>
        <w:spacing w:after="0" w:line="1"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pertain to the maintenance of records that accurately and fairly reflect the transactions and dispositions of our assets in reasonable detail;</w:t>
      </w:r>
    </w:p>
    <w:p>
      <w:pPr>
        <w:spacing w:after="0" w:line="20" w:lineRule="exact"/>
        <w:rPr>
          <w:rFonts w:ascii="Arial" w:cs="Arial" w:eastAsia="Arial" w:hAnsi="Arial"/>
          <w:sz w:val="17"/>
          <w:szCs w:val="17"/>
          <w:color w:val="auto"/>
        </w:rPr>
      </w:pPr>
    </w:p>
    <w:p>
      <w:pPr>
        <w:ind w:left="660" w:right="220" w:hanging="328"/>
        <w:spacing w:after="0" w:line="25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ind w:left="660" w:right="700" w:hanging="328"/>
        <w:spacing w:after="0" w:line="26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9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Management, including our Chief Executive Officer and Chief Financial Officer, do not expect that our disclosure controls and procedures or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or will be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that cannot be anticipated at the present time, or the degree of compliance with the policies or procedures may deteriorate. Because of the inherent limitations in a cost-effective control system, misstatements due to error or fraud may occur and may not be detected.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 of the Evaluations</w:t>
      </w:r>
    </w:p>
    <w:p>
      <w:pPr>
        <w:spacing w:after="0" w:line="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The evaluation by our Chief Executive Officer and our Chief Financial Officer of our disclosure controls and procedures and our internal control over financial reporting included a review of our procedures and procedures performed by internal audit, as well as discussions with our Disclosure Committee and others in our organization, as appropriate. In conducting this evaluation, our management used the criteria set forth by the Committee of Sponsoring Organizations of the Treadway Commission (COSO)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In the course of the evaluation, we sought to identify data errors, control problems or acts of fraud and to confirm that appropriate corrective action, including process improvements, were being undertaken. The evaluation of our disclosure controls and procedures and our internal control over financial reporting is done on a quarterly basis, so that the conclusions concerning the effectiveness of such controls can be reported in our Quarterly Reports on Form 10-Q and Annual Reports on Form 10-K.</w:t>
      </w:r>
    </w:p>
    <w:p>
      <w:pPr>
        <w:spacing w:after="0" w:line="11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internal control over financial reporting is also assessed on an ongoing basis by personnel in our accounting department and by our independent auditors in connection with their audit and review activities. The overall goals of these various evaluation activities are to monitor our disclosure controls and procedures and our internal control over financial reporting and to make modifications as necessary. Our intent in this regard is that the disclosure controls and procedures and internal control over financial reporting will be maintained and updated (including with improvements and corrections) as conditions warrant.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6" w:right="2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Among other matters, we sought in our evaluation to determine whether there were any “significant deficiencies” or “material weaknesses” in our internal control over financial reporting, or whether we had identified any acts of fraud involving personnel who have a significant role in our internal control over financial reporting. This information is important both for the evaluation generally and because the Section 302 certifications require that our Chief Executive Officer and our Chief Financial Officer disclose that information to the Audit Committee of our Board of Trustees and our independent auditors and also require us to report on related matters in this section of the Annual Report on Form 10-K. In the Public Company Accounting Oversight Board’s Auditing Standard No. 5, a “deficiency” in internal control over financial reporting exists when the design or operation of a control does not allow management or employees, in the normal course of performing their assigned functions, to prevent or detect misstatements on a timely basis. A “significant deficiency” is a deficiency, or a combination of deficiencies, in internal control over financial reporting that is less severe than a material weakness, yet important enough to merit attention by those responsible for oversight of the company’s financial reporting. A “material weakness” is defined in Auditing Standard No. 5 as a deficiency, or a combination of deficiencies, in internal control over financial reporting, such that there is a reasonable possibility that a material misstatement of the company’s annual or interim financial statements will not be prevented or detected on a timely basis. We also sought to deal with other control matters in the evaluation, and in any case in which a problem was identified, we considered what revision, improvement and/or correction was necessary to be made in accordance with our on-going procedures.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Chief Executive Officer and Chief Financial Officer have conducted an evaluation of the effectiveness of the design and operation of our disclosure controls and procedures as of the end of the period covered by this report. Based on that evaluation, the Chief Executive Officer and Chief Financial Officer concluded that such controls and procedures were effective as of the end of the period covered by this report and provides reasonable assurance that information required to be disclosed in our Exchange Act reports is recorded, processed, summarized and reported within the time periods specified in the SEC’s rules and forms, and that such information is accumulated and communicated to our management to allow timely decisions regarding required disclosure.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Internal Control over Financial Reporting</w:t>
      </w:r>
    </w:p>
    <w:p>
      <w:pPr>
        <w:spacing w:after="0" w:line="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Chief Executive Officer and Chief Financial Officer have conducted an evaluation of the effectiveness of the design and operation of our internal control over financial reporting as of the end of our most recent fiscal year. Based on that evaluation, the Chief Executive Officer and Chief Financial Officer concluded that such internal control over financial reporting was effective as of the end of our most recent fiscal year and provides reasonable assurance regarding the reliability of financial reporting and the preparation of financial statements for external purposes in accordance with generally accepted accounting principles in the United States of America.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Our Management</w:t>
      </w:r>
    </w:p>
    <w:p>
      <w:pPr>
        <w:spacing w:after="0" w:line="9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management has issued a report on its assessment of the Trust’s internal control over financial reporting, which appears on page F-2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Our Independent Registered Public Accounting Firm</w:t>
      </w:r>
    </w:p>
    <w:p>
      <w:pPr>
        <w:spacing w:after="0" w:line="94" w:lineRule="exact"/>
        <w:rPr>
          <w:sz w:val="20"/>
          <w:szCs w:val="20"/>
          <w:color w:val="auto"/>
        </w:rPr>
      </w:pPr>
    </w:p>
    <w:p>
      <w:pPr>
        <w:ind w:right="200"/>
        <w:spacing w:after="0" w:line="341" w:lineRule="auto"/>
        <w:rPr>
          <w:sz w:val="20"/>
          <w:szCs w:val="20"/>
          <w:color w:val="auto"/>
        </w:rPr>
      </w:pPr>
      <w:r>
        <w:rPr>
          <w:rFonts w:ascii="Arial" w:cs="Arial" w:eastAsia="Arial" w:hAnsi="Arial"/>
          <w:sz w:val="16"/>
          <w:szCs w:val="16"/>
          <w:color w:val="auto"/>
        </w:rPr>
        <w:t>Grant Thornton LLP, our independent registered public accounting firm that audited the financial statements included in this Annual Report on Form 10-K, has issued an attestation report on the Trust’s internal control over financial reporting, which appears on page F-3 of this Annual Report on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our fourth fiscal quarter of 2015 that materially affected, or is reasonably likely to materially affect, our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6" w:right="27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Certain information required in Part III is omitted from this Report but is incorporated herein by reference from our Proxy Statement for the 2016 Annual Meeting of Shareholders (as amended or supplemented, the “Proxy Statement”).</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TRUSTEES, EXECUTIVE OFFICERS AND CORPORATE GOVERNANCE</w:t>
      </w:r>
    </w:p>
    <w:p>
      <w:pPr>
        <w:spacing w:after="0" w:line="9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tables and narrative in the Proxy Statement identifying our Trustees and Board committees under the caption “Election of Trustees” and “Corporate Governance”, the sections of the Proxy Statement entitled “Executive Officers” and “Section 16(a) Beneficial Ownership Reporting Compliance” and other information included in the Proxy Statement required by this Item 10 are incorporated herein by reference.</w:t>
      </w:r>
    </w:p>
    <w:p>
      <w:pPr>
        <w:spacing w:after="0" w:line="1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We have adopted a Code of Ethics, which is applicable to our Chief Executive Officer and senior financial officers. The Code of Ethics is available in the Corporate Governance section of the Investors section of our website at </w:t>
      </w:r>
      <w:r>
        <w:rPr>
          <w:rFonts w:ascii="Arial" w:cs="Arial" w:eastAsia="Arial" w:hAnsi="Arial"/>
          <w:sz w:val="18"/>
          <w:szCs w:val="18"/>
          <w:i w:val="1"/>
          <w:iCs w:val="1"/>
          <w:color w:val="auto"/>
        </w:rPr>
        <w:t>www.federalrealty.com</w:t>
      </w:r>
      <w:r>
        <w:rPr>
          <w:rFonts w:ascii="Arial" w:cs="Arial" w:eastAsia="Arial" w:hAnsi="Arial"/>
          <w:sz w:val="18"/>
          <w:szCs w:val="18"/>
          <w:color w:val="auto"/>
        </w:rPr>
        <w:t>.</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9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sections of the Proxy Statement entitled “Summary Compensation Table,” “Compensation Committee Interlocks and Insider Participation,” “Compensation Committee Report,” “Trustee Compensation” and “Compensation Discussion and Analysis” and other information included in the Proxy Statement required by this Item 11 are incorporated herein by reference.</w:t>
      </w:r>
    </w:p>
    <w:p>
      <w:pPr>
        <w:spacing w:after="0" w:line="206" w:lineRule="exact"/>
        <w:rPr>
          <w:sz w:val="20"/>
          <w:szCs w:val="20"/>
          <w:color w:val="auto"/>
        </w:rPr>
      </w:pPr>
    </w:p>
    <w:p>
      <w:pPr>
        <w:ind w:right="560"/>
        <w:spacing w:after="0" w:line="28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3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sections of the Proxy Statement entitled “Share Ownership” and “Equity Compensation Plan Information” and other information included in the Proxy Statement required by this Item 12 are incorporated herein by reference.</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TRUSTEE INDEPENDENCE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sections of the Proxy Statement entitled “Certain Relationship and Related Transactions” and “Independence of Trustees” and other information included in the Proxy Statement required by this Item 13 are incorporated herein by reference.</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94" w:lineRule="exact"/>
        <w:rPr>
          <w:sz w:val="20"/>
          <w:szCs w:val="20"/>
          <w:color w:val="auto"/>
        </w:rPr>
      </w:pPr>
    </w:p>
    <w:p>
      <w:pPr>
        <w:ind w:right="280"/>
        <w:spacing w:after="0" w:line="341" w:lineRule="auto"/>
        <w:rPr>
          <w:sz w:val="20"/>
          <w:szCs w:val="20"/>
          <w:color w:val="auto"/>
        </w:rPr>
      </w:pPr>
      <w:r>
        <w:rPr>
          <w:rFonts w:ascii="Arial" w:cs="Arial" w:eastAsia="Arial" w:hAnsi="Arial"/>
          <w:sz w:val="16"/>
          <w:szCs w:val="16"/>
          <w:color w:val="auto"/>
        </w:rPr>
        <w:t>The sections of the Proxy Statement entitled “Ratification of Independent Registered Public Accounting Firm” and “Relationship with Independent Registered Public Accounting Firm” and other information included in the Proxy Statement required by this Item 14 are incorporated herein by reference.</w:t>
      </w:r>
    </w:p>
    <w:p>
      <w:pPr>
        <w:spacing w:after="0" w:line="20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94" w:lineRule="exact"/>
        <w:rPr>
          <w:sz w:val="20"/>
          <w:szCs w:val="20"/>
          <w:color w:val="auto"/>
        </w:rPr>
      </w:pPr>
    </w:p>
    <w:p>
      <w:pPr>
        <w:ind w:right="320"/>
        <w:spacing w:after="0" w:line="341" w:lineRule="auto"/>
        <w:rPr>
          <w:rFonts w:ascii="Arial" w:cs="Arial" w:eastAsia="Arial" w:hAnsi="Arial"/>
          <w:sz w:val="16"/>
          <w:szCs w:val="16"/>
          <w:color w:val="auto"/>
        </w:rPr>
      </w:pPr>
      <w:r>
        <w:rPr>
          <w:rFonts w:ascii="Arial" w:cs="Arial" w:eastAsia="Arial" w:hAnsi="Arial"/>
          <w:sz w:val="16"/>
          <w:szCs w:val="16"/>
          <w:color w:val="auto"/>
        </w:rPr>
        <w:t xml:space="preserve">Our consolidated financial statements and notes thereto, together with Management’s Report on Internal Control over Financial Reporting and Reports of Independent Registered Public Accounting Firm are included as a separate section of this Annual Report on Form 10-K commencing on page </w:t>
      </w:r>
      <w:hyperlink w:anchor="page54">
        <w:r>
          <w:rPr>
            <w:rFonts w:ascii="Arial" w:cs="Arial" w:eastAsia="Arial" w:hAnsi="Arial"/>
            <w:sz w:val="16"/>
            <w:szCs w:val="16"/>
            <w:u w:val="single" w:color="auto"/>
            <w:color w:val="0000EE"/>
          </w:rPr>
          <w:t>F-1</w:t>
        </w:r>
      </w:hyperlink>
      <w:r>
        <w:rPr>
          <w:rFonts w:ascii="Arial" w:cs="Arial" w:eastAsia="Arial" w:hAnsi="Arial"/>
          <w:sz w:val="16"/>
          <w:szCs w:val="16"/>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9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Our financial statement schedules are included in a separate section of this Annual Report on Form 10-K commencing on page </w:t>
      </w:r>
      <w:hyperlink w:anchor="page83">
        <w:r>
          <w:rPr>
            <w:rFonts w:ascii="Arial" w:cs="Arial" w:eastAsia="Arial" w:hAnsi="Arial"/>
            <w:sz w:val="18"/>
            <w:szCs w:val="18"/>
            <w:u w:val="single" w:color="auto"/>
            <w:color w:val="0000EE"/>
          </w:rPr>
          <w:t>F-30</w:t>
        </w:r>
      </w:hyperlink>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list of exhibits to this Annual Report on Form 10-K is set forth on the Exhibit Index immediately preceding such exhibits and is incorporated herein by reference.</w:t>
      </w:r>
    </w:p>
    <w:p>
      <w:pPr>
        <w:spacing w:after="0" w:line="116" w:lineRule="exact"/>
        <w:rPr>
          <w:sz w:val="20"/>
          <w:szCs w:val="20"/>
          <w:color w:val="auto"/>
        </w:rPr>
      </w:pPr>
    </w:p>
    <w:p>
      <w:pPr>
        <w:ind w:left="260" w:hanging="252"/>
        <w:spacing w:after="0"/>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See Exhibit Index</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126" w:right="29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3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this February 9, 2016.</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Federal Realty Investment Trust</w:t>
      </w:r>
    </w:p>
    <w:p>
      <w:pPr>
        <w:spacing w:after="0" w:line="387" w:lineRule="exact"/>
        <w:rPr>
          <w:sz w:val="20"/>
          <w:szCs w:val="20"/>
          <w:color w:val="auto"/>
        </w:rPr>
      </w:pPr>
    </w:p>
    <w:p>
      <w:pPr>
        <w:ind w:left="5080"/>
        <w:spacing w:after="0"/>
        <w:tabs>
          <w:tab w:leader="none" w:pos="6280" w:val="left"/>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w:t>
      </w:r>
      <w:r>
        <w:rPr>
          <w:rFonts w:ascii="Arial" w:cs="Arial" w:eastAsia="Arial" w:hAnsi="Arial"/>
          <w:sz w:val="13"/>
          <w:szCs w:val="13"/>
          <w:color w:val="auto"/>
        </w:rPr>
        <w:t>ONALD</w:t>
      </w:r>
      <w:r>
        <w:rPr>
          <w:rFonts w:ascii="Arial" w:cs="Arial" w:eastAsia="Arial" w:hAnsi="Arial"/>
          <w:sz w:val="17"/>
          <w:szCs w:val="17"/>
          <w:color w:val="auto"/>
        </w:rPr>
        <w:t xml:space="preserve"> C. W</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40640</wp:posOffset>
            </wp:positionV>
            <wp:extent cx="2458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61" w:lineRule="exact"/>
        <w:rPr>
          <w:sz w:val="20"/>
          <w:szCs w:val="20"/>
          <w:color w:val="auto"/>
        </w:rPr>
      </w:pPr>
    </w:p>
    <w:p>
      <w:pPr>
        <w:jc w:val="center"/>
        <w:ind w:left="3180"/>
        <w:spacing w:after="0"/>
        <w:rPr>
          <w:sz w:val="20"/>
          <w:szCs w:val="20"/>
          <w:color w:val="auto"/>
        </w:rPr>
      </w:pPr>
      <w:r>
        <w:rPr>
          <w:rFonts w:ascii="Arial" w:cs="Arial" w:eastAsia="Arial" w:hAnsi="Arial"/>
          <w:sz w:val="14"/>
          <w:szCs w:val="14"/>
          <w:b w:val="1"/>
          <w:bCs w:val="1"/>
          <w:color w:val="auto"/>
        </w:rPr>
        <w:t>Donald C. Wood</w:t>
      </w:r>
    </w:p>
    <w:p>
      <w:pPr>
        <w:spacing w:after="0" w:line="3" w:lineRule="exact"/>
        <w:rPr>
          <w:sz w:val="20"/>
          <w:szCs w:val="20"/>
          <w:color w:val="auto"/>
        </w:rPr>
      </w:pPr>
    </w:p>
    <w:p>
      <w:pPr>
        <w:jc w:val="center"/>
        <w:ind w:left="3180"/>
        <w:spacing w:after="0"/>
        <w:rPr>
          <w:sz w:val="20"/>
          <w:szCs w:val="20"/>
          <w:color w:val="auto"/>
        </w:rPr>
      </w:pPr>
      <w:r>
        <w:rPr>
          <w:rFonts w:ascii="Arial" w:cs="Arial" w:eastAsia="Arial" w:hAnsi="Arial"/>
          <w:sz w:val="14"/>
          <w:szCs w:val="14"/>
          <w:b w:val="1"/>
          <w:bCs w:val="1"/>
          <w:color w:val="auto"/>
        </w:rPr>
        <w:t>President, Chief Executive Officer and Trustee</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20" w:type="dxa"/>
            <w:vAlign w:val="bottom"/>
          </w:tcPr>
          <w:p>
            <w:pPr>
              <w:spacing w:after="0"/>
              <w:rPr>
                <w:sz w:val="14"/>
                <w:szCs w:val="14"/>
                <w:color w:val="auto"/>
              </w:rPr>
            </w:pPr>
          </w:p>
        </w:tc>
        <w:tc>
          <w:tcPr>
            <w:tcW w:w="4400" w:type="dxa"/>
            <w:vAlign w:val="bottom"/>
            <w:gridSpan w:val="3"/>
          </w:tcPr>
          <w:p>
            <w:pPr>
              <w:ind w:left="2320"/>
              <w:spacing w:after="0"/>
              <w:rPr>
                <w:sz w:val="20"/>
                <w:szCs w:val="20"/>
                <w:color w:val="auto"/>
              </w:rPr>
            </w:pPr>
            <w:r>
              <w:rPr>
                <w:rFonts w:ascii="Arial" w:cs="Arial" w:eastAsia="Arial" w:hAnsi="Arial"/>
                <w:sz w:val="14"/>
                <w:szCs w:val="14"/>
                <w:b w:val="1"/>
                <w:bCs w:val="1"/>
                <w:color w:val="auto"/>
              </w:rPr>
              <w:t>Title</w:t>
            </w:r>
          </w:p>
        </w:tc>
        <w:tc>
          <w:tcPr>
            <w:tcW w:w="1400" w:type="dxa"/>
            <w:vAlign w:val="bottom"/>
          </w:tcPr>
          <w:p>
            <w:pPr>
              <w:spacing w:after="0"/>
              <w:rPr>
                <w:sz w:val="14"/>
                <w:szCs w:val="14"/>
                <w:color w:val="auto"/>
              </w:rPr>
            </w:pPr>
          </w:p>
        </w:tc>
        <w:tc>
          <w:tcPr>
            <w:tcW w:w="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3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ONALD</w:t>
            </w:r>
            <w:r>
              <w:rPr>
                <w:rFonts w:ascii="Arial" w:cs="Arial" w:eastAsia="Arial" w:hAnsi="Arial"/>
                <w:sz w:val="18"/>
                <w:szCs w:val="18"/>
                <w:color w:val="auto"/>
                <w:w w:val="99"/>
              </w:rPr>
              <w:t xml:space="preserve"> C. W</w:t>
            </w:r>
            <w:r>
              <w:rPr>
                <w:rFonts w:ascii="Arial" w:cs="Arial" w:eastAsia="Arial" w:hAnsi="Arial"/>
                <w:sz w:val="14"/>
                <w:szCs w:val="14"/>
                <w:color w:val="auto"/>
                <w:w w:val="99"/>
              </w:rPr>
              <w:t>OOD</w:t>
            </w:r>
          </w:p>
        </w:tc>
        <w:tc>
          <w:tcPr>
            <w:tcW w:w="4400" w:type="dxa"/>
            <w:vAlign w:val="bottom"/>
            <w:gridSpan w:val="3"/>
          </w:tcPr>
          <w:p>
            <w:pPr>
              <w:ind w:left="480"/>
              <w:spacing w:after="0"/>
              <w:rPr>
                <w:sz w:val="20"/>
                <w:szCs w:val="20"/>
                <w:color w:val="auto"/>
              </w:rPr>
            </w:pPr>
            <w:r>
              <w:rPr>
                <w:rFonts w:ascii="Arial" w:cs="Arial" w:eastAsia="Arial" w:hAnsi="Arial"/>
                <w:sz w:val="18"/>
                <w:szCs w:val="18"/>
                <w:color w:val="auto"/>
              </w:rPr>
              <w:t>President, Chief Executive Officer and</w:t>
            </w:r>
          </w:p>
        </w:tc>
        <w:tc>
          <w:tcPr>
            <w:tcW w:w="2160" w:type="dxa"/>
            <w:vAlign w:val="bottom"/>
            <w:gridSpan w:val="3"/>
          </w:tcPr>
          <w:p>
            <w:pPr>
              <w:jc w:val="center"/>
              <w:ind w:left="830"/>
              <w:spacing w:after="0"/>
              <w:rPr>
                <w:sz w:val="20"/>
                <w:szCs w:val="20"/>
                <w:color w:val="auto"/>
              </w:rPr>
            </w:pPr>
            <w:r>
              <w:rPr>
                <w:rFonts w:ascii="Arial" w:cs="Arial" w:eastAsia="Arial" w:hAnsi="Arial"/>
                <w:sz w:val="18"/>
                <w:szCs w:val="18"/>
                <w:color w:val="auto"/>
                <w:w w:val="90"/>
              </w:rPr>
              <w:t>February 9, 2016</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400" w:type="dxa"/>
            <w:vAlign w:val="bottom"/>
            <w:gridSpan w:val="3"/>
            <w:vMerge w:val="restart"/>
          </w:tcPr>
          <w:p>
            <w:pPr>
              <w:ind w:left="720"/>
              <w:spacing w:after="0"/>
              <w:rPr>
                <w:sz w:val="20"/>
                <w:szCs w:val="20"/>
                <w:color w:val="auto"/>
              </w:rPr>
            </w:pPr>
            <w:r>
              <w:rPr>
                <w:rFonts w:ascii="Arial" w:cs="Arial" w:eastAsia="Arial" w:hAnsi="Arial"/>
                <w:sz w:val="18"/>
                <w:szCs w:val="18"/>
                <w:color w:val="auto"/>
              </w:rPr>
              <w:t>Trustee (Principal Executive Officer)</w:t>
            </w: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3100" w:type="dxa"/>
            <w:vAlign w:val="bottom"/>
            <w:gridSpan w:val="4"/>
          </w:tcPr>
          <w:p>
            <w:pPr>
              <w:jc w:val="center"/>
              <w:ind w:right="1360"/>
              <w:spacing w:after="0"/>
              <w:rPr>
                <w:sz w:val="20"/>
                <w:szCs w:val="20"/>
                <w:color w:val="auto"/>
              </w:rPr>
            </w:pPr>
            <w:r>
              <w:rPr>
                <w:rFonts w:ascii="Arial" w:cs="Arial" w:eastAsia="Arial" w:hAnsi="Arial"/>
                <w:sz w:val="14"/>
                <w:szCs w:val="14"/>
                <w:b w:val="1"/>
                <w:bCs w:val="1"/>
                <w:color w:val="auto"/>
                <w:w w:val="94"/>
              </w:rPr>
              <w:t>Donald C. Wood</w:t>
            </w:r>
          </w:p>
        </w:tc>
        <w:tc>
          <w:tcPr>
            <w:tcW w:w="4400" w:type="dxa"/>
            <w:vAlign w:val="bottom"/>
            <w:gridSpan w:val="3"/>
            <w:vMerge w:val="continue"/>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4460" w:type="dxa"/>
            <w:vAlign w:val="bottom"/>
            <w:gridSpan w:val="5"/>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JAMES M. TAYLOR, JR.</w:t>
            </w:r>
          </w:p>
        </w:tc>
        <w:tc>
          <w:tcPr>
            <w:tcW w:w="4400" w:type="dxa"/>
            <w:vAlign w:val="bottom"/>
            <w:gridSpan w:val="3"/>
          </w:tcPr>
          <w:p>
            <w:pPr>
              <w:ind w:left="480"/>
              <w:spacing w:after="0"/>
              <w:rPr>
                <w:sz w:val="20"/>
                <w:szCs w:val="20"/>
                <w:color w:val="auto"/>
              </w:rPr>
            </w:pPr>
            <w:r>
              <w:rPr>
                <w:rFonts w:ascii="Arial" w:cs="Arial" w:eastAsia="Arial" w:hAnsi="Arial"/>
                <w:sz w:val="18"/>
                <w:szCs w:val="18"/>
                <w:color w:val="auto"/>
              </w:rPr>
              <w:t>Executive Vice President-Chief Financial</w:t>
            </w:r>
          </w:p>
        </w:tc>
        <w:tc>
          <w:tcPr>
            <w:tcW w:w="2160" w:type="dxa"/>
            <w:vAlign w:val="bottom"/>
            <w:gridSpan w:val="3"/>
          </w:tcPr>
          <w:p>
            <w:pPr>
              <w:jc w:val="center"/>
              <w:ind w:left="830"/>
              <w:spacing w:after="0"/>
              <w:rPr>
                <w:sz w:val="20"/>
                <w:szCs w:val="20"/>
                <w:color w:val="auto"/>
              </w:rPr>
            </w:pPr>
            <w:r>
              <w:rPr>
                <w:rFonts w:ascii="Arial" w:cs="Arial" w:eastAsia="Arial" w:hAnsi="Arial"/>
                <w:sz w:val="18"/>
                <w:szCs w:val="18"/>
                <w:color w:val="auto"/>
                <w:w w:val="90"/>
              </w:rPr>
              <w:t>February 9, 2016</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400" w:type="dxa"/>
            <w:vAlign w:val="bottom"/>
            <w:gridSpan w:val="3"/>
            <w:vMerge w:val="restart"/>
          </w:tcPr>
          <w:p>
            <w:pPr>
              <w:ind w:left="720"/>
              <w:spacing w:after="0"/>
              <w:rPr>
                <w:sz w:val="20"/>
                <w:szCs w:val="20"/>
                <w:color w:val="auto"/>
              </w:rPr>
            </w:pPr>
            <w:r>
              <w:rPr>
                <w:rFonts w:ascii="Arial" w:cs="Arial" w:eastAsia="Arial" w:hAnsi="Arial"/>
                <w:sz w:val="18"/>
                <w:szCs w:val="18"/>
                <w:color w:val="auto"/>
              </w:rPr>
              <w:t>Officer and Treasurer (Principal</w:t>
            </w: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3100" w:type="dxa"/>
            <w:vAlign w:val="bottom"/>
            <w:gridSpan w:val="4"/>
          </w:tcPr>
          <w:p>
            <w:pPr>
              <w:jc w:val="center"/>
              <w:ind w:right="1340"/>
              <w:spacing w:after="0"/>
              <w:rPr>
                <w:sz w:val="20"/>
                <w:szCs w:val="20"/>
                <w:color w:val="auto"/>
              </w:rPr>
            </w:pPr>
            <w:r>
              <w:rPr>
                <w:rFonts w:ascii="Arial" w:cs="Arial" w:eastAsia="Arial" w:hAnsi="Arial"/>
                <w:sz w:val="14"/>
                <w:szCs w:val="14"/>
                <w:b w:val="1"/>
                <w:bCs w:val="1"/>
                <w:color w:val="auto"/>
                <w:w w:val="92"/>
              </w:rPr>
              <w:t>James M. Taylor, Jr.</w:t>
            </w:r>
          </w:p>
        </w:tc>
        <w:tc>
          <w:tcPr>
            <w:tcW w:w="4400" w:type="dxa"/>
            <w:vAlign w:val="bottom"/>
            <w:gridSpan w:val="3"/>
            <w:vMerge w:val="continue"/>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400" w:type="dxa"/>
            <w:vAlign w:val="bottom"/>
            <w:gridSpan w:val="3"/>
          </w:tcPr>
          <w:p>
            <w:pPr>
              <w:ind w:left="720"/>
              <w:spacing w:after="0"/>
              <w:rPr>
                <w:sz w:val="20"/>
                <w:szCs w:val="20"/>
                <w:color w:val="auto"/>
              </w:rPr>
            </w:pPr>
            <w:r>
              <w:rPr>
                <w:rFonts w:ascii="Arial" w:cs="Arial" w:eastAsia="Arial" w:hAnsi="Arial"/>
                <w:sz w:val="18"/>
                <w:szCs w:val="18"/>
                <w:color w:val="auto"/>
              </w:rPr>
              <w:t>Financial and Accounting Officer)</w:t>
            </w:r>
          </w:p>
        </w:tc>
        <w:tc>
          <w:tcPr>
            <w:tcW w:w="1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3"/>
        </w:trPr>
        <w:tc>
          <w:tcPr>
            <w:tcW w:w="1360" w:type="dxa"/>
            <w:vAlign w:val="bottom"/>
          </w:tcPr>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100" w:type="dxa"/>
            <w:vAlign w:val="bottom"/>
            <w:gridSpan w:val="4"/>
          </w:tcPr>
          <w:p>
            <w:pPr>
              <w:jc w:val="center"/>
              <w:ind w:right="1000"/>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OSEPH</w:t>
            </w:r>
            <w:r>
              <w:rPr>
                <w:rFonts w:ascii="Arial" w:cs="Arial" w:eastAsia="Arial" w:hAnsi="Arial"/>
                <w:sz w:val="18"/>
                <w:szCs w:val="18"/>
                <w:color w:val="auto"/>
                <w:w w:val="96"/>
              </w:rPr>
              <w:t xml:space="preserve"> S. V</w:t>
            </w:r>
            <w:r>
              <w:rPr>
                <w:rFonts w:ascii="Arial" w:cs="Arial" w:eastAsia="Arial" w:hAnsi="Arial"/>
                <w:sz w:val="14"/>
                <w:szCs w:val="14"/>
                <w:color w:val="auto"/>
                <w:w w:val="96"/>
              </w:rPr>
              <w:t>ASSALLUZZO</w:t>
            </w:r>
          </w:p>
        </w:tc>
        <w:tc>
          <w:tcPr>
            <w:tcW w:w="4400" w:type="dxa"/>
            <w:vAlign w:val="bottom"/>
            <w:gridSpan w:val="3"/>
          </w:tcPr>
          <w:p>
            <w:pPr>
              <w:ind w:left="480"/>
              <w:spacing w:after="0"/>
              <w:rPr>
                <w:sz w:val="20"/>
                <w:szCs w:val="20"/>
                <w:color w:val="auto"/>
              </w:rPr>
            </w:pPr>
            <w:r>
              <w:rPr>
                <w:rFonts w:ascii="Arial" w:cs="Arial" w:eastAsia="Arial" w:hAnsi="Arial"/>
                <w:sz w:val="18"/>
                <w:szCs w:val="18"/>
                <w:color w:val="auto"/>
              </w:rPr>
              <w:t>Non-Executive Chairman</w:t>
            </w:r>
          </w:p>
        </w:tc>
        <w:tc>
          <w:tcPr>
            <w:tcW w:w="2160" w:type="dxa"/>
            <w:vAlign w:val="bottom"/>
            <w:gridSpan w:val="3"/>
          </w:tcPr>
          <w:p>
            <w:pPr>
              <w:jc w:val="center"/>
              <w:ind w:left="830"/>
              <w:spacing w:after="0"/>
              <w:rPr>
                <w:sz w:val="20"/>
                <w:szCs w:val="20"/>
                <w:color w:val="auto"/>
              </w:rPr>
            </w:pPr>
            <w:r>
              <w:rPr>
                <w:rFonts w:ascii="Arial" w:cs="Arial" w:eastAsia="Arial" w:hAnsi="Arial"/>
                <w:sz w:val="18"/>
                <w:szCs w:val="18"/>
                <w:color w:val="auto"/>
                <w:w w:val="90"/>
              </w:rPr>
              <w:t>February 9, 2016</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5"/>
                <w:szCs w:val="15"/>
                <w:color w:val="auto"/>
              </w:rPr>
            </w:pPr>
          </w:p>
        </w:tc>
        <w:tc>
          <w:tcPr>
            <w:tcW w:w="3100" w:type="dxa"/>
            <w:vAlign w:val="bottom"/>
            <w:gridSpan w:val="4"/>
          </w:tcPr>
          <w:p>
            <w:pPr>
              <w:jc w:val="center"/>
              <w:ind w:right="1340"/>
              <w:spacing w:after="0"/>
              <w:rPr>
                <w:sz w:val="20"/>
                <w:szCs w:val="20"/>
                <w:color w:val="auto"/>
              </w:rPr>
            </w:pPr>
            <w:r>
              <w:rPr>
                <w:rFonts w:ascii="Arial" w:cs="Arial" w:eastAsia="Arial" w:hAnsi="Arial"/>
                <w:sz w:val="14"/>
                <w:szCs w:val="14"/>
                <w:b w:val="1"/>
                <w:bCs w:val="1"/>
                <w:color w:val="auto"/>
                <w:w w:val="88"/>
              </w:rPr>
              <w:t>Joseph S. Vassalluzzo</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2"/>
        </w:trPr>
        <w:tc>
          <w:tcPr>
            <w:tcW w:w="13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ON</w:t>
            </w:r>
            <w:r>
              <w:rPr>
                <w:rFonts w:ascii="Arial" w:cs="Arial" w:eastAsia="Arial" w:hAnsi="Arial"/>
                <w:sz w:val="18"/>
                <w:szCs w:val="18"/>
                <w:color w:val="auto"/>
                <w:w w:val="95"/>
              </w:rPr>
              <w:t xml:space="preserve"> E. B</w:t>
            </w:r>
            <w:r>
              <w:rPr>
                <w:rFonts w:ascii="Arial" w:cs="Arial" w:eastAsia="Arial" w:hAnsi="Arial"/>
                <w:sz w:val="14"/>
                <w:szCs w:val="14"/>
                <w:color w:val="auto"/>
                <w:w w:val="95"/>
              </w:rPr>
              <w:t>ORTZ</w:t>
            </w:r>
          </w:p>
        </w:tc>
        <w:tc>
          <w:tcPr>
            <w:tcW w:w="4400" w:type="dxa"/>
            <w:vAlign w:val="bottom"/>
            <w:gridSpan w:val="3"/>
          </w:tcPr>
          <w:p>
            <w:pPr>
              <w:ind w:left="480"/>
              <w:spacing w:after="0"/>
              <w:rPr>
                <w:sz w:val="20"/>
                <w:szCs w:val="20"/>
                <w:color w:val="auto"/>
              </w:rPr>
            </w:pPr>
            <w:r>
              <w:rPr>
                <w:rFonts w:ascii="Arial" w:cs="Arial" w:eastAsia="Arial" w:hAnsi="Arial"/>
                <w:sz w:val="18"/>
                <w:szCs w:val="18"/>
                <w:color w:val="auto"/>
              </w:rPr>
              <w:t>Trustee</w:t>
            </w:r>
          </w:p>
        </w:tc>
        <w:tc>
          <w:tcPr>
            <w:tcW w:w="2160" w:type="dxa"/>
            <w:vAlign w:val="bottom"/>
            <w:gridSpan w:val="3"/>
          </w:tcPr>
          <w:p>
            <w:pPr>
              <w:jc w:val="center"/>
              <w:ind w:left="830"/>
              <w:spacing w:after="0"/>
              <w:rPr>
                <w:sz w:val="20"/>
                <w:szCs w:val="20"/>
                <w:color w:val="auto"/>
              </w:rPr>
            </w:pPr>
            <w:r>
              <w:rPr>
                <w:rFonts w:ascii="Arial" w:cs="Arial" w:eastAsia="Arial" w:hAnsi="Arial"/>
                <w:sz w:val="18"/>
                <w:szCs w:val="18"/>
                <w:color w:val="auto"/>
                <w:w w:val="90"/>
              </w:rPr>
              <w:t>February 9, 2016</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4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5"/>
              </w:rPr>
              <w:t>Jon E. Bortz</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8"/>
        </w:trPr>
        <w:tc>
          <w:tcPr>
            <w:tcW w:w="136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AVID</w:t>
            </w:r>
            <w:r>
              <w:rPr>
                <w:rFonts w:ascii="Arial" w:cs="Arial" w:eastAsia="Arial" w:hAnsi="Arial"/>
                <w:sz w:val="18"/>
                <w:szCs w:val="18"/>
                <w:color w:val="auto"/>
                <w:w w:val="97"/>
              </w:rPr>
              <w:t xml:space="preserve"> W. F</w:t>
            </w:r>
            <w:r>
              <w:rPr>
                <w:rFonts w:ascii="Arial" w:cs="Arial" w:eastAsia="Arial" w:hAnsi="Arial"/>
                <w:sz w:val="14"/>
                <w:szCs w:val="14"/>
                <w:color w:val="auto"/>
                <w:w w:val="97"/>
              </w:rPr>
              <w:t>AEDER</w:t>
            </w:r>
          </w:p>
        </w:tc>
        <w:tc>
          <w:tcPr>
            <w:tcW w:w="4400" w:type="dxa"/>
            <w:vAlign w:val="bottom"/>
            <w:gridSpan w:val="3"/>
          </w:tcPr>
          <w:p>
            <w:pPr>
              <w:ind w:left="480"/>
              <w:spacing w:after="0"/>
              <w:rPr>
                <w:sz w:val="20"/>
                <w:szCs w:val="20"/>
                <w:color w:val="auto"/>
              </w:rPr>
            </w:pPr>
            <w:r>
              <w:rPr>
                <w:rFonts w:ascii="Arial" w:cs="Arial" w:eastAsia="Arial" w:hAnsi="Arial"/>
                <w:sz w:val="18"/>
                <w:szCs w:val="18"/>
                <w:color w:val="auto"/>
              </w:rPr>
              <w:t>Trustee</w:t>
            </w:r>
          </w:p>
        </w:tc>
        <w:tc>
          <w:tcPr>
            <w:tcW w:w="2160" w:type="dxa"/>
            <w:vAlign w:val="bottom"/>
            <w:gridSpan w:val="3"/>
          </w:tcPr>
          <w:p>
            <w:pPr>
              <w:jc w:val="center"/>
              <w:ind w:left="830"/>
              <w:spacing w:after="0"/>
              <w:rPr>
                <w:sz w:val="20"/>
                <w:szCs w:val="20"/>
                <w:color w:val="auto"/>
              </w:rPr>
            </w:pPr>
            <w:r>
              <w:rPr>
                <w:rFonts w:ascii="Arial" w:cs="Arial" w:eastAsia="Arial" w:hAnsi="Arial"/>
                <w:sz w:val="18"/>
                <w:szCs w:val="18"/>
                <w:color w:val="auto"/>
                <w:w w:val="90"/>
              </w:rPr>
              <w:t>February 9, 2016</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5"/>
                <w:szCs w:val="15"/>
                <w:color w:val="auto"/>
              </w:rPr>
            </w:pPr>
          </w:p>
        </w:tc>
        <w:tc>
          <w:tcPr>
            <w:tcW w:w="3100" w:type="dxa"/>
            <w:vAlign w:val="bottom"/>
            <w:gridSpan w:val="4"/>
          </w:tcPr>
          <w:p>
            <w:pPr>
              <w:jc w:val="center"/>
              <w:ind w:right="1340"/>
              <w:spacing w:after="0"/>
              <w:rPr>
                <w:sz w:val="20"/>
                <w:szCs w:val="20"/>
                <w:color w:val="auto"/>
              </w:rPr>
            </w:pPr>
            <w:r>
              <w:rPr>
                <w:rFonts w:ascii="Arial" w:cs="Arial" w:eastAsia="Arial" w:hAnsi="Arial"/>
                <w:sz w:val="14"/>
                <w:szCs w:val="14"/>
                <w:b w:val="1"/>
                <w:bCs w:val="1"/>
                <w:color w:val="auto"/>
                <w:w w:val="95"/>
              </w:rPr>
              <w:t>David W. Faeder</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3"/>
        </w:trPr>
        <w:tc>
          <w:tcPr>
            <w:tcW w:w="1360" w:type="dxa"/>
            <w:vAlign w:val="bottom"/>
          </w:tcPr>
          <w:p>
            <w:pPr>
              <w:spacing w:after="0"/>
              <w:rPr>
                <w:sz w:val="24"/>
                <w:szCs w:val="24"/>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RISTIN</w:t>
            </w:r>
            <w:r>
              <w:rPr>
                <w:rFonts w:ascii="Arial" w:cs="Arial" w:eastAsia="Arial" w:hAnsi="Arial"/>
                <w:sz w:val="18"/>
                <w:szCs w:val="18"/>
                <w:color w:val="auto"/>
              </w:rPr>
              <w:t xml:space="preserve"> G</w:t>
            </w:r>
            <w:r>
              <w:rPr>
                <w:rFonts w:ascii="Arial" w:cs="Arial" w:eastAsia="Arial" w:hAnsi="Arial"/>
                <w:sz w:val="14"/>
                <w:szCs w:val="14"/>
                <w:color w:val="auto"/>
              </w:rPr>
              <w:t>AMBLE</w:t>
            </w:r>
          </w:p>
        </w:tc>
        <w:tc>
          <w:tcPr>
            <w:tcW w:w="4400" w:type="dxa"/>
            <w:vAlign w:val="bottom"/>
            <w:gridSpan w:val="3"/>
          </w:tcPr>
          <w:p>
            <w:pPr>
              <w:ind w:left="480"/>
              <w:spacing w:after="0"/>
              <w:rPr>
                <w:sz w:val="20"/>
                <w:szCs w:val="20"/>
                <w:color w:val="auto"/>
              </w:rPr>
            </w:pPr>
            <w:r>
              <w:rPr>
                <w:rFonts w:ascii="Arial" w:cs="Arial" w:eastAsia="Arial" w:hAnsi="Arial"/>
                <w:sz w:val="18"/>
                <w:szCs w:val="18"/>
                <w:color w:val="auto"/>
              </w:rPr>
              <w:t>Trustee</w:t>
            </w:r>
          </w:p>
        </w:tc>
        <w:tc>
          <w:tcPr>
            <w:tcW w:w="2160" w:type="dxa"/>
            <w:vAlign w:val="bottom"/>
            <w:gridSpan w:val="3"/>
          </w:tcPr>
          <w:p>
            <w:pPr>
              <w:jc w:val="center"/>
              <w:ind w:left="830"/>
              <w:spacing w:after="0"/>
              <w:rPr>
                <w:sz w:val="20"/>
                <w:szCs w:val="20"/>
                <w:color w:val="auto"/>
              </w:rPr>
            </w:pPr>
            <w:r>
              <w:rPr>
                <w:rFonts w:ascii="Arial" w:cs="Arial" w:eastAsia="Arial" w:hAnsi="Arial"/>
                <w:sz w:val="18"/>
                <w:szCs w:val="18"/>
                <w:color w:val="auto"/>
                <w:w w:val="90"/>
              </w:rPr>
              <w:t>February 9, 2016</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4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6"/>
              </w:rPr>
              <w:t>Kristin Gamble</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2"/>
        </w:trPr>
        <w:tc>
          <w:tcPr>
            <w:tcW w:w="136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5"/>
              </w:rPr>
              <w:t>G</w:t>
            </w:r>
            <w:r>
              <w:rPr>
                <w:rFonts w:ascii="Arial" w:cs="Arial" w:eastAsia="Arial" w:hAnsi="Arial"/>
                <w:sz w:val="14"/>
                <w:szCs w:val="14"/>
                <w:color w:val="auto"/>
                <w:w w:val="95"/>
              </w:rPr>
              <w:t>AIL</w:t>
            </w:r>
            <w:r>
              <w:rPr>
                <w:rFonts w:ascii="Arial" w:cs="Arial" w:eastAsia="Arial" w:hAnsi="Arial"/>
                <w:sz w:val="18"/>
                <w:szCs w:val="18"/>
                <w:color w:val="auto"/>
                <w:w w:val="95"/>
              </w:rPr>
              <w:t xml:space="preserve"> P. S</w:t>
            </w:r>
            <w:r>
              <w:rPr>
                <w:rFonts w:ascii="Arial" w:cs="Arial" w:eastAsia="Arial" w:hAnsi="Arial"/>
                <w:sz w:val="14"/>
                <w:szCs w:val="14"/>
                <w:color w:val="auto"/>
                <w:w w:val="95"/>
              </w:rPr>
              <w:t>TEINEL</w:t>
            </w:r>
          </w:p>
        </w:tc>
        <w:tc>
          <w:tcPr>
            <w:tcW w:w="4400" w:type="dxa"/>
            <w:vAlign w:val="bottom"/>
            <w:gridSpan w:val="3"/>
          </w:tcPr>
          <w:p>
            <w:pPr>
              <w:ind w:left="480"/>
              <w:spacing w:after="0"/>
              <w:rPr>
                <w:sz w:val="20"/>
                <w:szCs w:val="20"/>
                <w:color w:val="auto"/>
              </w:rPr>
            </w:pPr>
            <w:r>
              <w:rPr>
                <w:rFonts w:ascii="Arial" w:cs="Arial" w:eastAsia="Arial" w:hAnsi="Arial"/>
                <w:sz w:val="18"/>
                <w:szCs w:val="18"/>
                <w:color w:val="auto"/>
              </w:rPr>
              <w:t>Trustee</w:t>
            </w:r>
          </w:p>
        </w:tc>
        <w:tc>
          <w:tcPr>
            <w:tcW w:w="2160" w:type="dxa"/>
            <w:vAlign w:val="bottom"/>
            <w:gridSpan w:val="3"/>
          </w:tcPr>
          <w:p>
            <w:pPr>
              <w:jc w:val="center"/>
              <w:ind w:left="830"/>
              <w:spacing w:after="0"/>
              <w:rPr>
                <w:sz w:val="20"/>
                <w:szCs w:val="20"/>
                <w:color w:val="auto"/>
              </w:rPr>
            </w:pPr>
            <w:r>
              <w:rPr>
                <w:rFonts w:ascii="Arial" w:cs="Arial" w:eastAsia="Arial" w:hAnsi="Arial"/>
                <w:sz w:val="18"/>
                <w:szCs w:val="18"/>
                <w:color w:val="auto"/>
                <w:w w:val="90"/>
              </w:rPr>
              <w:t>February 9, 2016</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4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2"/>
              </w:rPr>
              <w:t>Gail P. Steinel</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2"/>
        </w:trPr>
        <w:tc>
          <w:tcPr>
            <w:tcW w:w="1360" w:type="dxa"/>
            <w:vAlign w:val="bottom"/>
          </w:tcPr>
          <w:p>
            <w:pPr>
              <w:ind w:left="11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100" w:type="dxa"/>
            <w:vAlign w:val="bottom"/>
            <w:gridSpan w:val="4"/>
          </w:tcPr>
          <w:p>
            <w:pPr>
              <w:jc w:val="center"/>
              <w:ind w:right="1000"/>
              <w:spacing w:after="0"/>
              <w:rPr>
                <w:sz w:val="20"/>
                <w:szCs w:val="20"/>
                <w:color w:val="auto"/>
              </w:rPr>
            </w:pPr>
            <w:r>
              <w:rPr>
                <w:rFonts w:ascii="Arial" w:cs="Arial" w:eastAsia="Arial" w:hAnsi="Arial"/>
                <w:sz w:val="18"/>
                <w:szCs w:val="18"/>
                <w:color w:val="auto"/>
                <w:w w:val="99"/>
              </w:rPr>
              <w:t>W</w:t>
            </w:r>
            <w:r>
              <w:rPr>
                <w:rFonts w:ascii="Arial" w:cs="Arial" w:eastAsia="Arial" w:hAnsi="Arial"/>
                <w:sz w:val="14"/>
                <w:szCs w:val="14"/>
                <w:color w:val="auto"/>
                <w:w w:val="99"/>
              </w:rPr>
              <w:t>ARREN</w:t>
            </w:r>
            <w:r>
              <w:rPr>
                <w:rFonts w:ascii="Arial" w:cs="Arial" w:eastAsia="Arial" w:hAnsi="Arial"/>
                <w:sz w:val="18"/>
                <w:szCs w:val="18"/>
                <w:color w:val="auto"/>
                <w:w w:val="99"/>
              </w:rPr>
              <w:t xml:space="preserve"> M. T</w:t>
            </w:r>
            <w:r>
              <w:rPr>
                <w:rFonts w:ascii="Arial" w:cs="Arial" w:eastAsia="Arial" w:hAnsi="Arial"/>
                <w:sz w:val="14"/>
                <w:szCs w:val="14"/>
                <w:color w:val="auto"/>
                <w:w w:val="99"/>
              </w:rPr>
              <w:t>HOMPSON</w:t>
            </w:r>
          </w:p>
        </w:tc>
        <w:tc>
          <w:tcPr>
            <w:tcW w:w="4400" w:type="dxa"/>
            <w:vAlign w:val="bottom"/>
            <w:gridSpan w:val="3"/>
          </w:tcPr>
          <w:p>
            <w:pPr>
              <w:ind w:left="480"/>
              <w:spacing w:after="0"/>
              <w:rPr>
                <w:sz w:val="20"/>
                <w:szCs w:val="20"/>
                <w:color w:val="auto"/>
              </w:rPr>
            </w:pPr>
            <w:r>
              <w:rPr>
                <w:rFonts w:ascii="Arial" w:cs="Arial" w:eastAsia="Arial" w:hAnsi="Arial"/>
                <w:sz w:val="18"/>
                <w:szCs w:val="18"/>
                <w:color w:val="auto"/>
              </w:rPr>
              <w:t>Trustee</w:t>
            </w:r>
          </w:p>
        </w:tc>
        <w:tc>
          <w:tcPr>
            <w:tcW w:w="2160" w:type="dxa"/>
            <w:vAlign w:val="bottom"/>
            <w:gridSpan w:val="3"/>
          </w:tcPr>
          <w:p>
            <w:pPr>
              <w:jc w:val="center"/>
              <w:ind w:left="830"/>
              <w:spacing w:after="0"/>
              <w:rPr>
                <w:sz w:val="20"/>
                <w:szCs w:val="20"/>
                <w:color w:val="auto"/>
              </w:rPr>
            </w:pPr>
            <w:r>
              <w:rPr>
                <w:rFonts w:ascii="Arial" w:cs="Arial" w:eastAsia="Arial" w:hAnsi="Arial"/>
                <w:sz w:val="18"/>
                <w:szCs w:val="18"/>
                <w:color w:val="auto"/>
                <w:w w:val="90"/>
              </w:rPr>
              <w:t>February 9, 2016</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5"/>
                <w:szCs w:val="15"/>
                <w:color w:val="auto"/>
              </w:rPr>
            </w:pPr>
          </w:p>
        </w:tc>
        <w:tc>
          <w:tcPr>
            <w:tcW w:w="3100" w:type="dxa"/>
            <w:vAlign w:val="bottom"/>
            <w:gridSpan w:val="4"/>
          </w:tcPr>
          <w:p>
            <w:pPr>
              <w:jc w:val="center"/>
              <w:ind w:right="1360"/>
              <w:spacing w:after="0"/>
              <w:rPr>
                <w:sz w:val="20"/>
                <w:szCs w:val="20"/>
                <w:color w:val="auto"/>
              </w:rPr>
            </w:pPr>
            <w:r>
              <w:rPr>
                <w:rFonts w:ascii="Arial" w:cs="Arial" w:eastAsia="Arial" w:hAnsi="Arial"/>
                <w:sz w:val="14"/>
                <w:szCs w:val="14"/>
                <w:b w:val="1"/>
                <w:bCs w:val="1"/>
                <w:color w:val="auto"/>
                <w:w w:val="96"/>
              </w:rPr>
              <w:t>Warren M. Thompson</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6"/>
        </w:trPr>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20" w:type="dxa"/>
            <w:vAlign w:val="bottom"/>
          </w:tcPr>
          <w:p>
            <w:pPr>
              <w:ind w:left="1160"/>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6" w:right="29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8 and Item 15(a)(1) and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Schedules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Consolidated Financial Statements</w:t>
            </w:r>
          </w:p>
        </w:tc>
        <w:tc>
          <w:tcPr>
            <w:tcW w:w="148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8"/>
                <w:szCs w:val="18"/>
                <w:color w:val="auto"/>
              </w:rPr>
              <w:t>Page No.</w:t>
            </w:r>
          </w:p>
        </w:tc>
      </w:tr>
      <w:tr>
        <w:trPr>
          <w:trHeight w:val="196"/>
        </w:trPr>
        <w:tc>
          <w:tcPr>
            <w:tcW w:w="9940" w:type="dxa"/>
            <w:vAlign w:val="bottom"/>
          </w:tcPr>
          <w:p>
            <w:pPr>
              <w:ind w:left="40"/>
              <w:spacing w:after="0" w:line="196" w:lineRule="exact"/>
              <w:rPr>
                <w:sz w:val="20"/>
                <w:szCs w:val="20"/>
                <w:color w:val="auto"/>
              </w:rPr>
            </w:pPr>
            <w:r>
              <w:rPr>
                <w:rFonts w:ascii="Arial" w:cs="Arial" w:eastAsia="Arial" w:hAnsi="Arial"/>
                <w:sz w:val="18"/>
                <w:szCs w:val="18"/>
                <w:color w:val="auto"/>
              </w:rPr>
              <w:t>Management Assessment Report on Internal Control over Financial Reporting</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jc w:val="right"/>
              <w:ind w:right="20"/>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F-2</w:t>
              </w:r>
            </w:hyperlink>
          </w:p>
        </w:tc>
      </w:tr>
      <w:tr>
        <w:trPr>
          <w:trHeight w:val="47"/>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9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Report of Independent Registered Public Accounting Firm</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F-3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2"/>
        </w:trPr>
        <w:tc>
          <w:tcPr>
            <w:tcW w:w="9940" w:type="dxa"/>
            <w:vAlign w:val="bottom"/>
          </w:tcPr>
          <w:p>
            <w:pPr>
              <w:ind w:left="40"/>
              <w:spacing w:after="0" w:line="202" w:lineRule="exact"/>
              <w:rPr>
                <w:sz w:val="20"/>
                <w:szCs w:val="20"/>
                <w:color w:val="auto"/>
              </w:rPr>
            </w:pPr>
            <w:r>
              <w:rPr>
                <w:rFonts w:ascii="Arial" w:cs="Arial" w:eastAsia="Arial" w:hAnsi="Arial"/>
                <w:sz w:val="18"/>
                <w:szCs w:val="18"/>
                <w:color w:val="auto"/>
              </w:rPr>
              <w:t>Report of Independent Registered Public Accounting Firm</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jc w:val="right"/>
              <w:ind w:right="20"/>
              <w:spacing w:after="0" w:line="202"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F-4</w:t>
              </w:r>
            </w:hyperlink>
          </w:p>
        </w:tc>
      </w:tr>
      <w:tr>
        <w:trPr>
          <w:trHeight w:val="47"/>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9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Balance Sheets</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F-5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2"/>
        </w:trPr>
        <w:tc>
          <w:tcPr>
            <w:tcW w:w="994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Comprehensive Income</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jc w:val="right"/>
              <w:ind w:right="20"/>
              <w:spacing w:after="0" w:line="202"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F-6</w:t>
              </w:r>
            </w:hyperlink>
          </w:p>
        </w:tc>
      </w:tr>
      <w:tr>
        <w:trPr>
          <w:trHeight w:val="47"/>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9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 of Shareholders’ Equity</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F-7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2"/>
        </w:trPr>
        <w:tc>
          <w:tcPr>
            <w:tcW w:w="994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Cash Flows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jc w:val="right"/>
              <w:ind w:right="20"/>
              <w:spacing w:after="0" w:line="202"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F-8</w:t>
              </w:r>
            </w:hyperlink>
          </w:p>
        </w:tc>
      </w:tr>
      <w:tr>
        <w:trPr>
          <w:trHeight w:val="47"/>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20"/>
              <w:spacing w:after="0" w:line="202"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F-9</w:t>
              </w:r>
            </w:hyperlink>
          </w:p>
        </w:tc>
      </w:tr>
      <w:tr>
        <w:trPr>
          <w:trHeight w:val="324"/>
        </w:trPr>
        <w:tc>
          <w:tcPr>
            <w:tcW w:w="994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Financial Statement Schedules</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2"/>
        </w:trPr>
        <w:tc>
          <w:tcPr>
            <w:tcW w:w="9940" w:type="dxa"/>
            <w:vAlign w:val="bottom"/>
          </w:tcPr>
          <w:p>
            <w:pPr>
              <w:ind w:left="40"/>
              <w:spacing w:after="0" w:line="202" w:lineRule="exact"/>
              <w:rPr>
                <w:sz w:val="20"/>
                <w:szCs w:val="20"/>
                <w:color w:val="auto"/>
              </w:rPr>
            </w:pPr>
            <w:r>
              <w:rPr>
                <w:rFonts w:ascii="Arial" w:cs="Arial" w:eastAsia="Arial" w:hAnsi="Arial"/>
                <w:sz w:val="18"/>
                <w:szCs w:val="18"/>
                <w:color w:val="auto"/>
              </w:rPr>
              <w:t>Schedule III—Summary of Real Estate and Accumulated Depreciation</w:t>
            </w:r>
          </w:p>
        </w:tc>
        <w:tc>
          <w:tcPr>
            <w:tcW w:w="1120" w:type="dxa"/>
            <w:vAlign w:val="bottom"/>
          </w:tcPr>
          <w:p>
            <w:pPr>
              <w:spacing w:after="0"/>
              <w:rPr>
                <w:sz w:val="17"/>
                <w:szCs w:val="17"/>
                <w:color w:val="auto"/>
              </w:rPr>
            </w:pPr>
          </w:p>
        </w:tc>
        <w:tc>
          <w:tcPr>
            <w:tcW w:w="360" w:type="dxa"/>
            <w:vAlign w:val="bottom"/>
            <w:gridSpan w:val="3"/>
          </w:tcPr>
          <w:p>
            <w:pPr>
              <w:jc w:val="right"/>
              <w:ind w:right="20"/>
              <w:spacing w:after="0" w:line="202" w:lineRule="exact"/>
              <w:rPr>
                <w:rFonts w:ascii="Arial" w:cs="Arial" w:eastAsia="Arial" w:hAnsi="Arial"/>
                <w:sz w:val="18"/>
                <w:szCs w:val="18"/>
                <w:color w:val="0000EE"/>
                <w:w w:val="86"/>
              </w:rPr>
            </w:pPr>
            <w:hyperlink w:anchor="page83">
              <w:r>
                <w:rPr>
                  <w:rFonts w:ascii="Arial" w:cs="Arial" w:eastAsia="Arial" w:hAnsi="Arial"/>
                  <w:sz w:val="18"/>
                  <w:szCs w:val="18"/>
                  <w:color w:val="0000EE"/>
                  <w:w w:val="86"/>
                </w:rPr>
                <w:t>F-30</w:t>
              </w:r>
            </w:hyperlink>
          </w:p>
        </w:tc>
      </w:tr>
      <w:tr>
        <w:trPr>
          <w:trHeight w:val="47"/>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9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Schedule IV—Mortgage Loans on Real Estate</w:t>
            </w:r>
          </w:p>
        </w:tc>
        <w:tc>
          <w:tcPr>
            <w:tcW w:w="112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20"/>
              <w:spacing w:after="0" w:line="202" w:lineRule="exact"/>
              <w:rPr>
                <w:rFonts w:ascii="Arial" w:cs="Arial" w:eastAsia="Arial" w:hAnsi="Arial"/>
                <w:sz w:val="18"/>
                <w:szCs w:val="18"/>
                <w:color w:val="0000EE"/>
                <w:w w:val="86"/>
              </w:rPr>
            </w:pPr>
            <w:hyperlink w:anchor="page90">
              <w:r>
                <w:rPr>
                  <w:rFonts w:ascii="Arial" w:cs="Arial" w:eastAsia="Arial" w:hAnsi="Arial"/>
                  <w:sz w:val="18"/>
                  <w:szCs w:val="18"/>
                  <w:color w:val="0000EE"/>
                  <w:w w:val="86"/>
                </w:rPr>
                <w:t>F-37</w:t>
              </w:r>
            </w:hyperlink>
          </w:p>
        </w:tc>
      </w:tr>
      <w:tr>
        <w:trPr>
          <w:trHeight w:val="47"/>
        </w:trPr>
        <w:tc>
          <w:tcPr>
            <w:tcW w:w="99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148"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All other schedules have been omitted either because the information is not applicable, not material, or is disclosed in our consolidated financial statements and related notes.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126" w:right="2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Assessment Report on Internal Control over Financial Reporting</w:t>
      </w:r>
    </w:p>
    <w:p>
      <w:pPr>
        <w:spacing w:after="0" w:line="94"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management of Federal Realty Investment Trust (the "Trust") is responsible for establishing and maintaining adequate internal control over financial reporting. Establishing and maintaining internal control over financial reporting is a process designed by, or under the supervision of, our President and Chief Executive Officer and Executive Vice President - Chief Financial Officer and Treasurer,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This process includes policies and procedures that:</w:t>
      </w:r>
    </w:p>
    <w:p>
      <w:pPr>
        <w:spacing w:after="0" w:line="1"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pertain to the maintenance of records that accurately and fairly reflect the transactions and dispositions of our assets in reasonable detail;</w:t>
      </w:r>
    </w:p>
    <w:p>
      <w:pPr>
        <w:spacing w:after="0" w:line="20" w:lineRule="exact"/>
        <w:rPr>
          <w:rFonts w:ascii="Arial" w:cs="Arial" w:eastAsia="Arial" w:hAnsi="Arial"/>
          <w:sz w:val="17"/>
          <w:szCs w:val="17"/>
          <w:color w:val="auto"/>
        </w:rPr>
      </w:pPr>
    </w:p>
    <w:p>
      <w:pPr>
        <w:ind w:left="660" w:right="22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ind w:left="660" w:right="700" w:hanging="328"/>
        <w:spacing w:after="0" w:line="26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Management, including our Chief Executive Officer and Chief Financial Officer, do not expect that our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Management conducted an assessment of the effectiveness of the Trust’s internal control over financial reporting as of December 31, 2015. In making this assessment, it used the criteria set forth by the Committee of Sponsoring Organizations of the Treadway Commission (COSO) in the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Based on this assessment, management concluded that our internal control over financial reporting is effective, based on those criteria,</w:t>
      </w:r>
      <w:r>
        <w:rPr>
          <w:rFonts w:ascii="Arial" w:cs="Arial" w:eastAsia="Arial" w:hAnsi="Arial"/>
          <w:sz w:val="18"/>
          <w:szCs w:val="18"/>
          <w:i w:val="1"/>
          <w:iCs w:val="1"/>
          <w:color w:val="auto"/>
        </w:rPr>
        <w:t xml:space="preserve"> </w:t>
      </w:r>
      <w:r>
        <w:rPr>
          <w:rFonts w:ascii="Arial" w:cs="Arial" w:eastAsia="Arial" w:hAnsi="Arial"/>
          <w:sz w:val="18"/>
          <w:szCs w:val="18"/>
          <w:color w:val="auto"/>
        </w:rPr>
        <w:t>as of December 31, 2015.</w:t>
      </w:r>
    </w:p>
    <w:p>
      <w:pPr>
        <w:spacing w:after="0" w:line="132"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Grant Thornton LLP, the independent registered public accounting firm that audited the Trust’s consolidated financial statements included in this Annual Report on Form 10-K, has issued an attestation report on the Trust’s internal control over financial reporting, which appears on page F-3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6" w:right="2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Trustees and Shareholders of Federal Realty Investment Trust</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We have audited the internal control over financial reporting of Federal Realty Investment Trust (a Maryland real estate investment trust) and Subsidiaries (collectively, the "Trust") as of December 31, 2015,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The Trust’s management is responsible for maintaining effective internal control over financial reporting and for its assessment of the effectiveness of internal control over financial reporting, included in the accompanying Management Assessment Report on Internal Control over Financial Reporting. Our responsibility is to express an opinion on the Trust’s internal control over financial reporting based on our audit.</w:t>
      </w:r>
    </w:p>
    <w:p>
      <w:pPr>
        <w:spacing w:after="0" w:line="137" w:lineRule="exact"/>
        <w:rPr>
          <w:sz w:val="20"/>
          <w:szCs w:val="20"/>
          <w:color w:val="auto"/>
        </w:rPr>
      </w:pPr>
    </w:p>
    <w:p>
      <w:pPr>
        <w:jc w:val="both"/>
        <w:ind w:right="80"/>
        <w:spacing w:after="0" w:line="296"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In our opinion, Federal Realty Investment Trust and Subsidiaries maintained, in all material respects, effective internal control over financial reporting as of December 31, 2015,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1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financial statements of the Trust as of and for the year ended December 31, 2015 and our report dated February 9, 2016 expressed an unqualified opinion on those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2016</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60"/>
          </w:cols>
          <w:pgMar w:left="240" w:top="126" w:right="29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Trustees and Shareholders of Federal Realty Investment Trust</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audited the accompanying consolidated balance sheets of Federal Realty Investment Trust (a Maryland real estate investment trust) and Subsidiaries (collectively, the "Trust") as of December 31, 2015 and 2014, and the related consolidated statements of comprehensive income, changes in shareholders’ equity, and cash flows for each of the three years in the period ended December 31, 2015. Our audits of the basic consolidated financial statements included the financial statement schedules listed in the index appearing under Item 15(a)(2). These financial statements and financial statement schedules are the responsibility of the Trust’s management. Our responsibility is to express an opinion on these financial statements and financial statement schedules based on our audits.</w:t>
      </w:r>
    </w:p>
    <w:p>
      <w:pPr>
        <w:spacing w:after="0" w:line="13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Federal Realty Investment Trust and Subsidiaries as of December 31, 2015 and 2014, and the results of their operations and their cash flows for each of the three years in the period ended December 31, 2015, in conformity with accounting principles generally accepted in the United States of America. Also in our opinion, the related financial statement schedules, when considered in relation to the basic consolidated financial statements taken as a whole, present fairly, in all material respects, the information set forth therein.</w:t>
      </w:r>
    </w:p>
    <w:p>
      <w:pPr>
        <w:spacing w:after="0" w:line="13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Trust’s internal control over financial reporting as of December 31, 2015,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February 9, 2016 expressed an unqualified opinion.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2016</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80"/>
          </w:cols>
          <w:pgMar w:left="240" w:top="126" w:right="27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652"/>
              <w:spacing w:after="0"/>
              <w:rPr>
                <w:sz w:val="20"/>
                <w:szCs w:val="20"/>
                <w:color w:val="auto"/>
              </w:rPr>
            </w:pPr>
            <w:r>
              <w:rPr>
                <w:rFonts w:ascii="Arial" w:cs="Arial" w:eastAsia="Arial" w:hAnsi="Arial"/>
                <w:sz w:val="14"/>
                <w:szCs w:val="14"/>
                <w:b w:val="1"/>
                <w:bCs w:val="1"/>
                <w:color w:val="auto"/>
                <w:w w:val="90"/>
              </w:rPr>
              <w:t>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20" w:type="dxa"/>
            <w:vAlign w:val="bottom"/>
            <w:gridSpan w:val="4"/>
          </w:tcPr>
          <w:p>
            <w:pPr>
              <w:jc w:val="center"/>
              <w:ind w:right="111"/>
              <w:spacing w:after="0" w:line="152" w:lineRule="exact"/>
              <w:rPr>
                <w:sz w:val="20"/>
                <w:szCs w:val="20"/>
                <w:color w:val="auto"/>
              </w:rPr>
            </w:pPr>
            <w:r>
              <w:rPr>
                <w:rFonts w:ascii="Arial" w:cs="Arial" w:eastAsia="Arial" w:hAnsi="Arial"/>
                <w:sz w:val="14"/>
                <w:szCs w:val="14"/>
                <w:b w:val="1"/>
                <w:bCs w:val="1"/>
                <w:color w:val="auto"/>
                <w:w w:val="90"/>
              </w:rPr>
              <w:t>(In thousands, except share and per</w:t>
            </w:r>
          </w:p>
        </w:tc>
        <w:tc>
          <w:tcPr>
            <w:tcW w:w="0" w:type="dxa"/>
            <w:vAlign w:val="bottom"/>
          </w:tcPr>
          <w:p>
            <w:pPr>
              <w:spacing w:after="0"/>
              <w:rPr>
                <w:sz w:val="1"/>
                <w:szCs w:val="1"/>
                <w:color w:val="auto"/>
              </w:rPr>
            </w:pPr>
          </w:p>
        </w:tc>
      </w:tr>
      <w:tr>
        <w:trPr>
          <w:trHeight w:val="186"/>
        </w:trPr>
        <w:tc>
          <w:tcPr>
            <w:tcW w:w="8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3"/>
          </w:tcPr>
          <w:p>
            <w:pPr>
              <w:jc w:val="center"/>
              <w:ind w:left="652"/>
              <w:spacing w:after="0"/>
              <w:rPr>
                <w:sz w:val="20"/>
                <w:szCs w:val="20"/>
                <w:color w:val="auto"/>
              </w:rPr>
            </w:pPr>
            <w:r>
              <w:rPr>
                <w:rFonts w:ascii="Arial" w:cs="Arial" w:eastAsia="Arial" w:hAnsi="Arial"/>
                <w:sz w:val="14"/>
                <w:szCs w:val="14"/>
                <w:b w:val="1"/>
                <w:bCs w:val="1"/>
                <w:color w:val="auto"/>
                <w:w w:val="93"/>
              </w:rPr>
              <w:t>share data)</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00"/>
              <w:spacing w:after="0"/>
              <w:rPr>
                <w:sz w:val="20"/>
                <w:szCs w:val="20"/>
                <w:color w:val="auto"/>
              </w:rPr>
            </w:pPr>
            <w:r>
              <w:rPr>
                <w:rFonts w:ascii="Arial" w:cs="Arial" w:eastAsia="Arial" w:hAnsi="Arial"/>
                <w:sz w:val="18"/>
                <w:szCs w:val="18"/>
                <w:color w:val="auto"/>
                <w:w w:val="99"/>
              </w:rPr>
              <w:t>Operating (including $485,971 and $282,303 of consolidated variable interest entities, respectively)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5,630,771</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5,128,757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Construction-in-progress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433,635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480,241</w:t>
            </w:r>
          </w:p>
        </w:tc>
        <w:tc>
          <w:tcPr>
            <w:tcW w:w="0" w:type="dxa"/>
            <w:vAlign w:val="bottom"/>
          </w:tcPr>
          <w:p>
            <w:pPr>
              <w:spacing w:after="0"/>
              <w:rPr>
                <w:sz w:val="1"/>
                <w:szCs w:val="1"/>
                <w:color w:val="auto"/>
              </w:rPr>
            </w:pPr>
          </w:p>
        </w:tc>
      </w:tr>
      <w:tr>
        <w:trPr>
          <w:trHeight w:val="236"/>
        </w:trPr>
        <w:tc>
          <w:tcPr>
            <w:tcW w:w="85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6,064,406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5,608,998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3"/>
              </w:rPr>
              <w:t>Less accumulated depreciation and amortization (including $35,782 and $26,618 of consolidated variable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interest entities, respectively)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(1,574,041)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(1,467,050)</w:t>
            </w:r>
          </w:p>
        </w:tc>
        <w:tc>
          <w:tcPr>
            <w:tcW w:w="0" w:type="dxa"/>
            <w:vAlign w:val="bottom"/>
          </w:tcPr>
          <w:p>
            <w:pPr>
              <w:spacing w:after="0"/>
              <w:rPr>
                <w:sz w:val="1"/>
                <w:szCs w:val="1"/>
                <w:color w:val="auto"/>
              </w:rPr>
            </w:pPr>
          </w:p>
        </w:tc>
      </w:tr>
      <w:tr>
        <w:trPr>
          <w:trHeight w:val="236"/>
        </w:trPr>
        <w:tc>
          <w:tcPr>
            <w:tcW w:w="8580" w:type="dxa"/>
            <w:vAlign w:val="bottom"/>
          </w:tcPr>
          <w:p>
            <w:pPr>
              <w:ind w:left="380"/>
              <w:spacing w:after="0"/>
              <w:rPr>
                <w:sz w:val="20"/>
                <w:szCs w:val="20"/>
                <w:color w:val="auto"/>
              </w:rPr>
            </w:pPr>
            <w:r>
              <w:rPr>
                <w:rFonts w:ascii="Arial" w:cs="Arial" w:eastAsia="Arial" w:hAnsi="Arial"/>
                <w:sz w:val="18"/>
                <w:szCs w:val="18"/>
                <w:color w:val="auto"/>
              </w:rPr>
              <w:t>Net real estate</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4,490,365</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4,141,948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47,951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and notes receivable, net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110,402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93,291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notes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50,988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41,546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37,457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190,203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160,167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Debt issuance costs, net of accumulated amortization of $11,092 and $11,441, respectively</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16,529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15,068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4,911,709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4,546,870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700"/>
              <w:spacing w:after="0"/>
              <w:rPr>
                <w:sz w:val="20"/>
                <w:szCs w:val="20"/>
                <w:color w:val="auto"/>
              </w:rPr>
            </w:pPr>
            <w:r>
              <w:rPr>
                <w:rFonts w:ascii="Arial" w:cs="Arial" w:eastAsia="Arial" w:hAnsi="Arial"/>
                <w:sz w:val="18"/>
                <w:szCs w:val="18"/>
                <w:color w:val="auto"/>
                <w:w w:val="92"/>
              </w:rPr>
              <w:t>Mortgages payable (including $254,241 and $187,632 of consolidated variable interest entities, respectively) $</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482,822</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563,698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Capital lease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71,647</w:t>
            </w:r>
          </w:p>
        </w:tc>
        <w:tc>
          <w:tcPr>
            <w:tcW w:w="0" w:type="dxa"/>
            <w:vAlign w:val="bottom"/>
          </w:tcPr>
          <w:p>
            <w:pPr>
              <w:spacing w:after="0"/>
              <w:rPr>
                <w:sz w:val="1"/>
                <w:szCs w:val="1"/>
                <w:color w:val="auto"/>
              </w:rPr>
            </w:pPr>
          </w:p>
        </w:tc>
      </w:tr>
      <w:tr>
        <w:trPr>
          <w:trHeight w:val="243"/>
        </w:trPr>
        <w:tc>
          <w:tcPr>
            <w:tcW w:w="8580" w:type="dxa"/>
            <w:vAlign w:val="bottom"/>
          </w:tcPr>
          <w:p>
            <w:pPr>
              <w:ind w:left="700"/>
              <w:spacing w:after="0"/>
              <w:rPr>
                <w:sz w:val="20"/>
                <w:szCs w:val="20"/>
                <w:color w:val="auto"/>
              </w:rPr>
            </w:pPr>
            <w:r>
              <w:rPr>
                <w:rFonts w:ascii="Arial" w:cs="Arial" w:eastAsia="Arial" w:hAnsi="Arial"/>
                <w:sz w:val="18"/>
                <w:szCs w:val="18"/>
                <w:color w:val="auto"/>
              </w:rPr>
              <w:t>Notes payable</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343,600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290,519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Senior notes and debentures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1,744,324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1,483,813</w:t>
            </w:r>
          </w:p>
        </w:tc>
        <w:tc>
          <w:tcPr>
            <w:tcW w:w="0" w:type="dxa"/>
            <w:vAlign w:val="bottom"/>
          </w:tcPr>
          <w:p>
            <w:pPr>
              <w:spacing w:after="0"/>
              <w:rPr>
                <w:sz w:val="1"/>
                <w:szCs w:val="1"/>
                <w:color w:val="auto"/>
              </w:rPr>
            </w:pPr>
          </w:p>
        </w:tc>
      </w:tr>
      <w:tr>
        <w:trPr>
          <w:trHeight w:val="243"/>
        </w:trPr>
        <w:tc>
          <w:tcPr>
            <w:tcW w:w="858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146,532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145,685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Dividends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66,338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60,620</w:t>
            </w:r>
          </w:p>
        </w:tc>
        <w:tc>
          <w:tcPr>
            <w:tcW w:w="0" w:type="dxa"/>
            <w:vAlign w:val="bottom"/>
          </w:tcPr>
          <w:p>
            <w:pPr>
              <w:spacing w:after="0"/>
              <w:rPr>
                <w:sz w:val="1"/>
                <w:szCs w:val="1"/>
                <w:color w:val="auto"/>
              </w:rPr>
            </w:pPr>
          </w:p>
        </w:tc>
      </w:tr>
      <w:tr>
        <w:trPr>
          <w:trHeight w:val="243"/>
        </w:trPr>
        <w:tc>
          <w:tcPr>
            <w:tcW w:w="8580" w:type="dxa"/>
            <w:vAlign w:val="bottom"/>
          </w:tcPr>
          <w:p>
            <w:pPr>
              <w:ind w:left="700"/>
              <w:spacing w:after="0"/>
              <w:rPr>
                <w:sz w:val="20"/>
                <w:szCs w:val="20"/>
                <w:color w:val="auto"/>
              </w:rPr>
            </w:pPr>
            <w:r>
              <w:rPr>
                <w:rFonts w:ascii="Arial" w:cs="Arial" w:eastAsia="Arial" w:hAnsi="Arial"/>
                <w:sz w:val="18"/>
                <w:szCs w:val="18"/>
                <w:color w:val="auto"/>
              </w:rPr>
              <w:t>Security deposits payable</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15,439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14,115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liabilities and deferred credits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121,787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105,164</w:t>
            </w:r>
          </w:p>
        </w:tc>
        <w:tc>
          <w:tcPr>
            <w:tcW w:w="0" w:type="dxa"/>
            <w:vAlign w:val="bottom"/>
          </w:tcPr>
          <w:p>
            <w:pPr>
              <w:spacing w:after="0"/>
              <w:rPr>
                <w:sz w:val="1"/>
                <w:szCs w:val="1"/>
                <w:color w:val="auto"/>
              </w:rPr>
            </w:pPr>
          </w:p>
        </w:tc>
      </w:tr>
      <w:tr>
        <w:trPr>
          <w:trHeight w:val="236"/>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2,992,462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2,735,261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 (Note 9)</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137,316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119,053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8580" w:type="dxa"/>
            <w:vAlign w:val="bottom"/>
          </w:tcPr>
          <w:p>
            <w:pPr>
              <w:ind w:left="700"/>
              <w:spacing w:after="0"/>
              <w:rPr>
                <w:sz w:val="20"/>
                <w:szCs w:val="20"/>
                <w:color w:val="auto"/>
              </w:rPr>
            </w:pPr>
            <w:r>
              <w:rPr>
                <w:rFonts w:ascii="Arial" w:cs="Arial" w:eastAsia="Arial" w:hAnsi="Arial"/>
                <w:sz w:val="18"/>
                <w:szCs w:val="18"/>
                <w:color w:val="auto"/>
                <w:w w:val="90"/>
              </w:rPr>
              <w:t>Preferred shares, authorized 15,000,000 shares, $.01 par: 5.417% Series 1 Cumulative Convertible Preferred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0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1"/>
              </w:rPr>
              <w:t>Common shares of beneficial interest, $.01 par, 100,000,000 shares authorized, 69,493,392 and 68,605,783</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shares issued and outstanding,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43"/>
        </w:trPr>
        <w:tc>
          <w:tcPr>
            <w:tcW w:w="8580" w:type="dxa"/>
            <w:vAlign w:val="bottom"/>
          </w:tcPr>
          <w:p>
            <w:pPr>
              <w:ind w:left="7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2,381,867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2,281,223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Accumulated dividends in excess of 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(724,701)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(683,991)</w:t>
            </w:r>
          </w:p>
        </w:tc>
        <w:tc>
          <w:tcPr>
            <w:tcW w:w="0" w:type="dxa"/>
            <w:vAlign w:val="bottom"/>
          </w:tcPr>
          <w:p>
            <w:pPr>
              <w:spacing w:after="0"/>
              <w:rPr>
                <w:sz w:val="1"/>
                <w:szCs w:val="1"/>
                <w:color w:val="auto"/>
              </w:rPr>
            </w:pPr>
          </w:p>
        </w:tc>
      </w:tr>
      <w:tr>
        <w:trPr>
          <w:trHeight w:val="243"/>
        </w:trPr>
        <w:tc>
          <w:tcPr>
            <w:tcW w:w="8580" w:type="dxa"/>
            <w:vAlign w:val="bottom"/>
          </w:tcPr>
          <w:p>
            <w:pPr>
              <w:ind w:left="7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1,663,749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1,604,401</w:t>
            </w:r>
          </w:p>
        </w:tc>
        <w:tc>
          <w:tcPr>
            <w:tcW w:w="0" w:type="dxa"/>
            <w:vAlign w:val="bottom"/>
          </w:tcPr>
          <w:p>
            <w:pPr>
              <w:spacing w:after="0"/>
              <w:rPr>
                <w:sz w:val="1"/>
                <w:szCs w:val="1"/>
                <w:color w:val="auto"/>
              </w:rPr>
            </w:pPr>
          </w:p>
        </w:tc>
      </w:tr>
      <w:tr>
        <w:trPr>
          <w:trHeight w:val="243"/>
        </w:trPr>
        <w:tc>
          <w:tcPr>
            <w:tcW w:w="8580" w:type="dxa"/>
            <w:vAlign w:val="bottom"/>
          </w:tcPr>
          <w:p>
            <w:pPr>
              <w:ind w:left="70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118,182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88,155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1,781,931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1,692,556</w:t>
            </w:r>
          </w:p>
        </w:tc>
        <w:tc>
          <w:tcPr>
            <w:tcW w:w="0" w:type="dxa"/>
            <w:vAlign w:val="bottom"/>
          </w:tcPr>
          <w:p>
            <w:pPr>
              <w:spacing w:after="0"/>
              <w:rPr>
                <w:sz w:val="1"/>
                <w:szCs w:val="1"/>
                <w:color w:val="auto"/>
              </w:rPr>
            </w:pPr>
          </w:p>
        </w:tc>
      </w:tr>
      <w:tr>
        <w:trPr>
          <w:trHeight w:val="236"/>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4,911,709</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4,546,870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6" w:right="2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0"/>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8"/>
          </w:tcPr>
          <w:p>
            <w:pPr>
              <w:jc w:val="center"/>
              <w:ind w:left="531"/>
              <w:spacing w:after="0"/>
              <w:rPr>
                <w:sz w:val="20"/>
                <w:szCs w:val="20"/>
                <w:color w:val="auto"/>
              </w:rPr>
            </w:pPr>
            <w:r>
              <w:rPr>
                <w:rFonts w:ascii="Arial" w:cs="Arial" w:eastAsia="Arial" w:hAnsi="Arial"/>
                <w:sz w:val="14"/>
                <w:szCs w:val="14"/>
                <w:b w:val="1"/>
                <w:bCs w:val="1"/>
                <w:color w:val="auto"/>
                <w:w w:val="91"/>
              </w:rPr>
              <w:t>(In thousands, except per share data)</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080" w:type="dxa"/>
            <w:vAlign w:val="bottom"/>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727,812</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666,322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620,089</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14,758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12,169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236"/>
        </w:trPr>
        <w:tc>
          <w:tcPr>
            <w:tcW w:w="7080" w:type="dxa"/>
            <w:vAlign w:val="bottom"/>
          </w:tcPr>
          <w:p>
            <w:pPr>
              <w:ind w:left="70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744,012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686,090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637,413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147,593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135,417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118,695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85,824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76,506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71,759</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35,645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32,316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31,970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174,796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170,814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160,828</w:t>
            </w:r>
          </w:p>
        </w:tc>
        <w:tc>
          <w:tcPr>
            <w:tcW w:w="0" w:type="dxa"/>
            <w:vAlign w:val="bottom"/>
          </w:tcPr>
          <w:p>
            <w:pPr>
              <w:spacing w:after="0"/>
              <w:rPr>
                <w:sz w:val="1"/>
                <w:szCs w:val="1"/>
                <w:color w:val="auto"/>
              </w:rPr>
            </w:pPr>
          </w:p>
        </w:tc>
      </w:tr>
      <w:tr>
        <w:trPr>
          <w:trHeight w:val="236"/>
        </w:trPr>
        <w:tc>
          <w:tcPr>
            <w:tcW w:w="70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443,858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415,053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383,252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300,154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271,037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254,161</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(93,941)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(104,977)</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(13,304)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real estate partnerships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36"/>
        </w:trPr>
        <w:tc>
          <w:tcPr>
            <w:tcW w:w="708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190,094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167,888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137,811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Discontinued operations - income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 - gain on sale of real estate</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23,861</w:t>
            </w:r>
          </w:p>
        </w:tc>
        <w:tc>
          <w:tcPr>
            <w:tcW w:w="0" w:type="dxa"/>
            <w:vAlign w:val="bottom"/>
          </w:tcPr>
          <w:p>
            <w:pPr>
              <w:spacing w:after="0"/>
              <w:rPr>
                <w:sz w:val="1"/>
                <w:szCs w:val="1"/>
                <w:color w:val="auto"/>
              </w:rPr>
            </w:pPr>
          </w:p>
        </w:tc>
      </w:tr>
      <w:tr>
        <w:trPr>
          <w:trHeight w:val="236"/>
        </w:trPr>
        <w:tc>
          <w:tcPr>
            <w:tcW w:w="7080" w:type="dxa"/>
            <w:vAlign w:val="bottom"/>
          </w:tcPr>
          <w:p>
            <w:pPr>
              <w:ind w:left="700"/>
              <w:spacing w:after="0"/>
              <w:rPr>
                <w:sz w:val="20"/>
                <w:szCs w:val="20"/>
                <w:color w:val="auto"/>
              </w:rPr>
            </w:pPr>
            <w:r>
              <w:rPr>
                <w:rFonts w:ascii="Arial" w:cs="Arial" w:eastAsia="Arial" w:hAnsi="Arial"/>
                <w:sz w:val="18"/>
                <w:szCs w:val="18"/>
                <w:color w:val="auto"/>
              </w:rPr>
              <w:t>Results from discontinued operations</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24,803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GAIN ON SALE OF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190,094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167,888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162,614</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Gain on sale of real estate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218,424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172,289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167,608</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(7,754)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210,219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164,535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162,681</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Dividends on preferred shares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209,678</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163,994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162,140</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6"/>
        </w:trPr>
        <w:tc>
          <w:tcPr>
            <w:tcW w:w="70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70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 basic</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68,797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67,322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65,331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6"/>
        </w:trPr>
        <w:tc>
          <w:tcPr>
            <w:tcW w:w="70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70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 diluted</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68,981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67,492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65,483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218,424</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172,289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167,608</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Other comprehensive (loss) income - change in value of interest rate swaps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10,971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217,829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170,191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178,579</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Comprehensive income attributable to noncontrolling interests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(7,754)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209,624</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162,437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173,652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6" w:right="239" w:bottom="415"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w w:val="95"/>
              </w:rPr>
              <w:t>Shareholders’ Equity of the Trust</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520" w:type="dxa"/>
            <w:vAlign w:val="bottom"/>
            <w:gridSpan w:val="4"/>
            <w:vMerge w:val="restart"/>
          </w:tcPr>
          <w:p>
            <w:pPr>
              <w:jc w:val="right"/>
              <w:ind w:right="148"/>
              <w:spacing w:after="0"/>
              <w:rPr>
                <w:sz w:val="20"/>
                <w:szCs w:val="20"/>
                <w:color w:val="auto"/>
              </w:rPr>
            </w:pPr>
            <w:r>
              <w:rPr>
                <w:rFonts w:ascii="Arial" w:cs="Arial" w:eastAsia="Arial" w:hAnsi="Arial"/>
                <w:sz w:val="14"/>
                <w:szCs w:val="14"/>
                <w:b w:val="1"/>
                <w:bCs w:val="1"/>
                <w:color w:val="auto"/>
              </w:rPr>
              <w:t>Preferred Shares</w:t>
            </w:r>
          </w:p>
        </w:tc>
        <w:tc>
          <w:tcPr>
            <w:tcW w:w="120" w:type="dxa"/>
            <w:vAlign w:val="bottom"/>
            <w:vMerge w:val="restart"/>
          </w:tcPr>
          <w:p>
            <w:pPr>
              <w:spacing w:after="0"/>
              <w:rPr>
                <w:sz w:val="13"/>
                <w:szCs w:val="13"/>
                <w:color w:val="auto"/>
              </w:rPr>
            </w:pPr>
          </w:p>
        </w:tc>
        <w:tc>
          <w:tcPr>
            <w:tcW w:w="1560" w:type="dxa"/>
            <w:vAlign w:val="bottom"/>
            <w:gridSpan w:val="4"/>
            <w:vMerge w:val="restart"/>
          </w:tcPr>
          <w:p>
            <w:pPr>
              <w:jc w:val="right"/>
              <w:ind w:right="188"/>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13"/>
                <w:szCs w:val="13"/>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ind w:left="40"/>
              <w:spacing w:after="0" w:line="152"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2"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100" w:type="dxa"/>
            <w:vAlign w:val="bottom"/>
          </w:tcPr>
          <w:p>
            <w:pPr>
              <w:spacing w:after="0"/>
              <w:rPr>
                <w:sz w:val="13"/>
                <w:szCs w:val="13"/>
                <w:color w:val="auto"/>
              </w:rPr>
            </w:pPr>
          </w:p>
        </w:tc>
        <w:tc>
          <w:tcPr>
            <w:tcW w:w="152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00" w:type="dxa"/>
            <w:vAlign w:val="bottom"/>
            <w:gridSpan w:val="3"/>
          </w:tcPr>
          <w:p>
            <w:pPr>
              <w:ind w:left="60"/>
              <w:spacing w:after="0" w:line="157" w:lineRule="exact"/>
              <w:rPr>
                <w:sz w:val="20"/>
                <w:szCs w:val="20"/>
                <w:color w:val="auto"/>
              </w:rPr>
            </w:pPr>
            <w:r>
              <w:rPr>
                <w:rFonts w:ascii="Arial" w:cs="Arial" w:eastAsia="Arial" w:hAnsi="Arial"/>
                <w:sz w:val="14"/>
                <w:szCs w:val="14"/>
                <w:b w:val="1"/>
                <w:bCs w:val="1"/>
                <w:color w:val="auto"/>
              </w:rPr>
              <w:t>Dividends in</w:t>
            </w: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9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2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20" w:type="dxa"/>
            <w:vAlign w:val="bottom"/>
            <w:gridSpan w:val="6"/>
          </w:tcPr>
          <w:p>
            <w:pPr>
              <w:ind w:left="80"/>
              <w:spacing w:after="0"/>
              <w:rPr>
                <w:sz w:val="20"/>
                <w:szCs w:val="20"/>
                <w:color w:val="auto"/>
              </w:rPr>
            </w:pPr>
            <w:r>
              <w:rPr>
                <w:rFonts w:ascii="Arial" w:cs="Arial" w:eastAsia="Arial" w:hAnsi="Arial"/>
                <w:sz w:val="13"/>
                <w:szCs w:val="13"/>
                <w:b w:val="1"/>
                <w:bCs w:val="1"/>
                <w:color w:val="auto"/>
                <w:w w:val="92"/>
              </w:rPr>
              <w:t>(In thousands, except share data)</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2012</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399,896</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9,997</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6"/>
              </w:rPr>
              <w:t>64,815,446</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648</w:t>
            </w:r>
          </w:p>
        </w:tc>
        <w:tc>
          <w:tcPr>
            <w:tcW w:w="92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$ 1,875,525</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(586,970)</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(12,388)</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23,781</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1,310,593</w:t>
            </w:r>
          </w:p>
        </w:tc>
        <w:tc>
          <w:tcPr>
            <w:tcW w:w="0" w:type="dxa"/>
            <w:vAlign w:val="bottom"/>
          </w:tcPr>
          <w:p>
            <w:pPr>
              <w:spacing w:after="0"/>
              <w:rPr>
                <w:sz w:val="1"/>
                <w:szCs w:val="1"/>
                <w:color w:val="auto"/>
              </w:rPr>
            </w:pPr>
          </w:p>
        </w:tc>
      </w:tr>
      <w:tr>
        <w:trPr>
          <w:trHeight w:val="79"/>
        </w:trPr>
        <w:tc>
          <w:tcPr>
            <w:tcW w:w="31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100" w:type="dxa"/>
            <w:vAlign w:val="bottom"/>
          </w:tcPr>
          <w:p>
            <w:pPr>
              <w:ind w:left="40"/>
              <w:spacing w:after="0" w:line="157" w:lineRule="exact"/>
              <w:rPr>
                <w:sz w:val="20"/>
                <w:szCs w:val="20"/>
                <w:color w:val="auto"/>
              </w:rPr>
            </w:pPr>
            <w:r>
              <w:rPr>
                <w:rFonts w:ascii="Arial" w:cs="Arial" w:eastAsia="Arial" w:hAnsi="Arial"/>
                <w:sz w:val="14"/>
                <w:szCs w:val="14"/>
                <w:color w:val="auto"/>
              </w:rPr>
              <w:t>Net income, excluding $2,887 attributable to</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tcPr>
          <w:p>
            <w:pPr>
              <w:ind w:left="40"/>
              <w:spacing w:after="0"/>
              <w:rPr>
                <w:sz w:val="20"/>
                <w:szCs w:val="20"/>
                <w:color w:val="auto"/>
              </w:rPr>
            </w:pPr>
            <w:r>
              <w:rPr>
                <w:rFonts w:ascii="Arial" w:cs="Arial" w:eastAsia="Arial" w:hAnsi="Arial"/>
                <w:sz w:val="14"/>
                <w:szCs w:val="14"/>
                <w:color w:val="auto"/>
              </w:rPr>
              <w:t>redeemable noncontrolling interests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162,681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164,721</w:t>
            </w:r>
          </w:p>
        </w:tc>
        <w:tc>
          <w:tcPr>
            <w:tcW w:w="0" w:type="dxa"/>
            <w:vAlign w:val="bottom"/>
          </w:tcPr>
          <w:p>
            <w:pPr>
              <w:spacing w:after="0"/>
              <w:rPr>
                <w:sz w:val="1"/>
                <w:szCs w:val="1"/>
                <w:color w:val="auto"/>
              </w:rPr>
            </w:pPr>
          </w:p>
        </w:tc>
      </w:tr>
      <w:tr>
        <w:trPr>
          <w:trHeight w:val="163"/>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Other comprehensive income - change in value of</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10,971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10,971</w:t>
            </w:r>
          </w:p>
        </w:tc>
        <w:tc>
          <w:tcPr>
            <w:tcW w:w="0" w:type="dxa"/>
            <w:vAlign w:val="bottom"/>
          </w:tcPr>
          <w:p>
            <w:pPr>
              <w:spacing w:after="0"/>
              <w:rPr>
                <w:sz w:val="1"/>
                <w:szCs w:val="1"/>
                <w:color w:val="auto"/>
              </w:rPr>
            </w:pPr>
          </w:p>
        </w:tc>
      </w:tr>
      <w:tr>
        <w:trPr>
          <w:trHeight w:val="190"/>
        </w:trPr>
        <w:tc>
          <w:tcPr>
            <w:tcW w:w="3100" w:type="dxa"/>
            <w:vAlign w:val="bottom"/>
          </w:tcPr>
          <w:p>
            <w:pPr>
              <w:ind w:left="40"/>
              <w:spacing w:after="0"/>
              <w:rPr>
                <w:sz w:val="20"/>
                <w:szCs w:val="20"/>
                <w:color w:val="auto"/>
              </w:rPr>
            </w:pPr>
            <w:r>
              <w:rPr>
                <w:rFonts w:ascii="Arial" w:cs="Arial" w:eastAsia="Arial" w:hAnsi="Arial"/>
                <w:sz w:val="14"/>
                <w:szCs w:val="14"/>
                <w:color w:val="auto"/>
              </w:rPr>
              <w:t>Dividends declared to common shareholders</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(198,965)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(198,965)</w:t>
            </w:r>
          </w:p>
        </w:tc>
        <w:tc>
          <w:tcPr>
            <w:tcW w:w="0" w:type="dxa"/>
            <w:vAlign w:val="bottom"/>
          </w:tcPr>
          <w:p>
            <w:pPr>
              <w:spacing w:after="0"/>
              <w:rPr>
                <w:sz w:val="1"/>
                <w:szCs w:val="1"/>
                <w:color w:val="auto"/>
              </w:rPr>
            </w:pPr>
          </w:p>
        </w:tc>
      </w:tr>
      <w:tr>
        <w:trPr>
          <w:trHeight w:val="73"/>
        </w:trPr>
        <w:tc>
          <w:tcPr>
            <w:tcW w:w="3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to preferred shareholders</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79"/>
        </w:trPr>
        <w:tc>
          <w:tcPr>
            <w:tcW w:w="3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00" w:type="dxa"/>
            <w:vAlign w:val="bottom"/>
          </w:tcPr>
          <w:p>
            <w:pPr>
              <w:ind w:left="40"/>
              <w:spacing w:after="0"/>
              <w:rPr>
                <w:sz w:val="20"/>
                <w:szCs w:val="20"/>
                <w:color w:val="auto"/>
              </w:rPr>
            </w:pPr>
            <w:r>
              <w:rPr>
                <w:rFonts w:ascii="Arial" w:cs="Arial" w:eastAsia="Arial" w:hAnsi="Arial"/>
                <w:sz w:val="14"/>
                <w:szCs w:val="14"/>
                <w:color w:val="auto"/>
              </w:rPr>
              <w:t>Distributions declared to noncontrolling interests</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(1,887)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(1,887)</w:t>
            </w:r>
          </w:p>
        </w:tc>
        <w:tc>
          <w:tcPr>
            <w:tcW w:w="0" w:type="dxa"/>
            <w:vAlign w:val="bottom"/>
          </w:tcPr>
          <w:p>
            <w:pPr>
              <w:spacing w:after="0"/>
              <w:rPr>
                <w:sz w:val="1"/>
                <w:szCs w:val="1"/>
                <w:color w:val="auto"/>
              </w:rPr>
            </w:pPr>
          </w:p>
        </w:tc>
      </w:tr>
      <w:tr>
        <w:trPr>
          <w:trHeight w:val="73"/>
        </w:trPr>
        <w:tc>
          <w:tcPr>
            <w:tcW w:w="3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issued</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1,735,089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92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185,164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185,182</w:t>
            </w:r>
          </w:p>
        </w:tc>
        <w:tc>
          <w:tcPr>
            <w:tcW w:w="0" w:type="dxa"/>
            <w:vAlign w:val="bottom"/>
          </w:tcPr>
          <w:p>
            <w:pPr>
              <w:spacing w:after="0"/>
              <w:rPr>
                <w:sz w:val="1"/>
                <w:szCs w:val="1"/>
                <w:color w:val="auto"/>
              </w:rPr>
            </w:pPr>
          </w:p>
        </w:tc>
      </w:tr>
      <w:tr>
        <w:trPr>
          <w:trHeight w:val="79"/>
        </w:trPr>
        <w:tc>
          <w:tcPr>
            <w:tcW w:w="3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00" w:type="dxa"/>
            <w:vAlign w:val="bottom"/>
          </w:tcPr>
          <w:p>
            <w:pPr>
              <w:ind w:left="40"/>
              <w:spacing w:after="0"/>
              <w:rPr>
                <w:sz w:val="20"/>
                <w:szCs w:val="20"/>
                <w:color w:val="auto"/>
              </w:rPr>
            </w:pPr>
            <w:r>
              <w:rPr>
                <w:rFonts w:ascii="Arial" w:cs="Arial" w:eastAsia="Arial" w:hAnsi="Arial"/>
                <w:sz w:val="14"/>
                <w:szCs w:val="14"/>
                <w:color w:val="auto"/>
              </w:rPr>
              <w:t>Exercise of stock options</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16,554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73"/>
        </w:trPr>
        <w:tc>
          <w:tcPr>
            <w:tcW w:w="3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under dividend reinvestment plan</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20,026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2,130</w:t>
            </w:r>
          </w:p>
        </w:tc>
        <w:tc>
          <w:tcPr>
            <w:tcW w:w="0" w:type="dxa"/>
            <w:vAlign w:val="bottom"/>
          </w:tcPr>
          <w:p>
            <w:pPr>
              <w:spacing w:after="0"/>
              <w:rPr>
                <w:sz w:val="1"/>
                <w:szCs w:val="1"/>
                <w:color w:val="auto"/>
              </w:rPr>
            </w:pPr>
          </w:p>
        </w:tc>
      </w:tr>
      <w:tr>
        <w:trPr>
          <w:trHeight w:val="79"/>
        </w:trPr>
        <w:tc>
          <w:tcPr>
            <w:tcW w:w="3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100" w:type="dxa"/>
            <w:vAlign w:val="bottom"/>
          </w:tcPr>
          <w:p>
            <w:pPr>
              <w:ind w:left="40"/>
              <w:spacing w:after="0" w:line="157" w:lineRule="exact"/>
              <w:rPr>
                <w:sz w:val="20"/>
                <w:szCs w:val="20"/>
                <w:color w:val="auto"/>
              </w:rPr>
            </w:pPr>
            <w:r>
              <w:rPr>
                <w:rFonts w:ascii="Arial" w:cs="Arial" w:eastAsia="Arial" w:hAnsi="Arial"/>
                <w:sz w:val="14"/>
                <w:szCs w:val="14"/>
                <w:color w:val="auto"/>
              </w:rPr>
              <w:t>Share-based compensation expense, net of</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tcPr>
          <w:p>
            <w:pPr>
              <w:ind w:left="40"/>
              <w:spacing w:after="0"/>
              <w:rPr>
                <w:sz w:val="20"/>
                <w:szCs w:val="20"/>
                <w:color w:val="auto"/>
              </w:rPr>
            </w:pPr>
            <w:r>
              <w:rPr>
                <w:rFonts w:ascii="Arial" w:cs="Arial" w:eastAsia="Arial" w:hAnsi="Arial"/>
                <w:sz w:val="14"/>
                <w:szCs w:val="14"/>
                <w:color w:val="auto"/>
              </w:rPr>
              <w:t>forfeitures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108,803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11,198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11,199</w:t>
            </w: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withheld for employee taxes</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(1,842)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(1,842)</w:t>
            </w:r>
          </w:p>
        </w:tc>
        <w:tc>
          <w:tcPr>
            <w:tcW w:w="0" w:type="dxa"/>
            <w:vAlign w:val="bottom"/>
          </w:tcPr>
          <w:p>
            <w:pPr>
              <w:spacing w:after="0"/>
              <w:rPr>
                <w:sz w:val="1"/>
                <w:szCs w:val="1"/>
                <w:color w:val="auto"/>
              </w:rPr>
            </w:pPr>
          </w:p>
        </w:tc>
      </w:tr>
      <w:tr>
        <w:trPr>
          <w:trHeight w:val="79"/>
        </w:trPr>
        <w:tc>
          <w:tcPr>
            <w:tcW w:w="3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00" w:type="dxa"/>
            <w:vAlign w:val="bottom"/>
          </w:tcPr>
          <w:p>
            <w:pPr>
              <w:ind w:left="40"/>
              <w:spacing w:after="0"/>
              <w:rPr>
                <w:sz w:val="20"/>
                <w:szCs w:val="20"/>
                <w:color w:val="auto"/>
              </w:rPr>
            </w:pPr>
            <w:r>
              <w:rPr>
                <w:rFonts w:ascii="Arial" w:cs="Arial" w:eastAsia="Arial" w:hAnsi="Arial"/>
                <w:sz w:val="14"/>
                <w:szCs w:val="14"/>
                <w:color w:val="auto"/>
              </w:rPr>
              <w:t>Conversion and redemption of OP units</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22,476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(625)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(1,422)</w:t>
            </w:r>
          </w:p>
        </w:tc>
        <w:tc>
          <w:tcPr>
            <w:tcW w:w="0" w:type="dxa"/>
            <w:vAlign w:val="bottom"/>
          </w:tcPr>
          <w:p>
            <w:pPr>
              <w:spacing w:after="0"/>
              <w:rPr>
                <w:sz w:val="1"/>
                <w:szCs w:val="1"/>
                <w:color w:val="auto"/>
              </w:rPr>
            </w:pPr>
          </w:p>
        </w:tc>
      </w:tr>
      <w:tr>
        <w:trPr>
          <w:trHeight w:val="73"/>
        </w:trPr>
        <w:tc>
          <w:tcPr>
            <w:tcW w:w="3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Adjustment to redeemable noncontrolling interests</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(9,857)</w:t>
            </w:r>
          </w:p>
        </w:tc>
        <w:tc>
          <w:tcPr>
            <w:tcW w:w="0" w:type="dxa"/>
            <w:vAlign w:val="bottom"/>
          </w:tcPr>
          <w:p>
            <w:pPr>
              <w:spacing w:after="0"/>
              <w:rPr>
                <w:sz w:val="1"/>
                <w:szCs w:val="1"/>
                <w:color w:val="auto"/>
              </w:rPr>
            </w:pPr>
          </w:p>
        </w:tc>
      </w:tr>
      <w:tr>
        <w:trPr>
          <w:trHeight w:val="79"/>
        </w:trPr>
        <w:tc>
          <w:tcPr>
            <w:tcW w:w="3100" w:type="dxa"/>
            <w:vAlign w:val="bottom"/>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100" w:type="dxa"/>
            <w:vAlign w:val="bottom"/>
          </w:tcPr>
          <w:p>
            <w:pPr>
              <w:ind w:left="40"/>
              <w:spacing w:after="0"/>
              <w:rPr>
                <w:sz w:val="20"/>
                <w:szCs w:val="20"/>
                <w:color w:val="auto"/>
              </w:rPr>
            </w:pPr>
            <w:r>
              <w:rPr>
                <w:rFonts w:ascii="Arial" w:cs="Arial" w:eastAsia="Arial" w:hAnsi="Arial"/>
                <w:sz w:val="14"/>
                <w:szCs w:val="14"/>
                <w:color w:val="auto"/>
              </w:rPr>
              <w:t>BALANCE AT DECEMBER 31, 2013</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399,896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9,997</w:t>
            </w:r>
          </w:p>
        </w:tc>
        <w:tc>
          <w:tcPr>
            <w:tcW w:w="120" w:type="dxa"/>
            <w:vAlign w:val="bottom"/>
          </w:tcPr>
          <w:p>
            <w:pPr>
              <w:spacing w:after="0"/>
              <w:rPr>
                <w:sz w:val="14"/>
                <w:szCs w:val="14"/>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w w:val="96"/>
              </w:rPr>
              <w:t>66,701,422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color w:val="auto"/>
              </w:rPr>
              <w:t>667</w:t>
            </w:r>
          </w:p>
        </w:tc>
        <w:tc>
          <w:tcPr>
            <w:tcW w:w="92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2,062,708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(623,795)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(1,417)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23,137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w w:val="99"/>
              </w:rPr>
              <w:t>1,471,297</w:t>
            </w:r>
          </w:p>
        </w:tc>
        <w:tc>
          <w:tcPr>
            <w:tcW w:w="0" w:type="dxa"/>
            <w:vAlign w:val="bottom"/>
          </w:tcPr>
          <w:p>
            <w:pPr>
              <w:spacing w:after="0"/>
              <w:rPr>
                <w:sz w:val="1"/>
                <w:szCs w:val="1"/>
                <w:color w:val="auto"/>
              </w:rPr>
            </w:pPr>
          </w:p>
        </w:tc>
      </w:tr>
      <w:tr>
        <w:trPr>
          <w:trHeight w:val="73"/>
        </w:trPr>
        <w:tc>
          <w:tcPr>
            <w:tcW w:w="3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excluding $3,452 attributable to</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noncontrolling interests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164,535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4,302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168,837</w:t>
            </w:r>
          </w:p>
        </w:tc>
        <w:tc>
          <w:tcPr>
            <w:tcW w:w="0" w:type="dxa"/>
            <w:vAlign w:val="bottom"/>
          </w:tcPr>
          <w:p>
            <w:pPr>
              <w:spacing w:after="0"/>
              <w:rPr>
                <w:sz w:val="1"/>
                <w:szCs w:val="1"/>
                <w:color w:val="auto"/>
              </w:rPr>
            </w:pPr>
          </w:p>
        </w:tc>
      </w:tr>
      <w:tr>
        <w:trPr>
          <w:trHeight w:val="157"/>
        </w:trPr>
        <w:tc>
          <w:tcPr>
            <w:tcW w:w="3100" w:type="dxa"/>
            <w:vAlign w:val="bottom"/>
          </w:tcPr>
          <w:p>
            <w:pPr>
              <w:ind w:left="40"/>
              <w:spacing w:after="0" w:line="157" w:lineRule="exact"/>
              <w:rPr>
                <w:sz w:val="20"/>
                <w:szCs w:val="20"/>
                <w:color w:val="auto"/>
              </w:rPr>
            </w:pPr>
            <w:r>
              <w:rPr>
                <w:rFonts w:ascii="Arial" w:cs="Arial" w:eastAsia="Arial" w:hAnsi="Arial"/>
                <w:sz w:val="14"/>
                <w:szCs w:val="14"/>
                <w:color w:val="auto"/>
              </w:rPr>
              <w:t>Other comprehensive loss - change in value of</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(2,098)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(2,098)</w:t>
            </w: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to common shareholders</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(224,190)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(224,190)</w:t>
            </w:r>
          </w:p>
        </w:tc>
        <w:tc>
          <w:tcPr>
            <w:tcW w:w="0" w:type="dxa"/>
            <w:vAlign w:val="bottom"/>
          </w:tcPr>
          <w:p>
            <w:pPr>
              <w:spacing w:after="0"/>
              <w:rPr>
                <w:sz w:val="1"/>
                <w:szCs w:val="1"/>
                <w:color w:val="auto"/>
              </w:rPr>
            </w:pPr>
          </w:p>
        </w:tc>
      </w:tr>
      <w:tr>
        <w:trPr>
          <w:trHeight w:val="79"/>
        </w:trPr>
        <w:tc>
          <w:tcPr>
            <w:tcW w:w="3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00" w:type="dxa"/>
            <w:vAlign w:val="bottom"/>
          </w:tcPr>
          <w:p>
            <w:pPr>
              <w:ind w:left="40"/>
              <w:spacing w:after="0"/>
              <w:rPr>
                <w:sz w:val="20"/>
                <w:szCs w:val="20"/>
                <w:color w:val="auto"/>
              </w:rPr>
            </w:pPr>
            <w:r>
              <w:rPr>
                <w:rFonts w:ascii="Arial" w:cs="Arial" w:eastAsia="Arial" w:hAnsi="Arial"/>
                <w:sz w:val="14"/>
                <w:szCs w:val="14"/>
                <w:color w:val="auto"/>
              </w:rPr>
              <w:t>Dividends declared to preferred shareholders</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73"/>
        </w:trPr>
        <w:tc>
          <w:tcPr>
            <w:tcW w:w="3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declared to noncontrolling interests</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(4,620)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(4,620)</w:t>
            </w:r>
          </w:p>
        </w:tc>
        <w:tc>
          <w:tcPr>
            <w:tcW w:w="0" w:type="dxa"/>
            <w:vAlign w:val="bottom"/>
          </w:tcPr>
          <w:p>
            <w:pPr>
              <w:spacing w:after="0"/>
              <w:rPr>
                <w:sz w:val="1"/>
                <w:szCs w:val="1"/>
                <w:color w:val="auto"/>
              </w:rPr>
            </w:pPr>
          </w:p>
        </w:tc>
      </w:tr>
      <w:tr>
        <w:trPr>
          <w:trHeight w:val="79"/>
        </w:trPr>
        <w:tc>
          <w:tcPr>
            <w:tcW w:w="3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00" w:type="dxa"/>
            <w:vAlign w:val="bottom"/>
          </w:tcPr>
          <w:p>
            <w:pPr>
              <w:ind w:left="40"/>
              <w:spacing w:after="0"/>
              <w:rPr>
                <w:sz w:val="20"/>
                <w:szCs w:val="20"/>
                <w:color w:val="auto"/>
              </w:rPr>
            </w:pPr>
            <w:r>
              <w:rPr>
                <w:rFonts w:ascii="Arial" w:cs="Arial" w:eastAsia="Arial" w:hAnsi="Arial"/>
                <w:sz w:val="14"/>
                <w:szCs w:val="14"/>
                <w:color w:val="auto"/>
              </w:rPr>
              <w:t>Common shares issued</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1,768,703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color w:val="auto"/>
              </w:rPr>
              <w:t>18</w:t>
            </w:r>
          </w:p>
        </w:tc>
        <w:tc>
          <w:tcPr>
            <w:tcW w:w="92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213,562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213,580</w:t>
            </w:r>
          </w:p>
        </w:tc>
        <w:tc>
          <w:tcPr>
            <w:tcW w:w="0" w:type="dxa"/>
            <w:vAlign w:val="bottom"/>
          </w:tcPr>
          <w:p>
            <w:pPr>
              <w:spacing w:after="0"/>
              <w:rPr>
                <w:sz w:val="1"/>
                <w:szCs w:val="1"/>
                <w:color w:val="auto"/>
              </w:rPr>
            </w:pPr>
          </w:p>
        </w:tc>
      </w:tr>
      <w:tr>
        <w:trPr>
          <w:trHeight w:val="73"/>
        </w:trPr>
        <w:tc>
          <w:tcPr>
            <w:tcW w:w="3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stock options</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29,218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92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2,262</w:t>
            </w:r>
          </w:p>
        </w:tc>
        <w:tc>
          <w:tcPr>
            <w:tcW w:w="0" w:type="dxa"/>
            <w:vAlign w:val="bottom"/>
          </w:tcPr>
          <w:p>
            <w:pPr>
              <w:spacing w:after="0"/>
              <w:rPr>
                <w:sz w:val="1"/>
                <w:szCs w:val="1"/>
                <w:color w:val="auto"/>
              </w:rPr>
            </w:pPr>
          </w:p>
        </w:tc>
      </w:tr>
      <w:tr>
        <w:trPr>
          <w:trHeight w:val="79"/>
        </w:trPr>
        <w:tc>
          <w:tcPr>
            <w:tcW w:w="3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00" w:type="dxa"/>
            <w:vAlign w:val="bottom"/>
          </w:tcPr>
          <w:p>
            <w:pPr>
              <w:ind w:left="40"/>
              <w:spacing w:after="0"/>
              <w:rPr>
                <w:sz w:val="20"/>
                <w:szCs w:val="20"/>
                <w:color w:val="auto"/>
              </w:rPr>
            </w:pPr>
            <w:r>
              <w:rPr>
                <w:rFonts w:ascii="Arial" w:cs="Arial" w:eastAsia="Arial" w:hAnsi="Arial"/>
                <w:sz w:val="14"/>
                <w:szCs w:val="14"/>
                <w:color w:val="auto"/>
              </w:rPr>
              <w:t>Shares issued under dividend reinvestment plan</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18,705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2,168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2,168</w:t>
            </w:r>
          </w:p>
        </w:tc>
        <w:tc>
          <w:tcPr>
            <w:tcW w:w="0" w:type="dxa"/>
            <w:vAlign w:val="bottom"/>
          </w:tcPr>
          <w:p>
            <w:pPr>
              <w:spacing w:after="0"/>
              <w:rPr>
                <w:sz w:val="1"/>
                <w:szCs w:val="1"/>
                <w:color w:val="auto"/>
              </w:rPr>
            </w:pPr>
          </w:p>
        </w:tc>
      </w:tr>
      <w:tr>
        <w:trPr>
          <w:trHeight w:val="73"/>
        </w:trPr>
        <w:tc>
          <w:tcPr>
            <w:tcW w:w="3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 net of</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forfeitures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117,647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12,940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12,941</w:t>
            </w:r>
          </w:p>
        </w:tc>
        <w:tc>
          <w:tcPr>
            <w:tcW w:w="0" w:type="dxa"/>
            <w:vAlign w:val="bottom"/>
          </w:tcPr>
          <w:p>
            <w:pPr>
              <w:spacing w:after="0"/>
              <w:rPr>
                <w:sz w:val="1"/>
                <w:szCs w:val="1"/>
                <w:color w:val="auto"/>
              </w:rPr>
            </w:pPr>
          </w:p>
        </w:tc>
      </w:tr>
      <w:tr>
        <w:trPr>
          <w:trHeight w:val="190"/>
        </w:trPr>
        <w:tc>
          <w:tcPr>
            <w:tcW w:w="3100" w:type="dxa"/>
            <w:vAlign w:val="bottom"/>
          </w:tcPr>
          <w:p>
            <w:pPr>
              <w:ind w:left="40"/>
              <w:spacing w:after="0"/>
              <w:rPr>
                <w:sz w:val="20"/>
                <w:szCs w:val="20"/>
                <w:color w:val="auto"/>
              </w:rPr>
            </w:pPr>
            <w:r>
              <w:rPr>
                <w:rFonts w:ascii="Arial" w:cs="Arial" w:eastAsia="Arial" w:hAnsi="Arial"/>
                <w:sz w:val="14"/>
                <w:szCs w:val="14"/>
                <w:color w:val="auto"/>
              </w:rPr>
              <w:t>Shares withheld for employee taxes</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(29,912)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(3,335)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(3,335)</w:t>
            </w:r>
          </w:p>
        </w:tc>
        <w:tc>
          <w:tcPr>
            <w:tcW w:w="0" w:type="dxa"/>
            <w:vAlign w:val="bottom"/>
          </w:tcPr>
          <w:p>
            <w:pPr>
              <w:spacing w:after="0"/>
              <w:rPr>
                <w:sz w:val="1"/>
                <w:szCs w:val="1"/>
                <w:color w:val="auto"/>
              </w:rPr>
            </w:pPr>
          </w:p>
        </w:tc>
      </w:tr>
      <w:tr>
        <w:trPr>
          <w:trHeight w:val="73"/>
        </w:trPr>
        <w:tc>
          <w:tcPr>
            <w:tcW w:w="3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Redemption of OP units</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79"/>
        </w:trPr>
        <w:tc>
          <w:tcPr>
            <w:tcW w:w="3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00" w:type="dxa"/>
            <w:vAlign w:val="bottom"/>
          </w:tcPr>
          <w:p>
            <w:pPr>
              <w:ind w:left="40"/>
              <w:spacing w:after="0"/>
              <w:rPr>
                <w:sz w:val="20"/>
                <w:szCs w:val="20"/>
                <w:color w:val="auto"/>
              </w:rPr>
            </w:pPr>
            <w:r>
              <w:rPr>
                <w:rFonts w:ascii="Arial" w:cs="Arial" w:eastAsia="Arial" w:hAnsi="Arial"/>
                <w:sz w:val="14"/>
                <w:szCs w:val="14"/>
                <w:color w:val="auto"/>
              </w:rPr>
              <w:t>Contributions from noncontrolling interests</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65,350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65,350</w:t>
            </w:r>
          </w:p>
        </w:tc>
        <w:tc>
          <w:tcPr>
            <w:tcW w:w="0" w:type="dxa"/>
            <w:vAlign w:val="bottom"/>
          </w:tcPr>
          <w:p>
            <w:pPr>
              <w:spacing w:after="0"/>
              <w:rPr>
                <w:sz w:val="1"/>
                <w:szCs w:val="1"/>
                <w:color w:val="auto"/>
              </w:rPr>
            </w:pPr>
          </w:p>
        </w:tc>
      </w:tr>
      <w:tr>
        <w:trPr>
          <w:trHeight w:val="73"/>
        </w:trPr>
        <w:tc>
          <w:tcPr>
            <w:tcW w:w="3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Adjustment to redeemable noncontrolling interests</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(9,032)</w:t>
            </w:r>
          </w:p>
        </w:tc>
        <w:tc>
          <w:tcPr>
            <w:tcW w:w="0" w:type="dxa"/>
            <w:vAlign w:val="bottom"/>
          </w:tcPr>
          <w:p>
            <w:pPr>
              <w:spacing w:after="0"/>
              <w:rPr>
                <w:sz w:val="1"/>
                <w:szCs w:val="1"/>
                <w:color w:val="auto"/>
              </w:rPr>
            </w:pPr>
          </w:p>
        </w:tc>
      </w:tr>
      <w:tr>
        <w:trPr>
          <w:trHeight w:val="79"/>
        </w:trPr>
        <w:tc>
          <w:tcPr>
            <w:tcW w:w="3100" w:type="dxa"/>
            <w:vAlign w:val="bottom"/>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100" w:type="dxa"/>
            <w:vAlign w:val="bottom"/>
          </w:tcPr>
          <w:p>
            <w:pPr>
              <w:ind w:left="40"/>
              <w:spacing w:after="0"/>
              <w:rPr>
                <w:sz w:val="20"/>
                <w:szCs w:val="20"/>
                <w:color w:val="auto"/>
              </w:rPr>
            </w:pPr>
            <w:r>
              <w:rPr>
                <w:rFonts w:ascii="Arial" w:cs="Arial" w:eastAsia="Arial" w:hAnsi="Arial"/>
                <w:sz w:val="14"/>
                <w:szCs w:val="14"/>
                <w:color w:val="auto"/>
              </w:rPr>
              <w:t>BALANCE AT DECEMBER 31, 2014</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399,896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9,997</w:t>
            </w:r>
          </w:p>
        </w:tc>
        <w:tc>
          <w:tcPr>
            <w:tcW w:w="120" w:type="dxa"/>
            <w:vAlign w:val="bottom"/>
          </w:tcPr>
          <w:p>
            <w:pPr>
              <w:spacing w:after="0"/>
              <w:rPr>
                <w:sz w:val="14"/>
                <w:szCs w:val="14"/>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w w:val="96"/>
              </w:rPr>
              <w:t>68,605,783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color w:val="auto"/>
              </w:rPr>
              <w:t>687</w:t>
            </w:r>
          </w:p>
        </w:tc>
        <w:tc>
          <w:tcPr>
            <w:tcW w:w="92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2,281,223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(683,991)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(3,515)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88,155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w w:val="99"/>
              </w:rPr>
              <w:t>1,692,556</w:t>
            </w:r>
          </w:p>
        </w:tc>
        <w:tc>
          <w:tcPr>
            <w:tcW w:w="0" w:type="dxa"/>
            <w:vAlign w:val="bottom"/>
          </w:tcPr>
          <w:p>
            <w:pPr>
              <w:spacing w:after="0"/>
              <w:rPr>
                <w:sz w:val="1"/>
                <w:szCs w:val="1"/>
                <w:color w:val="auto"/>
              </w:rPr>
            </w:pPr>
          </w:p>
        </w:tc>
      </w:tr>
      <w:tr>
        <w:trPr>
          <w:trHeight w:val="73"/>
        </w:trPr>
        <w:tc>
          <w:tcPr>
            <w:tcW w:w="3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excluding $3,423 attributable to</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noncontrolling interests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210,219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215,001</w:t>
            </w:r>
          </w:p>
        </w:tc>
        <w:tc>
          <w:tcPr>
            <w:tcW w:w="0" w:type="dxa"/>
            <w:vAlign w:val="bottom"/>
          </w:tcPr>
          <w:p>
            <w:pPr>
              <w:spacing w:after="0"/>
              <w:rPr>
                <w:sz w:val="1"/>
                <w:szCs w:val="1"/>
                <w:color w:val="auto"/>
              </w:rPr>
            </w:pPr>
          </w:p>
        </w:tc>
      </w:tr>
      <w:tr>
        <w:trPr>
          <w:trHeight w:val="157"/>
        </w:trPr>
        <w:tc>
          <w:tcPr>
            <w:tcW w:w="3100" w:type="dxa"/>
            <w:vAlign w:val="bottom"/>
          </w:tcPr>
          <w:p>
            <w:pPr>
              <w:ind w:left="40"/>
              <w:spacing w:after="0" w:line="157" w:lineRule="exact"/>
              <w:rPr>
                <w:sz w:val="20"/>
                <w:szCs w:val="20"/>
                <w:color w:val="auto"/>
              </w:rPr>
            </w:pPr>
            <w:r>
              <w:rPr>
                <w:rFonts w:ascii="Arial" w:cs="Arial" w:eastAsia="Arial" w:hAnsi="Arial"/>
                <w:sz w:val="14"/>
                <w:szCs w:val="14"/>
                <w:color w:val="auto"/>
              </w:rPr>
              <w:t>Other comprehensive loss - change in value of</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to common shareholders</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(250,388)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(250,388)</w:t>
            </w:r>
          </w:p>
        </w:tc>
        <w:tc>
          <w:tcPr>
            <w:tcW w:w="0" w:type="dxa"/>
            <w:vAlign w:val="bottom"/>
          </w:tcPr>
          <w:p>
            <w:pPr>
              <w:spacing w:after="0"/>
              <w:rPr>
                <w:sz w:val="1"/>
                <w:szCs w:val="1"/>
                <w:color w:val="auto"/>
              </w:rPr>
            </w:pPr>
          </w:p>
        </w:tc>
      </w:tr>
      <w:tr>
        <w:trPr>
          <w:trHeight w:val="79"/>
        </w:trPr>
        <w:tc>
          <w:tcPr>
            <w:tcW w:w="3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00" w:type="dxa"/>
            <w:vAlign w:val="bottom"/>
          </w:tcPr>
          <w:p>
            <w:pPr>
              <w:ind w:left="40"/>
              <w:spacing w:after="0"/>
              <w:rPr>
                <w:sz w:val="20"/>
                <w:szCs w:val="20"/>
                <w:color w:val="auto"/>
              </w:rPr>
            </w:pPr>
            <w:r>
              <w:rPr>
                <w:rFonts w:ascii="Arial" w:cs="Arial" w:eastAsia="Arial" w:hAnsi="Arial"/>
                <w:sz w:val="14"/>
                <w:szCs w:val="14"/>
                <w:color w:val="auto"/>
              </w:rPr>
              <w:t>Dividends declared to preferred shareholders</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73"/>
        </w:trPr>
        <w:tc>
          <w:tcPr>
            <w:tcW w:w="3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declared to noncontrolling interests</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(5,269)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(5,269)</w:t>
            </w:r>
          </w:p>
        </w:tc>
        <w:tc>
          <w:tcPr>
            <w:tcW w:w="0" w:type="dxa"/>
            <w:vAlign w:val="bottom"/>
          </w:tcPr>
          <w:p>
            <w:pPr>
              <w:spacing w:after="0"/>
              <w:rPr>
                <w:sz w:val="1"/>
                <w:szCs w:val="1"/>
                <w:color w:val="auto"/>
              </w:rPr>
            </w:pPr>
          </w:p>
        </w:tc>
      </w:tr>
      <w:tr>
        <w:trPr>
          <w:trHeight w:val="79"/>
        </w:trPr>
        <w:tc>
          <w:tcPr>
            <w:tcW w:w="3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00" w:type="dxa"/>
            <w:vAlign w:val="bottom"/>
          </w:tcPr>
          <w:p>
            <w:pPr>
              <w:ind w:left="40"/>
              <w:spacing w:after="0"/>
              <w:rPr>
                <w:sz w:val="20"/>
                <w:szCs w:val="20"/>
                <w:color w:val="auto"/>
              </w:rPr>
            </w:pPr>
            <w:r>
              <w:rPr>
                <w:rFonts w:ascii="Arial" w:cs="Arial" w:eastAsia="Arial" w:hAnsi="Arial"/>
                <w:sz w:val="14"/>
                <w:szCs w:val="14"/>
                <w:color w:val="auto"/>
              </w:rPr>
              <w:t>Common shares issued</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813,548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color w:val="auto"/>
              </w:rPr>
              <w:t>8</w:t>
            </w:r>
          </w:p>
        </w:tc>
        <w:tc>
          <w:tcPr>
            <w:tcW w:w="92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108,537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108,545</w:t>
            </w:r>
          </w:p>
        </w:tc>
        <w:tc>
          <w:tcPr>
            <w:tcW w:w="0" w:type="dxa"/>
            <w:vAlign w:val="bottom"/>
          </w:tcPr>
          <w:p>
            <w:pPr>
              <w:spacing w:after="0"/>
              <w:rPr>
                <w:sz w:val="1"/>
                <w:szCs w:val="1"/>
                <w:color w:val="auto"/>
              </w:rPr>
            </w:pPr>
          </w:p>
        </w:tc>
      </w:tr>
      <w:tr>
        <w:trPr>
          <w:trHeight w:val="73"/>
        </w:trPr>
        <w:tc>
          <w:tcPr>
            <w:tcW w:w="3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stock options</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29,940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1,991</w:t>
            </w:r>
          </w:p>
        </w:tc>
        <w:tc>
          <w:tcPr>
            <w:tcW w:w="0" w:type="dxa"/>
            <w:vAlign w:val="bottom"/>
          </w:tcPr>
          <w:p>
            <w:pPr>
              <w:spacing w:after="0"/>
              <w:rPr>
                <w:sz w:val="1"/>
                <w:szCs w:val="1"/>
                <w:color w:val="auto"/>
              </w:rPr>
            </w:pPr>
          </w:p>
        </w:tc>
      </w:tr>
      <w:tr>
        <w:trPr>
          <w:trHeight w:val="79"/>
        </w:trPr>
        <w:tc>
          <w:tcPr>
            <w:tcW w:w="3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00" w:type="dxa"/>
            <w:vAlign w:val="bottom"/>
          </w:tcPr>
          <w:p>
            <w:pPr>
              <w:ind w:left="40"/>
              <w:spacing w:after="0"/>
              <w:rPr>
                <w:sz w:val="20"/>
                <w:szCs w:val="20"/>
                <w:color w:val="auto"/>
              </w:rPr>
            </w:pPr>
            <w:r>
              <w:rPr>
                <w:rFonts w:ascii="Arial" w:cs="Arial" w:eastAsia="Arial" w:hAnsi="Arial"/>
                <w:sz w:val="14"/>
                <w:szCs w:val="14"/>
                <w:color w:val="auto"/>
              </w:rPr>
              <w:t>Shares issued under dividend reinvestment plan</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16,524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2,296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2,296</w:t>
            </w:r>
          </w:p>
        </w:tc>
        <w:tc>
          <w:tcPr>
            <w:tcW w:w="0" w:type="dxa"/>
            <w:vAlign w:val="bottom"/>
          </w:tcPr>
          <w:p>
            <w:pPr>
              <w:spacing w:after="0"/>
              <w:rPr>
                <w:sz w:val="1"/>
                <w:szCs w:val="1"/>
                <w:color w:val="auto"/>
              </w:rPr>
            </w:pPr>
          </w:p>
        </w:tc>
      </w:tr>
      <w:tr>
        <w:trPr>
          <w:trHeight w:val="73"/>
        </w:trPr>
        <w:tc>
          <w:tcPr>
            <w:tcW w:w="3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 net of</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forfeitures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52,213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12,073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12,074</w:t>
            </w:r>
          </w:p>
        </w:tc>
        <w:tc>
          <w:tcPr>
            <w:tcW w:w="0" w:type="dxa"/>
            <w:vAlign w:val="bottom"/>
          </w:tcPr>
          <w:p>
            <w:pPr>
              <w:spacing w:after="0"/>
              <w:rPr>
                <w:sz w:val="1"/>
                <w:szCs w:val="1"/>
                <w:color w:val="auto"/>
              </w:rPr>
            </w:pPr>
          </w:p>
        </w:tc>
      </w:tr>
      <w:tr>
        <w:trPr>
          <w:trHeight w:val="190"/>
        </w:trPr>
        <w:tc>
          <w:tcPr>
            <w:tcW w:w="3100" w:type="dxa"/>
            <w:vAlign w:val="bottom"/>
          </w:tcPr>
          <w:p>
            <w:pPr>
              <w:ind w:left="40"/>
              <w:spacing w:after="0"/>
              <w:rPr>
                <w:sz w:val="20"/>
                <w:szCs w:val="20"/>
                <w:color w:val="auto"/>
              </w:rPr>
            </w:pPr>
            <w:r>
              <w:rPr>
                <w:rFonts w:ascii="Arial" w:cs="Arial" w:eastAsia="Arial" w:hAnsi="Arial"/>
                <w:sz w:val="14"/>
                <w:szCs w:val="14"/>
                <w:color w:val="auto"/>
              </w:rPr>
              <w:t>Shares withheld for employee taxes</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(64,227)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(9,211)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(9,211)</w:t>
            </w:r>
          </w:p>
        </w:tc>
        <w:tc>
          <w:tcPr>
            <w:tcW w:w="0" w:type="dxa"/>
            <w:vAlign w:val="bottom"/>
          </w:tcPr>
          <w:p>
            <w:pPr>
              <w:spacing w:after="0"/>
              <w:rPr>
                <w:sz w:val="1"/>
                <w:szCs w:val="1"/>
                <w:color w:val="auto"/>
              </w:rPr>
            </w:pPr>
          </w:p>
        </w:tc>
      </w:tr>
      <w:tr>
        <w:trPr>
          <w:trHeight w:val="73"/>
        </w:trPr>
        <w:tc>
          <w:tcPr>
            <w:tcW w:w="3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Redemption of OP units</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39,611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79"/>
        </w:trPr>
        <w:tc>
          <w:tcPr>
            <w:tcW w:w="3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00" w:type="dxa"/>
            <w:vAlign w:val="bottom"/>
          </w:tcPr>
          <w:p>
            <w:pPr>
              <w:ind w:left="40"/>
              <w:spacing w:after="0"/>
              <w:rPr>
                <w:sz w:val="20"/>
                <w:szCs w:val="20"/>
                <w:color w:val="auto"/>
              </w:rPr>
            </w:pPr>
            <w:r>
              <w:rPr>
                <w:rFonts w:ascii="Arial" w:cs="Arial" w:eastAsia="Arial" w:hAnsi="Arial"/>
                <w:sz w:val="14"/>
                <w:szCs w:val="14"/>
                <w:color w:val="auto"/>
              </w:rPr>
              <w:t>Contributions from noncontrolling interests</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34,737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34,737</w:t>
            </w:r>
          </w:p>
        </w:tc>
        <w:tc>
          <w:tcPr>
            <w:tcW w:w="0" w:type="dxa"/>
            <w:vAlign w:val="bottom"/>
          </w:tcPr>
          <w:p>
            <w:pPr>
              <w:spacing w:after="0"/>
              <w:rPr>
                <w:sz w:val="1"/>
                <w:szCs w:val="1"/>
                <w:color w:val="auto"/>
              </w:rPr>
            </w:pPr>
          </w:p>
        </w:tc>
      </w:tr>
      <w:tr>
        <w:trPr>
          <w:trHeight w:val="73"/>
        </w:trPr>
        <w:tc>
          <w:tcPr>
            <w:tcW w:w="3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Adjustment to redeemable noncontrolling interests</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(19,114)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(19,114)</w:t>
            </w:r>
          </w:p>
        </w:tc>
        <w:tc>
          <w:tcPr>
            <w:tcW w:w="0" w:type="dxa"/>
            <w:vAlign w:val="bottom"/>
          </w:tcPr>
          <w:p>
            <w:pPr>
              <w:spacing w:after="0"/>
              <w:rPr>
                <w:sz w:val="1"/>
                <w:szCs w:val="1"/>
                <w:color w:val="auto"/>
              </w:rPr>
            </w:pPr>
          </w:p>
        </w:tc>
      </w:tr>
      <w:tr>
        <w:trPr>
          <w:trHeight w:val="79"/>
        </w:trPr>
        <w:tc>
          <w:tcPr>
            <w:tcW w:w="3100" w:type="dxa"/>
            <w:vAlign w:val="bottom"/>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100" w:type="dxa"/>
            <w:vAlign w:val="bottom"/>
          </w:tcPr>
          <w:p>
            <w:pPr>
              <w:ind w:left="40"/>
              <w:spacing w:after="0"/>
              <w:rPr>
                <w:sz w:val="20"/>
                <w:szCs w:val="20"/>
                <w:color w:val="auto"/>
              </w:rPr>
            </w:pPr>
            <w:r>
              <w:rPr>
                <w:rFonts w:ascii="Arial" w:cs="Arial" w:eastAsia="Arial" w:hAnsi="Arial"/>
                <w:sz w:val="14"/>
                <w:szCs w:val="14"/>
                <w:color w:val="auto"/>
              </w:rPr>
              <w:t>BALANCE AT DECEMBER 31, 2015</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399,896</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9,997</w:t>
            </w:r>
          </w:p>
        </w:tc>
        <w:tc>
          <w:tcPr>
            <w:tcW w:w="120" w:type="dxa"/>
            <w:vAlign w:val="bottom"/>
          </w:tcPr>
          <w:p>
            <w:pPr>
              <w:spacing w:after="0"/>
              <w:rPr>
                <w:sz w:val="14"/>
                <w:szCs w:val="14"/>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w w:val="96"/>
              </w:rPr>
              <w:t>69,493,392</w:t>
            </w:r>
          </w:p>
        </w:tc>
        <w:tc>
          <w:tcPr>
            <w:tcW w:w="100" w:type="dxa"/>
            <w:vAlign w:val="bottom"/>
          </w:tcPr>
          <w:p>
            <w:pPr>
              <w:spacing w:after="0"/>
              <w:rPr>
                <w:sz w:val="14"/>
                <w:szCs w:val="14"/>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color w:val="auto"/>
              </w:rPr>
              <w:t>696</w:t>
            </w:r>
          </w:p>
        </w:tc>
        <w:tc>
          <w:tcPr>
            <w:tcW w:w="92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$ 2,381,867</w:t>
            </w:r>
          </w:p>
        </w:tc>
        <w:tc>
          <w:tcPr>
            <w:tcW w:w="100" w:type="dxa"/>
            <w:vAlign w:val="bottom"/>
          </w:tcPr>
          <w:p>
            <w:pPr>
              <w:spacing w:after="0"/>
              <w:rPr>
                <w:sz w:val="14"/>
                <w:szCs w:val="14"/>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(724,701)</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(4,110)</w:t>
            </w:r>
          </w:p>
        </w:tc>
        <w:tc>
          <w:tcPr>
            <w:tcW w:w="120" w:type="dxa"/>
            <w:vAlign w:val="bottom"/>
          </w:tcPr>
          <w:p>
            <w:pPr>
              <w:spacing w:after="0"/>
              <w:rPr>
                <w:sz w:val="14"/>
                <w:szCs w:val="14"/>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118,182</w:t>
            </w:r>
          </w:p>
        </w:tc>
        <w:tc>
          <w:tcPr>
            <w:tcW w:w="120" w:type="dxa"/>
            <w:vAlign w:val="bottom"/>
          </w:tcPr>
          <w:p>
            <w:pPr>
              <w:spacing w:after="0"/>
              <w:rPr>
                <w:sz w:val="14"/>
                <w:szCs w:val="14"/>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w w:val="99"/>
              </w:rPr>
              <w:t>1,781,931</w:t>
            </w: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1966595</wp:posOffset>
            </wp:positionH>
            <wp:positionV relativeFrom="paragraph">
              <wp:posOffset>7620</wp:posOffset>
            </wp:positionV>
            <wp:extent cx="528510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5105" cy="25400"/>
                    </a:xfrm>
                    <a:prstGeom prst="rect">
                      <a:avLst/>
                    </a:prstGeom>
                    <a:noFill/>
                  </pic:spPr>
                </pic:pic>
              </a:graphicData>
            </a:graphic>
          </wp:anchor>
        </w:drawing>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126" w:right="239" w:bottom="1440" w:gutter="0" w:footer="0" w:header="0"/>
          <w:type w:val="continuous"/>
        </w:sectPr>
      </w:pPr>
    </w:p>
    <w:bookmarkStart w:id="61" w:name="page62"/>
    <w:bookmarkEnd w:id="61"/>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571"/>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r>
      <w:tr>
        <w:trPr>
          <w:trHeight w:val="263"/>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r>
      <w:tr>
        <w:trPr>
          <w:trHeight w:val="190"/>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218,424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167,608</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Depreciation and amortization, including 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174,796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161,099</w:t>
            </w:r>
          </w:p>
        </w:tc>
      </w:tr>
      <w:tr>
        <w:trPr>
          <w:trHeight w:val="243"/>
        </w:trPr>
        <w:tc>
          <w:tcPr>
            <w:tcW w:w="7780" w:type="dxa"/>
            <w:vAlign w:val="bottom"/>
          </w:tcPr>
          <w:p>
            <w:pPr>
              <w:ind w:left="700"/>
              <w:spacing w:after="0"/>
              <w:rPr>
                <w:sz w:val="20"/>
                <w:szCs w:val="20"/>
                <w:color w:val="auto"/>
              </w:rPr>
            </w:pPr>
            <w:r>
              <w:rPr>
                <w:rFonts w:ascii="Arial" w:cs="Arial" w:eastAsia="Arial" w:hAnsi="Arial"/>
                <w:sz w:val="18"/>
                <w:szCs w:val="18"/>
                <w:color w:val="auto"/>
              </w:rPr>
              <w:t>Gain on sale of real estate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(28,855)</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Early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13,304</w:t>
            </w:r>
          </w:p>
        </w:tc>
      </w:tr>
      <w:tr>
        <w:trPr>
          <w:trHeight w:val="243"/>
        </w:trPr>
        <w:tc>
          <w:tcPr>
            <w:tcW w:w="7780" w:type="dxa"/>
            <w:vAlign w:val="bottom"/>
          </w:tcPr>
          <w:p>
            <w:pPr>
              <w:ind w:left="700"/>
              <w:spacing w:after="0"/>
              <w:rPr>
                <w:sz w:val="20"/>
                <w:szCs w:val="20"/>
                <w:color w:val="auto"/>
              </w:rPr>
            </w:pPr>
            <w:r>
              <w:rPr>
                <w:rFonts w:ascii="Arial" w:cs="Arial" w:eastAsia="Arial" w:hAnsi="Arial"/>
                <w:sz w:val="18"/>
                <w:szCs w:val="18"/>
                <w:color w:val="auto"/>
              </w:rPr>
              <w:t>Income from real estate partnerships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(1,498)</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Increase in 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(6,321)</w:t>
            </w:r>
          </w:p>
        </w:tc>
      </w:tr>
      <w:tr>
        <w:trPr>
          <w:trHeight w:val="243"/>
        </w:trPr>
        <w:tc>
          <w:tcPr>
            <w:tcW w:w="7780" w:type="dxa"/>
            <w:vAlign w:val="bottom"/>
          </w:tcPr>
          <w:p>
            <w:pPr>
              <w:ind w:left="700"/>
              <w:spacing w:after="0"/>
              <w:rPr>
                <w:sz w:val="20"/>
                <w:szCs w:val="20"/>
                <w:color w:val="auto"/>
              </w:rPr>
            </w:pPr>
            <w:r>
              <w:rPr>
                <w:rFonts w:ascii="Arial" w:cs="Arial" w:eastAsia="Arial" w:hAnsi="Arial"/>
                <w:sz w:val="18"/>
                <w:szCs w:val="18"/>
                <w:color w:val="auto"/>
              </w:rPr>
              <w:t>(Increase) decrease in prepaid expenses and other assets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(Decrease) increase in accounts payable and 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5,325</w:t>
            </w:r>
          </w:p>
        </w:tc>
      </w:tr>
      <w:tr>
        <w:trPr>
          <w:trHeight w:val="243"/>
        </w:trPr>
        <w:tc>
          <w:tcPr>
            <w:tcW w:w="7780" w:type="dxa"/>
            <w:vAlign w:val="bottom"/>
          </w:tcPr>
          <w:p>
            <w:pPr>
              <w:ind w:left="700"/>
              <w:spacing w:after="0"/>
              <w:rPr>
                <w:sz w:val="20"/>
                <w:szCs w:val="20"/>
                <w:color w:val="auto"/>
              </w:rPr>
            </w:pPr>
            <w:r>
              <w:rPr>
                <w:rFonts w:ascii="Arial" w:cs="Arial" w:eastAsia="Arial" w:hAnsi="Arial"/>
                <w:sz w:val="18"/>
                <w:szCs w:val="18"/>
                <w:color w:val="auto"/>
              </w:rPr>
              <w:t>Increase in security deposits and other liabilities</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1,063</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359,835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346,130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314,498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(87,276)</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(236,437)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(314,654)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(243,073)</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other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(47,069)</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Proceeds from sale of real estate</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97,422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10,406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42,866</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Distribution from real estate partnership in excess of earnings</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790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Leasing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(12,393)</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Repayment of mortgage and other notes receivable, net</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10,333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5,008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957</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(345,198)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borrowings (repayments) under revolving credit facility, net of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(1,929)</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Issuance of senior notes, net of costs</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456,151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244,579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564,389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Redemption and retirement of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(293,360)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Issuance of mortgages, capital leases and notes payable, net of costs</w:t>
            </w: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860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mortgages, capital leases and notes payable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(173,735)</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Issuance of common shares</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110,855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216,155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186,548</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(243,314)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(193,016)</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(7,118)</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(32,977)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82,639</w:t>
            </w:r>
          </w:p>
        </w:tc>
      </w:tr>
      <w:tr>
        <w:trPr>
          <w:trHeight w:val="236"/>
        </w:trPr>
        <w:tc>
          <w:tcPr>
            <w:tcW w:w="778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(26,905)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(40,976)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51,939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47,951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36,988</w:t>
            </w:r>
          </w:p>
        </w:tc>
      </w:tr>
      <w:tr>
        <w:trPr>
          <w:trHeight w:val="236"/>
        </w:trPr>
        <w:tc>
          <w:tcPr>
            <w:tcW w:w="7780" w:type="dxa"/>
            <w:vAlign w:val="bottom"/>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21,046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47,951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88,927</w:t>
            </w: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6" w:right="2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 2014 and 2013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as well as in California and South Florida. As of December 31, 2015, we owned or had a majority interest in community and neighborhood shopping centers and mixed-use properties which are operated as 90 predominantly retail real estate projects.</w:t>
      </w:r>
    </w:p>
    <w:p>
      <w:pPr>
        <w:spacing w:after="0" w:line="137" w:lineRule="exact"/>
        <w:rPr>
          <w:sz w:val="20"/>
          <w:szCs w:val="20"/>
          <w:color w:val="auto"/>
        </w:rPr>
      </w:pPr>
    </w:p>
    <w:p>
      <w:pPr>
        <w:ind w:right="80"/>
        <w:spacing w:after="0" w:line="341"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Accounts Receivable</w:t>
      </w:r>
    </w:p>
    <w:p>
      <w:pPr>
        <w:spacing w:after="0" w:line="9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For a tenant to terminate its lease agreement prior to the end of the agreed term, we may require that they pay a fee to cancel the lease agreement. Lease termination fees for which the tenant has relinquished control of the space are generally recognized on the termination date. When a lease is terminated early but the tenant continues to control the space under a modified lease agreement, the lease termination fee is generally recognized evenly over the remaining term of the modified lease agreement.</w:t>
      </w:r>
    </w:p>
    <w:p>
      <w:pPr>
        <w:spacing w:after="0" w:line="1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make estimates of the collectability of our accounts receivable related to minimum rents, straight-line rents, expense reimbursements and other revenue. Accounts receivable is carried net of this allowance for doubtful accounts. Our determination as to the collectability of accounts receivable and correspondingly, the adequacy of this allowance, is based primarily upon evaluations of individual receivables, current economic conditions, historical experience and other relevant factors. The allowance for doubtful accounts is increased or decreased through bad debt expense. Accounts receivable are written-off when they are deemed to be uncollectible and we are no longer actively pursuing collection. At December 31, 2015 and 2014, our allowance for doubtful accounts was $11.7 million and $12.4 million, respectively.</w:t>
      </w:r>
    </w:p>
    <w:p>
      <w:pPr>
        <w:spacing w:after="0" w:line="13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some cases, primarily relating to straight-line rents, the collection of accounts receivable extends beyond one year. Our experience relative to unbilled straight-line rents is that a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If our evaluation of tenant credit risk changes indicating more straight-line revenue is reasonably collectible than previously estimated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6" w:right="2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and realized, the additional straight-line rental income is recognized as revenue. If our evaluation of tenant credit risk changes indicating a portion of realized straight-line rental income is no longer collectible, a reserve and bad debt expense is recorded. At December 31, 2015 and 2014, accounts receivable include approximately $72.7 million and $66.1 million, respectively, related to straight-line rents.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Land, buildings and improvements are recorded at cost. Depreciation is computed using the straight-line method. Estimated useful lives range generally from 35 years to a maximum of 50 years on buildings and major improvements. Minor improvements, furniture and equipment are capitalized and depreciated over useful lives ranging from 2 to 20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 or have no future value. In 2015, 2014 and 2013, real estate depreciation expense was $156.5 million, $155.7 million and $147.7 million, respectively, including amounts from real estate sold and assets under capital lease obligations.</w:t>
      </w:r>
    </w:p>
    <w:p>
      <w:pPr>
        <w:spacing w:after="0" w:line="122" w:lineRule="exact"/>
        <w:rPr>
          <w:sz w:val="20"/>
          <w:szCs w:val="20"/>
          <w:color w:val="auto"/>
        </w:rPr>
      </w:pPr>
    </w:p>
    <w:p>
      <w:pPr>
        <w:ind w:right="680"/>
        <w:spacing w:after="0" w:line="286" w:lineRule="auto"/>
        <w:rPr>
          <w:sz w:val="20"/>
          <w:szCs w:val="20"/>
          <w:color w:val="auto"/>
        </w:rPr>
      </w:pPr>
      <w:r>
        <w:rPr>
          <w:rFonts w:ascii="Arial" w:cs="Arial" w:eastAsia="Arial" w:hAnsi="Arial"/>
          <w:sz w:val="17"/>
          <w:szCs w:val="17"/>
          <w:color w:val="auto"/>
        </w:rPr>
        <w:t>Sales of real estate are recognized only when sufficient down payments have been obtained, possession and other attributes of ownership have been transferred to the buyer and we have no significant continuing involvement. The application of these criteria can be complex and requires us to make assumptions. We believe these criteria were met for all real estate sold during the periods presented.</w:t>
      </w:r>
    </w:p>
    <w:p>
      <w:pPr>
        <w:spacing w:after="0" w:line="3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methodology of allocating the cost of acquisitions to assets acquired and liabilities assumed is based on estimated fair values, replacement cost and/or appraised values. When we acquire operating real estate properties, the purchase price is allocated to land, building, improvements, leasing costs, intangibles such as in-place leases, assumed debt, if any, and to current assets and liabilities acquired, if any. The value allocated to in-place leases is amortized over the related lease term and reflected as rental income in the consolidated statements of comprehensive income.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1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Transaction costs related to the acquisition of a business, such as broker fees, transfer taxes, legal, accounting, valuation, and other professional and consulting fees, are expensed as incurred and included in “general and administrative expenses” in our consolidated statements of comprehensive income. The acquisition of an operating shopping center typically qualifies as a business. For asset acquisitions not meeting the definition of a business, transaction costs are capitalized as part of the acquisition cost.</w:t>
      </w:r>
    </w:p>
    <w:p>
      <w:pPr>
        <w:spacing w:after="0" w:line="13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When applicable, as lessee, we classify our leases of land and building as operating or capital leases. We are required to use judgment and make estimates in determining the lease term, the estimated economic life of the property and the interest rate to be used in determining whether or not the lease meets the qualification of a capital lease and is recorded as an asset.</w:t>
      </w:r>
    </w:p>
    <w:p>
      <w:pPr>
        <w:spacing w:after="0" w:line="1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capitalize certain costs related to the development and redevelopment of real estate including pre-construction costs, real estate taxes, insurance, construction costs and salaries and related costs of personnel directly involved. Additionally, we capitalize interest costs related to development and redevelopment activities. Capitalization of these costs begin when the activities and related expenditures commence and cease when the project is substantially complete and ready for its intended use at which time the project is placed in service and depreciation commences. Additionally, we make estimates as to the probability of certain development and redevelopment projects being completed. If we determine the development or redevelopment is no longer probable of completion, we expense all capitalized costs which are not recoverable.</w:t>
      </w:r>
    </w:p>
    <w:p>
      <w:pPr>
        <w:spacing w:after="0" w:line="1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review for impairment on a property by property basis. Impairment is recognized on properties held for use when the expected undiscounted cash flows for a property are less than its carrying amount at which time the property is written-down to fair value. Properties held for sale are recorded at the lower of the carrying amount or the expected sales price less costs to sell. Effective January 1, 2014, we adopted ASU 2014-08, “Reporting Discontinued Operations and Disclosures of Disposals of Components of an Entity,” which amended the definition of a discontinued operation to include only the disposal of a component of an entity that represents a strategic shift that has or will have a major impact on an entity's operations and financial results. The properties we have sold subsequent to January 1, 2014 do not qualify for discontinued operations presentation and thus, the results of those disposals are included in "income from continuing operations." Prior to January 1, 2014, the sale or disposal of a “component of an entity” was treated as discontinued operations. The operating properties sold</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26" w:right="25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by us prior to January 1, 2014 typically met the definition of a component of an entity and as such the revenues and expenses associated with sold properties were reclassified to discontinued operations for all periods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define cash and cash equivalents as cash on hand, demand deposits with financial institutions and short term liquid investments with an initial maturity, when purchased, under three months. Cash balances in individual banks may exceed the federally insured limit by the Federal Deposit Insurance Corporation (the “FDIC”). At December 31, 2015, we had $18.1 million in excess of the FDIC insured limit.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Assets</w:t>
      </w:r>
    </w:p>
    <w:p>
      <w:pPr>
        <w:spacing w:after="0" w:line="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Prepaid expenses and other assets consist primarily of lease costs, prepaid property taxes and acquired above market leases. Capitalized lease costs are direct costs incurred which were essential to originate a lease and would not have been incurred had the leasing transaction not taken place and include third party commissions and salaries and related costs of personnel directly related to time spent obtaining a lease. Capitalized lease costs are amortized over the life of the related lease. If a tenant vacates its space prior to the contractual termination of its lease, the unamortized balance of any previously capitalized lease costs are written off.</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94"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Costs related to the issuance of debt instruments are capitalized and are amortized as interest expense over the estimated life of the related issue using the straight-line method which approximates the effective interest method. If a debt instrument is paid off prior to its original maturity date, the unamortized balance of debt issuance costs are written off to interest expense or, if significant, included in “early extinguishment of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94"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At times, 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accumulated other comprehensive loss and is subsequently reclassified into interest expense as interest is incurred on the related variable rate debt; within the next twelve months, we expect to reclassify an estimated $2.9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 worthiness of the counterparty. When ineffectiveness exists, the ineffective portion of changes in fair value of the interest rate swaps associated with our cash flow hedges is recognized in earnings in the period affected. Hedge ineffectiveness did not impact earnings in 2015, 2014 or 2013, and we do not anticipate it will have a significant effect in the future.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additional disclosures relating to our two existing interest rate swap agreements.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Notes Receivable</w:t>
      </w:r>
    </w:p>
    <w:p>
      <w:pPr>
        <w:spacing w:after="0" w:line="9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made certain mortgage loans that, because of their nature, qualify as loan receivables. At the time the loans were made, we did not intend for the arrangement to be anything other than a financing and did not contemplate a real estate investment. We evaluate each investment to determine whether the loan arrangement qualifies as a loan, joint venture or real estate investment and the appropriate accounting thereon. Such determination affects our balance sheet classification of these investments and the recognition of interest income derived therefrom. On some of the loans we receive additional interest, however, we never receive in excess of 50% of the residual profit in the project, and because the borrower has either a substantial investment in the project or has guaranteed all or a portion of our loan (or a combination thereof), the loans qualify for loan accounting. The amounts under these arrangements are presented as mortgage notes receivable at December 31, 2015 and 2014.</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126" w:right="27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Mortgage notes receivable are recorded at cost, net of any valuation adjustments. Interest income is accrued as earned. Mortgage notes receivable are considered past due based on the contractual terms of the note agreement. On a quarterly basis, we evaluate the collectability of each mortgage note receivable based on various factors which may include payment history, expected fair value of the collateral securing the loan, internal and external credit information and/or economic trends. A loan is considered impaired when, based upon current information and events, it is probable that we will be unable to collect all amounts due under the existing contractual terms. When a loan is considered impaired, the amount of the loss accrual is calculated by comparing the carrying amount of the mortgage note receivable to the present value of expected future cash flows. Since all of our loans are collateralized by either a first or second mortgage, the loans have risk characteristics similar to the risks in owning commercial real estate.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Based Compensation</w:t>
      </w:r>
    </w:p>
    <w:p>
      <w:pPr>
        <w:spacing w:after="0" w:line="9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grant share based compensation awards to employees and trustees typically in the form of restricted common shares, common shares, and options. We measure stock based compensation expense based on the grant date fair value of the award and recognize the expense ratably over the requisite service period, which is typically the vesting period. See Note 15 for further discussion regarding our share based compensation plans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Certain entities that do not have sufficient equity at risk for the entity to finance its activities without additional subordinated financial support from other parties or in which equity investors do not have the characteristics of a controlling financial interest qualify as VIEs. VIEs are required to be consolidated by their primary beneficiary. The primary beneficiary of a VIE has both the power to direct the activities that most significantly impact economic performance of the VIE and the obligation to absorb losses or the right to receive benefits that could potentially be significant to the VIE.</w:t>
      </w:r>
    </w:p>
    <w:p>
      <w:pPr>
        <w:spacing w:after="0" w:line="1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have evaluated our investments in certain joint ventures including our real estate partnership with affiliates of a discretionary fund created and advised by Clarion Partners as of December 31, 2015 and determined that these joint ventures do not meet the requirements of a variable interest entity and, therefore, consolidation of these ventures is not required. These investments are accounted for using the equity method. See Note 19 for additional information regarding our January 13, 2016 acquisition of Clarion's 70% interest in this partnership. We have also determined that our hotel joint venture at our Pike &amp; Rose project does not meet the requirement of a variable interest entity and have accounted for our related investment using the equity method. We have evaluated our mortgage loans receivable and determined that entities obligated under the mortgage loans are not VIEs for all periods presented. Our equity method investment balances and mortgage notes receivable are presented separately in our consolidated balance sheets.</w:t>
      </w:r>
    </w:p>
    <w:p>
      <w:pPr>
        <w:spacing w:after="0" w:line="11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October 16, 2006, we acquired the leasehold interest in Melville Mall under a 20 year master lease. Additionally, we loaned the owner of Melville Mall $34.2 million secured by a second mortgage on the property. On June 3, 2014, we repaid the third party mortgage loan, and effectively became the first mortgage lender on the property. We have an option to purchase the shopping center on or after October 16, 2021 for a price of $5.0 million plus the assumption/repayment of the first and second mortgages. If we fail to exercise our purchase option, the owner of Melville Mall has a put option which would require us to purchase Melville Mall in 2023 for $5.0 million and the assumption of the owner’s mortgage debt. We have determined that this property is held in a variable interest entity for which we are the primary beneficiary. Accordingly, beginning October 16, 2006, we consolidated this property and its operations. At December 31, 2015 and 2014, net real estate assets related to Melville Mall included in our consolidated balance sheets are approximately $65.0 million and $61.9 million, respectively.</w:t>
      </w:r>
    </w:p>
    <w:p>
      <w:pPr>
        <w:spacing w:after="0" w:line="13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conjunction with the acquisition of Darien Shopping Center, we entered into a Reverse Section 1031 like-kind exchange agreement with a third party intermediary. The exchange agreement was for a maximum of 180 days and allowed us, for tax purposes, to defer gains on sale of other properties sold within this period. From April 3, 2013 to September 10, 2013, the third party intermediary was the legal owner of the property, although we controlled the activities that most significantly impacted the property, retained all of the economic benefits and risks associated with the property, and were the primary beneficiary. Accordingly, effective April 3, 2013, we consolidated Darien Shopping Center and its operations even during the period it was held by a third party intermediary.</w:t>
      </w:r>
    </w:p>
    <w:p>
      <w:pPr>
        <w:spacing w:after="0" w:line="13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determined the joint venture that owns Plaza El Segundo is a variable interest entity for which we are the primary beneficiary. We are the managing member and own 48.2% of the entity. We control the significant operating decisions, consequently having the power to direct the activities that most significantly impact economic performance of the VIE, and have the obligation to absorb the majority of the losses and receive the majority of the benefits. Therefore, the entity is consolidated in our financial statements as of December 30, 2011. As of December 31, 2015 and 2014, net real estate assets related to Plaza El Segundo included in our consolidated balance sheets are approximately $172.2 million and $178.1 million,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respectively, and mortgages payable (net of unamortized premium) of $178.3 million and $180.3 million, respectively. Plaza El Segundo's creditors do not have recourse to our general credit. Our maximum exposure to loss is approximately $19.5 million.</w:t>
      </w:r>
    </w:p>
    <w:p>
      <w:pPr>
        <w:spacing w:after="0" w:line="11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January 1, 2014 we entered into an agreement to acquire the interest of one of the noncontrolling interest holders in The Grove at Shrewsbury in 2015. The entity that held this interest was a variable interest entity for which we were the primary beneficiary. As of December 31, 2014, net real estate assets related to this entity's interest in The Grove at Shrewsbury included in our consolidated balance sheet were approximately $15.7 million, and a mortgage payable (net of unamortized premium) of $7.4 million. On February 25, 2015, we acquired the interest of the noncontrolling interest holder for $8.8 million. As this noncontrolling interest was mandatorily redeemable, it was classified as a liability and was included in "other liabilities and deferred credits" on the accompanying December 31, 2014 consolidated balance sheet.</w:t>
      </w:r>
    </w:p>
    <w:p>
      <w:pPr>
        <w:spacing w:after="0" w:line="1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determined the joint venture that owns CocoWalk and other partial interests in buildings in the Coconut Grove neighborhood of Miami, Florida, is a variable interest entity for which we are the primary beneficiary. We own an 80% common interest of the entity, as well as a preferred interest. We control the significant operating decisions, consequently having the power to direct the activities that most significantly impact economic performance of the entity, and have the obligation to absorb the majority of the losses and receive the majority of the benefits. Therefore, the entity is consolidated in our financial statements as of May 4, 2015. As of December 31, 2015, net real estate assets related to CocoWalk included in our consolidated balance sheets are approximately $97.2 million. Our maximum exposure to loss is approximately $88.8 million.</w:t>
      </w:r>
    </w:p>
    <w:p>
      <w:pPr>
        <w:spacing w:after="0" w:line="1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determined the joint venture that owns The Shops at Sunset Place is a variable interest entity for which we are the primary beneficiary. We own an 85% common interest of the entity. We control the significant operating decisions, consequently having the power to direct the activities that most significantly impact economic performance of the entity, and have the obligation to absorb the majority of the losses and receive the majority of the benefits. Therefore, the entity is consolidated in our financial statements as of October 1, 2015. As of December 31, 2015, net real estate assets related to The Shops at Sunset Place included in our consolidated balance sheets are approximately $115.8 million, and the entity has a mortgage payable (net of unamortized premium) of $75.9 million. Our maximum exposure to loss is approximately $35.5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Noncontrolling Interests</w:t>
      </w:r>
    </w:p>
    <w:p>
      <w:pPr>
        <w:spacing w:after="0" w:line="9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have certain noncontrolling interests that are redeemable for cash upon the occurrence of an event that is not solely in our control and therefore are classified outside of permanent equity. We adjust the carrying amounts of these noncontrolling interests that are currently redeemable to redemption value at the balance sheet date. Adjustments to the carrying amount to reflect changes in redemption value are recorded as adjustments to additional paid-in capital in shareholders' equity. These amounts are classified within the mezzanine section of the consolidated balance sheets.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rollforward of the redeemable noncontrolling interests: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tcPr>
          <w:p>
            <w:pPr>
              <w:spacing w:after="0"/>
              <w:rPr>
                <w:sz w:val="16"/>
                <w:szCs w:val="16"/>
                <w:color w:val="auto"/>
              </w:rPr>
            </w:pPr>
          </w:p>
        </w:tc>
      </w:tr>
      <w:tr>
        <w:trPr>
          <w:trHeight w:val="276"/>
        </w:trPr>
        <w:tc>
          <w:tcPr>
            <w:tcW w:w="88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Borders>
              <w:bottom w:val="single" w:sz="8" w:color="auto"/>
            </w:tcBorders>
          </w:tcPr>
          <w:p>
            <w:pPr>
              <w:spacing w:after="0"/>
              <w:rPr>
                <w:sz w:val="23"/>
                <w:szCs w:val="23"/>
                <w:color w:val="auto"/>
              </w:rPr>
            </w:pPr>
          </w:p>
        </w:tc>
      </w:tr>
      <w:tr>
        <w:trPr>
          <w:trHeight w:val="263"/>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r>
      <w:tr>
        <w:trPr>
          <w:trHeight w:val="250"/>
        </w:trPr>
        <w:tc>
          <w:tcPr>
            <w:tcW w:w="8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3"/>
          </w:tcPr>
          <w:p>
            <w:pPr>
              <w:jc w:val="center"/>
              <w:ind w:left="477"/>
              <w:spacing w:after="0"/>
              <w:rPr>
                <w:sz w:val="20"/>
                <w:szCs w:val="20"/>
                <w:color w:val="auto"/>
              </w:rPr>
            </w:pPr>
            <w:r>
              <w:rPr>
                <w:rFonts w:ascii="Arial" w:cs="Arial" w:eastAsia="Arial" w:hAnsi="Arial"/>
                <w:sz w:val="14"/>
                <w:szCs w:val="14"/>
                <w:color w:val="auto"/>
                <w:w w:val="91"/>
              </w:rPr>
              <w:t>(In thousands)</w:t>
            </w:r>
          </w:p>
        </w:tc>
        <w:tc>
          <w:tcPr>
            <w:tcW w:w="820" w:type="dxa"/>
            <w:vAlign w:val="bottom"/>
          </w:tcPr>
          <w:p>
            <w:pPr>
              <w:spacing w:after="0"/>
              <w:rPr>
                <w:sz w:val="21"/>
                <w:szCs w:val="2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119,053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104,425</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3,423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3,452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Distributions &amp; Redemptions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Contributions</w:t>
            </w: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5,858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redemption value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19,114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9,032</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137,316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119,053</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6" w:right="2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elected to treat certain of our subsidiaries as taxable REIT subsidiaries, which we refer to as a TRS. In general, a TRS may engage in any real estate business and certain non-real estate businesses, subject to certain limitations under the Internal Revenue Code of 1986, as amended (the “Code”). A TRS is subject to federal and state income taxes. Our TRS activities have not been material.</w:t>
      </w:r>
    </w:p>
    <w:p>
      <w:pPr>
        <w:spacing w:after="0" w:line="1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With few exceptions, we are no longer subject to U.S. federal, state, and local tax examinations by tax authorities for years before 2011. As of December 31, 2015 and 2014, we had no material unrecognized tax benefits. While we currently have no material unrecognized tax benefits, as a policy, we recognize penalties and interest accrued related to unrecognized tax benefits as income tax expense.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primary business is the ownership, management, and redevelopment of retail and mixed-use properties. We review operating and financial information for each property on an individual basis and therefore, each property represents an individual operating segment. We evaluate financial performance using property operating income, which consists of rental income, other property income and mortgage interest income, less rental expenses and real estate taxes. No individual property constitutes more than 10% of our revenues or property operating income and we have no operations outside of the United States of America. Therefore, we have aggregated our properties into one reportable segment as the properties share similar long-term economic characteristics and have other similarities including the fact that they are operated using consistent business strategies, are typically located in major metropolitan areas, and have similar tenant mixes.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January 2015, the FASB issued ASU 2015-01, "Income Statement - Extraordinary and Unusual Items." ASU 2015-01 eliminates the concept, and related presentation and disclosure requirements, of an extraordinary item. The presentation and disclosure guidance for items that are unusual in nature or occur infrequently will be retained and will be expanded to include those items that are both unusual in nature and infrequently occurring. ASU 2015-01 is effective for us in the first quarter of 2016 and is not expected to have a significant impact on our consolidated financial statements.</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February 2015, the FASB issued ASU 2015-02, "Amendments to the Consolidation Analysis." ASU 2015-02 modifies the evaluation of whether limited partnerships and similar legal entities are variable or voting interest entities, eliminates the presumption that the general partner should consolidate a limited partnership, modifies the consolidation analysis for reporting entities that are involved in variable interest entities, particularly those that have fee arrangements and related party relationships, and provides a scope exception from consolidation guidance for reporting entities with interests in legal entities that operate as registered money market funds. ASU 2015-02 is effective for us in the first quarter of 2016, and is not expected to have a significant impact on our consolidated financial statements.</w:t>
      </w:r>
    </w:p>
    <w:p>
      <w:pPr>
        <w:spacing w:after="0" w:line="5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April 2015, the FASB issued ASU 2015-03, "Simplifying the Presentation of Debt Issuance Costs." ASU 2015-03 requires debt issuance costs related to a debt liability be presented in the balance sheet as a direct deduction from the carrying amount of the debt liability, rather than classified as an asset. Recognition and measurement of debt issuance costs are not affected. Subsequently, in August 2015, the FASB issued ASU 2015-15, "Presentation and Subsequent Measurement of Debt Issuance Costs Associated with Line-of-Credit Arrangements," which allows an entity to present the costs related to securing a line-of- credit arrangement as an asset, regardless of whether there are any outstanding borrowings. ASU 2015-03 and ASU 2015-15 are effective for us in the first quarter of 2016 and are not expected to have a significant impact on our consolidated financial statements.</w:t>
      </w:r>
    </w:p>
    <w:p>
      <w:pPr>
        <w:spacing w:after="0" w:line="28" w:lineRule="exact"/>
        <w:rPr>
          <w:sz w:val="20"/>
          <w:szCs w:val="20"/>
          <w:color w:val="auto"/>
        </w:rPr>
      </w:pPr>
    </w:p>
    <w:p>
      <w:pPr>
        <w:ind w:right="20"/>
        <w:spacing w:after="0" w:line="307" w:lineRule="auto"/>
        <w:rPr>
          <w:sz w:val="20"/>
          <w:szCs w:val="20"/>
          <w:color w:val="auto"/>
        </w:rPr>
      </w:pPr>
      <w:r>
        <w:rPr>
          <w:rFonts w:ascii="Arial" w:cs="Arial" w:eastAsia="Arial" w:hAnsi="Arial"/>
          <w:sz w:val="17"/>
          <w:szCs w:val="17"/>
          <w:color w:val="auto"/>
        </w:rPr>
        <w:t>In August 2015, the FASB issued ASU 2015-14, which defers the effective date of ASU 2014-09, "Revenue from Contracts with Customers," which will now be effective for us in the first quarter of 2018. We are currently assessing the impact of this standard to our consolidated financial statements.</w:t>
      </w:r>
    </w:p>
    <w:p>
      <w:pPr>
        <w:spacing w:after="0" w:line="1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September 2015, the FASB issued ASU 2015-16, "Simplifying the Accounting for Measurement-Period Adjustments." ASU 2015-16 requires that, if the initial accounting for the business combination is incomplete as of the end of the reporting period in which the acquisition occurs, the acquirer records provisional amounts based on information available at the acquisition date. The acquirer would then adjust these amounts in the current period, as it obtains more information about facts and circumstances that existed as of the acquisition date. Under the current guidance, an acquirer must revise comparative information on the income statement and balance sheet for any prior periods affected. ASU 2015-16 is effective for us in the first quarter of 2016, and is not expected to have a significant impact on our consolidated financial statements.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126" w:right="25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Total interest costs incurred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110,675</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114,912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121,158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capitalized</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(16,181)</w:t>
            </w:r>
          </w:p>
        </w:tc>
        <w:tc>
          <w:tcPr>
            <w:tcW w:w="0" w:type="dxa"/>
            <w:vAlign w:val="bottom"/>
          </w:tcPr>
          <w:p>
            <w:pPr>
              <w:spacing w:after="0"/>
              <w:rPr>
                <w:sz w:val="1"/>
                <w:szCs w:val="1"/>
                <w:color w:val="auto"/>
              </w:rPr>
            </w:pPr>
          </w:p>
        </w:tc>
      </w:tr>
      <w:tr>
        <w:trPr>
          <w:trHeight w:val="236"/>
        </w:trPr>
        <w:tc>
          <w:tcPr>
            <w:tcW w:w="7080" w:type="dxa"/>
            <w:vAlign w:val="bottom"/>
          </w:tcPr>
          <w:p>
            <w:pPr>
              <w:ind w:left="700"/>
              <w:spacing w:after="0"/>
              <w:rPr>
                <w:sz w:val="20"/>
                <w:szCs w:val="20"/>
                <w:color w:val="auto"/>
              </w:rPr>
            </w:pPr>
            <w:r>
              <w:rPr>
                <w:rFonts w:ascii="Arial" w:cs="Arial" w:eastAsia="Arial" w:hAnsi="Arial"/>
                <w:sz w:val="18"/>
                <w:szCs w:val="18"/>
                <w:color w:val="auto"/>
              </w:rPr>
              <w:t>Interest expense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92,553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93,941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104,977</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70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paid for interest, net of amounts capitalized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116,335</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100,011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120,934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Cash paid for income taxes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274</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NON-CASH INVESTING AND FINANCING TRANSACTIONS:</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Mortgage loans assumed with acquisition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89,516</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68,282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DownREIT operating partnership units issued with acquisition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7,742</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65,348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Mortgage loans refinanced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64,205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Repayment of note payable with public funding/related construction-in-progress offset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Shares issued under dividend reinvestment plan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1,977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1,855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3 for additional disclosures relating to the San Antonio Center, CocoWalk, and The Shops at Sunset Place acquisitions.</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Capitalized lease costs are direct costs incurred which were essential to originate a lease and would not have been incurred had the leasing transaction not taken place. These costs include third party commissions and salaries and personnel costs related to obtaining a lease. Capitalized lease costs are amortized over the initial term of the related lease which generally ranges from three to ten years. We view these lease costs as part of the up-front initial investment we made in order to generate a long-term cash inflow and therefore, we classify cash outflows related to leasing costs as an investing activity in our consolidated statements of cash flows.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real estate investments and related encumbrances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Depreciation and</w:t>
            </w:r>
          </w:p>
        </w:tc>
        <w:tc>
          <w:tcPr>
            <w:tcW w:w="260" w:type="dxa"/>
            <w:vAlign w:val="bottom"/>
          </w:tcPr>
          <w:p>
            <w:pPr>
              <w:spacing w:after="0"/>
              <w:rPr>
                <w:sz w:val="12"/>
                <w:szCs w:val="12"/>
                <w:color w:val="auto"/>
              </w:rPr>
            </w:pPr>
          </w:p>
        </w:tc>
        <w:tc>
          <w:tcPr>
            <w:tcW w:w="14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Encumbrances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2015</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45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Retail and mixed-use properties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5,929,569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(1,526,934)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461,106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Retail properties under capital leases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124,590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71,620</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Residential</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10,247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21,716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6,064,406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(1,574,041)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554,442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3"/>
            <w:vMerge w:val="restart"/>
          </w:tcPr>
          <w:p>
            <w:pPr>
              <w:ind w:left="40"/>
              <w:spacing w:after="0" w:line="196" w:lineRule="exact"/>
              <w:rPr>
                <w:sz w:val="20"/>
                <w:szCs w:val="20"/>
                <w:color w:val="auto"/>
              </w:rPr>
            </w:pPr>
            <w:r>
              <w:rPr>
                <w:rFonts w:ascii="Arial" w:cs="Arial" w:eastAsia="Arial" w:hAnsi="Arial"/>
                <w:sz w:val="18"/>
                <w:szCs w:val="18"/>
                <w:b w:val="1"/>
                <w:bCs w:val="1"/>
                <w:color w:val="auto"/>
              </w:rPr>
              <w:t>December 31, 2014</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6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4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Retail and mixed-use properties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5,478,085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(1,423,682)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541,568</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Retail properties under capital leases</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121,069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(35,179)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71,647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22,130</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5,608,998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(1,467,050)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635,345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Retail and mixed-use properties includes the residential portion of Santana Row, Bethesda Row, Pike &amp; Rose, Congressional Plaza and Chelsea Commons.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residential property investment is our investment in Rollingwood Apartments.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6"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Significant Property Acquisitions and Dispositions</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January 2015, we acquired a controlling interest in San Antonio Center, a 376,000 square foot shopping center in Mountain View, California based on a total value of $62.2 million. Our effective interest approximates 80% and was funded by the assumption of our share of $18.7 million of mortgage debt, 58,000 downREIT operating partnership units, and $27 million of cash. A portion of the land is controlled under a long-term ground lease. Approximately $8.1 million of assets acquired were allocated to lease intangibles and included within other assets. Approximately $19.1 million was allocated to lease intangibles primarily related to "below market leases," and is included within other liabilities. Additionally, $16.3 million was allocated to noncontrolling interests. We incurred $1.8 million of acquisition costs, of which $1.1 million were incurred in 2015, and included in "general and administrative expense" in 2015 and 2014.</w:t>
      </w:r>
    </w:p>
    <w:p>
      <w:pPr>
        <w:spacing w:after="0" w:line="58" w:lineRule="exact"/>
        <w:rPr>
          <w:sz w:val="20"/>
          <w:szCs w:val="20"/>
          <w:color w:val="auto"/>
        </w:rPr>
      </w:pPr>
    </w:p>
    <w:p>
      <w:pPr>
        <w:ind w:right="780"/>
        <w:spacing w:after="0" w:line="263" w:lineRule="auto"/>
        <w:rPr>
          <w:sz w:val="20"/>
          <w:szCs w:val="20"/>
          <w:color w:val="auto"/>
        </w:rPr>
      </w:pPr>
      <w:r>
        <w:rPr>
          <w:rFonts w:ascii="Arial" w:cs="Arial" w:eastAsia="Arial" w:hAnsi="Arial"/>
          <w:sz w:val="18"/>
          <w:szCs w:val="18"/>
          <w:color w:val="auto"/>
        </w:rPr>
        <w:t>On February 25, 2015, we acquired the interest of one of the noncontrolling interest holders in The Grove at Shrewsbury for $8.8 million. As this noncontrolling interest was mandatorily redeemable, it was classified as a liability and was included in "other liabilities and deferred credits" on the accompanying December 31, 2014 consolidated balance sheet.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On April 24, 2015, we sold our Houston Street property in San Antonio, Texas for a sales price of $46.1 million, resulting in a gain of $11.5 million.</w:t>
      </w:r>
    </w:p>
    <w:p>
      <w:pPr>
        <w:spacing w:after="0" w:line="10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On May 4, 2015, we acquired CocoWalk, a 198,000 square foot retail property located in the Coconut Grove neighborhood of Miami, Florida for $87.5 million. The acquisition was completed through a newly formed entity ("CocoWalk LLC") for which we own a preferred interest and an 80% common interest. Approximately $1.5 million and $4.3 million of net assets acquired were allocated to other assets for "above market leases," and other liabilities for "below market leases," respectively. Additionally, approximately $6.9 million was allocated to noncontrolling interests. On July 1, 2015 and December 16, 2015, we acquired partial interests in eight buildings in the Coconut Grove neighborhood of Miami, Florida for $7.8 million through our CocoWalk LLC entity. In total, we incurred $1.1 million in acquisition costs which are included in "general and administrative expenses" in 2015.</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On July 8, 2015 we acquired a parcel of land adjacent to our Pike 7 Plaza property for $5.0 million.</w:t>
      </w:r>
    </w:p>
    <w:p>
      <w:pPr>
        <w:spacing w:after="0" w:line="90"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On October 1, 2015, we acquired The Shops at Sunset Place, a 515,000 square foot mixed-use property located in South Miami, Florida based on a gross value of $110.2 million. The acquisition was completed through a newly formed entity for which we own an 85% interest. Approximately $4.8 million and $6.6 million of net assets acquired were allocated to other assets for "above market leases," and other liabilities for "below market leases," respectively. Additionally, approximately $6.3 million was allocated to noncontrolling interests. We incurred $0.9 million of acquisition costs, which are included in "general and administrative expenses" in 2015. The transaction includes the assumption of an existing $70.8 million mortgage loan.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On November 19, 2015, we sold our Courtyard Shops property in Wellington, Florida for a sales price of $52.8 million, resulting in a gain of $16.8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Significant Property Acquisition</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Effective January 1, 2014, we acquired a controlling interest in The Grove at Shrewsbury, a 187,000 square foot shopping center in Shrewsbury, New Jersey, and Brook 35, a 99,000 square foot shopping center in Sea Girt, New Jersey for a gross value of $161 million. Our effective economic interest approximates 84% and was funded by the assumption of our share of $68 million of mortgage debt, 632,000 downREIT operating partnership units, and $13 million of cash (which was in an escrow account at December 31, 2013). Approximately $1.7 million and $2.3 million of net assets acquired were allocated to other assets for "above market leases" and other liabilities for "below market leases," respectively. Additionally, $71.1 million was allocated to redeemable and nonredeemable noncontrolling interests. We incurred $2.0 million of acquisition costs, of which $1.0 million were incurred in 2014, and are included in "general and administrative expenses" in 2014 and 2013, on the accompanying consolidated statements of comprehensive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4—MORTGAGE NOTES RECEIVABLE</w:t>
      </w:r>
    </w:p>
    <w:p>
      <w:pPr>
        <w:spacing w:after="0" w:line="9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At December 31, 2015 and 2014, we had three and four mortgage notes receivable, respectively, with aggregate carrying amounts of $41.6 million and $51.0 million, respectively. At December 31, 2015, all of the loans were secured by first mortgages on retail buildings, and at December 31, 2014, $41.2 million of the loans were secured by first mortgages on retail buildings. We have a note that matured on June 30, 2015 and is currently in default. The estimated net realizable value of the related collateral supports the carrying amount of the note. At December 31, 2015 and 2014, our mortgages had a weighted average interest rate of 9.0%. Under the terms of certain of these mortgages, we receive additional interest based upon the gross income of the secured properties and upon sale, share in the appreciation of the properties.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126" w:right="25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5—REAL ESTATE PARTNERSHIPS</w:t>
      </w:r>
    </w:p>
    <w:p>
      <w:pPr>
        <w:spacing w:after="0" w:line="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December 31, 2015, we had a joint venture arrangement (the “Partnership”) with affiliates of a discretionary fund created and advised by Clarion Partners (“Clarion”). We owned 30% of the equity in the Partnership and Clarion owned 70%. We held a general partnership interest, however, Clarion also held a general partnership interest and had substantive participating rights. We could not make significant decisions without Clarion’s approval. Accordingly, we accounted for our interest in the Partnership using the equity method. As of December 31, 2015, the Partnership owned six retail real estate properties. We were the manager of the Partnership and its properties, earning fees for acquisitions, dispositions, management, leasing, and financing. Intercompany profit generated from fees was eliminated in consolidation. We also had the opportunity to receive performance-based earnings through our Partnership interest. Accounting policies for the Partnership were similar to accounting policies followed by the Trust. As of December 31, 2015, we made total contributions of $48.8 million and received total distributions of $32.4 million. On January 13, 2016, we acquired Clarion's 70% interest in the partnership, as further discussed in Note 19.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RESULTS</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17,405</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18,329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19,209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5,992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5,948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5,678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5,506</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2,759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3,363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13,028</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14,385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14,868</w:t>
            </w:r>
          </w:p>
        </w:tc>
        <w:tc>
          <w:tcPr>
            <w:tcW w:w="0" w:type="dxa"/>
            <w:vAlign w:val="bottom"/>
          </w:tcPr>
          <w:p>
            <w:pPr>
              <w:spacing w:after="0"/>
              <w:rPr>
                <w:sz w:val="1"/>
                <w:szCs w:val="1"/>
                <w:color w:val="auto"/>
              </w:rPr>
            </w:pPr>
          </w:p>
        </w:tc>
      </w:tr>
      <w:tr>
        <w:trPr>
          <w:trHeight w:val="236"/>
        </w:trPr>
        <w:tc>
          <w:tcPr>
            <w:tcW w:w="7080" w:type="dxa"/>
            <w:vAlign w:val="bottom"/>
          </w:tcPr>
          <w:p>
            <w:pPr>
              <w:ind w:left="40"/>
              <w:spacing w:after="0"/>
              <w:rPr>
                <w:sz w:val="20"/>
                <w:szCs w:val="20"/>
                <w:color w:val="auto"/>
              </w:rPr>
            </w:pPr>
            <w:r>
              <w:rPr>
                <w:rFonts w:ascii="Arial" w:cs="Arial" w:eastAsia="Arial" w:hAnsi="Arial"/>
                <w:sz w:val="18"/>
                <w:szCs w:val="18"/>
                <w:color w:val="auto"/>
              </w:rPr>
              <w:t>Net income before gain on sale of real estate</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3,944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14,507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18,451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Our share of net income from real estate partnership before gain on sale of real estate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Our share of gain on sale of real estate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4,401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0"/>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080" w:type="dxa"/>
            <w:vAlign w:val="bottom"/>
          </w:tcPr>
          <w:p>
            <w:pPr>
              <w:ind w:left="40"/>
              <w:spacing w:after="0"/>
              <w:rPr>
                <w:sz w:val="20"/>
                <w:szCs w:val="20"/>
                <w:color w:val="auto"/>
              </w:rPr>
            </w:pPr>
            <w:r>
              <w:rPr>
                <w:rFonts w:ascii="Arial" w:cs="Arial" w:eastAsia="Arial" w:hAnsi="Arial"/>
                <w:sz w:val="18"/>
                <w:szCs w:val="18"/>
                <w:color w:val="auto"/>
              </w:rPr>
              <w:t>BALANCE SHEETS</w:t>
            </w: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146,906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149,203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2,690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5,495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36"/>
        </w:trPr>
        <w:tc>
          <w:tcPr>
            <w:tcW w:w="708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155,091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157,413</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gridSpan w:val="2"/>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Mortgages payable</w:t>
            </w: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34,385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34,385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3,554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 capital</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117,152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119,355</w:t>
            </w:r>
          </w:p>
        </w:tc>
        <w:tc>
          <w:tcPr>
            <w:tcW w:w="0" w:type="dxa"/>
            <w:vAlign w:val="bottom"/>
          </w:tcPr>
          <w:p>
            <w:pPr>
              <w:spacing w:after="0"/>
              <w:rPr>
                <w:sz w:val="1"/>
                <w:szCs w:val="1"/>
                <w:color w:val="auto"/>
              </w:rPr>
            </w:pPr>
          </w:p>
        </w:tc>
      </w:tr>
      <w:tr>
        <w:trPr>
          <w:trHeight w:val="236"/>
        </w:trPr>
        <w:tc>
          <w:tcPr>
            <w:tcW w:w="7080" w:type="dxa"/>
            <w:vAlign w:val="bottom"/>
          </w:tcPr>
          <w:p>
            <w:pPr>
              <w:ind w:left="380"/>
              <w:spacing w:after="0"/>
              <w:rPr>
                <w:sz w:val="20"/>
                <w:szCs w:val="20"/>
                <w:color w:val="auto"/>
              </w:rPr>
            </w:pPr>
            <w:r>
              <w:rPr>
                <w:rFonts w:ascii="Arial" w:cs="Arial" w:eastAsia="Arial" w:hAnsi="Arial"/>
                <w:sz w:val="18"/>
                <w:szCs w:val="18"/>
                <w:color w:val="auto"/>
              </w:rPr>
              <w:t>Total liabilities and partners’ capital</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155,091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157,413</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gridSpan w:val="2"/>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Our share of unconsolidated debt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10,316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10,316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Our investment in real estate partnership</w:t>
            </w: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31,745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32,367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60"/>
        <w:spacing w:after="0" w:line="334" w:lineRule="auto"/>
        <w:rPr>
          <w:sz w:val="20"/>
          <w:szCs w:val="20"/>
          <w:color w:val="auto"/>
        </w:rPr>
      </w:pPr>
      <w:r>
        <w:rPr>
          <w:rFonts w:ascii="Arial" w:cs="Arial" w:eastAsia="Arial" w:hAnsi="Arial"/>
          <w:sz w:val="16"/>
          <w:szCs w:val="16"/>
          <w:color w:val="auto"/>
        </w:rPr>
        <w:t>On June 5, 2014, the Partnership repaid an $11.9 million mortgage loan secured by one of its properties at par prior to the original maturity date of July 5, 2014. The partners made additional capital contributions totaling $11.9 million to repay the mortgage loan, of which our contribution was $3.6 million.</w:t>
      </w:r>
    </w:p>
    <w:p>
      <w:pPr>
        <w:spacing w:after="0" w:line="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July 24, 2014, the Partnership sold the fee interest in Pleasant Shops in Weymouth, Massachusetts for a sales price of $34.3 million, resulting in a gain on sale of $14.5 million. Our share of the gain was $4.4 million. The partners received distributions totaling $32.8 million as a result of the sale, of which our distribution was $10.4 million.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6" w:right="2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September 2, 2014, the Partnership repaid a $10.5 million mortgage loan secured by one of its properties at par prior to the original maturity date of December 1, 2014. The partners made additional capital contributions totaling $10.5 million to repay the mortgage loan, of which our contribution was $3.2 million.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6—ACQUIRED IN-PLACE LEASES</w:t>
      </w:r>
    </w:p>
    <w:p>
      <w:pPr>
        <w:spacing w:after="0" w:line="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Acquired above market leases are included in prepaid expenses and other assets and had a balance of $39.4 million and $32.7 million and accumulated amortization of $22.9 million and $19.3 million at December 31, 2015 and 2014, respectively. Acquired below market leases are included in other liabilities and deferred credits and had a balance of $133.4 million and $109.8 million and accumulated amortization of $40.7 million and $37.0 million at December 31, 2015 and 2014, respectively. The value allocated to in-place leases is amortized over the related lease term and reflected as additional rental income for below market leases or a reduction of rental income for above market leases in the consolidated statements of comprehensive income. Rental income included amortization from acquired above market leases of $4.4 million, $3.4 million and $2.8 million in 2015, 2014 and 2013, respectively and amortization from acquired below market leases of $7.1 million, $5.8 million and $5.9 million in 2015, 2014 and 2013, respectively. The remaining weighted-average amortization period as of December 31, 2015, is 4.4 years and 20.5 years for above market leases and below market leases,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for acquired in-place leases during the next five years and thereafter, assuming no early lease terminations,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Above Market</w:t>
            </w:r>
          </w:p>
        </w:tc>
        <w:tc>
          <w:tcPr>
            <w:tcW w:w="480" w:type="dxa"/>
            <w:vAlign w:val="bottom"/>
          </w:tcPr>
          <w:p>
            <w:pPr>
              <w:spacing w:after="0"/>
              <w:rPr>
                <w:sz w:val="14"/>
                <w:szCs w:val="14"/>
                <w:color w:val="auto"/>
              </w:rPr>
            </w:pPr>
          </w:p>
        </w:tc>
        <w:tc>
          <w:tcPr>
            <w:tcW w:w="1440" w:type="dxa"/>
            <w:vAlign w:val="bottom"/>
          </w:tcPr>
          <w:p>
            <w:pPr>
              <w:jc w:val="right"/>
              <w:ind w:right="434"/>
              <w:spacing w:after="0"/>
              <w:rPr>
                <w:sz w:val="20"/>
                <w:szCs w:val="20"/>
                <w:color w:val="auto"/>
              </w:rPr>
            </w:pPr>
            <w:r>
              <w:rPr>
                <w:rFonts w:ascii="Arial" w:cs="Arial" w:eastAsia="Arial" w:hAnsi="Arial"/>
                <w:sz w:val="14"/>
                <w:szCs w:val="14"/>
                <w:b w:val="1"/>
                <w:bCs w:val="1"/>
                <w:color w:val="auto"/>
                <w:w w:val="99"/>
              </w:rPr>
              <w:t>Below Market</w:t>
            </w:r>
          </w:p>
        </w:tc>
      </w:tr>
      <w:tr>
        <w:trPr>
          <w:trHeight w:val="192"/>
        </w:trPr>
        <w:tc>
          <w:tcPr>
            <w:tcW w:w="37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4"/>
              </w:rPr>
              <w:t>Leases</w:t>
            </w:r>
          </w:p>
        </w:tc>
        <w:tc>
          <w:tcPr>
            <w:tcW w:w="4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Leases</w:t>
            </w:r>
          </w:p>
        </w:tc>
      </w:tr>
      <w:tr>
        <w:trPr>
          <w:trHeight w:val="250"/>
        </w:trPr>
        <w:tc>
          <w:tcPr>
            <w:tcW w:w="374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21"/>
                <w:szCs w:val="21"/>
                <w:color w:val="auto"/>
              </w:rPr>
            </w:pP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38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2016</w:t>
            </w:r>
          </w:p>
        </w:tc>
        <w:tc>
          <w:tcPr>
            <w:tcW w:w="41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4,629</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8,080</w:t>
            </w:r>
          </w:p>
        </w:tc>
      </w:tr>
      <w:tr>
        <w:trPr>
          <w:trHeight w:val="27"/>
        </w:trPr>
        <w:tc>
          <w:tcPr>
            <w:tcW w:w="37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3,189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7,036</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2018</w:t>
            </w:r>
          </w:p>
        </w:tc>
        <w:tc>
          <w:tcPr>
            <w:tcW w:w="3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5,849</w:t>
            </w:r>
          </w:p>
        </w:tc>
      </w:tr>
      <w:tr>
        <w:trPr>
          <w:trHeight w:val="27"/>
        </w:trPr>
        <w:tc>
          <w:tcPr>
            <w:tcW w:w="37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5,469</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2020</w:t>
            </w:r>
          </w:p>
        </w:tc>
        <w:tc>
          <w:tcPr>
            <w:tcW w:w="3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4,602</w:t>
            </w:r>
          </w:p>
        </w:tc>
      </w:tr>
      <w:tr>
        <w:trPr>
          <w:trHeight w:val="27"/>
        </w:trPr>
        <w:tc>
          <w:tcPr>
            <w:tcW w:w="37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8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4,131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61,678</w:t>
            </w:r>
          </w:p>
        </w:tc>
      </w:tr>
      <w:tr>
        <w:trPr>
          <w:trHeight w:val="236"/>
        </w:trPr>
        <w:tc>
          <w:tcPr>
            <w:tcW w:w="37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16,537</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92,714</w:t>
            </w:r>
          </w:p>
        </w:tc>
      </w:tr>
      <w:tr>
        <w:trPr>
          <w:trHeight w:val="27"/>
        </w:trPr>
        <w:tc>
          <w:tcPr>
            <w:tcW w:w="37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3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655"/>
        </w:trPr>
        <w:tc>
          <w:tcPr>
            <w:tcW w:w="3740" w:type="dxa"/>
            <w:vAlign w:val="bottom"/>
          </w:tcPr>
          <w:p>
            <w:pPr>
              <w:spacing w:after="0"/>
              <w:rPr>
                <w:sz w:val="24"/>
                <w:szCs w:val="24"/>
                <w:color w:val="auto"/>
              </w:rPr>
            </w:pPr>
          </w:p>
        </w:tc>
        <w:tc>
          <w:tcPr>
            <w:tcW w:w="4100" w:type="dxa"/>
            <w:vAlign w:val="bottom"/>
            <w:gridSpan w:val="2"/>
          </w:tcPr>
          <w:p>
            <w:pPr>
              <w:jc w:val="right"/>
              <w:ind w:right="1870"/>
              <w:spacing w:after="0"/>
              <w:rPr>
                <w:sz w:val="20"/>
                <w:szCs w:val="20"/>
                <w:color w:val="auto"/>
              </w:rPr>
            </w:pPr>
            <w:r>
              <w:rPr>
                <w:rFonts w:ascii="Arial" w:cs="Arial" w:eastAsia="Arial" w:hAnsi="Arial"/>
                <w:sz w:val="18"/>
                <w:szCs w:val="18"/>
                <w:color w:val="auto"/>
              </w:rPr>
              <w:t>F-18</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December 31, 2015 and 2014:</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w w:val="92"/>
              </w:rPr>
              <w:t>Principal Balance as of December 31,</w:t>
            </w:r>
          </w:p>
        </w:tc>
        <w:tc>
          <w:tcPr>
            <w:tcW w:w="100" w:type="dxa"/>
            <w:vAlign w:val="bottom"/>
          </w:tcPr>
          <w:p>
            <w:pPr>
              <w:spacing w:after="0"/>
              <w:rPr>
                <w:sz w:val="16"/>
                <w:szCs w:val="16"/>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Stated Interest Rate as of</w:t>
            </w:r>
          </w:p>
        </w:tc>
        <w:tc>
          <w:tcPr>
            <w:tcW w:w="2060" w:type="dxa"/>
            <w:vAlign w:val="bottom"/>
          </w:tcPr>
          <w:p>
            <w:pPr>
              <w:spacing w:after="0"/>
              <w:rPr>
                <w:sz w:val="16"/>
                <w:szCs w:val="16"/>
                <w:color w:val="auto"/>
              </w:rPr>
            </w:pPr>
          </w:p>
        </w:tc>
      </w:tr>
      <w:tr>
        <w:trPr>
          <w:trHeight w:val="190"/>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20" w:type="dxa"/>
            <w:vAlign w:val="bottom"/>
          </w:tcPr>
          <w:p>
            <w:pPr>
              <w:spacing w:after="0"/>
              <w:rPr>
                <w:sz w:val="16"/>
                <w:szCs w:val="16"/>
                <w:color w:val="auto"/>
              </w:rPr>
            </w:pPr>
          </w:p>
        </w:tc>
        <w:tc>
          <w:tcPr>
            <w:tcW w:w="1120" w:type="dxa"/>
            <w:vAlign w:val="bottom"/>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2015</w:t>
            </w:r>
          </w:p>
        </w:tc>
        <w:tc>
          <w:tcPr>
            <w:tcW w:w="2060" w:type="dxa"/>
            <w:vAlign w:val="bottom"/>
          </w:tcPr>
          <w:p>
            <w:pPr>
              <w:jc w:val="right"/>
              <w:ind w:right="299"/>
              <w:spacing w:after="0"/>
              <w:rPr>
                <w:sz w:val="20"/>
                <w:szCs w:val="20"/>
                <w:color w:val="auto"/>
              </w:rPr>
            </w:pPr>
            <w:r>
              <w:rPr>
                <w:rFonts w:ascii="Arial" w:cs="Arial" w:eastAsia="Arial" w:hAnsi="Arial"/>
                <w:sz w:val="14"/>
                <w:szCs w:val="14"/>
                <w:b w:val="1"/>
                <w:bCs w:val="1"/>
                <w:color w:val="auto"/>
              </w:rPr>
              <w:t>Stated Maturity Date</w:t>
            </w:r>
          </w:p>
        </w:tc>
      </w:tr>
      <w:tr>
        <w:trPr>
          <w:trHeight w:val="79"/>
        </w:trPr>
        <w:tc>
          <w:tcPr>
            <w:tcW w:w="4240" w:type="dxa"/>
            <w:vAlign w:val="bottom"/>
            <w:tcBorders>
              <w:bottom w:val="single" w:sz="8" w:color="auto"/>
            </w:tcBorders>
          </w:tcPr>
          <w:p>
            <w:pPr>
              <w:spacing w:after="0"/>
              <w:rPr>
                <w:sz w:val="6"/>
                <w:szCs w:val="6"/>
                <w:color w:val="auto"/>
              </w:rPr>
            </w:pPr>
          </w:p>
        </w:tc>
        <w:tc>
          <w:tcPr>
            <w:tcW w:w="5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gridSpan w:val="3"/>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r>
      <w:tr>
        <w:trPr>
          <w:trHeight w:val="243"/>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1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4"/>
            <w:shd w:val="clear" w:color="auto" w:fill="CCEEFF"/>
          </w:tcPr>
          <w:p>
            <w:pPr>
              <w:jc w:val="right"/>
              <w:ind w:right="519"/>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Barracks Road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35,985</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November 1, 2015</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Hauppauge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13,566</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Lawrence Park</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25,507</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November 1, 2015</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Wildwood</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22,420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Wynnewood</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25,994</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November 1, 2015</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Brick Plaza</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26,415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Plaza El Segundo</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175,000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175,000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August 5, 2017</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The Grove at Shrewsbury (East)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43,557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44,519</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October 1, 2017</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The Grove at Shrewsbury (West)</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11,024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11,242</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March 1, 2018</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Rollingwood Apartments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22,130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May 1, 2019</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The Shops at Sunset Place</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70,542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September 1, 2020</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29</w:t>
            </w:r>
            <w:r>
              <w:rPr>
                <w:rFonts w:ascii="Arial" w:cs="Arial" w:eastAsia="Arial" w:hAnsi="Arial"/>
                <w:sz w:val="17"/>
                <w:szCs w:val="17"/>
                <w:color w:val="auto"/>
              </w:rPr>
              <w:t>th</w:t>
            </w:r>
            <w:r>
              <w:rPr>
                <w:rFonts w:ascii="Arial" w:cs="Arial" w:eastAsia="Arial" w:hAnsi="Arial"/>
                <w:sz w:val="16"/>
                <w:szCs w:val="16"/>
                <w:color w:val="auto"/>
              </w:rPr>
              <w:t xml:space="preserve"> Place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4,941</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31, 2021</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THE AVENUE at White Marsh</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52,705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52,705</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January 1, 2022</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Montrose Crossing</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74,329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75,867</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10, 2022</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Brook 35</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11,500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11,500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July 1, 2029</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Chelsea</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7,074</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2031</w:t>
            </w:r>
          </w:p>
        </w:tc>
      </w:tr>
      <w:tr>
        <w:trPr>
          <w:trHeight w:val="217"/>
        </w:trPr>
        <w:tc>
          <w:tcPr>
            <w:tcW w:w="4820" w:type="dxa"/>
            <w:vAlign w:val="bottom"/>
            <w:gridSpan w:val="2"/>
          </w:tcPr>
          <w:p>
            <w:pPr>
              <w:ind w:left="700"/>
              <w:spacing w:after="0"/>
              <w:rPr>
                <w:sz w:val="20"/>
                <w:szCs w:val="20"/>
                <w:color w:val="auto"/>
              </w:rPr>
            </w:pPr>
            <w:r>
              <w:rPr>
                <w:rFonts w:ascii="Arial" w:cs="Arial" w:eastAsia="Arial" w:hAnsi="Arial"/>
                <w:sz w:val="16"/>
                <w:szCs w:val="16"/>
                <w:color w:val="auto"/>
              </w:rPr>
              <w:t>Subtotal</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471,994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554,865</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48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Net unamortized premium</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8,833</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spacing w:after="0"/>
              <w:rPr>
                <w:sz w:val="23"/>
                <w:szCs w:val="23"/>
                <w:color w:val="auto"/>
              </w:rPr>
            </w:pPr>
          </w:p>
        </w:tc>
      </w:tr>
      <w:tr>
        <w:trPr>
          <w:trHeight w:val="217"/>
        </w:trPr>
        <w:tc>
          <w:tcPr>
            <w:tcW w:w="4820" w:type="dxa"/>
            <w:vAlign w:val="bottom"/>
            <w:gridSpan w:val="2"/>
          </w:tcPr>
          <w:p>
            <w:pPr>
              <w:ind w:left="700"/>
              <w:spacing w:after="0"/>
              <w:rPr>
                <w:sz w:val="20"/>
                <w:szCs w:val="20"/>
                <w:color w:val="auto"/>
              </w:rPr>
            </w:pPr>
            <w:r>
              <w:rPr>
                <w:rFonts w:ascii="Arial" w:cs="Arial" w:eastAsia="Arial" w:hAnsi="Arial"/>
                <w:sz w:val="16"/>
                <w:szCs w:val="16"/>
                <w:color w:val="auto"/>
              </w:rPr>
              <w:t>Total mortgages payable</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482,822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563,698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43"/>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Notes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Escondido (municipal bonds)</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9,400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9,400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October 1, 2016</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Revolving credit facility</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LIBOR + 0.90%</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21, 2017</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Term loan</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6"/>
                <w:szCs w:val="16"/>
                <w:color w:val="auto"/>
              </w:rPr>
              <w:t>LIBOR + 0.90%</w:t>
            </w:r>
          </w:p>
        </w:tc>
        <w:tc>
          <w:tcPr>
            <w:tcW w:w="2060" w:type="dxa"/>
            <w:vAlign w:val="bottom"/>
          </w:tcPr>
          <w:p>
            <w:pPr>
              <w:jc w:val="right"/>
              <w:spacing w:after="0"/>
              <w:rPr>
                <w:sz w:val="20"/>
                <w:szCs w:val="20"/>
                <w:color w:val="auto"/>
              </w:rPr>
            </w:pPr>
            <w:r>
              <w:rPr>
                <w:rFonts w:ascii="Arial" w:cs="Arial" w:eastAsia="Arial" w:hAnsi="Arial"/>
                <w:sz w:val="16"/>
                <w:szCs w:val="16"/>
                <w:color w:val="auto"/>
              </w:rPr>
              <w:t>November 21, 2018</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6,119</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2028</w:t>
            </w:r>
          </w:p>
        </w:tc>
      </w:tr>
      <w:tr>
        <w:trPr>
          <w:trHeight w:val="217"/>
        </w:trPr>
        <w:tc>
          <w:tcPr>
            <w:tcW w:w="4820" w:type="dxa"/>
            <w:vAlign w:val="bottom"/>
            <w:gridSpan w:val="2"/>
          </w:tcPr>
          <w:p>
            <w:pPr>
              <w:ind w:left="700"/>
              <w:spacing w:after="0"/>
              <w:rPr>
                <w:sz w:val="20"/>
                <w:szCs w:val="20"/>
                <w:color w:val="auto"/>
              </w:rPr>
            </w:pPr>
            <w:r>
              <w:rPr>
                <w:rFonts w:ascii="Arial" w:cs="Arial" w:eastAsia="Arial" w:hAnsi="Arial"/>
                <w:sz w:val="16"/>
                <w:szCs w:val="16"/>
                <w:color w:val="auto"/>
              </w:rPr>
              <w:t>Total notes payable</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343,600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290,519</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43"/>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6.20% notes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January 15, 2017</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5.90% notes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1, 2020</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2.55% notes</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January 15, 2021</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3.00% notes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2022</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2.75% notes</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June 1, 2023</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3.95% notes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2024</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7.48% debentures</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29,200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29,200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August 15, 2026</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4.50% notes</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450,000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December 1, 2044</w:t>
            </w:r>
          </w:p>
        </w:tc>
      </w:tr>
      <w:tr>
        <w:trPr>
          <w:trHeight w:val="33"/>
        </w:trPr>
        <w:tc>
          <w:tcPr>
            <w:tcW w:w="42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30"/>
        </w:trPr>
        <w:tc>
          <w:tcPr>
            <w:tcW w:w="48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1,744,200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1,494,200</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r>
      <w:tr>
        <w:trPr>
          <w:trHeight w:val="237"/>
        </w:trPr>
        <w:tc>
          <w:tcPr>
            <w:tcW w:w="4820" w:type="dxa"/>
            <w:vAlign w:val="bottom"/>
            <w:gridSpan w:val="2"/>
          </w:tcPr>
          <w:p>
            <w:pPr>
              <w:ind w:left="920"/>
              <w:spacing w:after="0"/>
              <w:rPr>
                <w:sz w:val="20"/>
                <w:szCs w:val="20"/>
                <w:color w:val="auto"/>
              </w:rPr>
            </w:pPr>
            <w:r>
              <w:rPr>
                <w:rFonts w:ascii="Arial" w:cs="Arial" w:eastAsia="Arial" w:hAnsi="Arial"/>
                <w:sz w:val="16"/>
                <w:szCs w:val="16"/>
                <w:color w:val="auto"/>
              </w:rPr>
              <w:t>Net unamortized premium (discount)</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(10,387)</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Total senior notes and debentures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1,744,324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1,483,813</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03"/>
        </w:trPr>
        <w:tc>
          <w:tcPr>
            <w:tcW w:w="4820" w:type="dxa"/>
            <w:vAlign w:val="bottom"/>
            <w:gridSpan w:val="2"/>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60"/>
        </w:trPr>
        <w:tc>
          <w:tcPr>
            <w:tcW w:w="4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tcPr>
          <w:p>
            <w:pPr>
              <w:spacing w:after="0"/>
              <w:rPr>
                <w:sz w:val="5"/>
                <w:szCs w:val="5"/>
                <w:color w:val="auto"/>
              </w:rPr>
            </w:pPr>
          </w:p>
        </w:tc>
      </w:tr>
      <w:tr>
        <w:trPr>
          <w:trHeight w:val="270"/>
        </w:trPr>
        <w:tc>
          <w:tcPr>
            <w:tcW w:w="48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Various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71,620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71,647</w:t>
            </w:r>
          </w:p>
        </w:tc>
        <w:tc>
          <w:tcPr>
            <w:tcW w:w="1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Various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2106</w:t>
            </w:r>
          </w:p>
        </w:tc>
      </w:tr>
      <w:tr>
        <w:trPr>
          <w:trHeight w:val="217"/>
        </w:trPr>
        <w:tc>
          <w:tcPr>
            <w:tcW w:w="48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2,642,366</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2,409,677</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connection with the acquisition of San Antonio Center in January 2015, we assumed a mortgage loan with a face amount of $18.7 million and a fair value of $19.3 million. The mortgage loan had a stated interest rate of 5.27%, and had an original maturity date of January 1, 2016. On November 2, 2015, we repaid the mortgage loan at par for $18.1 million.</w:t>
      </w:r>
    </w:p>
    <w:p>
      <w:pPr>
        <w:spacing w:after="0" w:line="4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 March 16, 2015, we issued $200.0 million aggregate principal amount of 4.50% senior unsecured notes due December 1, 2044. The notes were offered at 105.38% of the principal amount with a yield to maturity of 4.18%. The notes have the same terms and are of the same series as the $250.0 million senior notes issued on November 14, 2014. Our net proceeds from the March note offering after issuance premium, underwriting fees and other costs were $208.6 million. The proceeds were used on April 11, 2015 to repay our $200.0 million 6.20% notes prior to the original maturity date of January 15, 2017. The redemption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6" w:right="239" w:bottom="482"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price of $222.2 million included a make-whole premium of $19.2 million and accrued but unpaid interest of $3.0 million. The make-whole premium is included in "early extinguishment of debt" in the year ended December 31, 2015.</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On August 3, 2015 we repaid the following mortgage loans, which had a weighted average interest rate of 7.9%, at par prior to their maturity date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1, 2015:</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9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ind w:right="192"/>
              <w:spacing w:after="0"/>
              <w:rPr>
                <w:sz w:val="20"/>
                <w:szCs w:val="20"/>
                <w:color w:val="auto"/>
              </w:rPr>
            </w:pPr>
            <w:r>
              <w:rPr>
                <w:rFonts w:ascii="Arial" w:cs="Arial" w:eastAsia="Arial" w:hAnsi="Arial"/>
                <w:sz w:val="16"/>
                <w:szCs w:val="16"/>
                <w:b w:val="1"/>
                <w:bCs w:val="1"/>
                <w:color w:val="auto"/>
                <w:w w:val="95"/>
              </w:rPr>
              <w:t>Principal Payoff Amount</w:t>
            </w:r>
          </w:p>
        </w:tc>
      </w:tr>
      <w:tr>
        <w:trPr>
          <w:trHeight w:val="33"/>
        </w:trPr>
        <w:tc>
          <w:tcPr>
            <w:tcW w:w="9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7"/>
        </w:trPr>
        <w:tc>
          <w:tcPr>
            <w:tcW w:w="9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ind w:right="632"/>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9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Barracks Road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Brick Plaza</w:t>
            </w:r>
          </w:p>
        </w:tc>
        <w:tc>
          <w:tcPr>
            <w:tcW w:w="200" w:type="dxa"/>
            <w:vAlign w:val="bottom"/>
          </w:tcPr>
          <w:p>
            <w:pPr>
              <w:spacing w:after="0"/>
              <w:rPr>
                <w:sz w:val="21"/>
                <w:szCs w:val="21"/>
                <w:color w:val="auto"/>
              </w:rPr>
            </w:pP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25.9</w:t>
            </w:r>
          </w:p>
        </w:tc>
      </w:tr>
      <w:tr>
        <w:trPr>
          <w:trHeight w:val="27"/>
        </w:trPr>
        <w:tc>
          <w:tcPr>
            <w:tcW w:w="9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Wynnewood</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Lawrence Park</w:t>
            </w:r>
          </w:p>
        </w:tc>
        <w:tc>
          <w:tcPr>
            <w:tcW w:w="200" w:type="dxa"/>
            <w:vAlign w:val="bottom"/>
          </w:tcPr>
          <w:p>
            <w:pPr>
              <w:spacing w:after="0"/>
              <w:rPr>
                <w:sz w:val="21"/>
                <w:szCs w:val="21"/>
                <w:color w:val="auto"/>
              </w:rPr>
            </w:pP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25.0</w:t>
            </w:r>
          </w:p>
        </w:tc>
      </w:tr>
      <w:tr>
        <w:trPr>
          <w:trHeight w:val="27"/>
        </w:trPr>
        <w:tc>
          <w:tcPr>
            <w:tcW w:w="9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Wildwood</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Hauppauge</w:t>
            </w:r>
          </w:p>
        </w:tc>
        <w:tc>
          <w:tcPr>
            <w:tcW w:w="200" w:type="dxa"/>
            <w:vAlign w:val="bottom"/>
          </w:tcPr>
          <w:p>
            <w:pPr>
              <w:spacing w:after="0"/>
              <w:rPr>
                <w:sz w:val="21"/>
                <w:szCs w:val="21"/>
                <w:color w:val="auto"/>
              </w:rPr>
            </w:pP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13.3</w:t>
            </w:r>
          </w:p>
        </w:tc>
      </w:tr>
      <w:tr>
        <w:trPr>
          <w:trHeight w:val="27"/>
        </w:trPr>
        <w:tc>
          <w:tcPr>
            <w:tcW w:w="9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6"/>
        </w:trPr>
        <w:tc>
          <w:tcPr>
            <w:tcW w:w="90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147.0</w:t>
            </w:r>
          </w:p>
        </w:tc>
      </w:tr>
      <w:tr>
        <w:trPr>
          <w:trHeight w:val="27"/>
        </w:trPr>
        <w:tc>
          <w:tcPr>
            <w:tcW w:w="9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September 28, 2015, we issued $250.0 million of fixed rate senior notes that mature on January 15, 2021 and bear interest at 2.55%. The net proceeds from this note offering after issuance discounts, underwriting fees, and other costs were approximately $247.5 million.</w:t>
      </w:r>
    </w:p>
    <w:p>
      <w:pPr>
        <w:spacing w:after="0" w:line="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connection with the acquisition of Sunset Place on October 1, 2015, we assumed a mortgage loan with a face amount of $70.8 million and a fair value of $76.5 million. The mortgage loan bears interest at 5.62% and has a maturity date of September 1, 2020.</w:t>
      </w:r>
    </w:p>
    <w:p>
      <w:pPr>
        <w:spacing w:after="0" w:line="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2015, 2014 and 2013, the maximum amount of borrowings outstanding under our revolving credit facility was $324.0 million, $79.5 million and $76.0 million, respectively. The weighted average amount of borrowings outstanding was $109.7 million, $12.5 million and $10.5 million, respectively, and the weighted average interest rate, before amortization of debt fees, was 1.1%, 1.1% and 1.3%, respectively. The revolving credit facility requires an annual facility fee of $0.9 million. At December 31, 2015, our revolving credit facility had $53.5 million outstanding, and had no balance outstanding at December 31, 2014.</w:t>
      </w:r>
    </w:p>
    <w:p>
      <w:pPr>
        <w:spacing w:after="0" w:line="56" w:lineRule="exact"/>
        <w:rPr>
          <w:sz w:val="20"/>
          <w:szCs w:val="20"/>
          <w:color w:val="auto"/>
        </w:rPr>
      </w:pPr>
    </w:p>
    <w:p>
      <w:pPr>
        <w:ind w:right="280"/>
        <w:spacing w:after="0" w:line="341" w:lineRule="auto"/>
        <w:rPr>
          <w:sz w:val="20"/>
          <w:szCs w:val="20"/>
          <w:color w:val="auto"/>
        </w:rPr>
      </w:pPr>
      <w:r>
        <w:rPr>
          <w:rFonts w:ascii="Arial" w:cs="Arial" w:eastAsia="Arial" w:hAnsi="Arial"/>
          <w:sz w:val="16"/>
          <w:szCs w:val="16"/>
          <w:color w:val="auto"/>
        </w:rPr>
        <w:t>Our revolving credit facility and certain notes require us to comply with various financial covenants, including the maintenance of minimum shareholders’ equity and debt coverage ratios and a maximum ratio of debt to net worth. As of December 31, 2015, we were in compliance with all loan covenants.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Scheduled principal payments on mortgages payable, notes payable, senior notes and debentures as of December 31, 2015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3"/>
              </w:rPr>
              <w:t>Mortgages</w:t>
            </w:r>
          </w:p>
        </w:tc>
        <w:tc>
          <w:tcPr>
            <w:tcW w:w="300" w:type="dxa"/>
            <w:vAlign w:val="bottom"/>
          </w:tcPr>
          <w:p>
            <w:pPr>
              <w:spacing w:after="0"/>
              <w:rPr>
                <w:sz w:val="14"/>
                <w:szCs w:val="14"/>
                <w:color w:val="auto"/>
              </w:rPr>
            </w:pPr>
          </w:p>
        </w:tc>
        <w:tc>
          <w:tcPr>
            <w:tcW w:w="1180" w:type="dxa"/>
            <w:vAlign w:val="bottom"/>
          </w:tcPr>
          <w:p>
            <w:pPr>
              <w:jc w:val="right"/>
              <w:ind w:right="495"/>
              <w:spacing w:after="0"/>
              <w:rPr>
                <w:sz w:val="20"/>
                <w:szCs w:val="20"/>
                <w:color w:val="auto"/>
              </w:rPr>
            </w:pPr>
            <w:r>
              <w:rPr>
                <w:rFonts w:ascii="Arial" w:cs="Arial" w:eastAsia="Arial" w:hAnsi="Arial"/>
                <w:sz w:val="14"/>
                <w:szCs w:val="14"/>
                <w:b w:val="1"/>
                <w:bCs w:val="1"/>
                <w:color w:val="auto"/>
              </w:rPr>
              <w:t>Notes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Senior Notes and</w:t>
            </w:r>
          </w:p>
        </w:tc>
        <w:tc>
          <w:tcPr>
            <w:tcW w:w="300" w:type="dxa"/>
            <w:vAlign w:val="bottom"/>
          </w:tcPr>
          <w:p>
            <w:pPr>
              <w:spacing w:after="0"/>
              <w:rPr>
                <w:sz w:val="14"/>
                <w:szCs w:val="14"/>
                <w:color w:val="auto"/>
              </w:rPr>
            </w:pPr>
          </w:p>
        </w:tc>
        <w:tc>
          <w:tcPr>
            <w:tcW w:w="118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860"/>
              <w:spacing w:after="0"/>
              <w:rPr>
                <w:sz w:val="20"/>
                <w:szCs w:val="20"/>
                <w:color w:val="auto"/>
              </w:rPr>
            </w:pPr>
            <w:r>
              <w:rPr>
                <w:rFonts w:ascii="Arial" w:cs="Arial" w:eastAsia="Arial" w:hAnsi="Arial"/>
                <w:sz w:val="14"/>
                <w:szCs w:val="14"/>
                <w:b w:val="1"/>
                <w:bCs w:val="1"/>
                <w:color w:val="auto"/>
                <w:w w:val="90"/>
              </w:rPr>
              <w:t>Payable</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Payable</w:t>
            </w: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Debentures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Principal</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2016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5,665</w:t>
            </w:r>
          </w:p>
        </w:tc>
        <w:tc>
          <w:tcPr>
            <w:tcW w:w="5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9,812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15,477</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222,469</w:t>
            </w:r>
          </w:p>
        </w:tc>
        <w:tc>
          <w:tcPr>
            <w:tcW w:w="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53,957</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276,426</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15,477</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275,507</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290,984</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25,006</w:t>
            </w:r>
          </w:p>
        </w:tc>
        <w:tc>
          <w:tcPr>
            <w:tcW w:w="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561</w:t>
            </w: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25,567</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64,687</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623</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215,310</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138,690</w:t>
            </w:r>
          </w:p>
        </w:tc>
        <w:tc>
          <w:tcPr>
            <w:tcW w:w="5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3,140</w:t>
            </w:r>
          </w:p>
        </w:tc>
        <w:tc>
          <w:tcPr>
            <w:tcW w:w="5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1,594,200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1,736,030</w:t>
            </w:r>
          </w:p>
        </w:tc>
        <w:tc>
          <w:tcPr>
            <w:tcW w:w="5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6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471,994</w:t>
            </w:r>
          </w:p>
        </w:tc>
        <w:tc>
          <w:tcPr>
            <w:tcW w:w="5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343,600</w:t>
            </w:r>
          </w:p>
        </w:tc>
        <w:tc>
          <w:tcPr>
            <w:tcW w:w="5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1,744,200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2,559,794</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40" w:hanging="328"/>
        <w:spacing w:after="0" w:line="25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$600.0 million revolving credit facility matures on April 21, 2017, subject to a one-year extension at our option. As of December 31, 2015, there was $53.5 million outstanding under this credit facility.</w:t>
      </w:r>
    </w:p>
    <w:p>
      <w:pPr>
        <w:ind w:left="660" w:right="40" w:hanging="328"/>
        <w:spacing w:after="0" w:line="26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as of December 31, 2015 due to the unamortized discount or premium on certain senior notes and mortgages payable.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6" w:right="2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and their present value for property under capital leases as of December 31, 2015, are as follows: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(In thousands)</w:t>
            </w: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5,788</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5,797</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5,800</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5,800</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5,800</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154,410</w:t>
            </w:r>
          </w:p>
        </w:tc>
      </w:tr>
      <w:tr>
        <w:trPr>
          <w:trHeight w:val="236"/>
        </w:trPr>
        <w:tc>
          <w:tcPr>
            <w:tcW w:w="100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183,395</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 representing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(111,775)</w:t>
            </w:r>
          </w:p>
        </w:tc>
      </w:tr>
      <w:tr>
        <w:trPr>
          <w:trHeight w:val="236"/>
        </w:trPr>
        <w:tc>
          <w:tcPr>
            <w:tcW w:w="10060" w:type="dxa"/>
            <w:vAlign w:val="bottom"/>
          </w:tcPr>
          <w:p>
            <w:pPr>
              <w:ind w:left="40"/>
              <w:spacing w:after="0"/>
              <w:rPr>
                <w:sz w:val="20"/>
                <w:szCs w:val="20"/>
                <w:color w:val="auto"/>
              </w:rPr>
            </w:pPr>
            <w:r>
              <w:rPr>
                <w:rFonts w:ascii="Arial" w:cs="Arial" w:eastAsia="Arial" w:hAnsi="Arial"/>
                <w:sz w:val="18"/>
                <w:szCs w:val="18"/>
                <w:color w:val="auto"/>
              </w:rPr>
              <w:t>Present value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71,620</w:t>
            </w:r>
          </w:p>
        </w:tc>
      </w:tr>
      <w:tr>
        <w:trPr>
          <w:trHeight w:val="27"/>
        </w:trPr>
        <w:tc>
          <w:tcPr>
            <w:tcW w:w="10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8—FAIR VALUE OF FINANCIAL INSTRUMENTS</w:t>
      </w:r>
    </w:p>
    <w:p>
      <w:pPr>
        <w:spacing w:after="0" w:line="9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 fair value measurement is based on the assumptions that market participants would use in pricing an asset or liability in an orderly transaction. The hierarchy for inputs used in measuring fair value are as follows:</w:t>
      </w:r>
    </w:p>
    <w:p>
      <w:pPr>
        <w:spacing w:after="0" w:line="116" w:lineRule="exact"/>
        <w:rPr>
          <w:sz w:val="20"/>
          <w:szCs w:val="20"/>
          <w:color w:val="auto"/>
        </w:rPr>
      </w:pPr>
    </w:p>
    <w:p>
      <w:pPr>
        <w:ind w:left="580" w:hanging="545"/>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1 Inputs—quoted prices in active markets for identical assets or liabilities</w:t>
      </w:r>
    </w:p>
    <w:p>
      <w:pPr>
        <w:spacing w:after="0" w:line="197" w:lineRule="exact"/>
        <w:rPr>
          <w:rFonts w:ascii="Arial" w:cs="Arial" w:eastAsia="Arial" w:hAnsi="Arial"/>
          <w:sz w:val="18"/>
          <w:szCs w:val="18"/>
          <w:color w:val="auto"/>
        </w:rPr>
      </w:pPr>
    </w:p>
    <w:p>
      <w:pPr>
        <w:ind w:left="580" w:hanging="545"/>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2 Inputs—observable inputs other than quoted prices in active markets for identical assets and liabilities</w:t>
      </w:r>
    </w:p>
    <w:p>
      <w:pPr>
        <w:spacing w:after="0" w:line="197" w:lineRule="exact"/>
        <w:rPr>
          <w:rFonts w:ascii="Arial" w:cs="Arial" w:eastAsia="Arial" w:hAnsi="Arial"/>
          <w:sz w:val="18"/>
          <w:szCs w:val="18"/>
          <w:color w:val="auto"/>
        </w:rPr>
      </w:pPr>
    </w:p>
    <w:p>
      <w:pPr>
        <w:ind w:left="580" w:right="3200" w:hanging="545"/>
        <w:spacing w:after="0" w:line="277"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3 Inputs—prices or valuation techniques that require inputs that are both significant to the fair value measurement and unobservable</w:t>
      </w:r>
    </w:p>
    <w:p>
      <w:pPr>
        <w:spacing w:after="0" w:line="143" w:lineRule="exact"/>
        <w:rPr>
          <w:sz w:val="20"/>
          <w:szCs w:val="20"/>
          <w:color w:val="auto"/>
        </w:rPr>
      </w:pPr>
    </w:p>
    <w:p>
      <w:pPr>
        <w:ind w:right="80"/>
        <w:spacing w:after="0" w:line="307"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spacing w:after="0" w:line="1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341"/>
              <w:spacing w:after="0" w:line="152"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21"/>
              <w:spacing w:after="0" w:line="152" w:lineRule="exact"/>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826,422</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833,931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854,217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880,866</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61"/>
              <w:spacing w:after="0"/>
              <w:rPr>
                <w:sz w:val="20"/>
                <w:szCs w:val="20"/>
                <w:color w:val="auto"/>
              </w:rPr>
            </w:pPr>
            <w:r>
              <w:rPr>
                <w:rFonts w:ascii="Arial" w:cs="Arial" w:eastAsia="Arial" w:hAnsi="Arial"/>
                <w:sz w:val="18"/>
                <w:szCs w:val="18"/>
                <w:color w:val="auto"/>
              </w:rPr>
              <w:t>1,744,324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1,786,758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1,483,813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1,579,868</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 of December 31, 2015, we have two interest rate swap agreements with a notional amount of $275.0 million that are measured at fair value on a recurring basis. The interest rate swap agreements fix the variable portion of our $275.0 million term loan at 1.72% through November 1, 2018. 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December 31, 2015 and 2014, was a liability of $4.1 million, and $3.5 million, respectively, and are included in "accounts payable and accrued expenses" on our consolidated balance sheets. The value of our interest rate swaps decreased $0.6 million and $2.1 million (including $4.3 million for both years reclassified from other comprehensive loss to earnings) for 2015 and 2014, respectively. These decreases in value are included in "accumulated other comprehensive loss." A summary of our financial liabilities that are measured at fair value on a recurring basis, by level within the fair value hierarchy is as follows: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6" w:right="2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rPr>
              <w:t>December 31, 2015</w:t>
            </w:r>
          </w:p>
        </w:tc>
        <w:tc>
          <w:tcPr>
            <w:tcW w:w="6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 2014</w:t>
            </w:r>
          </w:p>
        </w:tc>
        <w:tc>
          <w:tcPr>
            <w:tcW w:w="780" w:type="dxa"/>
            <w:vAlign w:val="bottom"/>
            <w:tcBorders>
              <w:bottom w:val="single" w:sz="8" w:color="auto"/>
            </w:tcBorders>
          </w:tcPr>
          <w:p>
            <w:pPr>
              <w:spacing w:after="0"/>
              <w:rPr>
                <w:sz w:val="16"/>
                <w:szCs w:val="16"/>
                <w:color w:val="auto"/>
              </w:rPr>
            </w:pPr>
          </w:p>
        </w:tc>
      </w:tr>
      <w:tr>
        <w:trPr>
          <w:trHeight w:val="263"/>
        </w:trPr>
        <w:tc>
          <w:tcPr>
            <w:tcW w:w="286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Level 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6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r>
      <w:tr>
        <w:trPr>
          <w:trHeight w:val="250"/>
        </w:trPr>
        <w:tc>
          <w:tcPr>
            <w:tcW w:w="2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20" w:type="dxa"/>
            <w:vAlign w:val="bottom"/>
            <w:gridSpan w:val="4"/>
          </w:tcPr>
          <w:p>
            <w:pPr>
              <w:ind w:left="28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9"/>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4,110</w:t>
            </w:r>
          </w:p>
        </w:tc>
        <w:tc>
          <w:tcPr>
            <w:tcW w:w="8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4,110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3,515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3,515</w:t>
            </w:r>
          </w:p>
        </w:tc>
      </w:tr>
      <w:tr>
        <w:trPr>
          <w:trHeight w:val="27"/>
        </w:trPr>
        <w:tc>
          <w:tcPr>
            <w:tcW w:w="28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 AND CONTINGENCIES</w:t>
      </w:r>
    </w:p>
    <w:p>
      <w:pPr>
        <w:spacing w:after="0" w:line="9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w:t>
      </w:r>
    </w:p>
    <w:p>
      <w:pPr>
        <w:spacing w:after="0" w:line="3" w:lineRule="exact"/>
        <w:rPr>
          <w:sz w:val="20"/>
          <w:szCs w:val="20"/>
          <w:color w:val="auto"/>
        </w:rPr>
      </w:pPr>
    </w:p>
    <w:p>
      <w:pPr>
        <w:ind w:right="140" w:firstLine="8"/>
        <w:spacing w:after="0" w:line="260" w:lineRule="auto"/>
        <w:tabs>
          <w:tab w:leader="none" w:pos="2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 owner of the properties due to certain matters relating to the operation of the properties by the tenant, and (2) where appropriate, due to certain matters relating to the ownership of the properties prior to their acquisition by us.</w:t>
      </w:r>
    </w:p>
    <w:p>
      <w:pPr>
        <w:spacing w:after="0" w:line="13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reserve for estimated losses, if any, associated with warranties given to a buyer at the time real estate is sold or other potential liabilities relating to that sale, taking any insurance policies into account. These warranties may extend up to ten years and require significant judgment. If changes in facts and circumstances indicate that warranty reserves are understated, we will accrue additional reserves at such time a liability has been incurred and the costs can be reasonably estimated. Warranty reserves are released once the legal liability period has expired or all related work has been substantially completed. Any increases to our estimated warranty losses would usually result in a decrease in net income.</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actuarial analysis, previous experience in our portfolio, and future increases in costs of claims, when making these determinations. If our liability costs exceed these accruals, it will reduce our net income.</w:t>
      </w:r>
    </w:p>
    <w:p>
      <w:pPr>
        <w:spacing w:after="0" w:line="12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At December 31, 2015 and 2014, our reserves for warranties and general liability costs were $7.7 million and $7.2 million, respectively, and are included in “accounts payable and accrued expenses” in our consolidated balance sheets. Any potential losses which exceed our estimates would result in a decrease in our net income. During 2015 and 2014, we made payments from these reserves of $1.8 million and $1.4 million, respectively. Although we consider the reserve to be adequate, there can be no assurance that the reserve will prove to be adequate over-time to cover losses due to the difference between the assumptions used to estimate the reserve and actual losses.</w:t>
      </w:r>
    </w:p>
    <w:p>
      <w:pPr>
        <w:spacing w:after="0" w:line="13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At December 31, 2015, we had letters of credit outstanding of approximately $13.0 million which are collateral for existing indebtedness and other obligations of the Trust.</w:t>
      </w:r>
    </w:p>
    <w:p>
      <w:pPr>
        <w:spacing w:after="0" w:line="11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December 31, 2015 in connection with capital improvement, development, and redevelopment projects, the Trust has contractual obligations of approximately $381.1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6" w:right="2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We are obligated under ground lease agreements on several shopping centers requiring minimum annual payments as follows, as of December 31, 2015:</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(In thousands)</w:t>
            </w: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2,750</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2,801</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3,001</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157,324</w:t>
            </w:r>
          </w:p>
        </w:tc>
      </w:tr>
      <w:tr>
        <w:trPr>
          <w:trHeight w:val="236"/>
        </w:trPr>
        <w:tc>
          <w:tcPr>
            <w:tcW w:w="100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171,649</w:t>
            </w:r>
          </w:p>
        </w:tc>
      </w:tr>
      <w:tr>
        <w:trPr>
          <w:trHeight w:val="27"/>
        </w:trPr>
        <w:tc>
          <w:tcPr>
            <w:tcW w:w="10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master lease for Mercer Mall includes a fixed purchase price option for $55 million in 2023. If we fail to exercise our purchase option, the owner of Mercer Mall has a put option which would require us to purchase Mercer Mall for $60 million in 2025.</w:t>
      </w:r>
    </w:p>
    <w:p>
      <w:pPr>
        <w:spacing w:after="0" w:line="3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Under the terms of the Congressional Plaza partnership agreement, from and after January 1, 1986, an unaffiliated third party has the right to require us and the other minority partner to purchase its 29.47% interest in Congressional Plaza at the interest’s then-current fair market value. If the other minority partner defaults in their obligation, we must purchase the full interest. Based on management’s current estimate of fair market value as of December 31, 2015, our estimated maximum liability upon exercise of the put option would range from approximately $78 million to $82 million.</w:t>
      </w:r>
    </w:p>
    <w:p>
      <w:pPr>
        <w:spacing w:after="0" w:line="3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Under the terms of a partnership which owns a project in southern California, if certain leasing and revenue levels are obtained for the property owned by the partnership, the other partner may require us to purchase their 10% partnership interest at a formula price based upon property operating income. The purchase price for the partnership interest will be paid using our common shares or, subject to certain conditions, cash. If the other partner does not redeem their interest, we may choose to purchase the partnership interest upon the same terms.</w:t>
      </w:r>
    </w:p>
    <w:p>
      <w:pPr>
        <w:spacing w:after="0" w:line="3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 master lease for Melville Mall includes a fixed purchase price option in 2021 for $5 million. If we fail to exercise our purchase option, the owner of Melville Mall has a put option which would require us to purchase Melville Mall in 2023 for $5 million.</w:t>
      </w:r>
    </w:p>
    <w:p>
      <w:pPr>
        <w:spacing w:after="0" w:line="3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other member in Montrose Crossing has the right to require us to purchase all of its 10.1% interest in Montrose Crossing at the interest's then-current fair market value. If the other member fails to exercise its put option, we have the right to purchase its interest on or after December 27, 2021 at fair market value. Based on management’s current estimate of fair market value as of December 31, 2015, our estimated maximum liability upon exercise of the put option would range from approximately $8 million to $9 million.</w:t>
      </w:r>
    </w:p>
    <w:p>
      <w:pPr>
        <w:spacing w:after="0" w:line="5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Two of the members in Plaza El Segundo have the right to require us to purchase their 10.0% and 11.8% ownership interests at the interests' then-current fair market value. If the members fail to exercise their put options, we have the right to purchase each of their interests on or after December 30, 2026 at fair market value. Based on management’s current estimate of fair market value as of December 31, 2015, our estimated maximum liability upon exercise of the put option would range from approximately $21 million to $24 million. Also, between January 1, 2017 and February 1, 2017, we have an option to purchase the preferred interest of another member in Plaza El Segundo. The purchase price will be the lesser of fair value or the $4.9 million stated value of the preferred interest plus any accrued and unpaid preferred returns.</w:t>
      </w:r>
    </w:p>
    <w:p>
      <w:pPr>
        <w:spacing w:after="0" w:line="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Effective January 1, 2017, the other member in The Grove at Shrewsbury and Brook 35 has the right to require us to purchase all of its approximately 4.8% interest in The Grove at Shrewsbury and approximately 8.8% interest in Brook 35 at the interests' then-current fair market value. Based on management's current estimate of fair market value as of December 31, 2015, our estimated maximum liability upon exercise of the put option would range from $9 million to $10 million.</w:t>
      </w:r>
    </w:p>
    <w:p>
      <w:pPr>
        <w:spacing w:after="0" w:line="5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934,405 operating partnership units are outstanding which have a total fair value of $136.5 million, based on our closing stock price on December 31, 2015.</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6" w:right="2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10—SHAREHOLDERS’ EQUITY</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a Dividend Reinvestment Plan (the “Plan”), whereby shareholders may use their dividends and optional cash payments to purchase shares. In 2015, 2014 and 2013, 16,524 shares, 18,705 shares and 20,026 shares, respectively, were issued under the Plan.</w:t>
      </w:r>
    </w:p>
    <w:p>
      <w:pPr>
        <w:spacing w:after="0" w:line="3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As of December 31, 2015, 2014, and 2013, we had 399,896 shares of 5.417% Series 1 Cumulative Convertible Preferred Shares (“Series 1 Preferred Shares”) outstanding that have a liquidation preference of $25 per share and</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par value $0.01 per share. The Series 1 Preferred Shares accrue dividends at a rate of 5.417% per year and are convertible at any time by the holders to our common shares at a conversion rate of $104.69 per share. The Series 1 Preferred Shares are also convertible under certain circumstances at our election. The holders of the Series 1 Preferred Shares have no voting rights.</w:t>
      </w:r>
    </w:p>
    <w:p>
      <w:pPr>
        <w:spacing w:after="0" w:line="5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May 11, 2015, we replaced our existing at-the-market (“ATM”) equity program with a new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of outstanding under our revolving credit facility and/or for general corporate purposes. For the year ended December 31, 2015, we issued 813,414 common shares at a weighted average price per share of $135.01 for net cash proceeds of $108.5 million and paid $1.1 million in commissions and $0.2 million in additional offering expenses related to the sales of these common shares. For the year ended December 31, 2014, we issued 1,768,583 common shares at a weighted average price per share of $122.09 for net cash proceeds of $213.6 million and paid $2.2 million in commissions and $0.2 million in additional offering expenses related to the sales of these common shares. As of December 31, 2015, we had the capacity to issue up to $190.2 million in common shares under our ATM equity program.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11—DIVIDENDS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3"/>
        </w:trPr>
        <w:tc>
          <w:tcPr>
            <w:tcW w:w="5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2015</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2014</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2013</w:t>
            </w:r>
          </w:p>
        </w:tc>
        <w:tc>
          <w:tcPr>
            <w:tcW w:w="700" w:type="dxa"/>
            <w:vAlign w:val="bottom"/>
            <w:tcBorders>
              <w:bottom w:val="single" w:sz="8" w:color="auto"/>
            </w:tcBorders>
          </w:tcPr>
          <w:p>
            <w:pPr>
              <w:spacing w:after="0"/>
              <w:rPr>
                <w:sz w:val="22"/>
                <w:szCs w:val="22"/>
                <w:color w:val="auto"/>
              </w:rPr>
            </w:pPr>
          </w:p>
        </w:tc>
      </w:tr>
      <w:tr>
        <w:trPr>
          <w:trHeight w:val="263"/>
        </w:trPr>
        <w:tc>
          <w:tcPr>
            <w:tcW w:w="53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Paid</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r>
      <w:tr>
        <w:trPr>
          <w:trHeight w:val="249"/>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2.970</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1.354</w:t>
            </w: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1.354</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1.354</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1.354</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income tax status of dividends per share paid is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3"/>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Ordinary dividend</w:t>
            </w:r>
          </w:p>
        </w:tc>
        <w:tc>
          <w:tcPr>
            <w:tcW w:w="860" w:type="dxa"/>
            <w:vAlign w:val="bottom"/>
          </w:tcPr>
          <w:p>
            <w:pPr>
              <w:jc w:val="right"/>
              <w:ind w:right="654"/>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3.515</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3.178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2.911</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gain</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0.035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0.032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0.059</w:t>
            </w:r>
          </w:p>
        </w:tc>
      </w:tr>
      <w:tr>
        <w:trPr>
          <w:trHeight w:val="236"/>
        </w:trPr>
        <w:tc>
          <w:tcPr>
            <w:tcW w:w="7080" w:type="dxa"/>
            <w:vAlign w:val="bottom"/>
          </w:tcPr>
          <w:p>
            <w:pPr>
              <w:spacing w:after="0"/>
              <w:rPr>
                <w:sz w:val="20"/>
                <w:szCs w:val="20"/>
                <w:color w:val="auto"/>
              </w:rPr>
            </w:pPr>
          </w:p>
        </w:tc>
        <w:tc>
          <w:tcPr>
            <w:tcW w:w="8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3.550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3.210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2.970</w:t>
            </w:r>
          </w:p>
        </w:tc>
      </w:tr>
      <w:tr>
        <w:trPr>
          <w:trHeight w:val="67"/>
        </w:trPr>
        <w:tc>
          <w:tcPr>
            <w:tcW w:w="708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0"/>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5.417% Series 1 Cumulative Convertible Preferred shares</w:t>
            </w:r>
          </w:p>
        </w:tc>
        <w:tc>
          <w:tcPr>
            <w:tcW w:w="8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Ordinary dividend</w:t>
            </w:r>
          </w:p>
        </w:tc>
        <w:tc>
          <w:tcPr>
            <w:tcW w:w="860" w:type="dxa"/>
            <w:vAlign w:val="bottom"/>
          </w:tcPr>
          <w:p>
            <w:pPr>
              <w:jc w:val="right"/>
              <w:ind w:right="654"/>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1.340</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1.327</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gain</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0.014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0.014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0.027</w:t>
            </w:r>
          </w:p>
        </w:tc>
      </w:tr>
      <w:tr>
        <w:trPr>
          <w:trHeight w:val="236"/>
        </w:trPr>
        <w:tc>
          <w:tcPr>
            <w:tcW w:w="7080" w:type="dxa"/>
            <w:vAlign w:val="bottom"/>
          </w:tcPr>
          <w:p>
            <w:pPr>
              <w:spacing w:after="0"/>
              <w:rPr>
                <w:sz w:val="20"/>
                <w:szCs w:val="20"/>
                <w:color w:val="auto"/>
              </w:rPr>
            </w:pPr>
          </w:p>
        </w:tc>
        <w:tc>
          <w:tcPr>
            <w:tcW w:w="8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1.354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1.354</w:t>
            </w:r>
          </w:p>
        </w:tc>
      </w:tr>
      <w:tr>
        <w:trPr>
          <w:trHeight w:val="27"/>
        </w:trPr>
        <w:tc>
          <w:tcPr>
            <w:tcW w:w="7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November 4, 2015, the Trustees declared a quarterly cash dividend of $0.94 per common share, payable January 15, 2016 to common shareholders of record on January 4,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12—OPERATING LEASES</w:t>
      </w:r>
    </w:p>
    <w:p>
      <w:pPr>
        <w:spacing w:after="0" w:line="9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At December 31, 2015, our 90 predominantly retail shopping center and mixed-use properties are located in 12 states and the District of Columbia. There are approximately 2,700 leases with tenants providing a wide range of retail products and services. These tenants range from sole proprietorships to national retailers; no one tenant or corporate group of tenants accounts for more than 2.9% of annualized base rent.</w:t>
      </w:r>
    </w:p>
    <w:p>
      <w:pPr>
        <w:spacing w:after="0" w:line="1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leases with commercial property and residential tenants are classified as operating leases. Commercial property leases generally range from three to ten years (certain leases with anchor tenants may be longer), and in addition to minimum rents,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6" w:right="2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may provide for percentage rents based on the tenant’s level of sales achieved and cost recoveries for the tenant’s share of certain operating costs. Leases on apartments are generally for a period of 1 year or less.</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2015, minimum future commercial property rentals from noncancelable operating leases, before any reserve for uncollectible amounts and assuming no early lease terminations, at our operating properties are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(In thousands)</w:t>
            </w: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518,325</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470,881</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406,311</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348,429</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288,395</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1,759,140</w:t>
            </w:r>
          </w:p>
        </w:tc>
      </w:tr>
      <w:tr>
        <w:trPr>
          <w:trHeight w:val="236"/>
        </w:trPr>
        <w:tc>
          <w:tcPr>
            <w:tcW w:w="100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3,791,481</w:t>
            </w:r>
          </w:p>
        </w:tc>
      </w:tr>
      <w:tr>
        <w:trPr>
          <w:trHeight w:val="27"/>
        </w:trPr>
        <w:tc>
          <w:tcPr>
            <w:tcW w:w="10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13—COMPONENTS OF RENTAL INCOME AND EXPENSE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rents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Retail and commercial</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Residential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reimbursement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Percentage rent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rental income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Minimum rents include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Straight-line rents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amortization of above and below market leases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2749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190"/>
        </w:trPr>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25"/>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509,825</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472,602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448,058</w:t>
            </w:r>
          </w:p>
        </w:tc>
      </w:tr>
      <w:tr>
        <w:trPr>
          <w:trHeight w:val="270"/>
        </w:trPr>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42,797</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36,099</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28,902</w:t>
            </w:r>
          </w:p>
        </w:tc>
      </w:tr>
      <w:tr>
        <w:trPr>
          <w:trHeight w:val="270"/>
        </w:trPr>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148,110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135,592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122,578</w:t>
            </w:r>
          </w:p>
        </w:tc>
      </w:tr>
      <w:tr>
        <w:trPr>
          <w:trHeight w:val="270"/>
        </w:trPr>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11,911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10,169</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9,359</w:t>
            </w:r>
          </w:p>
        </w:tc>
      </w:tr>
      <w:tr>
        <w:trPr>
          <w:trHeight w:val="270"/>
        </w:trPr>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15,169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11,860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11,192</w:t>
            </w:r>
          </w:p>
        </w:tc>
      </w:tr>
      <w:tr>
        <w:trPr>
          <w:trHeight w:val="27"/>
        </w:trPr>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727,812</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666,322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620,089</w:t>
            </w:r>
          </w:p>
        </w:tc>
      </w:tr>
      <w:tr>
        <w:trPr>
          <w:trHeight w:val="27"/>
        </w:trPr>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43"/>
        </w:trPr>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63"/>
        </w:trPr>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190"/>
        </w:trPr>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5.4</w:t>
            </w:r>
          </w:p>
        </w:tc>
      </w:tr>
      <w:tr>
        <w:trPr>
          <w:trHeight w:val="27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-2192020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-1849755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-1506855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-153670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60" w:space="720"/>
            <w:col w:w="4340"/>
          </w:cols>
          <w:pgMar w:left="240" w:top="126" w:right="239" w:bottom="1440" w:gutter="0" w:footer="0" w:header="0"/>
          <w:type w:val="continuous"/>
        </w:sectPr>
      </w:pPr>
    </w:p>
    <w:p>
      <w:pPr>
        <w:spacing w:after="0" w:line="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20"/>
          </w:cols>
          <w:pgMar w:left="240" w:top="126" w:right="239" w:bottom="1440" w:gutter="0" w:footer="0" w:header="0"/>
          <w:type w:val="continuous"/>
        </w:sectPr>
      </w:pPr>
    </w:p>
    <w:bookmarkStart w:id="79" w:name="page80"/>
    <w:bookmarkEnd w:id="79"/>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expenses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3"/>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Repairs and maintenance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62,420</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55,444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46,600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Utilities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23,003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20,499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19,219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fees and costs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17,416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16,250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Payroll</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12,673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11,554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9,237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9,532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8,664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Insurance</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7,875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6,462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6,811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Ground Rent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Bad debt expense</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442</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10,537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9,556</w:t>
            </w:r>
          </w:p>
        </w:tc>
      </w:tr>
      <w:tr>
        <w:trPr>
          <w:trHeight w:val="236"/>
        </w:trPr>
        <w:tc>
          <w:tcPr>
            <w:tcW w:w="7080" w:type="dxa"/>
            <w:vAlign w:val="bottom"/>
          </w:tcPr>
          <w:p>
            <w:pPr>
              <w:ind w:left="40"/>
              <w:spacing w:after="0"/>
              <w:rPr>
                <w:sz w:val="20"/>
                <w:szCs w:val="20"/>
                <w:color w:val="auto"/>
              </w:rPr>
            </w:pPr>
            <w:r>
              <w:rPr>
                <w:rFonts w:ascii="Arial" w:cs="Arial" w:eastAsia="Arial" w:hAnsi="Arial"/>
                <w:sz w:val="18"/>
                <w:szCs w:val="18"/>
                <w:color w:val="auto"/>
              </w:rPr>
              <w:t>Total rental expenses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147,593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135,417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118,695</w:t>
            </w: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14—DISCONTINUED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During 2013 and prior to our adoption of ASU 2014-08 as further discussed in Note 2, certain disposal transactions were considered discontinued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financial information for the discontinued operations is as follows:</w:t>
      </w:r>
    </w:p>
    <w:p>
      <w:pPr>
        <w:spacing w:after="0" w:line="215"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5513070</wp:posOffset>
            </wp:positionH>
            <wp:positionV relativeFrom="paragraph">
              <wp:posOffset>23495</wp:posOffset>
            </wp:positionV>
            <wp:extent cx="17386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8630" cy="8255"/>
                    </a:xfrm>
                    <a:prstGeom prst="rect">
                      <a:avLst/>
                    </a:prstGeom>
                    <a:noFill/>
                  </pic:spPr>
                </pic:pic>
              </a:graphicData>
            </a:graphic>
          </wp:anchor>
        </w:drawing>
      </w:r>
    </w:p>
    <w:p>
      <w:pPr>
        <w:spacing w:after="0" w:line="35"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5513070</wp:posOffset>
            </wp:positionH>
            <wp:positionV relativeFrom="paragraph">
              <wp:posOffset>23495</wp:posOffset>
            </wp:positionV>
            <wp:extent cx="17386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38630" cy="8255"/>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Revenue from discontinued operations</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054"/>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54"/>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r>
      <w:tr>
        <w:trPr>
          <w:trHeight w:val="432"/>
        </w:trPr>
        <w:tc>
          <w:tcPr>
            <w:tcW w:w="7080" w:type="dxa"/>
            <w:vAlign w:val="bottom"/>
          </w:tcPr>
          <w:p>
            <w:pPr>
              <w:spacing w:after="0"/>
              <w:rPr>
                <w:sz w:val="20"/>
                <w:szCs w:val="20"/>
                <w:color w:val="auto"/>
              </w:rPr>
            </w:pPr>
            <w:r>
              <w:rPr>
                <w:rFonts w:ascii="Arial" w:cs="Arial" w:eastAsia="Arial" w:hAnsi="Arial"/>
                <w:sz w:val="18"/>
                <w:szCs w:val="18"/>
                <w:b w:val="1"/>
                <w:bCs w:val="1"/>
                <w:color w:val="auto"/>
              </w:rPr>
              <w:t>NOTE 15—SHARE-BASED COMPENSATION PLANS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7"/>
        </w:trPr>
        <w:tc>
          <w:tcPr>
            <w:tcW w:w="7080" w:type="dxa"/>
            <w:vAlign w:val="bottom"/>
          </w:tcPr>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99"/>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63"/>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190"/>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7080" w:type="dxa"/>
            <w:vAlign w:val="bottom"/>
          </w:tcPr>
          <w:p>
            <w:pPr>
              <w:ind w:left="40"/>
              <w:spacing w:after="0"/>
              <w:rPr>
                <w:sz w:val="20"/>
                <w:szCs w:val="20"/>
                <w:color w:val="auto"/>
              </w:rPr>
            </w:pPr>
            <w:r>
              <w:rPr>
                <w:rFonts w:ascii="Arial" w:cs="Arial" w:eastAsia="Arial" w:hAnsi="Arial"/>
                <w:sz w:val="18"/>
                <w:szCs w:val="18"/>
                <w:color w:val="auto"/>
              </w:rPr>
              <w:t>Share-based compensation incurred</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Grants of common shares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12,074</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12,892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10,907</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Grants of options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292</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12,941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11,199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Capitalized share-based compensation</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(1,024)</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8"/>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11,206</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11,753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10,175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December 31, 2015, we have grants outstanding under two share-based compensation plans. In May 2010, our shareholders approved the 2010 Performance Incentive Plan, as amended (“the 2010 Plan”), which authorized the grant of share options, common shares and other share-based awards for up to 2,450,000 common shares of beneficial interest. Our 2001 Long Term Incentive Plan (the “2001 Plan”), which expired in May 2010, authorized the grant of share options, common shares and other share-based awards of 3,250,000 common shares of beneficial interest.</w:t>
      </w:r>
    </w:p>
    <w:p>
      <w:pPr>
        <w:spacing w:after="0" w:line="11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Option awards under both plans are required to have an exercise price at least equal to the closing trading price of our common shares on the date of grant. Options and restricted share awards under these plans generally vest over three to six years and option awards typically have a ten-year contractual term. We pay dividends on unvested shares. Certain options and share awards provide for accelerated vesting if there is a change in control. Additionally, the vesting on certain option and share awards can accelerate in part or in full upon retirement based on the age of the retiree or upon termination without cause.</w:t>
      </w:r>
    </w:p>
    <w:p>
      <w:pPr>
        <w:spacing w:after="0" w:line="10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fair value of each option award is estimated on the date of grant using the Black-Scholes model. Expected volatilities, term, dividend yields, employee exercises and estimated forfeitures are primarily based on historical data. The risk-free interest rate is based on the U.S. Treasury yield curve in effect at the time of grant. The fair value of each share award is determined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6" w:right="2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the closing trading price of our common shares on the grant date. No options were granted in 2015, 2014 and 2013. The following table provides a summary of option activity for 2015:</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74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3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740" w:type="dxa"/>
            <w:vAlign w:val="bottom"/>
            <w:gridSpan w:val="2"/>
          </w:tcPr>
          <w:p>
            <w:pPr>
              <w:ind w:left="620"/>
              <w:spacing w:after="0" w:line="149" w:lineRule="exact"/>
              <w:rPr>
                <w:sz w:val="20"/>
                <w:szCs w:val="20"/>
                <w:color w:val="auto"/>
              </w:rPr>
            </w:pPr>
            <w:r>
              <w:rPr>
                <w:rFonts w:ascii="Arial" w:cs="Arial" w:eastAsia="Arial" w:hAnsi="Arial"/>
                <w:sz w:val="14"/>
                <w:szCs w:val="14"/>
                <w:b w:val="1"/>
                <w:bCs w:val="1"/>
                <w:color w:val="auto"/>
              </w:rPr>
              <w:t>Under</w:t>
            </w:r>
          </w:p>
        </w:tc>
        <w:tc>
          <w:tcPr>
            <w:tcW w:w="30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36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6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 years)</w:t>
            </w:r>
          </w:p>
        </w:tc>
        <w:tc>
          <w:tcPr>
            <w:tcW w:w="240" w:type="dxa"/>
            <w:vAlign w:val="bottom"/>
          </w:tcPr>
          <w:p>
            <w:pPr>
              <w:spacing w:after="0"/>
              <w:rPr>
                <w:sz w:val="21"/>
                <w:szCs w:val="21"/>
                <w:color w:val="auto"/>
              </w:rPr>
            </w:pPr>
          </w:p>
        </w:tc>
        <w:tc>
          <w:tcPr>
            <w:tcW w:w="1360" w:type="dxa"/>
            <w:vAlign w:val="bottom"/>
          </w:tcPr>
          <w:p>
            <w:pPr>
              <w:jc w:val="center"/>
              <w:ind w:right="162"/>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343,742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61.55</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68.04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313,802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60.93</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26,726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December 31, 2015</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313,802</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60.93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22"/>
              <w:spacing w:after="0"/>
              <w:rPr>
                <w:sz w:val="20"/>
                <w:szCs w:val="20"/>
                <w:color w:val="auto"/>
              </w:rPr>
            </w:pPr>
            <w:r>
              <w:rPr>
                <w:rFonts w:ascii="Arial" w:cs="Arial" w:eastAsia="Arial" w:hAnsi="Arial"/>
                <w:sz w:val="18"/>
                <w:szCs w:val="18"/>
                <w:color w:val="auto"/>
              </w:rPr>
              <w:t>26,726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spacing w:after="0" w:line="341" w:lineRule="auto"/>
        <w:rPr>
          <w:sz w:val="20"/>
          <w:szCs w:val="20"/>
          <w:color w:val="auto"/>
        </w:rPr>
      </w:pPr>
      <w:r>
        <w:rPr>
          <w:rFonts w:ascii="Arial" w:cs="Arial" w:eastAsia="Arial" w:hAnsi="Arial"/>
          <w:sz w:val="16"/>
          <w:szCs w:val="16"/>
          <w:color w:val="auto"/>
        </w:rPr>
        <w:t>The total cash received from options exercised during 2015, 2014 and 2013 was $2.0 million, $2.3 million and $1.0 million, respectively. The total intrinsic value of options exercised during the years ended December 31, 2015, 2014 and 2013 was $2.1 million, $1.1 million and $0.7 million,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restricted share activity for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8"/>
        </w:trPr>
        <w:tc>
          <w:tcPr>
            <w:tcW w:w="8120" w:type="dxa"/>
            <w:vAlign w:val="bottom"/>
          </w:tcPr>
          <w:p>
            <w:pPr>
              <w:spacing w:after="0"/>
              <w:rPr>
                <w:sz w:val="12"/>
                <w:szCs w:val="12"/>
                <w:color w:val="auto"/>
              </w:rPr>
            </w:pPr>
          </w:p>
        </w:tc>
        <w:tc>
          <w:tcPr>
            <w:tcW w:w="16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8"/>
              </w:rPr>
              <w:t>Grant-Date Fair</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2014</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306,968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100.45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62,128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141.08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95.99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(9,915)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2015</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177,214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118.68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spacing w:after="0" w:line="341" w:lineRule="auto"/>
        <w:rPr>
          <w:sz w:val="20"/>
          <w:szCs w:val="20"/>
          <w:color w:val="auto"/>
        </w:rPr>
      </w:pPr>
      <w:r>
        <w:rPr>
          <w:rFonts w:ascii="Arial" w:cs="Arial" w:eastAsia="Arial" w:hAnsi="Arial"/>
          <w:sz w:val="16"/>
          <w:szCs w:val="16"/>
          <w:color w:val="auto"/>
        </w:rPr>
        <w:t>The weighted-average grant-date fair value of stock awarded in 2015, 2014 and 2013 was $141.08, $111.45 and $106.70, respectively. The total vesting-date fair value of shares vested during the year ended December 31, 2015, 2014 and 2013, was $26.1 million, $12.1 million and $10.6 million, respectively.</w:t>
      </w:r>
    </w:p>
    <w:p>
      <w:pPr>
        <w:spacing w:after="0" w:line="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of December 31, 2015, there was $11.8 million of total unrecognized compensation cost related to unvested share-based compensation arrangements (i.e. options and unvested shares) granted under our plans. This cost is expected to be recognized over the next 8.4 years with a weighted-average period of 2.0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Subsequent to December 31, 2015, common shares were awarded under various compensation plans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4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Date</w:t>
            </w:r>
          </w:p>
        </w:tc>
        <w:tc>
          <w:tcPr>
            <w:tcW w:w="1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Award</w:t>
            </w:r>
          </w:p>
        </w:tc>
        <w:tc>
          <w:tcPr>
            <w:tcW w:w="14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Vesting Term</w:t>
            </w:r>
          </w:p>
        </w:tc>
        <w:tc>
          <w:tcPr>
            <w:tcW w:w="140" w:type="dxa"/>
            <w:vAlign w:val="bottom"/>
            <w:tcBorders>
              <w:bottom w:val="single" w:sz="8" w:color="CCEEFF"/>
            </w:tcBorders>
          </w:tcPr>
          <w:p>
            <w:pPr>
              <w:spacing w:after="0"/>
              <w:rPr>
                <w:sz w:val="16"/>
                <w:szCs w:val="16"/>
                <w:color w:val="auto"/>
              </w:rPr>
            </w:pPr>
          </w:p>
        </w:tc>
        <w:tc>
          <w:tcPr>
            <w:tcW w:w="318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Beneficiary</w:t>
            </w:r>
          </w:p>
        </w:tc>
      </w:tr>
      <w:tr>
        <w:trPr>
          <w:trHeight w:val="249"/>
        </w:trPr>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4, 2016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2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Shares</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Immediate</w:t>
            </w: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Trustees</w:t>
            </w:r>
          </w:p>
        </w:tc>
      </w:tr>
      <w:tr>
        <w:trPr>
          <w:trHeight w:val="243"/>
        </w:trPr>
        <w:tc>
          <w:tcPr>
            <w:tcW w:w="2280" w:type="dxa"/>
            <w:vAlign w:val="bottom"/>
            <w:gridSpan w:val="2"/>
          </w:tcPr>
          <w:p>
            <w:pPr>
              <w:ind w:left="40"/>
              <w:spacing w:after="0"/>
              <w:rPr>
                <w:sz w:val="20"/>
                <w:szCs w:val="20"/>
                <w:color w:val="auto"/>
              </w:rPr>
            </w:pPr>
            <w:r>
              <w:rPr>
                <w:rFonts w:ascii="Arial" w:cs="Arial" w:eastAsia="Arial" w:hAnsi="Arial"/>
                <w:sz w:val="18"/>
                <w:szCs w:val="18"/>
                <w:color w:val="auto"/>
              </w:rPr>
              <w:t>February 3, 2016</w:t>
            </w:r>
          </w:p>
        </w:tc>
        <w:tc>
          <w:tcPr>
            <w:tcW w:w="1080" w:type="dxa"/>
            <w:vAlign w:val="bottom"/>
          </w:tcPr>
          <w:p>
            <w:pPr>
              <w:jc w:val="right"/>
              <w:spacing w:after="0"/>
              <w:rPr>
                <w:sz w:val="20"/>
                <w:szCs w:val="20"/>
                <w:color w:val="auto"/>
              </w:rPr>
            </w:pPr>
            <w:r>
              <w:rPr>
                <w:rFonts w:ascii="Arial" w:cs="Arial" w:eastAsia="Arial" w:hAnsi="Arial"/>
                <w:sz w:val="18"/>
                <w:szCs w:val="18"/>
                <w:color w:val="auto"/>
              </w:rPr>
              <w:t>135,063</w:t>
            </w:r>
          </w:p>
        </w:tc>
        <w:tc>
          <w:tcPr>
            <w:tcW w:w="2460" w:type="dxa"/>
            <w:vAlign w:val="bottom"/>
            <w:gridSpan w:val="2"/>
          </w:tcPr>
          <w:p>
            <w:pPr>
              <w:ind w:left="80"/>
              <w:spacing w:after="0"/>
              <w:rPr>
                <w:sz w:val="20"/>
                <w:szCs w:val="20"/>
                <w:color w:val="auto"/>
              </w:rPr>
            </w:pPr>
            <w:r>
              <w:rPr>
                <w:rFonts w:ascii="Arial" w:cs="Arial" w:eastAsia="Arial" w:hAnsi="Arial"/>
                <w:sz w:val="18"/>
                <w:szCs w:val="18"/>
                <w:color w:val="auto"/>
              </w:rPr>
              <w:t>Restricted shares</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3-8 years</w:t>
            </w:r>
          </w:p>
        </w:tc>
        <w:tc>
          <w:tcPr>
            <w:tcW w:w="3180" w:type="dxa"/>
            <w:vAlign w:val="bottom"/>
          </w:tcPr>
          <w:p>
            <w:pPr>
              <w:ind w:left="20"/>
              <w:spacing w:after="0"/>
              <w:rPr>
                <w:sz w:val="20"/>
                <w:szCs w:val="20"/>
                <w:color w:val="auto"/>
              </w:rPr>
            </w:pPr>
            <w:r>
              <w:rPr>
                <w:rFonts w:ascii="Arial" w:cs="Arial" w:eastAsia="Arial" w:hAnsi="Arial"/>
                <w:sz w:val="18"/>
                <w:szCs w:val="18"/>
                <w:color w:val="auto"/>
              </w:rPr>
              <w:t>Officers and key employees</w:t>
            </w:r>
          </w:p>
        </w:tc>
      </w:tr>
      <w:tr>
        <w:trPr>
          <w:trHeight w:val="27"/>
        </w:trPr>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43"/>
        </w:trPr>
        <w:tc>
          <w:tcPr>
            <w:tcW w:w="2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3, 2016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Options</w:t>
            </w: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 years</w:t>
            </w:r>
          </w:p>
        </w:tc>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Officers and key employees</w:t>
            </w:r>
          </w:p>
        </w:tc>
      </w:tr>
      <w:tr>
        <w:trPr>
          <w:trHeight w:val="27"/>
        </w:trPr>
        <w:tc>
          <w:tcPr>
            <w:tcW w:w="2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16—SAVINGS AND RETIREMENT PLANS</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a savings and retirement plan in accordance with the provisions of Section 401(k) of the Code. Generally, employees can elect, at their discretion, to contribute a portion of their compensation up to a maximum of $18,000 for 2015, and $17,500 for 2014 and 2013. Under the plan, we contribute 50% of each employee’s elective deferrals up to 5% of eligible earnings. In addition, we may make discretionary contributions within the limits of deductibility set forth by the Code. Our full-time employees are immediately eligible to become plan participants. Employees are eligible to receive matching contributions immediately on their participation; however, these matching payments will not vest until their third anniversary of employment for new employees who joined the Trust after December 31, 2011, and their first anniversary of employment for all other participants. Our expense for the years ended December 31, 2015, 2014 and 2013 was approximately $504,000, $442,000 and $384,000, respectively.</w:t>
      </w:r>
    </w:p>
    <w:p>
      <w:pPr>
        <w:spacing w:after="0" w:line="12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non-qualified deferred compensation plan for our officers and certain other employees was established in 1994 that allows the participants to defer a portion of their income. As of December 31, 2015 and 2014, we are liable to participants for approximately $9.7 million and $10.3 million, respectively, under this plan. Although this is an unfunded plan, we have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6" w:right="2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purchased certain investments to match this obligation. Our obligation under this plan and the related investments are both included in the accompanying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17—EARNINGS PER SHARE</w:t>
      </w:r>
    </w:p>
    <w:p>
      <w:pPr>
        <w:spacing w:after="0" w:line="9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2015, we had 0.2 million weighted average unvested shares outstanding, and in 2014 and 2013, we had 0.3 million,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dilutive EPS calculation, dilutive stock options were calculated using the treasury stock method consistent with prior periods. There were no anti-dilutive stock options in 2015, 2014, or 2013.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532"/>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0"/>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60" w:type="dxa"/>
            <w:vAlign w:val="bottom"/>
            <w:gridSpan w:val="7"/>
          </w:tcPr>
          <w:p>
            <w:pPr>
              <w:jc w:val="center"/>
              <w:ind w:right="171"/>
              <w:spacing w:after="0"/>
              <w:rPr>
                <w:sz w:val="20"/>
                <w:szCs w:val="20"/>
                <w:color w:val="auto"/>
              </w:rPr>
            </w:pPr>
            <w:r>
              <w:rPr>
                <w:rFonts w:ascii="Arial" w:cs="Arial" w:eastAsia="Arial" w:hAnsi="Arial"/>
                <w:sz w:val="14"/>
                <w:szCs w:val="14"/>
                <w:b w:val="1"/>
                <w:bCs w:val="1"/>
                <w:color w:val="auto"/>
                <w:w w:val="91"/>
              </w:rPr>
              <w:t>(In thousands, except per share data)</w:t>
            </w:r>
          </w:p>
        </w:tc>
        <w:tc>
          <w:tcPr>
            <w:tcW w:w="0" w:type="dxa"/>
            <w:vAlign w:val="bottom"/>
          </w:tcPr>
          <w:p>
            <w:pPr>
              <w:spacing w:after="0"/>
              <w:rPr>
                <w:sz w:val="1"/>
                <w:szCs w:val="1"/>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190,094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167,888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137,811</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Less: Preferred share dividends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Income from continuing operations attributable to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158,590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131,454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Results from discontinued operations attributable to the Trust</w:t>
            </w:r>
          </w:p>
        </w:tc>
        <w:tc>
          <w:tcPr>
            <w:tcW w:w="2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24,803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36"/>
        </w:trPr>
        <w:tc>
          <w:tcPr>
            <w:tcW w:w="778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208,881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162,991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161,251</w:t>
            </w:r>
          </w:p>
        </w:tc>
        <w:tc>
          <w:tcPr>
            <w:tcW w:w="0" w:type="dxa"/>
            <w:vAlign w:val="bottom"/>
          </w:tcPr>
          <w:p>
            <w:pPr>
              <w:spacing w:after="0"/>
              <w:rPr>
                <w:sz w:val="1"/>
                <w:szCs w:val="1"/>
                <w:color w:val="auto"/>
              </w:rPr>
            </w:pPr>
          </w:p>
        </w:tc>
      </w:tr>
      <w:tr>
        <w:trPr>
          <w:trHeight w:val="67"/>
        </w:trPr>
        <w:tc>
          <w:tcPr>
            <w:tcW w:w="77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68,797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67,322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65,331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Stock options</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68,981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65,483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6"/>
        </w:trPr>
        <w:tc>
          <w:tcPr>
            <w:tcW w:w="77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67"/>
        </w:trPr>
        <w:tc>
          <w:tcPr>
            <w:tcW w:w="77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DILUTED</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7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from continuing operations attributable to the Trust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8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181,889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160,134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132,884</w:t>
            </w:r>
          </w:p>
        </w:tc>
        <w:tc>
          <w:tcPr>
            <w:tcW w:w="0" w:type="dxa"/>
            <w:vAlign w:val="bottom"/>
          </w:tcPr>
          <w:p>
            <w:pPr>
              <w:spacing w:after="0"/>
              <w:rPr>
                <w:sz w:val="1"/>
                <w:szCs w:val="1"/>
                <w:color w:val="auto"/>
              </w:rPr>
            </w:pPr>
          </w:p>
        </w:tc>
      </w:tr>
      <w:tr>
        <w:trPr>
          <w:trHeight w:val="917"/>
        </w:trPr>
        <w:tc>
          <w:tcPr>
            <w:tcW w:w="7780" w:type="dxa"/>
            <w:vAlign w:val="bottom"/>
          </w:tcPr>
          <w:p>
            <w:pPr>
              <w:ind w:left="5540"/>
              <w:spacing w:after="0"/>
              <w:rPr>
                <w:sz w:val="20"/>
                <w:szCs w:val="20"/>
                <w:color w:val="auto"/>
              </w:rPr>
            </w:pPr>
            <w:r>
              <w:rPr>
                <w:rFonts w:ascii="Arial" w:cs="Arial" w:eastAsia="Arial" w:hAnsi="Arial"/>
                <w:sz w:val="18"/>
                <w:szCs w:val="18"/>
                <w:color w:val="auto"/>
              </w:rPr>
              <w:t>F-28</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18—SELECTED QUARTERLY FINANCIAL DATA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center"/>
              <w:ind w:right="194"/>
              <w:spacing w:after="0"/>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14"/>
                <w:szCs w:val="14"/>
                <w:color w:val="auto"/>
              </w:rPr>
            </w:pPr>
          </w:p>
        </w:tc>
        <w:tc>
          <w:tcPr>
            <w:tcW w:w="1180" w:type="dxa"/>
            <w:vAlign w:val="bottom"/>
          </w:tcPr>
          <w:p>
            <w:pPr>
              <w:jc w:val="center"/>
              <w:ind w:right="135"/>
              <w:spacing w:after="0"/>
              <w:rPr>
                <w:sz w:val="20"/>
                <w:szCs w:val="20"/>
                <w:color w:val="auto"/>
              </w:rPr>
            </w:pPr>
            <w:r>
              <w:rPr>
                <w:rFonts w:ascii="Arial" w:cs="Arial" w:eastAsia="Arial" w:hAnsi="Arial"/>
                <w:sz w:val="14"/>
                <w:szCs w:val="14"/>
                <w:b w:val="1"/>
                <w:bCs w:val="1"/>
                <w:color w:val="auto"/>
                <w:w w:val="86"/>
              </w:rPr>
              <w:t>Second</w:t>
            </w:r>
          </w:p>
        </w:tc>
        <w:tc>
          <w:tcPr>
            <w:tcW w:w="360" w:type="dxa"/>
            <w:vAlign w:val="bottom"/>
          </w:tcPr>
          <w:p>
            <w:pPr>
              <w:spacing w:after="0"/>
              <w:rPr>
                <w:sz w:val="14"/>
                <w:szCs w:val="14"/>
                <w:color w:val="auto"/>
              </w:rPr>
            </w:pPr>
          </w:p>
        </w:tc>
        <w:tc>
          <w:tcPr>
            <w:tcW w:w="1100" w:type="dxa"/>
            <w:vAlign w:val="bottom"/>
          </w:tcPr>
          <w:p>
            <w:pPr>
              <w:jc w:val="center"/>
              <w:ind w:right="214"/>
              <w:spacing w:after="0"/>
              <w:rPr>
                <w:sz w:val="20"/>
                <w:szCs w:val="20"/>
                <w:color w:val="auto"/>
              </w:rPr>
            </w:pPr>
            <w:r>
              <w:rPr>
                <w:rFonts w:ascii="Arial" w:cs="Arial" w:eastAsia="Arial" w:hAnsi="Arial"/>
                <w:sz w:val="14"/>
                <w:szCs w:val="14"/>
                <w:b w:val="1"/>
                <w:bCs w:val="1"/>
                <w:color w:val="auto"/>
              </w:rPr>
              <w:t>Third</w:t>
            </w:r>
          </w:p>
        </w:tc>
        <w:tc>
          <w:tcPr>
            <w:tcW w:w="380" w:type="dxa"/>
            <w:vAlign w:val="bottom"/>
          </w:tcPr>
          <w:p>
            <w:pPr>
              <w:spacing w:after="0"/>
              <w:rPr>
                <w:sz w:val="14"/>
                <w:szCs w:val="14"/>
                <w:color w:val="auto"/>
              </w:rPr>
            </w:pPr>
          </w:p>
        </w:tc>
        <w:tc>
          <w:tcPr>
            <w:tcW w:w="1080" w:type="dxa"/>
            <w:vAlign w:val="bottom"/>
          </w:tcPr>
          <w:p>
            <w:pPr>
              <w:jc w:val="center"/>
              <w:ind w:right="194"/>
              <w:spacing w:after="0"/>
              <w:rPr>
                <w:sz w:val="20"/>
                <w:szCs w:val="20"/>
                <w:color w:val="auto"/>
              </w:rPr>
            </w:pPr>
            <w:r>
              <w:rPr>
                <w:rFonts w:ascii="Arial" w:cs="Arial" w:eastAsia="Arial" w:hAnsi="Arial"/>
                <w:sz w:val="14"/>
                <w:szCs w:val="14"/>
                <w:b w:val="1"/>
                <w:bCs w:val="1"/>
                <w:color w:val="auto"/>
                <w:w w:val="99"/>
              </w:rPr>
              <w:t>Fourth</w:t>
            </w:r>
          </w:p>
        </w:tc>
      </w:t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8"/>
              </w:rPr>
              <w:t>Quarter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8"/>
              </w:rPr>
              <w:t>Quarter</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Quarter</w:t>
            </w:r>
          </w:p>
        </w:tc>
      </w:tr>
      <w:tr>
        <w:trPr>
          <w:trHeight w:val="196"/>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w w:val="93"/>
              </w:rPr>
              <w:t>(In thousands, except per share data)</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184,792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181,461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185,252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192,507</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72,122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76,201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75,917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75,914</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48,203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45,673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54,550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69,998</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46,186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43,632</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52,447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67,954</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46,051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43,497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52,311</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67,819</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share—basic(1)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0.67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0.98</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Earnings per common share—diluted(1)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0.67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0.63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0.75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0.97</w:t>
            </w:r>
          </w:p>
        </w:tc>
      </w:tr>
      <w:tr>
        <w:trPr>
          <w:trHeight w:val="180"/>
        </w:trPr>
        <w:tc>
          <w:tcPr>
            <w:tcW w:w="5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center"/>
              <w:ind w:right="194"/>
              <w:spacing w:after="0"/>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15"/>
                <w:szCs w:val="15"/>
                <w:color w:val="auto"/>
              </w:rPr>
            </w:pPr>
          </w:p>
        </w:tc>
        <w:tc>
          <w:tcPr>
            <w:tcW w:w="1180" w:type="dxa"/>
            <w:vAlign w:val="bottom"/>
          </w:tcPr>
          <w:p>
            <w:pPr>
              <w:jc w:val="center"/>
              <w:ind w:right="135"/>
              <w:spacing w:after="0"/>
              <w:rPr>
                <w:sz w:val="20"/>
                <w:szCs w:val="20"/>
                <w:color w:val="auto"/>
              </w:rPr>
            </w:pPr>
            <w:r>
              <w:rPr>
                <w:rFonts w:ascii="Arial" w:cs="Arial" w:eastAsia="Arial" w:hAnsi="Arial"/>
                <w:sz w:val="14"/>
                <w:szCs w:val="14"/>
                <w:b w:val="1"/>
                <w:bCs w:val="1"/>
                <w:color w:val="auto"/>
                <w:w w:val="86"/>
              </w:rPr>
              <w:t>Second</w:t>
            </w:r>
          </w:p>
        </w:tc>
        <w:tc>
          <w:tcPr>
            <w:tcW w:w="360" w:type="dxa"/>
            <w:vAlign w:val="bottom"/>
          </w:tcPr>
          <w:p>
            <w:pPr>
              <w:spacing w:after="0"/>
              <w:rPr>
                <w:sz w:val="15"/>
                <w:szCs w:val="15"/>
                <w:color w:val="auto"/>
              </w:rPr>
            </w:pPr>
          </w:p>
        </w:tc>
        <w:tc>
          <w:tcPr>
            <w:tcW w:w="1100" w:type="dxa"/>
            <w:vAlign w:val="bottom"/>
          </w:tcPr>
          <w:p>
            <w:pPr>
              <w:jc w:val="center"/>
              <w:ind w:right="214"/>
              <w:spacing w:after="0"/>
              <w:rPr>
                <w:sz w:val="20"/>
                <w:szCs w:val="20"/>
                <w:color w:val="auto"/>
              </w:rPr>
            </w:pPr>
            <w:r>
              <w:rPr>
                <w:rFonts w:ascii="Arial" w:cs="Arial" w:eastAsia="Arial" w:hAnsi="Arial"/>
                <w:sz w:val="14"/>
                <w:szCs w:val="14"/>
                <w:b w:val="1"/>
                <w:bCs w:val="1"/>
                <w:color w:val="auto"/>
              </w:rPr>
              <w:t>Third</w:t>
            </w:r>
          </w:p>
        </w:tc>
        <w:tc>
          <w:tcPr>
            <w:tcW w:w="380" w:type="dxa"/>
            <w:vAlign w:val="bottom"/>
          </w:tcPr>
          <w:p>
            <w:pPr>
              <w:spacing w:after="0"/>
              <w:rPr>
                <w:sz w:val="15"/>
                <w:szCs w:val="15"/>
                <w:color w:val="auto"/>
              </w:rPr>
            </w:pPr>
          </w:p>
        </w:tc>
        <w:tc>
          <w:tcPr>
            <w:tcW w:w="1080" w:type="dxa"/>
            <w:vAlign w:val="bottom"/>
          </w:tcPr>
          <w:p>
            <w:pPr>
              <w:jc w:val="center"/>
              <w:ind w:right="194"/>
              <w:spacing w:after="0"/>
              <w:rPr>
                <w:sz w:val="20"/>
                <w:szCs w:val="20"/>
                <w:color w:val="auto"/>
              </w:rPr>
            </w:pPr>
            <w:r>
              <w:rPr>
                <w:rFonts w:ascii="Arial" w:cs="Arial" w:eastAsia="Arial" w:hAnsi="Arial"/>
                <w:sz w:val="14"/>
                <w:szCs w:val="14"/>
                <w:b w:val="1"/>
                <w:bCs w:val="1"/>
                <w:color w:val="auto"/>
                <w:w w:val="99"/>
              </w:rPr>
              <w:t>Fourth</w:t>
            </w:r>
          </w:p>
        </w:tc>
      </w:t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8"/>
              </w:rPr>
              <w:t>Quarter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8"/>
              </w:rPr>
              <w:t>Quarter</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Quarter</w:t>
            </w:r>
          </w:p>
        </w:tc>
      </w:tr>
      <w:tr>
        <w:trPr>
          <w:trHeight w:val="196"/>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w w:val="93"/>
              </w:rPr>
              <w:t>(In thousands, except per share data)</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170,828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167,947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170,938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176,377</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63,444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68,361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67,622</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71,610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40,545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45,416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49,049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37,279</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38,753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43,545</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47,075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35,162</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38,618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43,410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46,939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35,027</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share—basic(1)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0.58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0.64</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0.69</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0.51</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Earnings per common share—diluted(1)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0.57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0.64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0.69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0.51</w:t>
            </w:r>
          </w:p>
        </w:tc>
      </w:tr>
    </w:tbl>
    <w:p>
      <w:pPr>
        <w:spacing w:after="0" w:line="228" w:lineRule="exact"/>
        <w:rPr>
          <w:sz w:val="20"/>
          <w:szCs w:val="20"/>
          <w:color w:val="auto"/>
        </w:rPr>
      </w:pPr>
    </w:p>
    <w:p>
      <w:pPr>
        <w:ind w:left="660" w:right="120" w:hanging="652"/>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Second and fourth quarter 2015 include an $11.5 million and $16.8 million gain on sale, respectively, from our Houston Street and Courtyard Shops properties as further discussed in Note 3. Third quarter 2014 includes a $4.4 million gain on sale reflecting our share of the Partnership's sale of Pleasant Shops as further discussed in Note 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19—SUBSEQUENT EVENT</w:t>
      </w:r>
    </w:p>
    <w:p>
      <w:pPr>
        <w:spacing w:after="0" w:line="9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January 13, 2016, we acquired our partner's 70% equity interest in our unconsolidated real estate partnership further discussed in Note 5, for $153.7 million, which includes $130 million of cash and the assumption of three interest only mortgage loans with a total principal balance of $34.4 million. With the acquisition, we gained control of the six underlying properties, which will be consolidated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6" w:right="2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60" w:type="dxa"/>
            <w:vAlign w:val="bottom"/>
          </w:tcPr>
          <w:p>
            <w:pPr>
              <w:ind w:left="40"/>
              <w:spacing w:after="0"/>
              <w:rPr>
                <w:sz w:val="20"/>
                <w:szCs w:val="20"/>
                <w:color w:val="auto"/>
              </w:rPr>
            </w:pPr>
            <w:r>
              <w:rPr>
                <w:rFonts w:ascii="Arial" w:cs="Arial" w:eastAsia="Arial" w:hAnsi="Arial"/>
                <w:sz w:val="13"/>
                <w:szCs w:val="13"/>
                <w:b w:val="1"/>
                <w:bCs w:val="1"/>
                <w:color w:val="auto"/>
              </w:rPr>
              <w:t>COLUMN A</w:t>
            </w:r>
          </w:p>
        </w:tc>
        <w:tc>
          <w:tcPr>
            <w:tcW w:w="5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COLUMN D</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COLUMN E</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F</w:t>
            </w: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COLUMN G</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COLUMN H</w:t>
            </w:r>
          </w:p>
        </w:tc>
        <w:tc>
          <w:tcPr>
            <w:tcW w:w="760" w:type="dxa"/>
            <w:vAlign w:val="bottom"/>
          </w:tcPr>
          <w:p>
            <w:pPr>
              <w:ind w:left="4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2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53"/>
        </w:trPr>
        <w:tc>
          <w:tcPr>
            <w:tcW w:w="1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Gross amount at which carried at</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00" w:type="dxa"/>
            <w:vAlign w:val="bottom"/>
          </w:tcPr>
          <w:p>
            <w:pPr>
              <w:spacing w:after="0"/>
              <w:rPr>
                <w:sz w:val="11"/>
                <w:szCs w:val="11"/>
                <w:color w:val="auto"/>
              </w:rPr>
            </w:pP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Cost</w:t>
            </w:r>
          </w:p>
        </w:tc>
        <w:tc>
          <w:tcPr>
            <w:tcW w:w="780" w:type="dxa"/>
            <w:vAlign w:val="bottom"/>
          </w:tcPr>
          <w:p>
            <w:pPr>
              <w:spacing w:after="0"/>
              <w:rPr>
                <w:sz w:val="11"/>
                <w:szCs w:val="11"/>
                <w:color w:val="auto"/>
              </w:rPr>
            </w:pPr>
          </w:p>
        </w:tc>
        <w:tc>
          <w:tcPr>
            <w:tcW w:w="102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90"/>
              </w:rPr>
              <w:t>depreciation</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60" w:type="dxa"/>
            <w:vAlign w:val="bottom"/>
            <w:gridSpan w:val="2"/>
            <w:vMerge w:val="restart"/>
          </w:tcPr>
          <w:p>
            <w:pPr>
              <w:jc w:val="center"/>
              <w:ind w:right="8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rPr>
              <w:t>Accumulated</w:t>
            </w: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Depreciation</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Date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1"/>
                <w:szCs w:val="11"/>
                <w:color w:val="auto"/>
              </w:rPr>
            </w:pP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1"/>
              </w:rPr>
              <w:t>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and</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of</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Date</w:t>
            </w: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4"/>
              </w:rPr>
              <w:t>statements is</w:t>
            </w:r>
          </w:p>
        </w:tc>
        <w:tc>
          <w:tcPr>
            <w:tcW w:w="0" w:type="dxa"/>
            <w:vAlign w:val="bottom"/>
          </w:tcPr>
          <w:p>
            <w:pPr>
              <w:spacing w:after="0"/>
              <w:rPr>
                <w:sz w:val="1"/>
                <w:szCs w:val="1"/>
                <w:color w:val="auto"/>
              </w:rPr>
            </w:pPr>
          </w:p>
        </w:tc>
      </w:tr>
      <w:tr>
        <w:trPr>
          <w:trHeight w:val="174"/>
        </w:trPr>
        <w:tc>
          <w:tcPr>
            <w:tcW w:w="126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5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Encumbrance</w:t>
            </w:r>
          </w:p>
        </w:tc>
        <w:tc>
          <w:tcPr>
            <w:tcW w:w="86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100" w:type="dxa"/>
            <w:vAlign w:val="bottom"/>
          </w:tcPr>
          <w:p>
            <w:pPr>
              <w:spacing w:after="0"/>
              <w:rPr>
                <w:sz w:val="15"/>
                <w:szCs w:val="15"/>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Acquisition</w:t>
            </w:r>
          </w:p>
        </w:tc>
        <w:tc>
          <w:tcPr>
            <w:tcW w:w="780" w:type="dxa"/>
            <w:vAlign w:val="bottom"/>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100" w:type="dxa"/>
            <w:vAlign w:val="bottom"/>
          </w:tcPr>
          <w:p>
            <w:pPr>
              <w:spacing w:after="0"/>
              <w:rPr>
                <w:sz w:val="15"/>
                <w:szCs w:val="15"/>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Improvements</w:t>
            </w:r>
          </w:p>
        </w:tc>
        <w:tc>
          <w:tcPr>
            <w:tcW w:w="560" w:type="dxa"/>
            <w:vAlign w:val="bottom"/>
          </w:tcPr>
          <w:p>
            <w:pPr>
              <w:jc w:val="right"/>
              <w:ind w:right="69"/>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Amortization</w:t>
            </w: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Construction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Acquired</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260" w:type="dxa"/>
            <w:vAlign w:val="bottom"/>
            <w:tcBorders>
              <w:top w:val="single" w:sz="8" w:color="auto"/>
            </w:tcBorders>
            <w:shd w:val="clear" w:color="auto" w:fill="CCEEFF"/>
          </w:tcPr>
          <w:p>
            <w:pPr>
              <w:ind w:left="40"/>
              <w:spacing w:after="0" w:line="157" w:lineRule="exact"/>
              <w:rPr>
                <w:sz w:val="20"/>
                <w:szCs w:val="20"/>
                <w:color w:val="auto"/>
              </w:rPr>
            </w:pPr>
            <w:r>
              <w:rPr>
                <w:rFonts w:ascii="Arial" w:cs="Arial" w:eastAsia="Arial" w:hAnsi="Arial"/>
                <w:sz w:val="14"/>
                <w:szCs w:val="14"/>
                <w:color w:val="auto"/>
                <w:w w:val="96"/>
              </w:rPr>
              <w:t>150 POST STREET</w:t>
            </w:r>
          </w:p>
        </w:tc>
        <w:tc>
          <w:tcPr>
            <w:tcW w:w="5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   11,685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6"/>
              </w:rPr>
              <w:t>$9,181</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  16,200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   11,685</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   25,381</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$ 37,066</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   17,181</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1908/1965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10/23/1997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29TH PLACE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4,732</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10,211</w:t>
            </w:r>
          </w:p>
        </w:tc>
        <w:tc>
          <w:tcPr>
            <w:tcW w:w="100" w:type="dxa"/>
            <w:vAlign w:val="bottom"/>
          </w:tcPr>
          <w:p>
            <w:pPr>
              <w:spacing w:after="0"/>
              <w:rPr>
                <w:sz w:val="16"/>
                <w:szCs w:val="16"/>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18,863</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11,441</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10,225</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30,290</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40,515</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8,893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1975 - 2001</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5/30/2007</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ANDORRA</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2,432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12,346</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10,967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2,432</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23,313</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25,745</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17,389</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1953</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1/12/1988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ASSEMBLY</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40"/>
              <w:spacing w:after="0" w:line="149" w:lineRule="exact"/>
              <w:rPr>
                <w:sz w:val="20"/>
                <w:szCs w:val="20"/>
                <w:color w:val="auto"/>
              </w:rPr>
            </w:pPr>
            <w:r>
              <w:rPr>
                <w:rFonts w:ascii="Arial" w:cs="Arial" w:eastAsia="Arial" w:hAnsi="Arial"/>
                <w:sz w:val="14"/>
                <w:szCs w:val="14"/>
                <w:color w:val="auto"/>
              </w:rPr>
              <w:t>ROW/ASSEMBLY</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40"/>
              <w:spacing w:after="0" w:line="149" w:lineRule="exact"/>
              <w:rPr>
                <w:sz w:val="20"/>
                <w:szCs w:val="20"/>
                <w:color w:val="auto"/>
              </w:rPr>
            </w:pPr>
            <w:r>
              <w:rPr>
                <w:rFonts w:ascii="Arial" w:cs="Arial" w:eastAsia="Arial" w:hAnsi="Arial"/>
                <w:sz w:val="14"/>
                <w:szCs w:val="14"/>
                <w:color w:val="auto"/>
              </w:rPr>
              <w:t>SQUARE</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40"/>
              <w:spacing w:after="0" w:line="149" w:lineRule="exact"/>
              <w:rPr>
                <w:sz w:val="20"/>
                <w:szCs w:val="20"/>
                <w:color w:val="auto"/>
              </w:rPr>
            </w:pPr>
            <w:r>
              <w:rPr>
                <w:rFonts w:ascii="Arial" w:cs="Arial" w:eastAsia="Arial" w:hAnsi="Arial"/>
                <w:sz w:val="14"/>
                <w:szCs w:val="14"/>
                <w:color w:val="auto"/>
              </w:rPr>
              <w:t>MARKETPLACE</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2005, 2012-</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(Massachusetts)</w:t>
            </w:r>
          </w:p>
        </w:tc>
        <w:tc>
          <w:tcPr>
            <w:tcW w:w="520" w:type="dxa"/>
            <w:vAlign w:val="bottom"/>
          </w:tcPr>
          <w:p>
            <w:pPr>
              <w:ind w:left="140"/>
              <w:spacing w:after="0"/>
              <w:rPr>
                <w:sz w:val="20"/>
                <w:szCs w:val="20"/>
                <w:color w:val="auto"/>
              </w:rPr>
            </w:pPr>
            <w:r>
              <w:rPr>
                <w:rFonts w:ascii="Arial" w:cs="Arial" w:eastAsia="Arial" w:hAnsi="Arial"/>
                <w:sz w:val="14"/>
                <w:szCs w:val="14"/>
                <w:color w:val="auto"/>
              </w:rPr>
              <w:t>MA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93,252</w:t>
            </w:r>
          </w:p>
        </w:tc>
        <w:tc>
          <w:tcPr>
            <w:tcW w:w="100" w:type="dxa"/>
            <w:vAlign w:val="bottom"/>
          </w:tcPr>
          <w:p>
            <w:pPr>
              <w:spacing w:after="0"/>
              <w:rPr>
                <w:sz w:val="16"/>
                <w:szCs w:val="16"/>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34,196</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346,444</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93,252</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380,640</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473,892</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28,839</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2005-2013</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 CYNWYD</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3,565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14,466</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23,077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3,566</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37,542</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41,108</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17,580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9/22/1993</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BARRACKS</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ROAD (Virginia)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4,363</w:t>
            </w:r>
          </w:p>
        </w:tc>
        <w:tc>
          <w:tcPr>
            <w:tcW w:w="100" w:type="dxa"/>
            <w:vAlign w:val="bottom"/>
          </w:tcPr>
          <w:p>
            <w:pPr>
              <w:spacing w:after="0"/>
              <w:rPr>
                <w:sz w:val="16"/>
                <w:szCs w:val="16"/>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16,459</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40,076</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4,363</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56,535</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60,898</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39,146</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1958</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12/31/1985</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12/31/93,</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6/2/97,</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1/20/06,</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9/25/08,</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BETHESDA ROW</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9/30/08, &amp;</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35 - 50</w:t>
            </w: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46,579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35,406</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143,006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44,880</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180,111</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224,991</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62,238</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1945-2008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12/27/10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BRICK PLAZA</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(New Jersey)</w:t>
            </w:r>
          </w:p>
        </w:tc>
        <w:tc>
          <w:tcPr>
            <w:tcW w:w="520" w:type="dxa"/>
            <w:vAlign w:val="bottom"/>
          </w:tcPr>
          <w:p>
            <w:pPr>
              <w:ind w:left="140"/>
              <w:spacing w:after="0"/>
              <w:rPr>
                <w:sz w:val="20"/>
                <w:szCs w:val="20"/>
                <w:color w:val="auto"/>
              </w:rPr>
            </w:pPr>
            <w:r>
              <w:rPr>
                <w:rFonts w:ascii="Arial" w:cs="Arial" w:eastAsia="Arial" w:hAnsi="Arial"/>
                <w:sz w:val="14"/>
                <w:szCs w:val="14"/>
                <w:color w:val="auto"/>
              </w:rPr>
              <w:t>NJ</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24,715</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36,645</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3,945</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57,415</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61,360</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44,188</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1958</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12/28/1989</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BRISTOL PLAZA</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(Connecticut)</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CT</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3,856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15,959</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9,973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3,856</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25,932</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29,788</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15,596</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9/22/1995</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BROOK 35 (New</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Jersey)</w:t>
            </w:r>
          </w:p>
        </w:tc>
        <w:tc>
          <w:tcPr>
            <w:tcW w:w="520" w:type="dxa"/>
            <w:vAlign w:val="bottom"/>
          </w:tcPr>
          <w:p>
            <w:pPr>
              <w:ind w:left="140"/>
              <w:spacing w:after="0"/>
              <w:rPr>
                <w:sz w:val="20"/>
                <w:szCs w:val="20"/>
                <w:color w:val="auto"/>
              </w:rPr>
            </w:pPr>
            <w:r>
              <w:rPr>
                <w:rFonts w:ascii="Arial" w:cs="Arial" w:eastAsia="Arial" w:hAnsi="Arial"/>
                <w:sz w:val="14"/>
                <w:szCs w:val="14"/>
                <w:color w:val="auto"/>
              </w:rPr>
              <w:t>NJ</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11,500</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7,128</w:t>
            </w:r>
          </w:p>
        </w:tc>
        <w:tc>
          <w:tcPr>
            <w:tcW w:w="100" w:type="dxa"/>
            <w:vAlign w:val="bottom"/>
          </w:tcPr>
          <w:p>
            <w:pPr>
              <w:spacing w:after="0"/>
              <w:rPr>
                <w:sz w:val="16"/>
                <w:szCs w:val="16"/>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38,355</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1,334</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7,128</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39,689</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46,817</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2,662</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1986/2004</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1/1/2014</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CHELSEA</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8/25/06,</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COMMONS</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1/30/07, &amp;</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6,602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9,417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19,466</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13,853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9,396</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33,340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42,736</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6,482</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1962/1969/2008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7/16/08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5/4/15,</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40"/>
              <w:spacing w:after="0" w:line="149" w:lineRule="exact"/>
              <w:rPr>
                <w:sz w:val="20"/>
                <w:szCs w:val="20"/>
                <w:color w:val="auto"/>
              </w:rPr>
            </w:pPr>
            <w:r>
              <w:rPr>
                <w:rFonts w:ascii="Arial" w:cs="Arial" w:eastAsia="Arial" w:hAnsi="Arial"/>
                <w:sz w:val="14"/>
                <w:szCs w:val="14"/>
                <w:color w:val="auto"/>
              </w:rPr>
              <w:t>COCOWALK</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1990/1994,</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7/1/15, &amp;</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(Florida)</w:t>
            </w:r>
          </w:p>
        </w:tc>
        <w:tc>
          <w:tcPr>
            <w:tcW w:w="520" w:type="dxa"/>
            <w:vAlign w:val="bottom"/>
          </w:tcPr>
          <w:p>
            <w:pPr>
              <w:ind w:left="140"/>
              <w:spacing w:after="0"/>
              <w:rPr>
                <w:sz w:val="20"/>
                <w:szCs w:val="20"/>
                <w:color w:val="auto"/>
              </w:rPr>
            </w:pPr>
            <w:r>
              <w:rPr>
                <w:rFonts w:ascii="Arial" w:cs="Arial" w:eastAsia="Arial" w:hAnsi="Arial"/>
                <w:sz w:val="14"/>
                <w:szCs w:val="14"/>
                <w:color w:val="auto"/>
              </w:rPr>
              <w:t>FL</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28,149</w:t>
            </w:r>
          </w:p>
        </w:tc>
        <w:tc>
          <w:tcPr>
            <w:tcW w:w="100" w:type="dxa"/>
            <w:vAlign w:val="bottom"/>
          </w:tcPr>
          <w:p>
            <w:pPr>
              <w:spacing w:after="0"/>
              <w:rPr>
                <w:sz w:val="16"/>
                <w:szCs w:val="16"/>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70,091</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28,149</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70,810</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98,959</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1,764</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1922-1973</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12/16/15</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COLORADO</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12/31/96 &amp;</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BLVD (California)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5,262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4,071</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8,669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5,262</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12,740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18,002</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9,804</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1905-1988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8/14/98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w w:val="98"/>
              </w:rPr>
              <w:t>CONGRESSIONAL</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PLAZA (Maryland)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2,793</w:t>
            </w:r>
          </w:p>
        </w:tc>
        <w:tc>
          <w:tcPr>
            <w:tcW w:w="100" w:type="dxa"/>
            <w:vAlign w:val="bottom"/>
          </w:tcPr>
          <w:p>
            <w:pPr>
              <w:spacing w:after="0"/>
              <w:rPr>
                <w:sz w:val="16"/>
                <w:szCs w:val="16"/>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7,424</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80,282</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1,020</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89,479</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90,499</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48,023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1965/2003</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4/1/1965</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COURTHOUSE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CENTER</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1,750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1,869</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1,114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1,750</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2,983</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4,733</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1,658</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12/17/1997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CROSSROADS</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(Illinois)</w:t>
            </w:r>
          </w:p>
        </w:tc>
        <w:tc>
          <w:tcPr>
            <w:tcW w:w="520" w:type="dxa"/>
            <w:vAlign w:val="bottom"/>
          </w:tcPr>
          <w:p>
            <w:pPr>
              <w:ind w:left="140"/>
              <w:spacing w:after="0"/>
              <w:rPr>
                <w:sz w:val="20"/>
                <w:szCs w:val="20"/>
                <w:color w:val="auto"/>
              </w:rPr>
            </w:pPr>
            <w:r>
              <w:rPr>
                <w:rFonts w:ascii="Arial" w:cs="Arial" w:eastAsia="Arial" w:hAnsi="Arial"/>
                <w:sz w:val="14"/>
                <w:szCs w:val="14"/>
                <w:color w:val="auto"/>
              </w:rPr>
              <w:t>IL</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4,635</w:t>
            </w:r>
          </w:p>
        </w:tc>
        <w:tc>
          <w:tcPr>
            <w:tcW w:w="100" w:type="dxa"/>
            <w:vAlign w:val="bottom"/>
          </w:tcPr>
          <w:p>
            <w:pPr>
              <w:spacing w:after="0"/>
              <w:rPr>
                <w:sz w:val="16"/>
                <w:szCs w:val="16"/>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11,611</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15,188</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4,635</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26,799</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31,434</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14,909</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1959</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7/19/1993</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CROW CANYON</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COMMONS</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Late 1970's/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12/29/05 &amp;</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27,245</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54,575</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6,414</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27,245</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60,989</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88,234</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17,659</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1998/2006</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2/28/07</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27"/>
        </w:trPr>
        <w:tc>
          <w:tcPr>
            <w:tcW w:w="12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6" w:right="2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ind w:left="40"/>
              <w:spacing w:after="0"/>
              <w:rPr>
                <w:sz w:val="20"/>
                <w:szCs w:val="20"/>
                <w:color w:val="auto"/>
              </w:rPr>
            </w:pPr>
            <w:r>
              <w:rPr>
                <w:rFonts w:ascii="Arial" w:cs="Arial" w:eastAsia="Arial" w:hAnsi="Arial"/>
                <w:sz w:val="13"/>
                <w:szCs w:val="13"/>
                <w:b w:val="1"/>
                <w:bCs w:val="1"/>
                <w:color w:val="auto"/>
              </w:rPr>
              <w:t>COLUMN A</w:t>
            </w:r>
          </w:p>
        </w:tc>
        <w:tc>
          <w:tcPr>
            <w:tcW w:w="5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COLUMN D</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COLUMN E</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F</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H</w:t>
            </w:r>
          </w:p>
        </w:tc>
        <w:tc>
          <w:tcPr>
            <w:tcW w:w="760" w:type="dxa"/>
            <w:vAlign w:val="bottom"/>
          </w:tcPr>
          <w:p>
            <w:pPr>
              <w:ind w:left="2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18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3"/>
              </w:rPr>
              <w:t>Life on</w:t>
            </w:r>
          </w:p>
        </w:tc>
        <w:tc>
          <w:tcPr>
            <w:tcW w:w="0" w:type="dxa"/>
            <w:vAlign w:val="bottom"/>
          </w:tcPr>
          <w:p>
            <w:pPr>
              <w:spacing w:after="0"/>
              <w:rPr>
                <w:sz w:val="1"/>
                <w:szCs w:val="1"/>
                <w:color w:val="auto"/>
              </w:rPr>
            </w:pPr>
          </w:p>
        </w:tc>
      </w:tr>
      <w:tr>
        <w:trPr>
          <w:trHeight w:val="153"/>
        </w:trPr>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Gross amount at which carried at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Cost</w:t>
            </w:r>
          </w:p>
        </w:tc>
        <w:tc>
          <w:tcPr>
            <w:tcW w:w="780" w:type="dxa"/>
            <w:vAlign w:val="bottom"/>
          </w:tcPr>
          <w:p>
            <w:pPr>
              <w:spacing w:after="0"/>
              <w:rPr>
                <w:sz w:val="11"/>
                <w:szCs w:val="11"/>
                <w:color w:val="auto"/>
              </w:rPr>
            </w:pPr>
          </w:p>
        </w:tc>
        <w:tc>
          <w:tcPr>
            <w:tcW w:w="10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80" w:type="dxa"/>
            <w:vAlign w:val="bottom"/>
            <w:gridSpan w:val="2"/>
            <w:vMerge w:val="restart"/>
          </w:tcPr>
          <w:p>
            <w:pPr>
              <w:jc w:val="center"/>
              <w:ind w:right="10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rPr>
              <w:t>Accumulated</w:t>
            </w: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Depreciation</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and</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4"/>
              </w:rPr>
              <w:t>statements is</w:t>
            </w:r>
          </w:p>
        </w:tc>
        <w:tc>
          <w:tcPr>
            <w:tcW w:w="0" w:type="dxa"/>
            <w:vAlign w:val="bottom"/>
          </w:tcPr>
          <w:p>
            <w:pPr>
              <w:spacing w:after="0"/>
              <w:rPr>
                <w:sz w:val="1"/>
                <w:szCs w:val="1"/>
                <w:color w:val="auto"/>
              </w:rPr>
            </w:pPr>
          </w:p>
        </w:tc>
      </w:tr>
      <w:tr>
        <w:trPr>
          <w:trHeight w:val="174"/>
        </w:trPr>
        <w:tc>
          <w:tcPr>
            <w:tcW w:w="118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5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Encumbrance</w:t>
            </w:r>
          </w:p>
        </w:tc>
        <w:tc>
          <w:tcPr>
            <w:tcW w:w="86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10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Acquisition</w:t>
            </w:r>
          </w:p>
        </w:tc>
        <w:tc>
          <w:tcPr>
            <w:tcW w:w="780" w:type="dxa"/>
            <w:vAlign w:val="bottom"/>
          </w:tcPr>
          <w:p>
            <w:pPr>
              <w:jc w:val="right"/>
              <w:ind w:right="189"/>
              <w:spacing w:after="0"/>
              <w:rPr>
                <w:sz w:val="20"/>
                <w:szCs w:val="20"/>
                <w:color w:val="auto"/>
              </w:rPr>
            </w:pPr>
            <w:r>
              <w:rPr>
                <w:rFonts w:ascii="Arial" w:cs="Arial" w:eastAsia="Arial" w:hAnsi="Arial"/>
                <w:sz w:val="13"/>
                <w:szCs w:val="13"/>
                <w:b w:val="1"/>
                <w:bCs w:val="1"/>
                <w:color w:val="auto"/>
              </w:rPr>
              <w:t>Land</w:t>
            </w:r>
          </w:p>
        </w:tc>
        <w:tc>
          <w:tcPr>
            <w:tcW w:w="10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Improvements</w:t>
            </w:r>
          </w:p>
        </w:tc>
        <w:tc>
          <w:tcPr>
            <w:tcW w:w="620" w:type="dxa"/>
            <w:vAlign w:val="bottom"/>
          </w:tcPr>
          <w:p>
            <w:pPr>
              <w:jc w:val="right"/>
              <w:ind w:right="109"/>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180" w:type="dxa"/>
            <w:vAlign w:val="bottom"/>
            <w:tcBorders>
              <w:top w:val="single" w:sz="8" w:color="auto"/>
            </w:tcBorders>
          </w:tcPr>
          <w:p>
            <w:pPr>
              <w:ind w:left="40"/>
              <w:spacing w:after="0" w:line="157" w:lineRule="exact"/>
              <w:rPr>
                <w:sz w:val="20"/>
                <w:szCs w:val="20"/>
                <w:color w:val="auto"/>
              </w:rPr>
            </w:pPr>
            <w:r>
              <w:rPr>
                <w:rFonts w:ascii="Arial" w:cs="Arial" w:eastAsia="Arial" w:hAnsi="Arial"/>
                <w:sz w:val="14"/>
                <w:szCs w:val="14"/>
                <w:color w:val="auto"/>
              </w:rPr>
              <w:t>DARIEN</w:t>
            </w:r>
          </w:p>
        </w:tc>
        <w:tc>
          <w:tcPr>
            <w:tcW w:w="5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(Connecticut)</w:t>
            </w:r>
          </w:p>
        </w:tc>
        <w:tc>
          <w:tcPr>
            <w:tcW w:w="520" w:type="dxa"/>
            <w:vAlign w:val="bottom"/>
          </w:tcPr>
          <w:p>
            <w:pPr>
              <w:ind w:left="140"/>
              <w:spacing w:after="0"/>
              <w:rPr>
                <w:sz w:val="20"/>
                <w:szCs w:val="20"/>
                <w:color w:val="auto"/>
              </w:rPr>
            </w:pPr>
            <w:r>
              <w:rPr>
                <w:rFonts w:ascii="Arial" w:cs="Arial" w:eastAsia="Arial" w:hAnsi="Arial"/>
                <w:sz w:val="14"/>
                <w:szCs w:val="14"/>
                <w:color w:val="auto"/>
              </w:rPr>
              <w:t>CT</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29,809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18,302</w:t>
            </w:r>
          </w:p>
        </w:tc>
        <w:tc>
          <w:tcPr>
            <w:tcW w:w="880" w:type="dxa"/>
            <w:vAlign w:val="bottom"/>
            <w:gridSpan w:val="2"/>
          </w:tcPr>
          <w:p>
            <w:pPr>
              <w:jc w:val="right"/>
              <w:ind w:right="57"/>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29,809</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18,582</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48,391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1,777</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1920-2009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4/3/2013</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DEDHAM</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PLAZA</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MA</w:t>
            </w: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12,287</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12,918</w:t>
            </w:r>
          </w:p>
        </w:tc>
        <w:tc>
          <w:tcPr>
            <w:tcW w:w="88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9,887</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12,287</w:t>
            </w:r>
          </w:p>
        </w:tc>
        <w:tc>
          <w:tcPr>
            <w:tcW w:w="9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22,805</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35,092</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13,797</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1959</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12/31/1993</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DEL MAR</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5/30/08,</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VILLAGE</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7/11/08, &amp;</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(Florida)</w:t>
            </w:r>
          </w:p>
        </w:tc>
        <w:tc>
          <w:tcPr>
            <w:tcW w:w="520" w:type="dxa"/>
            <w:vAlign w:val="bottom"/>
          </w:tcPr>
          <w:p>
            <w:pPr>
              <w:ind w:left="140"/>
              <w:spacing w:after="0"/>
              <w:rPr>
                <w:sz w:val="20"/>
                <w:szCs w:val="20"/>
                <w:color w:val="auto"/>
              </w:rPr>
            </w:pPr>
            <w:r>
              <w:rPr>
                <w:rFonts w:ascii="Arial" w:cs="Arial" w:eastAsia="Arial" w:hAnsi="Arial"/>
                <w:sz w:val="14"/>
                <w:szCs w:val="14"/>
                <w:color w:val="auto"/>
              </w:rPr>
              <w:t>FL</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15,624</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41,712</w:t>
            </w:r>
          </w:p>
        </w:tc>
        <w:tc>
          <w:tcPr>
            <w:tcW w:w="880" w:type="dxa"/>
            <w:vAlign w:val="bottom"/>
            <w:gridSpan w:val="2"/>
          </w:tcPr>
          <w:p>
            <w:pPr>
              <w:jc w:val="right"/>
              <w:ind w:right="57"/>
              <w:spacing w:after="0"/>
              <w:rPr>
                <w:sz w:val="20"/>
                <w:szCs w:val="20"/>
                <w:color w:val="auto"/>
              </w:rPr>
            </w:pPr>
            <w:r>
              <w:rPr>
                <w:rFonts w:ascii="Arial" w:cs="Arial" w:eastAsia="Arial" w:hAnsi="Arial"/>
                <w:sz w:val="14"/>
                <w:szCs w:val="14"/>
                <w:color w:val="auto"/>
              </w:rPr>
              <w:t>3,063</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15,587</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44,812</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60,399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17,250</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w w:val="92"/>
              </w:rPr>
              <w:t>1982/1994/2007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10/14/14</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EAST BAY</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BRIDGE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1994-2001,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29,079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138,035</w:t>
            </w:r>
          </w:p>
        </w:tc>
        <w:tc>
          <w:tcPr>
            <w:tcW w:w="88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8,666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29,079</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146,701</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175,780</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14,449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2011/2012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12/21/2012</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EASTGATE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(North Carolina)</w:t>
            </w:r>
          </w:p>
        </w:tc>
        <w:tc>
          <w:tcPr>
            <w:tcW w:w="520" w:type="dxa"/>
            <w:vAlign w:val="bottom"/>
          </w:tcPr>
          <w:p>
            <w:pPr>
              <w:ind w:left="140"/>
              <w:spacing w:after="0"/>
              <w:rPr>
                <w:sz w:val="20"/>
                <w:szCs w:val="20"/>
                <w:color w:val="auto"/>
              </w:rPr>
            </w:pPr>
            <w:r>
              <w:rPr>
                <w:rFonts w:ascii="Arial" w:cs="Arial" w:eastAsia="Arial" w:hAnsi="Arial"/>
                <w:sz w:val="14"/>
                <w:szCs w:val="14"/>
                <w:color w:val="auto"/>
              </w:rPr>
              <w:t>NC</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1,608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5,775</w:t>
            </w:r>
          </w:p>
        </w:tc>
        <w:tc>
          <w:tcPr>
            <w:tcW w:w="880" w:type="dxa"/>
            <w:vAlign w:val="bottom"/>
            <w:gridSpan w:val="2"/>
          </w:tcPr>
          <w:p>
            <w:pPr>
              <w:jc w:val="right"/>
              <w:ind w:right="57"/>
              <w:spacing w:after="0"/>
              <w:rPr>
                <w:sz w:val="20"/>
                <w:szCs w:val="20"/>
                <w:color w:val="auto"/>
              </w:rPr>
            </w:pPr>
            <w:r>
              <w:rPr>
                <w:rFonts w:ascii="Arial" w:cs="Arial" w:eastAsia="Arial" w:hAnsi="Arial"/>
                <w:sz w:val="14"/>
                <w:szCs w:val="14"/>
                <w:color w:val="auto"/>
              </w:rPr>
              <w:t>20,754</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1,608</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26,529</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28,137</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18,307</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1963</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12/18/1986</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ELLISBURG</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NJ</w:t>
            </w: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4,028</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11,309</w:t>
            </w:r>
          </w:p>
        </w:tc>
        <w:tc>
          <w:tcPr>
            <w:tcW w:w="88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19,590</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4,013</w:t>
            </w:r>
          </w:p>
        </w:tc>
        <w:tc>
          <w:tcPr>
            <w:tcW w:w="9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30,914</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34,927</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18,354</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1959</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10/16/1992</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ESCONDIDO</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PROMENADE</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12/31/96 &amp;</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Pr>
          <w:p>
            <w:pPr>
              <w:ind w:left="140"/>
              <w:spacing w:after="0"/>
              <w:rPr>
                <w:sz w:val="20"/>
                <w:szCs w:val="20"/>
                <w:color w:val="auto"/>
              </w:rPr>
            </w:pPr>
            <w:r>
              <w:rPr>
                <w:rFonts w:ascii="Arial" w:cs="Arial" w:eastAsia="Arial" w:hAnsi="Arial"/>
                <w:sz w:val="14"/>
                <w:szCs w:val="14"/>
                <w:color w:val="auto"/>
              </w:rPr>
              <w:t>CA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19,117</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15,829</w:t>
            </w:r>
          </w:p>
        </w:tc>
        <w:tc>
          <w:tcPr>
            <w:tcW w:w="880" w:type="dxa"/>
            <w:vAlign w:val="bottom"/>
            <w:gridSpan w:val="2"/>
          </w:tcPr>
          <w:p>
            <w:pPr>
              <w:jc w:val="right"/>
              <w:ind w:right="57"/>
              <w:spacing w:after="0"/>
              <w:rPr>
                <w:sz w:val="20"/>
                <w:szCs w:val="20"/>
                <w:color w:val="auto"/>
              </w:rPr>
            </w:pPr>
            <w:r>
              <w:rPr>
                <w:rFonts w:ascii="Arial" w:cs="Arial" w:eastAsia="Arial" w:hAnsi="Arial"/>
                <w:sz w:val="14"/>
                <w:szCs w:val="14"/>
                <w:color w:val="auto"/>
              </w:rPr>
              <w:t>12,158</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19,117</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27,987</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47,104</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13,477</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1987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11/10/10</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FALLS PLAZA</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9/30/67 &amp;</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1,798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1,270</w:t>
            </w:r>
          </w:p>
        </w:tc>
        <w:tc>
          <w:tcPr>
            <w:tcW w:w="88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9,779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1,819</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11,028</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12,847</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7,928</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1960/1962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10/05/72</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FEDERAL</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PLAZA</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10,216</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17,895</w:t>
            </w:r>
          </w:p>
        </w:tc>
        <w:tc>
          <w:tcPr>
            <w:tcW w:w="880" w:type="dxa"/>
            <w:vAlign w:val="bottom"/>
            <w:gridSpan w:val="2"/>
          </w:tcPr>
          <w:p>
            <w:pPr>
              <w:jc w:val="right"/>
              <w:ind w:right="57"/>
              <w:spacing w:after="0"/>
              <w:rPr>
                <w:sz w:val="20"/>
                <w:szCs w:val="20"/>
                <w:color w:val="auto"/>
              </w:rPr>
            </w:pPr>
            <w:r>
              <w:rPr>
                <w:rFonts w:ascii="Arial" w:cs="Arial" w:eastAsia="Arial" w:hAnsi="Arial"/>
                <w:sz w:val="14"/>
                <w:szCs w:val="14"/>
                <w:color w:val="auto"/>
              </w:rPr>
              <w:t>37,860</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10,216</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55,755</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65,971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39,128</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6/29/1989</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FINLEY</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SQUARE (Illinois)</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IL</w:t>
            </w: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9,252</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9,544</w:t>
            </w:r>
          </w:p>
        </w:tc>
        <w:tc>
          <w:tcPr>
            <w:tcW w:w="88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16,032</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9,252</w:t>
            </w:r>
          </w:p>
        </w:tc>
        <w:tc>
          <w:tcPr>
            <w:tcW w:w="9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25,576</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34,828</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17,459</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1974</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4/27/1995</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FLOURTOWN</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tcPr>
          <w:p>
            <w:pPr>
              <w:ind w:left="140"/>
              <w:spacing w:after="0"/>
              <w:rPr>
                <w:sz w:val="20"/>
                <w:szCs w:val="20"/>
                <w:color w:val="auto"/>
              </w:rPr>
            </w:pPr>
            <w:r>
              <w:rPr>
                <w:rFonts w:ascii="Arial" w:cs="Arial" w:eastAsia="Arial" w:hAnsi="Arial"/>
                <w:sz w:val="14"/>
                <w:szCs w:val="14"/>
                <w:color w:val="auto"/>
              </w:rPr>
              <w:t>PA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1,345</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3,943</w:t>
            </w:r>
          </w:p>
        </w:tc>
        <w:tc>
          <w:tcPr>
            <w:tcW w:w="880" w:type="dxa"/>
            <w:vAlign w:val="bottom"/>
            <w:gridSpan w:val="2"/>
          </w:tcPr>
          <w:p>
            <w:pPr>
              <w:jc w:val="right"/>
              <w:ind w:right="57"/>
              <w:spacing w:after="0"/>
              <w:rPr>
                <w:sz w:val="20"/>
                <w:szCs w:val="20"/>
                <w:color w:val="auto"/>
              </w:rPr>
            </w:pPr>
            <w:r>
              <w:rPr>
                <w:rFonts w:ascii="Arial" w:cs="Arial" w:eastAsia="Arial" w:hAnsi="Arial"/>
                <w:sz w:val="14"/>
                <w:szCs w:val="14"/>
                <w:color w:val="auto"/>
              </w:rPr>
              <w:t>11,353</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1,345</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15,296</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16,641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4,886</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4/25/1980</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FRESH</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MEADOWS (New</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York)</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NY</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24,625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25,255</w:t>
            </w:r>
          </w:p>
        </w:tc>
        <w:tc>
          <w:tcPr>
            <w:tcW w:w="88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31,046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24,633</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56,293</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80,926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33,120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1946-1949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12/5/1997</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FRIENDSHIP</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CENTER (District</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of Columbia)</w:t>
            </w:r>
          </w:p>
        </w:tc>
        <w:tc>
          <w:tcPr>
            <w:tcW w:w="520" w:type="dxa"/>
            <w:vAlign w:val="bottom"/>
          </w:tcPr>
          <w:p>
            <w:pPr>
              <w:ind w:left="140"/>
              <w:spacing w:after="0"/>
              <w:rPr>
                <w:sz w:val="20"/>
                <w:szCs w:val="20"/>
                <w:color w:val="auto"/>
              </w:rPr>
            </w:pPr>
            <w:r>
              <w:rPr>
                <w:rFonts w:ascii="Arial" w:cs="Arial" w:eastAsia="Arial" w:hAnsi="Arial"/>
                <w:sz w:val="14"/>
                <w:szCs w:val="14"/>
                <w:color w:val="auto"/>
              </w:rPr>
              <w:t>DC</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12,696</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20,803</w:t>
            </w:r>
          </w:p>
        </w:tc>
        <w:tc>
          <w:tcPr>
            <w:tcW w:w="880" w:type="dxa"/>
            <w:vAlign w:val="bottom"/>
            <w:gridSpan w:val="2"/>
          </w:tcPr>
          <w:p>
            <w:pPr>
              <w:jc w:val="right"/>
              <w:ind w:right="57"/>
              <w:spacing w:after="0"/>
              <w:rPr>
                <w:sz w:val="20"/>
                <w:szCs w:val="20"/>
                <w:color w:val="auto"/>
              </w:rPr>
            </w:pPr>
            <w:r>
              <w:rPr>
                <w:rFonts w:ascii="Arial" w:cs="Arial" w:eastAsia="Arial" w:hAnsi="Arial"/>
                <w:sz w:val="14"/>
                <w:szCs w:val="14"/>
                <w:color w:val="auto"/>
              </w:rPr>
              <w:t>4,020</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12,696</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24,823</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37,519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9,900</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1998</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9/21/2001</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GAITHERSBURG</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SQUARE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7,701</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5,271</w:t>
            </w:r>
          </w:p>
        </w:tc>
        <w:tc>
          <w:tcPr>
            <w:tcW w:w="88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13,702</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5,973</w:t>
            </w:r>
          </w:p>
        </w:tc>
        <w:tc>
          <w:tcPr>
            <w:tcW w:w="9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20,701</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26,674</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16,778</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1966</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4/22/1993</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GARDEN</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MARKET</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(Illinois)</w:t>
            </w:r>
          </w:p>
        </w:tc>
        <w:tc>
          <w:tcPr>
            <w:tcW w:w="520" w:type="dxa"/>
            <w:vAlign w:val="bottom"/>
          </w:tcPr>
          <w:p>
            <w:pPr>
              <w:ind w:left="140"/>
              <w:spacing w:after="0"/>
              <w:rPr>
                <w:sz w:val="20"/>
                <w:szCs w:val="20"/>
                <w:color w:val="auto"/>
              </w:rPr>
            </w:pPr>
            <w:r>
              <w:rPr>
                <w:rFonts w:ascii="Arial" w:cs="Arial" w:eastAsia="Arial" w:hAnsi="Arial"/>
                <w:sz w:val="14"/>
                <w:szCs w:val="14"/>
                <w:color w:val="auto"/>
              </w:rPr>
              <w:t>IL</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2,677</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4,829</w:t>
            </w:r>
          </w:p>
        </w:tc>
        <w:tc>
          <w:tcPr>
            <w:tcW w:w="880" w:type="dxa"/>
            <w:vAlign w:val="bottom"/>
            <w:gridSpan w:val="2"/>
          </w:tcPr>
          <w:p>
            <w:pPr>
              <w:jc w:val="right"/>
              <w:ind w:right="57"/>
              <w:spacing w:after="0"/>
              <w:rPr>
                <w:sz w:val="20"/>
                <w:szCs w:val="20"/>
                <w:color w:val="auto"/>
              </w:rPr>
            </w:pPr>
            <w:r>
              <w:rPr>
                <w:rFonts w:ascii="Arial" w:cs="Arial" w:eastAsia="Arial" w:hAnsi="Arial"/>
                <w:sz w:val="14"/>
                <w:szCs w:val="14"/>
                <w:color w:val="auto"/>
              </w:rPr>
              <w:t>5,387</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2,677</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10,216</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12,893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6,540</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1958</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7/28/1994</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GOVERNOR</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PLAZA</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2,068</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4,905</w:t>
            </w:r>
          </w:p>
        </w:tc>
        <w:tc>
          <w:tcPr>
            <w:tcW w:w="88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20,184</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2,068</w:t>
            </w:r>
          </w:p>
        </w:tc>
        <w:tc>
          <w:tcPr>
            <w:tcW w:w="9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25,089</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27,157</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18,201</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1963</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10/1/1985</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GRAHAM PARK</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PLAZA (Virginia)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1,237</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15,096</w:t>
            </w:r>
          </w:p>
        </w:tc>
        <w:tc>
          <w:tcPr>
            <w:tcW w:w="880" w:type="dxa"/>
            <w:vAlign w:val="bottom"/>
            <w:gridSpan w:val="2"/>
          </w:tcPr>
          <w:p>
            <w:pPr>
              <w:jc w:val="right"/>
              <w:ind w:right="57"/>
              <w:spacing w:after="0"/>
              <w:rPr>
                <w:sz w:val="20"/>
                <w:szCs w:val="20"/>
                <w:color w:val="auto"/>
              </w:rPr>
            </w:pPr>
            <w:r>
              <w:rPr>
                <w:rFonts w:ascii="Arial" w:cs="Arial" w:eastAsia="Arial" w:hAnsi="Arial"/>
                <w:sz w:val="14"/>
                <w:szCs w:val="14"/>
                <w:color w:val="auto"/>
              </w:rPr>
              <w:t>18,002</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1,169</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33,166</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34,335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25,958</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7/21/1983</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GRATIOT PLAZA</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(Michigan)</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MI</w:t>
            </w: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525</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1,601</w:t>
            </w:r>
          </w:p>
        </w:tc>
        <w:tc>
          <w:tcPr>
            <w:tcW w:w="88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17,439</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525</w:t>
            </w:r>
          </w:p>
        </w:tc>
        <w:tc>
          <w:tcPr>
            <w:tcW w:w="9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19,040</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19,565</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16,001</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1964</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3/29/1973</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8"/>
              </w:rPr>
              <w:t>25.75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GREENWICH</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AVENUE</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(Connecticut)</w:t>
            </w:r>
          </w:p>
        </w:tc>
        <w:tc>
          <w:tcPr>
            <w:tcW w:w="520" w:type="dxa"/>
            <w:vAlign w:val="bottom"/>
          </w:tcPr>
          <w:p>
            <w:pPr>
              <w:ind w:left="140"/>
              <w:spacing w:after="0"/>
              <w:rPr>
                <w:sz w:val="20"/>
                <w:szCs w:val="20"/>
                <w:color w:val="auto"/>
              </w:rPr>
            </w:pPr>
            <w:r>
              <w:rPr>
                <w:rFonts w:ascii="Arial" w:cs="Arial" w:eastAsia="Arial" w:hAnsi="Arial"/>
                <w:sz w:val="14"/>
                <w:szCs w:val="14"/>
                <w:color w:val="auto"/>
              </w:rPr>
              <w:t>CT</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7,484</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5,444</w:t>
            </w:r>
          </w:p>
        </w:tc>
        <w:tc>
          <w:tcPr>
            <w:tcW w:w="880" w:type="dxa"/>
            <w:vAlign w:val="bottom"/>
            <w:gridSpan w:val="2"/>
          </w:tcPr>
          <w:p>
            <w:pPr>
              <w:jc w:val="right"/>
              <w:ind w:right="57"/>
              <w:spacing w:after="0"/>
              <w:rPr>
                <w:sz w:val="20"/>
                <w:szCs w:val="20"/>
                <w:color w:val="auto"/>
              </w:rPr>
            </w:pPr>
            <w:r>
              <w:rPr>
                <w:rFonts w:ascii="Arial" w:cs="Arial" w:eastAsia="Arial" w:hAnsi="Arial"/>
                <w:sz w:val="14"/>
                <w:szCs w:val="14"/>
                <w:color w:val="auto"/>
              </w:rPr>
              <w:t>1,169</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7,484</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6,613</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14,097</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3,782</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1968</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4/12/1995</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HAUPPAUGE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NY</w:t>
            </w: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8,791</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15,262</w:t>
            </w:r>
          </w:p>
        </w:tc>
        <w:tc>
          <w:tcPr>
            <w:tcW w:w="88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4,593</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8,426</w:t>
            </w:r>
          </w:p>
        </w:tc>
        <w:tc>
          <w:tcPr>
            <w:tcW w:w="9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20,220</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28,646</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10,295</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1963</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8/6/1998</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HERMOSA</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AVENUE</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8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Pr>
          <w:p>
            <w:pPr>
              <w:ind w:left="140"/>
              <w:spacing w:after="0"/>
              <w:rPr>
                <w:sz w:val="20"/>
                <w:szCs w:val="20"/>
                <w:color w:val="auto"/>
              </w:rPr>
            </w:pPr>
            <w:r>
              <w:rPr>
                <w:rFonts w:ascii="Arial" w:cs="Arial" w:eastAsia="Arial" w:hAnsi="Arial"/>
                <w:sz w:val="14"/>
                <w:szCs w:val="14"/>
                <w:color w:val="auto"/>
              </w:rPr>
              <w:t>CA</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1,116</w:t>
            </w:r>
          </w:p>
        </w:tc>
        <w:tc>
          <w:tcPr>
            <w:tcW w:w="10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280</w:t>
            </w:r>
          </w:p>
        </w:tc>
        <w:tc>
          <w:tcPr>
            <w:tcW w:w="880" w:type="dxa"/>
            <w:vAlign w:val="bottom"/>
            <w:gridSpan w:val="2"/>
          </w:tcPr>
          <w:p>
            <w:pPr>
              <w:jc w:val="right"/>
              <w:ind w:right="57"/>
              <w:spacing w:after="0"/>
              <w:rPr>
                <w:sz w:val="20"/>
                <w:szCs w:val="20"/>
                <w:color w:val="auto"/>
              </w:rPr>
            </w:pPr>
            <w:r>
              <w:rPr>
                <w:rFonts w:ascii="Arial" w:cs="Arial" w:eastAsia="Arial" w:hAnsi="Arial"/>
                <w:sz w:val="14"/>
                <w:szCs w:val="14"/>
                <w:color w:val="auto"/>
              </w:rPr>
              <w:t>4,512</w:t>
            </w:r>
          </w:p>
        </w:tc>
        <w:tc>
          <w:tcPr>
            <w:tcW w:w="100" w:type="dxa"/>
            <w:vAlign w:val="bottom"/>
          </w:tcPr>
          <w:p>
            <w:pPr>
              <w:spacing w:after="0"/>
              <w:rPr>
                <w:sz w:val="15"/>
                <w:szCs w:val="15"/>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1,368</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4,540</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5,908</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2,978</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1922</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9/17/1997</w:t>
            </w:r>
          </w:p>
        </w:tc>
        <w:tc>
          <w:tcPr>
            <w:tcW w:w="12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6" w:right="2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ind w:left="40"/>
              <w:spacing w:after="0"/>
              <w:rPr>
                <w:sz w:val="20"/>
                <w:szCs w:val="20"/>
                <w:color w:val="auto"/>
              </w:rPr>
            </w:pPr>
            <w:r>
              <w:rPr>
                <w:rFonts w:ascii="Arial" w:cs="Arial" w:eastAsia="Arial" w:hAnsi="Arial"/>
                <w:sz w:val="13"/>
                <w:szCs w:val="13"/>
                <w:b w:val="1"/>
                <w:bCs w:val="1"/>
                <w:color w:val="auto"/>
              </w:rPr>
              <w:t>COLUMN A</w:t>
            </w:r>
          </w:p>
        </w:tc>
        <w:tc>
          <w:tcPr>
            <w:tcW w:w="5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COLUMN D</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COLUMN E</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COLUMN F</w:t>
            </w: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COLUMN G</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COLUMN H</w:t>
            </w:r>
          </w:p>
        </w:tc>
        <w:tc>
          <w:tcPr>
            <w:tcW w:w="720" w:type="dxa"/>
            <w:vAlign w:val="bottom"/>
          </w:tcPr>
          <w:p>
            <w:pPr>
              <w:ind w:left="2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18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gridSpan w:val="6"/>
            <w:vMerge w:val="restart"/>
          </w:tcPr>
          <w:p>
            <w:pPr>
              <w:jc w:val="center"/>
              <w:ind w:right="60"/>
              <w:spacing w:after="0"/>
              <w:rPr>
                <w:sz w:val="20"/>
                <w:szCs w:val="20"/>
                <w:color w:val="auto"/>
              </w:rPr>
            </w:pPr>
            <w:r>
              <w:rPr>
                <w:rFonts w:ascii="Arial" w:cs="Arial" w:eastAsia="Arial" w:hAnsi="Arial"/>
                <w:sz w:val="13"/>
                <w:szCs w:val="13"/>
                <w:b w:val="1"/>
                <w:bCs w:val="1"/>
                <w:color w:val="auto"/>
                <w:w w:val="87"/>
              </w:rPr>
              <w:t>Gross amount at which carried at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6"/>
            <w:vMerge w:val="continue"/>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6"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Borders>
              <w:bottom w:val="single" w:sz="8" w:color="auto"/>
            </w:tcBorders>
            <w:gridSpan w:val="3"/>
          </w:tcPr>
          <w:p>
            <w:pPr>
              <w:ind w:left="240"/>
              <w:spacing w:after="0" w:line="149" w:lineRule="exact"/>
              <w:rPr>
                <w:sz w:val="20"/>
                <w:szCs w:val="20"/>
                <w:color w:val="auto"/>
              </w:rPr>
            </w:pPr>
            <w:r>
              <w:rPr>
                <w:rFonts w:ascii="Arial" w:cs="Arial" w:eastAsia="Arial" w:hAnsi="Arial"/>
                <w:sz w:val="13"/>
                <w:szCs w:val="13"/>
                <w:b w:val="1"/>
                <w:bCs w:val="1"/>
                <w:color w:val="auto"/>
              </w:rPr>
              <w:t>Initial cost to company</w:t>
            </w: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3"/>
                <w:szCs w:val="13"/>
                <w:b w:val="1"/>
                <w:bCs w:val="1"/>
                <w:color w:val="auto"/>
                <w:w w:val="82"/>
              </w:rPr>
              <w:t>Cost</w:t>
            </w:r>
          </w:p>
        </w:tc>
        <w:tc>
          <w:tcPr>
            <w:tcW w:w="7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center"/>
              <w:ind w:right="240"/>
              <w:spacing w:after="0" w:line="149" w:lineRule="exact"/>
              <w:rPr>
                <w:sz w:val="20"/>
                <w:szCs w:val="20"/>
                <w:color w:val="auto"/>
              </w:rPr>
            </w:pPr>
            <w:r>
              <w:rPr>
                <w:rFonts w:ascii="Arial" w:cs="Arial" w:eastAsia="Arial" w:hAnsi="Arial"/>
                <w:sz w:val="13"/>
                <w:szCs w:val="13"/>
                <w:b w:val="1"/>
                <w:bCs w:val="1"/>
                <w:color w:val="auto"/>
                <w:w w:val="84"/>
              </w:rPr>
              <w:t>close of period</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80"/>
              <w:spacing w:after="0" w:line="110" w:lineRule="exact"/>
              <w:rPr>
                <w:sz w:val="20"/>
                <w:szCs w:val="20"/>
                <w:color w:val="auto"/>
              </w:rPr>
            </w:pPr>
            <w:r>
              <w:rPr>
                <w:rFonts w:ascii="Arial" w:cs="Arial" w:eastAsia="Arial" w:hAnsi="Arial"/>
                <w:sz w:val="12"/>
                <w:szCs w:val="12"/>
                <w:b w:val="1"/>
                <w:bCs w:val="1"/>
                <w:color w:val="auto"/>
                <w:w w:val="97"/>
              </w:rPr>
              <w:t>Capitalized</w:t>
            </w: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2"/>
              </w:rPr>
              <w:t>Accumulated</w:t>
            </w: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0"/>
              </w:rPr>
              <w:t>income</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Date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statements</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1"/>
                <w:szCs w:val="11"/>
                <w:color w:val="auto"/>
              </w:rPr>
            </w:pP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1"/>
              </w:rPr>
              <w:t>to</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and</w:t>
            </w: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of</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Date</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3"/>
              </w:rPr>
              <w:t>is</w:t>
            </w:r>
          </w:p>
        </w:tc>
        <w:tc>
          <w:tcPr>
            <w:tcW w:w="0" w:type="dxa"/>
            <w:vAlign w:val="bottom"/>
          </w:tcPr>
          <w:p>
            <w:pPr>
              <w:spacing w:after="0"/>
              <w:rPr>
                <w:sz w:val="1"/>
                <w:szCs w:val="1"/>
                <w:color w:val="auto"/>
              </w:rPr>
            </w:pPr>
          </w:p>
        </w:tc>
      </w:tr>
      <w:tr>
        <w:trPr>
          <w:trHeight w:val="174"/>
        </w:trPr>
        <w:tc>
          <w:tcPr>
            <w:tcW w:w="118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5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Encumbrance</w:t>
            </w:r>
          </w:p>
        </w:tc>
        <w:tc>
          <w:tcPr>
            <w:tcW w:w="86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100" w:type="dxa"/>
            <w:vAlign w:val="bottom"/>
          </w:tcPr>
          <w:p>
            <w:pPr>
              <w:spacing w:after="0"/>
              <w:rPr>
                <w:sz w:val="15"/>
                <w:szCs w:val="15"/>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Acquisition</w:t>
            </w:r>
          </w:p>
        </w:tc>
        <w:tc>
          <w:tcPr>
            <w:tcW w:w="760" w:type="dxa"/>
            <w:vAlign w:val="bottom"/>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120" w:type="dxa"/>
            <w:vAlign w:val="bottom"/>
          </w:tcPr>
          <w:p>
            <w:pPr>
              <w:spacing w:after="0"/>
              <w:rPr>
                <w:sz w:val="15"/>
                <w:szCs w:val="15"/>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Improvements</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Amortization</w:t>
            </w: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Construction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Acquired</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180" w:type="dxa"/>
            <w:vAlign w:val="bottom"/>
            <w:tcBorders>
              <w:top w:val="single" w:sz="8" w:color="auto"/>
            </w:tcBorders>
            <w:shd w:val="clear" w:color="auto" w:fill="CCEEFF"/>
          </w:tcPr>
          <w:p>
            <w:pPr>
              <w:ind w:left="40"/>
              <w:spacing w:after="0" w:line="157" w:lineRule="exact"/>
              <w:rPr>
                <w:sz w:val="20"/>
                <w:szCs w:val="20"/>
                <w:color w:val="auto"/>
              </w:rPr>
            </w:pPr>
            <w:r>
              <w:rPr>
                <w:rFonts w:ascii="Arial" w:cs="Arial" w:eastAsia="Arial" w:hAnsi="Arial"/>
                <w:sz w:val="14"/>
                <w:szCs w:val="14"/>
                <w:color w:val="auto"/>
              </w:rPr>
              <w:t>HOLLYWOOD</w:t>
            </w:r>
          </w:p>
        </w:tc>
        <w:tc>
          <w:tcPr>
            <w:tcW w:w="5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3/22/99 &amp;</w:t>
            </w: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BLVD (California)</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8,300</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16,920</w:t>
            </w:r>
          </w:p>
        </w:tc>
        <w:tc>
          <w:tcPr>
            <w:tcW w:w="8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21,199</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8,300</w:t>
            </w:r>
          </w:p>
        </w:tc>
        <w:tc>
          <w:tcPr>
            <w:tcW w:w="9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4"/>
                <w:szCs w:val="14"/>
                <w:color w:val="auto"/>
              </w:rPr>
              <w:t>38,119</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46,419</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11,765</w:t>
            </w: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1929/1991</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6/18/99</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12/12/88,</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HUNTINGTON</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10/26/07, &amp;</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(New York)</w:t>
            </w:r>
          </w:p>
        </w:tc>
        <w:tc>
          <w:tcPr>
            <w:tcW w:w="520" w:type="dxa"/>
            <w:vAlign w:val="bottom"/>
          </w:tcPr>
          <w:p>
            <w:pPr>
              <w:ind w:left="140"/>
              <w:spacing w:after="0"/>
              <w:rPr>
                <w:sz w:val="20"/>
                <w:szCs w:val="20"/>
                <w:color w:val="auto"/>
              </w:rPr>
            </w:pPr>
            <w:r>
              <w:rPr>
                <w:rFonts w:ascii="Arial" w:cs="Arial" w:eastAsia="Arial" w:hAnsi="Arial"/>
                <w:sz w:val="14"/>
                <w:szCs w:val="14"/>
                <w:color w:val="auto"/>
              </w:rPr>
              <w:t>NY</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12,195</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16,008</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16,134</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12,195</w:t>
            </w:r>
          </w:p>
        </w:tc>
        <w:tc>
          <w:tcPr>
            <w:tcW w:w="920" w:type="dxa"/>
            <w:vAlign w:val="bottom"/>
            <w:gridSpan w:val="2"/>
          </w:tcPr>
          <w:p>
            <w:pPr>
              <w:jc w:val="right"/>
              <w:ind w:right="34"/>
              <w:spacing w:after="0"/>
              <w:rPr>
                <w:sz w:val="20"/>
                <w:szCs w:val="20"/>
                <w:color w:val="auto"/>
              </w:rPr>
            </w:pPr>
            <w:r>
              <w:rPr>
                <w:rFonts w:ascii="Arial" w:cs="Arial" w:eastAsia="Arial" w:hAnsi="Arial"/>
                <w:sz w:val="14"/>
                <w:szCs w:val="14"/>
                <w:color w:val="auto"/>
              </w:rPr>
              <w:t>32,142</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44,337</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13,323</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1962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11/24/15</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HUNTINGTON</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SQUARE (New</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York)</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NY</w:t>
            </w: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10,075</w:t>
            </w:r>
          </w:p>
        </w:tc>
        <w:tc>
          <w:tcPr>
            <w:tcW w:w="8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2,164</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4"/>
                <w:szCs w:val="14"/>
                <w:color w:val="auto"/>
              </w:rPr>
              <w:t>12,239</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12,239</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2,236</w:t>
            </w: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1980/2004-2007</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8/16/2010</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IDYLWOOD</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PLAZA (Virginia)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4,308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10,026</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2,402</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4,308</w:t>
            </w:r>
          </w:p>
        </w:tc>
        <w:tc>
          <w:tcPr>
            <w:tcW w:w="920" w:type="dxa"/>
            <w:vAlign w:val="bottom"/>
            <w:gridSpan w:val="2"/>
          </w:tcPr>
          <w:p>
            <w:pPr>
              <w:jc w:val="right"/>
              <w:ind w:right="34"/>
              <w:spacing w:after="0"/>
              <w:rPr>
                <w:sz w:val="20"/>
                <w:szCs w:val="20"/>
                <w:color w:val="auto"/>
              </w:rPr>
            </w:pPr>
            <w:r>
              <w:rPr>
                <w:rFonts w:ascii="Arial" w:cs="Arial" w:eastAsia="Arial" w:hAnsi="Arial"/>
                <w:sz w:val="14"/>
                <w:szCs w:val="14"/>
                <w:color w:val="auto"/>
              </w:rPr>
              <w:t>12,428</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16,736</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8,031</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1991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4/15/1994</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KINGS COURT</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10,714</w:t>
            </w:r>
          </w:p>
        </w:tc>
        <w:tc>
          <w:tcPr>
            <w:tcW w:w="8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898</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4"/>
                <w:szCs w:val="14"/>
                <w:color w:val="auto"/>
              </w:rPr>
              <w:t>11,612</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11,612</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7,881</w:t>
            </w: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1960</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8/24/1998</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26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LANCASTER</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tcPr>
          <w:p>
            <w:pPr>
              <w:ind w:left="140"/>
              <w:spacing w:after="0"/>
              <w:rPr>
                <w:sz w:val="20"/>
                <w:szCs w:val="20"/>
                <w:color w:val="auto"/>
              </w:rPr>
            </w:pPr>
            <w:r>
              <w:rPr>
                <w:rFonts w:ascii="Arial" w:cs="Arial" w:eastAsia="Arial" w:hAnsi="Arial"/>
                <w:sz w:val="14"/>
                <w:szCs w:val="14"/>
                <w:color w:val="auto"/>
              </w:rPr>
              <w:t>PA</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4,907</w:t>
            </w:r>
          </w:p>
        </w:tc>
        <w:tc>
          <w:tcPr>
            <w:tcW w:w="10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2,103</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11,451</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75</w:t>
            </w:r>
          </w:p>
        </w:tc>
        <w:tc>
          <w:tcPr>
            <w:tcW w:w="920" w:type="dxa"/>
            <w:vAlign w:val="bottom"/>
            <w:gridSpan w:val="2"/>
          </w:tcPr>
          <w:p>
            <w:pPr>
              <w:jc w:val="right"/>
              <w:ind w:right="34"/>
              <w:spacing w:after="0"/>
              <w:rPr>
                <w:sz w:val="20"/>
                <w:szCs w:val="20"/>
                <w:color w:val="auto"/>
              </w:rPr>
            </w:pPr>
            <w:r>
              <w:rPr>
                <w:rFonts w:ascii="Arial" w:cs="Arial" w:eastAsia="Arial" w:hAnsi="Arial"/>
                <w:sz w:val="14"/>
                <w:szCs w:val="14"/>
                <w:color w:val="auto"/>
              </w:rPr>
              <w:t>13,479</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13,554</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7,714</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1958</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4/24/1980</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LANGHORNE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SQUARE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w:t>
            </w: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720</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2,974</w:t>
            </w:r>
          </w:p>
        </w:tc>
        <w:tc>
          <w:tcPr>
            <w:tcW w:w="8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18,068</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720</w:t>
            </w:r>
          </w:p>
        </w:tc>
        <w:tc>
          <w:tcPr>
            <w:tcW w:w="9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4"/>
                <w:szCs w:val="14"/>
                <w:color w:val="auto"/>
              </w:rPr>
              <w:t>21,042</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21,762</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13,690</w:t>
            </w: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1966</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1/31/1985</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LAUREL</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7,458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22,525</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25,425</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7,464</w:t>
            </w:r>
          </w:p>
        </w:tc>
        <w:tc>
          <w:tcPr>
            <w:tcW w:w="920" w:type="dxa"/>
            <w:vAlign w:val="bottom"/>
            <w:gridSpan w:val="2"/>
          </w:tcPr>
          <w:p>
            <w:pPr>
              <w:jc w:val="right"/>
              <w:ind w:right="34"/>
              <w:spacing w:after="0"/>
              <w:rPr>
                <w:sz w:val="20"/>
                <w:szCs w:val="20"/>
                <w:color w:val="auto"/>
              </w:rPr>
            </w:pPr>
            <w:r>
              <w:rPr>
                <w:rFonts w:ascii="Arial" w:cs="Arial" w:eastAsia="Arial" w:hAnsi="Arial"/>
                <w:sz w:val="14"/>
                <w:szCs w:val="14"/>
                <w:color w:val="auto"/>
              </w:rPr>
              <w:t>47,944</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55,408</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34,298</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1956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8/15/1986</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LAWRENCE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PARK</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w:t>
            </w: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5,723</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7,160</w:t>
            </w:r>
          </w:p>
        </w:tc>
        <w:tc>
          <w:tcPr>
            <w:tcW w:w="8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19,371</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5,734</w:t>
            </w:r>
          </w:p>
        </w:tc>
        <w:tc>
          <w:tcPr>
            <w:tcW w:w="9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4"/>
                <w:szCs w:val="14"/>
                <w:color w:val="auto"/>
              </w:rPr>
              <w:t>26,520</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32,254</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23,597</w:t>
            </w: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1972</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7/23/1980</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LEESBURG</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PLAZA (Virginia)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8,184</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10,722</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17,279</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8,184</w:t>
            </w:r>
          </w:p>
        </w:tc>
        <w:tc>
          <w:tcPr>
            <w:tcW w:w="920" w:type="dxa"/>
            <w:vAlign w:val="bottom"/>
            <w:gridSpan w:val="2"/>
          </w:tcPr>
          <w:p>
            <w:pPr>
              <w:jc w:val="right"/>
              <w:ind w:right="34"/>
              <w:spacing w:after="0"/>
              <w:rPr>
                <w:sz w:val="20"/>
                <w:szCs w:val="20"/>
                <w:color w:val="auto"/>
              </w:rPr>
            </w:pPr>
            <w:r>
              <w:rPr>
                <w:rFonts w:ascii="Arial" w:cs="Arial" w:eastAsia="Arial" w:hAnsi="Arial"/>
                <w:sz w:val="14"/>
                <w:szCs w:val="14"/>
                <w:color w:val="auto"/>
              </w:rPr>
              <w:t>28,001</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36,185</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13,117</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1967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9/15/1998</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LINDEN</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SQUARE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MA</w:t>
            </w: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79,382</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19,247</w:t>
            </w:r>
          </w:p>
        </w:tc>
        <w:tc>
          <w:tcPr>
            <w:tcW w:w="8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48,869</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79,269</w:t>
            </w:r>
          </w:p>
        </w:tc>
        <w:tc>
          <w:tcPr>
            <w:tcW w:w="9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4"/>
                <w:szCs w:val="14"/>
                <w:color w:val="auto"/>
              </w:rPr>
              <w:t>68,229</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147,498</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17,647</w:t>
            </w: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1960-2008</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8/24/2006</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MELVILLE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MALL (New</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York)</w:t>
            </w:r>
          </w:p>
        </w:tc>
        <w:tc>
          <w:tcPr>
            <w:tcW w:w="520" w:type="dxa"/>
            <w:vAlign w:val="bottom"/>
          </w:tcPr>
          <w:p>
            <w:pPr>
              <w:ind w:left="140"/>
              <w:spacing w:after="0"/>
              <w:rPr>
                <w:sz w:val="20"/>
                <w:szCs w:val="20"/>
                <w:color w:val="auto"/>
              </w:rPr>
            </w:pPr>
            <w:r>
              <w:rPr>
                <w:rFonts w:ascii="Arial" w:cs="Arial" w:eastAsia="Arial" w:hAnsi="Arial"/>
                <w:sz w:val="14"/>
                <w:szCs w:val="14"/>
                <w:color w:val="auto"/>
              </w:rPr>
              <w:t>NY</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35,622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32,882</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5,483</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35,622</w:t>
            </w:r>
          </w:p>
        </w:tc>
        <w:tc>
          <w:tcPr>
            <w:tcW w:w="920" w:type="dxa"/>
            <w:vAlign w:val="bottom"/>
            <w:gridSpan w:val="2"/>
          </w:tcPr>
          <w:p>
            <w:pPr>
              <w:jc w:val="right"/>
              <w:ind w:right="34"/>
              <w:spacing w:after="0"/>
              <w:rPr>
                <w:sz w:val="20"/>
                <w:szCs w:val="20"/>
                <w:color w:val="auto"/>
              </w:rPr>
            </w:pPr>
            <w:r>
              <w:rPr>
                <w:rFonts w:ascii="Arial" w:cs="Arial" w:eastAsia="Arial" w:hAnsi="Arial"/>
                <w:sz w:val="14"/>
                <w:szCs w:val="14"/>
                <w:color w:val="auto"/>
              </w:rPr>
              <w:t>38,365</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73,987</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9,029</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1974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10/16/2006</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MERCER MALL</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25 - 35</w:t>
            </w:r>
          </w:p>
        </w:tc>
        <w:tc>
          <w:tcPr>
            <w:tcW w:w="0" w:type="dxa"/>
            <w:vAlign w:val="bottom"/>
          </w:tcPr>
          <w:p>
            <w:pPr>
              <w:spacing w:after="0"/>
              <w:rPr>
                <w:sz w:val="1"/>
                <w:szCs w:val="1"/>
                <w:color w:val="auto"/>
              </w:rPr>
            </w:pPr>
          </w:p>
        </w:tc>
      </w:tr>
      <w:tr>
        <w:trPr>
          <w:trHeight w:val="174"/>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NJ</w:t>
            </w: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55,682</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28,684</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48,028</w:t>
            </w:r>
          </w:p>
        </w:tc>
        <w:tc>
          <w:tcPr>
            <w:tcW w:w="8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42,395</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28,684</w:t>
            </w:r>
          </w:p>
        </w:tc>
        <w:tc>
          <w:tcPr>
            <w:tcW w:w="9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4"/>
                <w:szCs w:val="14"/>
                <w:color w:val="auto"/>
              </w:rPr>
              <w:t>90,423</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119,107</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33,853</w:t>
            </w: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1975</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10/14/2003</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MONTROSE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CROSSING</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1960s, 1970s, 1996 &amp;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12/27/11,</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74,329</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48,624</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91,819</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13,103</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48,624</w:t>
            </w:r>
          </w:p>
        </w:tc>
        <w:tc>
          <w:tcPr>
            <w:tcW w:w="920" w:type="dxa"/>
            <w:vAlign w:val="bottom"/>
            <w:gridSpan w:val="2"/>
          </w:tcPr>
          <w:p>
            <w:pPr>
              <w:jc w:val="right"/>
              <w:ind w:right="34"/>
              <w:spacing w:after="0"/>
              <w:rPr>
                <w:sz w:val="20"/>
                <w:szCs w:val="20"/>
                <w:color w:val="auto"/>
              </w:rPr>
            </w:pPr>
            <w:r>
              <w:rPr>
                <w:rFonts w:ascii="Arial" w:cs="Arial" w:eastAsia="Arial" w:hAnsi="Arial"/>
                <w:sz w:val="14"/>
                <w:szCs w:val="14"/>
                <w:color w:val="auto"/>
              </w:rPr>
              <w:t>104,922</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153,546</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16,687</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12/19/13</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MOUNT</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9"/>
              </w:rPr>
              <w:t>VERNON/SOUTH</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VALLEY/7770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3/31/03,</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RICHMOND</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3/21/03, &amp;</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HWY. (Virginia)</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10,068</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33,501</w:t>
            </w:r>
          </w:p>
        </w:tc>
        <w:tc>
          <w:tcPr>
            <w:tcW w:w="8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39,297</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10,230</w:t>
            </w:r>
          </w:p>
        </w:tc>
        <w:tc>
          <w:tcPr>
            <w:tcW w:w="9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4"/>
                <w:szCs w:val="14"/>
                <w:color w:val="auto"/>
              </w:rPr>
              <w:t>72,636</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82,866</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28,716</w:t>
            </w: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1966/1972/1987/2001</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1/27/06</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TOWN CENTER</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OF NEW</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BRITAIN</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tcPr>
          <w:p>
            <w:pPr>
              <w:ind w:left="140"/>
              <w:spacing w:after="0"/>
              <w:rPr>
                <w:sz w:val="20"/>
                <w:szCs w:val="20"/>
                <w:color w:val="auto"/>
              </w:rPr>
            </w:pPr>
            <w:r>
              <w:rPr>
                <w:rFonts w:ascii="Arial" w:cs="Arial" w:eastAsia="Arial" w:hAnsi="Arial"/>
                <w:sz w:val="14"/>
                <w:szCs w:val="14"/>
                <w:color w:val="auto"/>
              </w:rPr>
              <w:t>PA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1,282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12,285</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1,390</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1,379</w:t>
            </w:r>
          </w:p>
        </w:tc>
        <w:tc>
          <w:tcPr>
            <w:tcW w:w="920" w:type="dxa"/>
            <w:vAlign w:val="bottom"/>
            <w:gridSpan w:val="2"/>
          </w:tcPr>
          <w:p>
            <w:pPr>
              <w:jc w:val="right"/>
              <w:ind w:right="34"/>
              <w:spacing w:after="0"/>
              <w:rPr>
                <w:sz w:val="20"/>
                <w:szCs w:val="20"/>
                <w:color w:val="auto"/>
              </w:rPr>
            </w:pPr>
            <w:r>
              <w:rPr>
                <w:rFonts w:ascii="Arial" w:cs="Arial" w:eastAsia="Arial" w:hAnsi="Arial"/>
                <w:sz w:val="14"/>
                <w:szCs w:val="14"/>
                <w:color w:val="auto"/>
              </w:rPr>
              <w:t>13,578</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14,957</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4,197</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1969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6/29/2006</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DARTMOUTH</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MA</w:t>
            </w: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9,366</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9,366</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9,366</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2004</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8/24/2006</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NORTHEAST</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tcPr>
          <w:p>
            <w:pPr>
              <w:ind w:left="140"/>
              <w:spacing w:after="0"/>
              <w:rPr>
                <w:sz w:val="20"/>
                <w:szCs w:val="20"/>
                <w:color w:val="auto"/>
              </w:rPr>
            </w:pPr>
            <w:r>
              <w:rPr>
                <w:rFonts w:ascii="Arial" w:cs="Arial" w:eastAsia="Arial" w:hAnsi="Arial"/>
                <w:sz w:val="14"/>
                <w:szCs w:val="14"/>
                <w:color w:val="auto"/>
              </w:rPr>
              <w:t>PA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1,152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10,596</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13,551</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1,153</w:t>
            </w:r>
          </w:p>
        </w:tc>
        <w:tc>
          <w:tcPr>
            <w:tcW w:w="920" w:type="dxa"/>
            <w:vAlign w:val="bottom"/>
            <w:gridSpan w:val="2"/>
          </w:tcPr>
          <w:p>
            <w:pPr>
              <w:jc w:val="right"/>
              <w:ind w:right="34"/>
              <w:spacing w:after="0"/>
              <w:rPr>
                <w:sz w:val="20"/>
                <w:szCs w:val="20"/>
                <w:color w:val="auto"/>
              </w:rPr>
            </w:pPr>
            <w:r>
              <w:rPr>
                <w:rFonts w:ascii="Arial" w:cs="Arial" w:eastAsia="Arial" w:hAnsi="Arial"/>
                <w:sz w:val="14"/>
                <w:szCs w:val="14"/>
                <w:color w:val="auto"/>
              </w:rPr>
              <w:t>24,146</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25,299</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18,837</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8/30/1983</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LAKE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COMMONS</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(Illinois)</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IL</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2,782</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8,604</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5,044</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2,628</w:t>
            </w:r>
          </w:p>
        </w:tc>
        <w:tc>
          <w:tcPr>
            <w:tcW w:w="920" w:type="dxa"/>
            <w:vAlign w:val="bottom"/>
            <w:gridSpan w:val="2"/>
            <w:shd w:val="clear" w:color="auto" w:fill="CCEEFF"/>
          </w:tcPr>
          <w:p>
            <w:pPr>
              <w:jc w:val="right"/>
              <w:ind w:right="34"/>
              <w:spacing w:after="0"/>
              <w:rPr>
                <w:sz w:val="20"/>
                <w:szCs w:val="20"/>
                <w:color w:val="auto"/>
              </w:rPr>
            </w:pPr>
            <w:r>
              <w:rPr>
                <w:rFonts w:ascii="Arial" w:cs="Arial" w:eastAsia="Arial" w:hAnsi="Arial"/>
                <w:sz w:val="14"/>
                <w:szCs w:val="14"/>
                <w:color w:val="auto"/>
              </w:rPr>
              <w:t>13,802</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16,430</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7,557</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1989</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4/27/1994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27"/>
        </w:trPr>
        <w:tc>
          <w:tcPr>
            <w:tcW w:w="1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520"/>
          </w:cols>
          <w:pgMar w:left="240" w:top="126" w:right="1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40" w:type="dxa"/>
            <w:vAlign w:val="bottom"/>
          </w:tcPr>
          <w:p>
            <w:pPr>
              <w:ind w:left="40"/>
              <w:spacing w:after="0"/>
              <w:rPr>
                <w:sz w:val="20"/>
                <w:szCs w:val="20"/>
                <w:color w:val="auto"/>
              </w:rPr>
            </w:pPr>
            <w:r>
              <w:rPr>
                <w:rFonts w:ascii="Arial" w:cs="Arial" w:eastAsia="Arial" w:hAnsi="Arial"/>
                <w:sz w:val="13"/>
                <w:szCs w:val="13"/>
                <w:b w:val="1"/>
                <w:bCs w:val="1"/>
                <w:color w:val="auto"/>
              </w:rPr>
              <w:t>COLUMN A</w:t>
            </w:r>
          </w:p>
        </w:tc>
        <w:tc>
          <w:tcPr>
            <w:tcW w:w="5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B</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COLUMN D</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COLUMN 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F</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H</w:t>
            </w:r>
          </w:p>
        </w:tc>
        <w:tc>
          <w:tcPr>
            <w:tcW w:w="800" w:type="dxa"/>
            <w:vAlign w:val="bottom"/>
          </w:tcPr>
          <w:p>
            <w:pPr>
              <w:ind w:left="4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1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gridSpan w:val="5"/>
          </w:tcPr>
          <w:p>
            <w:pPr>
              <w:jc w:val="center"/>
              <w:spacing w:after="0"/>
              <w:rPr>
                <w:sz w:val="20"/>
                <w:szCs w:val="20"/>
                <w:color w:val="auto"/>
              </w:rPr>
            </w:pPr>
            <w:r>
              <w:rPr>
                <w:rFonts w:ascii="Arial" w:cs="Arial" w:eastAsia="Arial" w:hAnsi="Arial"/>
                <w:sz w:val="13"/>
                <w:szCs w:val="13"/>
                <w:b w:val="1"/>
                <w:bCs w:val="1"/>
                <w:color w:val="auto"/>
                <w:w w:val="88"/>
              </w:rPr>
              <w:t>Gross amount at which carried at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Cost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90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rPr>
              <w:t>Accumulated</w:t>
            </w: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Depreciation</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and</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Date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4"/>
        </w:trPr>
        <w:tc>
          <w:tcPr>
            <w:tcW w:w="114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5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w w:val="97"/>
              </w:rPr>
              <w:t>Encumbrance</w:t>
            </w: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10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Acquisition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Land</w:t>
            </w: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Improvements</w:t>
            </w:r>
          </w:p>
        </w:tc>
        <w:tc>
          <w:tcPr>
            <w:tcW w:w="760" w:type="dxa"/>
            <w:vAlign w:val="bottom"/>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140" w:type="dxa"/>
            <w:vAlign w:val="bottom"/>
            <w:tcBorders>
              <w:top w:val="single" w:sz="8" w:color="auto"/>
            </w:tcBorders>
          </w:tcPr>
          <w:p>
            <w:pPr>
              <w:ind w:left="40"/>
              <w:spacing w:after="0" w:line="157" w:lineRule="exact"/>
              <w:rPr>
                <w:sz w:val="20"/>
                <w:szCs w:val="20"/>
                <w:color w:val="auto"/>
              </w:rPr>
            </w:pPr>
            <w:r>
              <w:rPr>
                <w:rFonts w:ascii="Arial" w:cs="Arial" w:eastAsia="Arial" w:hAnsi="Arial"/>
                <w:sz w:val="14"/>
                <w:szCs w:val="14"/>
                <w:color w:val="auto"/>
              </w:rPr>
              <w:t>OLD KEENE</w:t>
            </w:r>
          </w:p>
        </w:tc>
        <w:tc>
          <w:tcPr>
            <w:tcW w:w="5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MILL (Virginia)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998</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4,775</w:t>
            </w:r>
          </w:p>
        </w:tc>
        <w:tc>
          <w:tcPr>
            <w:tcW w:w="120" w:type="dxa"/>
            <w:vAlign w:val="bottom"/>
          </w:tcPr>
          <w:p>
            <w:pPr>
              <w:spacing w:after="0"/>
              <w:rPr>
                <w:sz w:val="16"/>
                <w:szCs w:val="16"/>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16"/>
                <w:szCs w:val="16"/>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5,773</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6,411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5,045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6/15/1976</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33.33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OLD TOWN</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CENTER</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shd w:val="clear" w:color="auto" w:fill="CCEEFF"/>
              </w:rPr>
              <w:t>1962, 1997-</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3,420</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2,765</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31,655</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3,420</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34,420</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37,840</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20,669</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1998</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10/22/1997</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PAN AM</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8,694</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12,929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7,230</w:t>
            </w:r>
          </w:p>
        </w:tc>
        <w:tc>
          <w:tcPr>
            <w:tcW w:w="12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8,695</w:t>
            </w:r>
          </w:p>
        </w:tc>
        <w:tc>
          <w:tcPr>
            <w:tcW w:w="100" w:type="dxa"/>
            <w:vAlign w:val="bottom"/>
          </w:tcPr>
          <w:p>
            <w:pPr>
              <w:spacing w:after="0"/>
              <w:rPr>
                <w:sz w:val="16"/>
                <w:szCs w:val="16"/>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20,158</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28,853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13,972</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1979</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2/5/1993</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PENTAGON</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1998 &amp;</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ROW (Virginia)</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2,955</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93,726</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96,681</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96,681</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40,084</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shd w:val="clear" w:color="auto" w:fill="CCEEFF"/>
              </w:rPr>
              <w:t>1999 - 2002</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11/22/10</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PERRING</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PLAZA</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2,800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6,461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21,156</w:t>
            </w:r>
          </w:p>
        </w:tc>
        <w:tc>
          <w:tcPr>
            <w:tcW w:w="12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2,800</w:t>
            </w:r>
          </w:p>
        </w:tc>
        <w:tc>
          <w:tcPr>
            <w:tcW w:w="100" w:type="dxa"/>
            <w:vAlign w:val="bottom"/>
          </w:tcPr>
          <w:p>
            <w:pPr>
              <w:spacing w:after="0"/>
              <w:rPr>
                <w:sz w:val="16"/>
                <w:szCs w:val="16"/>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27,617</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30,417</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21,389</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1963</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10/1/1985</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5/18/82,</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PIKE &amp; ROSE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1963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10/26/07,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31,471</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10,335</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324,723</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26,199</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340,330</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366,529</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5,488</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2012-2014</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7/31/12</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50 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PIKE 7 PLAZA</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w w:val="97"/>
              </w:rPr>
              <w:t>3/31/1997 &amp;</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14,970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22,799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3,945</w:t>
            </w:r>
          </w:p>
        </w:tc>
        <w:tc>
          <w:tcPr>
            <w:tcW w:w="12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14,914</w:t>
            </w:r>
          </w:p>
        </w:tc>
        <w:tc>
          <w:tcPr>
            <w:tcW w:w="100" w:type="dxa"/>
            <w:vAlign w:val="bottom"/>
          </w:tcPr>
          <w:p>
            <w:pPr>
              <w:spacing w:after="0"/>
              <w:rPr>
                <w:sz w:val="16"/>
                <w:szCs w:val="16"/>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26,800</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41,714</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14,907</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7/8/2015</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PLAZA EL</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12/30/11,</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SEGUNDO/THE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6/14/13,</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POINT</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2006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7/26/13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178,313</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62,127</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153,556</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55,296</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62,127</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208,852</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270,979</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24,548</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2007</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12/27/13</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QUEEN ANNE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PLAZA</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(Massachusetts)</w:t>
            </w:r>
          </w:p>
        </w:tc>
        <w:tc>
          <w:tcPr>
            <w:tcW w:w="520" w:type="dxa"/>
            <w:vAlign w:val="bottom"/>
          </w:tcPr>
          <w:p>
            <w:pPr>
              <w:ind w:left="140"/>
              <w:spacing w:after="0"/>
              <w:rPr>
                <w:sz w:val="20"/>
                <w:szCs w:val="20"/>
                <w:color w:val="auto"/>
              </w:rPr>
            </w:pPr>
            <w:r>
              <w:rPr>
                <w:rFonts w:ascii="Arial" w:cs="Arial" w:eastAsia="Arial" w:hAnsi="Arial"/>
                <w:sz w:val="14"/>
                <w:szCs w:val="14"/>
                <w:color w:val="auto"/>
              </w:rPr>
              <w:t>MA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3,319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8,457</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6,421</w:t>
            </w:r>
          </w:p>
        </w:tc>
        <w:tc>
          <w:tcPr>
            <w:tcW w:w="12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3,319</w:t>
            </w:r>
          </w:p>
        </w:tc>
        <w:tc>
          <w:tcPr>
            <w:tcW w:w="100" w:type="dxa"/>
            <w:vAlign w:val="bottom"/>
          </w:tcPr>
          <w:p>
            <w:pPr>
              <w:spacing w:after="0"/>
              <w:rPr>
                <w:sz w:val="16"/>
                <w:szCs w:val="16"/>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14,878</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18,197</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8,908</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1967</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12/23/1994</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QUINCE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ORCHARD</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3,197</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7,949</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24,155</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2,928</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32,373</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35,301</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16,012</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1975</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4/22/1993</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ROCKVILLE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TOWN SQUARE</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4,492</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8,092</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41,995</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50,087</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50,087</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13,887</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98"/>
              </w:rPr>
              <w:t>2005 - 2007</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98"/>
              </w:rPr>
              <w:t>2006 - 2007</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50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ROLLINGWOOD</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7"/>
              </w:rPr>
              <w:t>APTS. (Maryland)</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21,716</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552</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2,246</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7,449</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572</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9,675</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10,247</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8,598</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1960</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1/15/1971</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25 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SAM'S PARK &amp;</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SHOP (District of</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Columbia)</w:t>
            </w:r>
          </w:p>
        </w:tc>
        <w:tc>
          <w:tcPr>
            <w:tcW w:w="520" w:type="dxa"/>
            <w:vAlign w:val="bottom"/>
          </w:tcPr>
          <w:p>
            <w:pPr>
              <w:ind w:left="140"/>
              <w:spacing w:after="0"/>
              <w:rPr>
                <w:sz w:val="20"/>
                <w:szCs w:val="20"/>
                <w:color w:val="auto"/>
              </w:rPr>
            </w:pPr>
            <w:r>
              <w:rPr>
                <w:rFonts w:ascii="Arial" w:cs="Arial" w:eastAsia="Arial" w:hAnsi="Arial"/>
                <w:sz w:val="14"/>
                <w:szCs w:val="14"/>
                <w:color w:val="auto"/>
              </w:rPr>
              <w:t>DC</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4,840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6,319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1,395</w:t>
            </w:r>
          </w:p>
        </w:tc>
        <w:tc>
          <w:tcPr>
            <w:tcW w:w="12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4,840</w:t>
            </w:r>
          </w:p>
        </w:tc>
        <w:tc>
          <w:tcPr>
            <w:tcW w:w="100" w:type="dxa"/>
            <w:vAlign w:val="bottom"/>
          </w:tcPr>
          <w:p>
            <w:pPr>
              <w:spacing w:after="0"/>
              <w:rPr>
                <w:sz w:val="16"/>
                <w:szCs w:val="16"/>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7,714</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12,554</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4,634</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1930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12/1/1995</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1958, 1964-</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SAN ANTONIO</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1965, 1974-</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CENTER</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1975, 1995-</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39,920</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32,466</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383</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39,920</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32,849</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72,769</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1,621</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1997</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1/9/2015</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3/5/97,</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7/13/12,</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1999-2006,</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9/6/12,</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SANTANA ROW</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2009, 2011,</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4/30/13 &amp;</w:t>
            </w:r>
          </w:p>
        </w:tc>
        <w:tc>
          <w:tcPr>
            <w:tcW w:w="100" w:type="dxa"/>
            <w:vAlign w:val="bottom"/>
          </w:tcPr>
          <w:p>
            <w:pPr>
              <w:spacing w:after="0"/>
              <w:rPr>
                <w:sz w:val="12"/>
                <w:szCs w:val="12"/>
                <w:color w:val="auto"/>
              </w:rPr>
            </w:pPr>
          </w:p>
        </w:tc>
        <w:tc>
          <w:tcPr>
            <w:tcW w:w="800" w:type="dxa"/>
            <w:vAlign w:val="bottom"/>
          </w:tcPr>
          <w:p>
            <w:pPr>
              <w:ind w:left="40"/>
              <w:spacing w:after="0" w:line="149" w:lineRule="exact"/>
              <w:rPr>
                <w:sz w:val="20"/>
                <w:szCs w:val="20"/>
                <w:color w:val="auto"/>
              </w:rPr>
            </w:pPr>
            <w:r>
              <w:rPr>
                <w:rFonts w:ascii="Arial" w:cs="Arial" w:eastAsia="Arial" w:hAnsi="Arial"/>
                <w:sz w:val="14"/>
                <w:szCs w:val="14"/>
                <w:color w:val="auto"/>
              </w:rPr>
              <w:t>40 - 50</w:t>
            </w: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Pr>
          <w:p>
            <w:pPr>
              <w:ind w:left="140"/>
              <w:spacing w:after="0"/>
              <w:rPr>
                <w:sz w:val="20"/>
                <w:szCs w:val="20"/>
                <w:color w:val="auto"/>
              </w:rPr>
            </w:pPr>
            <w:r>
              <w:rPr>
                <w:rFonts w:ascii="Arial" w:cs="Arial" w:eastAsia="Arial" w:hAnsi="Arial"/>
                <w:sz w:val="14"/>
                <w:szCs w:val="14"/>
                <w:color w:val="auto"/>
              </w:rPr>
              <w:t>CA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66,682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7,502</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658,473</w:t>
            </w:r>
          </w:p>
        </w:tc>
        <w:tc>
          <w:tcPr>
            <w:tcW w:w="12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57,578</w:t>
            </w:r>
          </w:p>
        </w:tc>
        <w:tc>
          <w:tcPr>
            <w:tcW w:w="100" w:type="dxa"/>
            <w:vAlign w:val="bottom"/>
          </w:tcPr>
          <w:p>
            <w:pPr>
              <w:spacing w:after="0"/>
              <w:rPr>
                <w:sz w:val="16"/>
                <w:szCs w:val="16"/>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675,079</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732,657</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150,940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9/23/13</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SAUGUS PLAZA</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4,383</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8,291</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2,581</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4,383</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10,872</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15,255</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5,846</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1976</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10/1/1996</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27"/>
        </w:trPr>
        <w:tc>
          <w:tcPr>
            <w:tcW w:w="1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6" w:right="23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40" w:type="dxa"/>
            <w:vAlign w:val="bottom"/>
          </w:tcPr>
          <w:p>
            <w:pPr>
              <w:ind w:left="40"/>
              <w:spacing w:after="0"/>
              <w:rPr>
                <w:sz w:val="20"/>
                <w:szCs w:val="20"/>
                <w:color w:val="auto"/>
              </w:rPr>
            </w:pPr>
            <w:r>
              <w:rPr>
                <w:rFonts w:ascii="Arial" w:cs="Arial" w:eastAsia="Arial" w:hAnsi="Arial"/>
                <w:sz w:val="13"/>
                <w:szCs w:val="13"/>
                <w:b w:val="1"/>
                <w:bCs w:val="1"/>
                <w:color w:val="auto"/>
              </w:rPr>
              <w:t>COLUMN A</w:t>
            </w:r>
          </w:p>
        </w:tc>
        <w:tc>
          <w:tcPr>
            <w:tcW w:w="5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C</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COLUMN D</w:t>
            </w:r>
          </w:p>
        </w:tc>
        <w:tc>
          <w:tcPr>
            <w:tcW w:w="800" w:type="dxa"/>
            <w:vAlign w:val="bottom"/>
          </w:tcPr>
          <w:p>
            <w:pPr>
              <w:jc w:val="right"/>
              <w:ind w:right="9"/>
              <w:spacing w:after="0"/>
              <w:rPr>
                <w:sz w:val="20"/>
                <w:szCs w:val="20"/>
                <w:color w:val="auto"/>
              </w:rPr>
            </w:pPr>
            <w:r>
              <w:rPr>
                <w:rFonts w:ascii="Arial" w:cs="Arial" w:eastAsia="Arial" w:hAnsi="Arial"/>
                <w:sz w:val="13"/>
                <w:szCs w:val="13"/>
                <w:b w:val="1"/>
                <w:bCs w:val="1"/>
                <w:color w:val="auto"/>
              </w:rPr>
              <w:t>COLUMN E</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Arial" w:cs="Arial" w:eastAsia="Arial" w:hAnsi="Arial"/>
                <w:sz w:val="13"/>
                <w:szCs w:val="13"/>
                <w:b w:val="1"/>
                <w:bCs w:val="1"/>
                <w:color w:val="auto"/>
                <w:w w:val="99"/>
              </w:rPr>
              <w:t>COLUMN F</w:t>
            </w:r>
          </w:p>
        </w:tc>
        <w:tc>
          <w:tcPr>
            <w:tcW w:w="12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G</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COLUMN H</w:t>
            </w:r>
          </w:p>
        </w:tc>
        <w:tc>
          <w:tcPr>
            <w:tcW w:w="740" w:type="dxa"/>
            <w:vAlign w:val="bottom"/>
          </w:tcPr>
          <w:p>
            <w:pPr>
              <w:ind w:left="2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0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gridSpan w:val="6"/>
            <w:vMerge w:val="restart"/>
          </w:tcPr>
          <w:p>
            <w:pPr>
              <w:jc w:val="right"/>
              <w:ind w:right="460"/>
              <w:spacing w:after="0"/>
              <w:rPr>
                <w:sz w:val="20"/>
                <w:szCs w:val="20"/>
                <w:color w:val="auto"/>
              </w:rPr>
            </w:pPr>
            <w:r>
              <w:rPr>
                <w:rFonts w:ascii="Arial" w:cs="Arial" w:eastAsia="Arial" w:hAnsi="Arial"/>
                <w:sz w:val="13"/>
                <w:szCs w:val="13"/>
                <w:b w:val="1"/>
                <w:bCs w:val="1"/>
                <w:color w:val="auto"/>
              </w:rPr>
              <w:t>Gross amount at which carried at</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which</w:t>
            </w: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gridSpan w:val="6"/>
            <w:vMerge w:val="continue"/>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ind w:left="40"/>
              <w:spacing w:after="0" w:line="126"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4"/>
          </w:tcPr>
          <w:p>
            <w:pPr>
              <w:ind w:left="260"/>
              <w:spacing w:after="0" w:line="149" w:lineRule="exact"/>
              <w:rPr>
                <w:sz w:val="20"/>
                <w:szCs w:val="20"/>
                <w:color w:val="auto"/>
              </w:rPr>
            </w:pPr>
            <w:r>
              <w:rPr>
                <w:rFonts w:ascii="Arial" w:cs="Arial" w:eastAsia="Arial" w:hAnsi="Arial"/>
                <w:sz w:val="13"/>
                <w:szCs w:val="13"/>
                <w:b w:val="1"/>
                <w:bCs w:val="1"/>
                <w:color w:val="auto"/>
              </w:rPr>
              <w:t>Initial cost to company</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3"/>
                <w:szCs w:val="13"/>
                <w:b w:val="1"/>
                <w:bCs w:val="1"/>
                <w:color w:val="auto"/>
                <w:w w:val="89"/>
              </w:rPr>
              <w:t>Cost</w:t>
            </w:r>
          </w:p>
        </w:tc>
        <w:tc>
          <w:tcPr>
            <w:tcW w:w="800" w:type="dxa"/>
            <w:vAlign w:val="bottom"/>
          </w:tcPr>
          <w:p>
            <w:pPr>
              <w:spacing w:after="0"/>
              <w:rPr>
                <w:sz w:val="12"/>
                <w:szCs w:val="12"/>
                <w:color w:val="auto"/>
              </w:rPr>
            </w:pPr>
          </w:p>
        </w:tc>
        <w:tc>
          <w:tcPr>
            <w:tcW w:w="1020" w:type="dxa"/>
            <w:vAlign w:val="bottom"/>
            <w:gridSpan w:val="3"/>
          </w:tcPr>
          <w:p>
            <w:pPr>
              <w:jc w:val="right"/>
              <w:ind w:right="160"/>
              <w:spacing w:after="0" w:line="149" w:lineRule="exact"/>
              <w:rPr>
                <w:sz w:val="20"/>
                <w:szCs w:val="20"/>
                <w:color w:val="auto"/>
              </w:rPr>
            </w:pPr>
            <w:r>
              <w:rPr>
                <w:rFonts w:ascii="Arial" w:cs="Arial" w:eastAsia="Arial" w:hAnsi="Arial"/>
                <w:sz w:val="13"/>
                <w:szCs w:val="13"/>
                <w:b w:val="1"/>
                <w:bCs w:val="1"/>
                <w:color w:val="auto"/>
                <w:w w:val="90"/>
              </w:rPr>
              <w:t>close of period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110"/>
        </w:trPr>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w w:val="97"/>
              </w:rPr>
              <w:t>Capitalized</w:t>
            </w:r>
          </w:p>
        </w:tc>
        <w:tc>
          <w:tcPr>
            <w:tcW w:w="8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0"/>
              </w:rPr>
              <w:t>income</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Subsequent</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120" w:type="dxa"/>
            <w:vAlign w:val="bottom"/>
          </w:tcPr>
          <w:p>
            <w:pPr>
              <w:spacing w:after="0"/>
              <w:rPr>
                <w:sz w:val="11"/>
                <w:szCs w:val="11"/>
                <w:color w:val="auto"/>
              </w:rPr>
            </w:pP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statements</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Building and</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to</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120" w:type="dxa"/>
            <w:vAlign w:val="bottom"/>
          </w:tcPr>
          <w:p>
            <w:pPr>
              <w:spacing w:after="0"/>
              <w:rPr>
                <w:sz w:val="11"/>
                <w:szCs w:val="11"/>
                <w:color w:val="auto"/>
              </w:rPr>
            </w:pP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Date</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is</w:t>
            </w:r>
          </w:p>
        </w:tc>
        <w:tc>
          <w:tcPr>
            <w:tcW w:w="0" w:type="dxa"/>
            <w:vAlign w:val="bottom"/>
          </w:tcPr>
          <w:p>
            <w:pPr>
              <w:spacing w:after="0"/>
              <w:rPr>
                <w:sz w:val="1"/>
                <w:szCs w:val="1"/>
                <w:color w:val="auto"/>
              </w:rPr>
            </w:pPr>
          </w:p>
        </w:tc>
      </w:tr>
      <w:tr>
        <w:trPr>
          <w:trHeight w:val="174"/>
        </w:trPr>
        <w:tc>
          <w:tcPr>
            <w:tcW w:w="104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5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Encumbrance</w:t>
            </w:r>
          </w:p>
        </w:tc>
        <w:tc>
          <w:tcPr>
            <w:tcW w:w="920" w:type="dxa"/>
            <w:vAlign w:val="bottom"/>
            <w:gridSpan w:val="2"/>
          </w:tcPr>
          <w:p>
            <w:pPr>
              <w:ind w:left="260"/>
              <w:spacing w:after="0"/>
              <w:rPr>
                <w:sz w:val="20"/>
                <w:szCs w:val="20"/>
                <w:color w:val="auto"/>
              </w:rPr>
            </w:pPr>
            <w:r>
              <w:rPr>
                <w:rFonts w:ascii="Arial" w:cs="Arial" w:eastAsia="Arial" w:hAnsi="Arial"/>
                <w:sz w:val="13"/>
                <w:szCs w:val="13"/>
                <w:b w:val="1"/>
                <w:bCs w:val="1"/>
                <w:color w:val="auto"/>
              </w:rPr>
              <w:t>Land</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Improvements</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Acquisition</w:t>
            </w:r>
          </w:p>
        </w:tc>
        <w:tc>
          <w:tcPr>
            <w:tcW w:w="800" w:type="dxa"/>
            <w:vAlign w:val="bottom"/>
          </w:tcPr>
          <w:p>
            <w:pPr>
              <w:jc w:val="right"/>
              <w:ind w:right="189"/>
              <w:spacing w:after="0"/>
              <w:rPr>
                <w:sz w:val="20"/>
                <w:szCs w:val="20"/>
                <w:color w:val="auto"/>
              </w:rPr>
            </w:pPr>
            <w:r>
              <w:rPr>
                <w:rFonts w:ascii="Arial" w:cs="Arial" w:eastAsia="Arial" w:hAnsi="Arial"/>
                <w:sz w:val="13"/>
                <w:szCs w:val="13"/>
                <w:b w:val="1"/>
                <w:bCs w:val="1"/>
                <w:color w:val="auto"/>
              </w:rPr>
              <w:t>Land</w:t>
            </w:r>
          </w:p>
        </w:tc>
        <w:tc>
          <w:tcPr>
            <w:tcW w:w="10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w w:val="98"/>
              </w:rPr>
              <w:t>Improvements</w:t>
            </w: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0"/>
              </w:rPr>
              <w:t>Amortization</w:t>
            </w:r>
          </w:p>
        </w:tc>
        <w:tc>
          <w:tcPr>
            <w:tcW w:w="12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Construction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Acquired</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6"/>
              </w:rPr>
              <w:t>computed</w:t>
            </w:r>
          </w:p>
        </w:tc>
        <w:tc>
          <w:tcPr>
            <w:tcW w:w="0" w:type="dxa"/>
            <w:vAlign w:val="bottom"/>
          </w:tcPr>
          <w:p>
            <w:pPr>
              <w:spacing w:after="0"/>
              <w:rPr>
                <w:sz w:val="1"/>
                <w:szCs w:val="1"/>
                <w:color w:val="auto"/>
              </w:rPr>
            </w:pPr>
          </w:p>
        </w:tc>
      </w:tr>
      <w:tr>
        <w:trPr>
          <w:trHeight w:val="157"/>
        </w:trPr>
        <w:tc>
          <w:tcPr>
            <w:tcW w:w="1040" w:type="dxa"/>
            <w:vAlign w:val="bottom"/>
            <w:tcBorders>
              <w:top w:val="single" w:sz="8" w:color="auto"/>
            </w:tcBorders>
          </w:tcPr>
          <w:p>
            <w:pPr>
              <w:ind w:left="40"/>
              <w:spacing w:after="0" w:line="157" w:lineRule="exact"/>
              <w:rPr>
                <w:sz w:val="20"/>
                <w:szCs w:val="20"/>
                <w:color w:val="auto"/>
              </w:rPr>
            </w:pPr>
            <w:r>
              <w:rPr>
                <w:rFonts w:ascii="Arial" w:cs="Arial" w:eastAsia="Arial" w:hAnsi="Arial"/>
                <w:sz w:val="14"/>
                <w:szCs w:val="14"/>
                <w:color w:val="auto"/>
              </w:rPr>
              <w:t>THE AVENUE</w:t>
            </w:r>
          </w:p>
        </w:tc>
        <w:tc>
          <w:tcPr>
            <w:tcW w:w="5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AT WHITE</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MARSH</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52,705</w:t>
            </w: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20,682</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72,432</w:t>
            </w:r>
          </w:p>
        </w:tc>
        <w:tc>
          <w:tcPr>
            <w:tcW w:w="12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7,028</w:t>
            </w:r>
          </w:p>
        </w:tc>
        <w:tc>
          <w:tcPr>
            <w:tcW w:w="12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20,685</w:t>
            </w:r>
          </w:p>
        </w:tc>
        <w:tc>
          <w:tcPr>
            <w:tcW w:w="900" w:type="dxa"/>
            <w:vAlign w:val="bottom"/>
            <w:gridSpan w:val="2"/>
          </w:tcPr>
          <w:p>
            <w:pPr>
              <w:jc w:val="right"/>
              <w:ind w:right="33"/>
              <w:spacing w:after="0"/>
              <w:rPr>
                <w:sz w:val="20"/>
                <w:szCs w:val="20"/>
                <w:color w:val="auto"/>
              </w:rPr>
            </w:pPr>
            <w:r>
              <w:rPr>
                <w:rFonts w:ascii="Arial" w:cs="Arial" w:eastAsia="Arial" w:hAnsi="Arial"/>
                <w:sz w:val="14"/>
                <w:szCs w:val="14"/>
                <w:color w:val="auto"/>
              </w:rPr>
              <w:t>79,457</w:t>
            </w: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100,142</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25,294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1997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THE GROVE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AT</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7"/>
              </w:rPr>
              <w:t>SHREWSBURY</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1/1/2014 &amp;</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NJ</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56,997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18,016</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103,115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995</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18,021</w:t>
            </w:r>
          </w:p>
        </w:tc>
        <w:tc>
          <w:tcPr>
            <w:tcW w:w="90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104,105</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122,126</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6,980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1988/1993/2007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10/6/14</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w w:val="98"/>
              </w:rPr>
              <w:t>THE SHOPPES</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AT</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NOTTINGHAM</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SQUARE</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4,441</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12,849</w:t>
            </w:r>
          </w:p>
        </w:tc>
        <w:tc>
          <w:tcPr>
            <w:tcW w:w="12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4,441</w:t>
            </w:r>
          </w:p>
        </w:tc>
        <w:tc>
          <w:tcPr>
            <w:tcW w:w="900" w:type="dxa"/>
            <w:vAlign w:val="bottom"/>
            <w:gridSpan w:val="2"/>
          </w:tcPr>
          <w:p>
            <w:pPr>
              <w:jc w:val="right"/>
              <w:ind w:right="33"/>
              <w:spacing w:after="0"/>
              <w:rPr>
                <w:sz w:val="20"/>
                <w:szCs w:val="20"/>
                <w:color w:val="auto"/>
              </w:rPr>
            </w:pPr>
            <w:r>
              <w:rPr>
                <w:rFonts w:ascii="Arial" w:cs="Arial" w:eastAsia="Arial" w:hAnsi="Arial"/>
                <w:sz w:val="14"/>
                <w:szCs w:val="14"/>
                <w:color w:val="auto"/>
              </w:rPr>
              <w:t>13,012</w:t>
            </w: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17,453</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3,979</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2005 - 2006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THE SHOPS AT</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SUNSET</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PLACE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FL</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75,928</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64,499</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50,853</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1,229</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64,499</w:t>
            </w:r>
          </w:p>
        </w:tc>
        <w:tc>
          <w:tcPr>
            <w:tcW w:w="90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52,082</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116,581</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743</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1999</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10/1/2015</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THIRD</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STREET</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PROMENADE</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Pr>
          <w:p>
            <w:pPr>
              <w:ind w:left="140"/>
              <w:spacing w:after="0"/>
              <w:rPr>
                <w:sz w:val="20"/>
                <w:szCs w:val="20"/>
                <w:color w:val="auto"/>
              </w:rPr>
            </w:pPr>
            <w:r>
              <w:rPr>
                <w:rFonts w:ascii="Arial" w:cs="Arial" w:eastAsia="Arial" w:hAnsi="Arial"/>
                <w:sz w:val="14"/>
                <w:szCs w:val="14"/>
                <w:color w:val="auto"/>
              </w:rPr>
              <w:t>CA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22,645</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12,709</w:t>
            </w:r>
          </w:p>
        </w:tc>
        <w:tc>
          <w:tcPr>
            <w:tcW w:w="12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43,181</w:t>
            </w:r>
          </w:p>
        </w:tc>
        <w:tc>
          <w:tcPr>
            <w:tcW w:w="12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25,125</w:t>
            </w:r>
          </w:p>
        </w:tc>
        <w:tc>
          <w:tcPr>
            <w:tcW w:w="900" w:type="dxa"/>
            <w:vAlign w:val="bottom"/>
            <w:gridSpan w:val="2"/>
          </w:tcPr>
          <w:p>
            <w:pPr>
              <w:jc w:val="right"/>
              <w:ind w:right="33"/>
              <w:spacing w:after="0"/>
              <w:rPr>
                <w:sz w:val="20"/>
                <w:szCs w:val="20"/>
                <w:color w:val="auto"/>
              </w:rPr>
            </w:pPr>
            <w:r>
              <w:rPr>
                <w:rFonts w:ascii="Arial" w:cs="Arial" w:eastAsia="Arial" w:hAnsi="Arial"/>
                <w:sz w:val="14"/>
                <w:szCs w:val="14"/>
                <w:color w:val="auto"/>
              </w:rPr>
              <w:t>53,410</w:t>
            </w: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78,535</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30,043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1888-2000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1996-2000</w:t>
            </w:r>
          </w:p>
        </w:tc>
        <w:tc>
          <w:tcPr>
            <w:tcW w:w="10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TOWER</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7,170</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10,518</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3,764</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7,280</w:t>
            </w:r>
          </w:p>
        </w:tc>
        <w:tc>
          <w:tcPr>
            <w:tcW w:w="90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14,172</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21,452</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7,878</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1953-1960</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8/24/1998</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TOWER</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SHOPS</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1/19/11 &amp;</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(Florida)</w:t>
            </w:r>
          </w:p>
        </w:tc>
        <w:tc>
          <w:tcPr>
            <w:tcW w:w="520" w:type="dxa"/>
            <w:vAlign w:val="bottom"/>
          </w:tcPr>
          <w:p>
            <w:pPr>
              <w:ind w:left="140"/>
              <w:spacing w:after="0"/>
              <w:rPr>
                <w:sz w:val="20"/>
                <w:szCs w:val="20"/>
                <w:color w:val="auto"/>
              </w:rPr>
            </w:pPr>
            <w:r>
              <w:rPr>
                <w:rFonts w:ascii="Arial" w:cs="Arial" w:eastAsia="Arial" w:hAnsi="Arial"/>
                <w:sz w:val="14"/>
                <w:szCs w:val="14"/>
                <w:color w:val="auto"/>
              </w:rPr>
              <w:t>FL</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29,940</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43,390</w:t>
            </w:r>
          </w:p>
        </w:tc>
        <w:tc>
          <w:tcPr>
            <w:tcW w:w="12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20,045</w:t>
            </w:r>
          </w:p>
        </w:tc>
        <w:tc>
          <w:tcPr>
            <w:tcW w:w="12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29,962</w:t>
            </w:r>
          </w:p>
        </w:tc>
        <w:tc>
          <w:tcPr>
            <w:tcW w:w="900" w:type="dxa"/>
            <w:vAlign w:val="bottom"/>
            <w:gridSpan w:val="2"/>
          </w:tcPr>
          <w:p>
            <w:pPr>
              <w:jc w:val="right"/>
              <w:ind w:right="33"/>
              <w:spacing w:after="0"/>
              <w:rPr>
                <w:sz w:val="20"/>
                <w:szCs w:val="20"/>
                <w:color w:val="auto"/>
              </w:rPr>
            </w:pPr>
            <w:r>
              <w:rPr>
                <w:rFonts w:ascii="Arial" w:cs="Arial" w:eastAsia="Arial" w:hAnsi="Arial"/>
                <w:sz w:val="14"/>
                <w:szCs w:val="14"/>
                <w:color w:val="auto"/>
              </w:rPr>
              <w:t>63,413</w:t>
            </w: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93,375</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10,777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1989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6/13/14</w:t>
            </w:r>
          </w:p>
        </w:tc>
        <w:tc>
          <w:tcPr>
            <w:tcW w:w="10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TROY (New</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Jersey)</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NJ</w:t>
            </w: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3,126</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5,193</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26,281</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4,311</w:t>
            </w:r>
          </w:p>
        </w:tc>
        <w:tc>
          <w:tcPr>
            <w:tcW w:w="90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30,289</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34,600</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19,580</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1966</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7/23/1980</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TYSON'S</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STATION</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388</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3,752</w:t>
            </w:r>
          </w:p>
        </w:tc>
        <w:tc>
          <w:tcPr>
            <w:tcW w:w="12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475</w:t>
            </w:r>
          </w:p>
        </w:tc>
        <w:tc>
          <w:tcPr>
            <w:tcW w:w="900" w:type="dxa"/>
            <w:vAlign w:val="bottom"/>
            <w:gridSpan w:val="2"/>
          </w:tcPr>
          <w:p>
            <w:pPr>
              <w:jc w:val="right"/>
              <w:ind w:right="33"/>
              <w:spacing w:after="0"/>
              <w:rPr>
                <w:sz w:val="20"/>
                <w:szCs w:val="20"/>
                <w:color w:val="auto"/>
              </w:rPr>
            </w:pPr>
            <w:r>
              <w:rPr>
                <w:rFonts w:ascii="Arial" w:cs="Arial" w:eastAsia="Arial" w:hAnsi="Arial"/>
                <w:sz w:val="14"/>
                <w:szCs w:val="14"/>
                <w:color w:val="auto"/>
              </w:rPr>
              <w:t>4,118</w:t>
            </w: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4,593</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3,425</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1954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1/17/1978</w:t>
            </w:r>
          </w:p>
        </w:tc>
        <w:tc>
          <w:tcPr>
            <w:tcW w:w="10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17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VILLAGE AT</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SHIRLINGTON</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1940, 2006-</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6,539</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9,761</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14,808</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36,838</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4,234</w:t>
            </w:r>
          </w:p>
        </w:tc>
        <w:tc>
          <w:tcPr>
            <w:tcW w:w="90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57,173</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61,407</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22,623</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2009</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12/21/1995</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WESTGATE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CENTER</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Pr>
          <w:p>
            <w:pPr>
              <w:ind w:left="140"/>
              <w:spacing w:after="0"/>
              <w:rPr>
                <w:sz w:val="20"/>
                <w:szCs w:val="20"/>
                <w:color w:val="auto"/>
              </w:rPr>
            </w:pPr>
            <w:r>
              <w:rPr>
                <w:rFonts w:ascii="Arial" w:cs="Arial" w:eastAsia="Arial" w:hAnsi="Arial"/>
                <w:sz w:val="14"/>
                <w:szCs w:val="14"/>
                <w:color w:val="auto"/>
              </w:rPr>
              <w:t>CA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6,319</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107,284</w:t>
            </w:r>
          </w:p>
        </w:tc>
        <w:tc>
          <w:tcPr>
            <w:tcW w:w="12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32,392</w:t>
            </w:r>
          </w:p>
        </w:tc>
        <w:tc>
          <w:tcPr>
            <w:tcW w:w="12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6,319</w:t>
            </w:r>
          </w:p>
        </w:tc>
        <w:tc>
          <w:tcPr>
            <w:tcW w:w="900" w:type="dxa"/>
            <w:vAlign w:val="bottom"/>
            <w:gridSpan w:val="2"/>
          </w:tcPr>
          <w:p>
            <w:pPr>
              <w:jc w:val="right"/>
              <w:ind w:right="33"/>
              <w:spacing w:after="0"/>
              <w:rPr>
                <w:sz w:val="20"/>
                <w:szCs w:val="20"/>
                <w:color w:val="auto"/>
              </w:rPr>
            </w:pPr>
            <w:r>
              <w:rPr>
                <w:rFonts w:ascii="Arial" w:cs="Arial" w:eastAsia="Arial" w:hAnsi="Arial"/>
                <w:sz w:val="14"/>
                <w:szCs w:val="14"/>
                <w:color w:val="auto"/>
              </w:rPr>
              <w:t>139,676</w:t>
            </w: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145,995</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37,056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1960-1966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3/31/2004</w:t>
            </w:r>
          </w:p>
        </w:tc>
        <w:tc>
          <w:tcPr>
            <w:tcW w:w="10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WHITE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MARSH</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PLAZA</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3,478</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21,413</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262</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3,478</w:t>
            </w:r>
          </w:p>
        </w:tc>
        <w:tc>
          <w:tcPr>
            <w:tcW w:w="90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21,675</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25,153</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7,123</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1987</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WHITE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MARSH</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OTHER</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34,281</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1,843</w:t>
            </w:r>
          </w:p>
        </w:tc>
        <w:tc>
          <w:tcPr>
            <w:tcW w:w="12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925</w:t>
            </w:r>
          </w:p>
        </w:tc>
        <w:tc>
          <w:tcPr>
            <w:tcW w:w="12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34,311</w:t>
            </w:r>
          </w:p>
        </w:tc>
        <w:tc>
          <w:tcPr>
            <w:tcW w:w="900" w:type="dxa"/>
            <w:vAlign w:val="bottom"/>
            <w:gridSpan w:val="2"/>
          </w:tcPr>
          <w:p>
            <w:pPr>
              <w:jc w:val="right"/>
              <w:ind w:right="33"/>
              <w:spacing w:after="0"/>
              <w:rPr>
                <w:sz w:val="20"/>
                <w:szCs w:val="20"/>
                <w:color w:val="auto"/>
              </w:rPr>
            </w:pPr>
            <w:r>
              <w:rPr>
                <w:rFonts w:ascii="Arial" w:cs="Arial" w:eastAsia="Arial" w:hAnsi="Arial"/>
                <w:sz w:val="14"/>
                <w:szCs w:val="14"/>
                <w:color w:val="auto"/>
              </w:rPr>
              <w:t>2,738</w:t>
            </w: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37,049</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673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1985</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WILDWOOD</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9,111</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1,061</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8,793</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9,111</w:t>
            </w:r>
          </w:p>
        </w:tc>
        <w:tc>
          <w:tcPr>
            <w:tcW w:w="90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9,854</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18,965</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8,191</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1958</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5/5/1969</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5"/>
              </w:rPr>
              <w:t>33.33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WILLOW</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GROVE</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tcPr>
          <w:p>
            <w:pPr>
              <w:ind w:left="140"/>
              <w:spacing w:after="0"/>
              <w:rPr>
                <w:sz w:val="20"/>
                <w:szCs w:val="20"/>
                <w:color w:val="auto"/>
              </w:rPr>
            </w:pPr>
            <w:r>
              <w:rPr>
                <w:rFonts w:ascii="Arial" w:cs="Arial" w:eastAsia="Arial" w:hAnsi="Arial"/>
                <w:sz w:val="14"/>
                <w:szCs w:val="14"/>
                <w:color w:val="auto"/>
              </w:rPr>
              <w:t>PA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1,499</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6,643</w:t>
            </w:r>
          </w:p>
        </w:tc>
        <w:tc>
          <w:tcPr>
            <w:tcW w:w="12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21,857</w:t>
            </w:r>
          </w:p>
        </w:tc>
        <w:tc>
          <w:tcPr>
            <w:tcW w:w="12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1,499</w:t>
            </w:r>
          </w:p>
        </w:tc>
        <w:tc>
          <w:tcPr>
            <w:tcW w:w="900" w:type="dxa"/>
            <w:vAlign w:val="bottom"/>
            <w:gridSpan w:val="2"/>
          </w:tcPr>
          <w:p>
            <w:pPr>
              <w:jc w:val="right"/>
              <w:ind w:right="33"/>
              <w:spacing w:after="0"/>
              <w:rPr>
                <w:sz w:val="20"/>
                <w:szCs w:val="20"/>
                <w:color w:val="auto"/>
              </w:rPr>
            </w:pPr>
            <w:r>
              <w:rPr>
                <w:rFonts w:ascii="Arial" w:cs="Arial" w:eastAsia="Arial" w:hAnsi="Arial"/>
                <w:sz w:val="14"/>
                <w:szCs w:val="14"/>
                <w:color w:val="auto"/>
              </w:rPr>
              <w:t>28,500</w:t>
            </w: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29,999</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24,244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1953</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11/20/1984</w:t>
            </w:r>
          </w:p>
        </w:tc>
        <w:tc>
          <w:tcPr>
            <w:tcW w:w="10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WILLOW</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LAWN</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3,192</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7,723</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79,673</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7,790</w:t>
            </w:r>
          </w:p>
        </w:tc>
        <w:tc>
          <w:tcPr>
            <w:tcW w:w="90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82,798</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90,588</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52,272</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1957</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12/5/1983</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WYNNEWOOD</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tcPr>
          <w:p>
            <w:pPr>
              <w:ind w:left="140"/>
              <w:spacing w:after="0"/>
              <w:rPr>
                <w:sz w:val="20"/>
                <w:szCs w:val="20"/>
                <w:color w:val="auto"/>
              </w:rPr>
            </w:pPr>
            <w:r>
              <w:rPr>
                <w:rFonts w:ascii="Arial" w:cs="Arial" w:eastAsia="Arial" w:hAnsi="Arial"/>
                <w:sz w:val="14"/>
                <w:szCs w:val="14"/>
                <w:color w:val="auto"/>
              </w:rPr>
              <w:t>PA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8,055</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13,759</w:t>
            </w:r>
          </w:p>
        </w:tc>
        <w:tc>
          <w:tcPr>
            <w:tcW w:w="12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19,912</w:t>
            </w:r>
          </w:p>
        </w:tc>
        <w:tc>
          <w:tcPr>
            <w:tcW w:w="12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8,055</w:t>
            </w:r>
          </w:p>
        </w:tc>
        <w:tc>
          <w:tcPr>
            <w:tcW w:w="100" w:type="dxa"/>
            <w:vAlign w:val="bottom"/>
          </w:tcPr>
          <w:p>
            <w:pPr>
              <w:spacing w:after="0"/>
              <w:rPr>
                <w:sz w:val="16"/>
                <w:szCs w:val="16"/>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33,671</w:t>
            </w: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41,726</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20,061</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1948</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10/29/1996</w:t>
            </w:r>
          </w:p>
        </w:tc>
        <w:tc>
          <w:tcPr>
            <w:tcW w:w="10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TOTALS</w:t>
            </w:r>
          </w:p>
        </w:tc>
        <w:tc>
          <w:tcPr>
            <w:tcW w:w="5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99"/>
              </w:rPr>
              <w:t>$  554,442</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1"/>
              </w:rPr>
              <w:t>$ 1,222,871</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1"/>
              </w:rPr>
              <w:t>$ 1,910,686</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89"/>
              </w:rPr>
              <w:t>$ 2,930,849</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9"/>
              </w:rPr>
              <w:t>$ 1,209,804</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91"/>
              </w:rPr>
              <w:t>$ 4,854,602</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9"/>
              </w:rPr>
              <w:t>$ 6,064,406</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89"/>
              </w:rPr>
              <w:t>$ 1,574,041</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420"/>
          </w:cols>
          <w:pgMar w:left="240" w:top="126" w:right="23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184"/>
        </w:trPr>
        <w:tc>
          <w:tcPr>
            <w:tcW w:w="10060" w:type="dxa"/>
            <w:vAlign w:val="bottom"/>
            <w:gridSpan w:val="2"/>
          </w:tcPr>
          <w:p>
            <w:pPr>
              <w:spacing w:after="0"/>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Table of Contents</w:t>
              </w:r>
            </w:hyperlink>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6"/>
        </w:trPr>
        <w:tc>
          <w:tcPr>
            <w:tcW w:w="1220" w:type="dxa"/>
            <w:vAlign w:val="bottom"/>
            <w:tcBorders>
              <w:top w:val="single" w:sz="8" w:color="0000EE"/>
            </w:tcBorders>
          </w:tcPr>
          <w:p>
            <w:pPr>
              <w:spacing w:after="0"/>
              <w:rPr>
                <w:sz w:val="24"/>
                <w:szCs w:val="24"/>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rPr>
              <w:t>FEDERAL REALTY INVESTMENT TRUST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70"/>
              <w:spacing w:after="0"/>
              <w:rPr>
                <w:sz w:val="20"/>
                <w:szCs w:val="20"/>
                <w:color w:val="auto"/>
              </w:rPr>
            </w:pPr>
            <w:r>
              <w:rPr>
                <w:rFonts w:ascii="Arial" w:cs="Arial" w:eastAsia="Arial" w:hAnsi="Arial"/>
                <w:sz w:val="18"/>
                <w:szCs w:val="18"/>
                <w:b w:val="1"/>
                <w:bCs w:val="1"/>
                <w:color w:val="auto"/>
              </w:rPr>
              <w:t>SCHEDULE III</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rPr>
              <w:t>SUMMARY OF REAL ESTATE AND ACCUMULATED DEPRECIATION - CONTINUED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Three Years Ended December 31, 2015</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Reconciliation of Total Cost</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8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4,779,674</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76,359</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500"/>
              <w:spacing w:after="0"/>
              <w:rPr>
                <w:sz w:val="20"/>
                <w:szCs w:val="20"/>
                <w:color w:val="auto"/>
              </w:rPr>
            </w:pPr>
            <w:r>
              <w:rPr>
                <w:rFonts w:ascii="Arial" w:cs="Arial" w:eastAsia="Arial" w:hAnsi="Arial"/>
                <w:sz w:val="18"/>
                <w:szCs w:val="18"/>
                <w:color w:val="auto"/>
              </w:rPr>
              <w:t>Improvements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329,522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Deduction during period—dispositions and retirements of property</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(36,092)</w:t>
            </w:r>
          </w:p>
        </w:tc>
        <w:tc>
          <w:tcPr>
            <w:tcW w:w="0" w:type="dxa"/>
            <w:vAlign w:val="bottom"/>
          </w:tcPr>
          <w:p>
            <w:pPr>
              <w:spacing w:after="0"/>
              <w:rPr>
                <w:sz w:val="1"/>
                <w:szCs w:val="1"/>
                <w:color w:val="auto"/>
              </w:rPr>
            </w:pPr>
          </w:p>
        </w:tc>
      </w:tr>
      <w:tr>
        <w:trPr>
          <w:trHeight w:val="236"/>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2013</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5,149,463</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Additions during period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60" w:type="dxa"/>
            <w:vAlign w:val="bottom"/>
            <w:gridSpan w:val="2"/>
          </w:tcPr>
          <w:p>
            <w:pPr>
              <w:ind w:left="50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174,328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329,674</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Deduction during period—dispositions and retirements of property and transfer to joint venture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(44,467)</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CEEFF"/>
            </w:tcBorders>
          </w:tcPr>
          <w:p>
            <w:pPr>
              <w:spacing w:after="0"/>
              <w:rPr>
                <w:sz w:val="2"/>
                <w:szCs w:val="2"/>
                <w:color w:val="auto"/>
              </w:rPr>
            </w:pPr>
          </w:p>
        </w:tc>
        <w:tc>
          <w:tcPr>
            <w:tcW w:w="8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5,608,998</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291,726</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500"/>
              <w:spacing w:after="0"/>
              <w:rPr>
                <w:sz w:val="20"/>
                <w:szCs w:val="20"/>
                <w:color w:val="auto"/>
              </w:rPr>
            </w:pPr>
            <w:r>
              <w:rPr>
                <w:rFonts w:ascii="Arial" w:cs="Arial" w:eastAsia="Arial" w:hAnsi="Arial"/>
                <w:sz w:val="18"/>
                <w:szCs w:val="18"/>
                <w:color w:val="auto"/>
              </w:rPr>
              <w:t>Improvements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281,471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Deduction during period—dispositions and retirements of property</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(117,789)</w:t>
            </w:r>
          </w:p>
        </w:tc>
        <w:tc>
          <w:tcPr>
            <w:tcW w:w="0" w:type="dxa"/>
            <w:vAlign w:val="bottom"/>
          </w:tcPr>
          <w:p>
            <w:pPr>
              <w:spacing w:after="0"/>
              <w:rPr>
                <w:sz w:val="1"/>
                <w:szCs w:val="1"/>
                <w:color w:val="auto"/>
              </w:rPr>
            </w:pPr>
          </w:p>
        </w:tc>
      </w:tr>
      <w:tr>
        <w:trPr>
          <w:trHeight w:val="257"/>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2015</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6,064,406</w:t>
            </w:r>
          </w:p>
        </w:tc>
        <w:tc>
          <w:tcPr>
            <w:tcW w:w="0" w:type="dxa"/>
            <w:vAlign w:val="bottom"/>
          </w:tcPr>
          <w:p>
            <w:pPr>
              <w:spacing w:after="0"/>
              <w:rPr>
                <w:sz w:val="1"/>
                <w:szCs w:val="1"/>
                <w:color w:val="auto"/>
              </w:rPr>
            </w:pPr>
          </w:p>
        </w:tc>
      </w:tr>
      <w:tr>
        <w:trPr>
          <w:trHeight w:val="20"/>
        </w:trPr>
        <w:tc>
          <w:tcPr>
            <w:tcW w:w="1006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0060" w:type="dxa"/>
            <w:vAlign w:val="bottom"/>
            <w:gridSpan w:val="2"/>
          </w:tcPr>
          <w:p>
            <w:pPr>
              <w:spacing w:after="0"/>
              <w:rPr>
                <w:sz w:val="20"/>
                <w:szCs w:val="20"/>
                <w:color w:val="auto"/>
              </w:rPr>
            </w:pPr>
            <w:r>
              <w:rPr>
                <w:rFonts w:ascii="Arial" w:cs="Arial" w:eastAsia="Arial" w:hAnsi="Arial"/>
                <w:sz w:val="18"/>
                <w:szCs w:val="18"/>
                <w:color w:val="auto"/>
              </w:rPr>
              <w:t>(1)  For Federal tax purposes, the aggregate cost basis is approximately $5.3 billion as of December 31, 2015.</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220" w:type="dxa"/>
            <w:vAlign w:val="bottom"/>
          </w:tcPr>
          <w:p>
            <w:pPr>
              <w:spacing w:after="0"/>
              <w:rPr>
                <w:sz w:val="24"/>
                <w:szCs w:val="24"/>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color w:val="auto"/>
                <w:w w:val="91"/>
              </w:rPr>
              <w:t>F-35</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60" w:type="dxa"/>
            <w:vAlign w:val="bottom"/>
            <w:gridSpan w:val="2"/>
          </w:tcPr>
          <w:p>
            <w:pPr>
              <w:spacing w:after="0"/>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Table of Contents</w:t>
              </w:r>
            </w:hyperlink>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6"/>
        </w:trPr>
        <w:tc>
          <w:tcPr>
            <w:tcW w:w="1220" w:type="dxa"/>
            <w:vAlign w:val="bottom"/>
            <w:tcBorders>
              <w:top w:val="single" w:sz="8" w:color="0000EE"/>
            </w:tcBorders>
          </w:tcPr>
          <w:p>
            <w:pPr>
              <w:spacing w:after="0"/>
              <w:rPr>
                <w:sz w:val="24"/>
                <w:szCs w:val="24"/>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rPr>
              <w:t>FEDERAL REALTY INVESTMENT TRUST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70"/>
              <w:spacing w:after="0"/>
              <w:rPr>
                <w:sz w:val="20"/>
                <w:szCs w:val="20"/>
                <w:color w:val="auto"/>
              </w:rPr>
            </w:pPr>
            <w:r>
              <w:rPr>
                <w:rFonts w:ascii="Arial" w:cs="Arial" w:eastAsia="Arial" w:hAnsi="Arial"/>
                <w:sz w:val="18"/>
                <w:szCs w:val="18"/>
                <w:b w:val="1"/>
                <w:bCs w:val="1"/>
                <w:color w:val="auto"/>
              </w:rPr>
              <w:t>SCHEDULE III</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rPr>
              <w:t>SUMMARY OF REAL ESTATE AND ACCUMULATED DEPRECIATION - CONTINUED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Three Years Ended December 31, 2015</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Reconciliation of Accumulated Depreciation and Amortization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8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1,224,295</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147,730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Deductions during period—dispositions and retirements of property</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(21,554)</w:t>
            </w:r>
          </w:p>
        </w:tc>
        <w:tc>
          <w:tcPr>
            <w:tcW w:w="0" w:type="dxa"/>
            <w:vAlign w:val="bottom"/>
          </w:tcPr>
          <w:p>
            <w:pPr>
              <w:spacing w:after="0"/>
              <w:rPr>
                <w:sz w:val="1"/>
                <w:szCs w:val="1"/>
                <w:color w:val="auto"/>
              </w:rPr>
            </w:pPr>
          </w:p>
        </w:tc>
      </w:tr>
      <w:tr>
        <w:trPr>
          <w:trHeight w:val="236"/>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2013</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1,350,471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155,662</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Deductions during period—dispositions and retirements of property</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(39,083)</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CEEFF"/>
            </w:tcBorders>
          </w:tcPr>
          <w:p>
            <w:pPr>
              <w:spacing w:after="0"/>
              <w:rPr>
                <w:sz w:val="2"/>
                <w:szCs w:val="2"/>
                <w:color w:val="auto"/>
              </w:rPr>
            </w:pPr>
          </w:p>
        </w:tc>
        <w:tc>
          <w:tcPr>
            <w:tcW w:w="8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1,467,050</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156,513</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Deductions during period—dispositions and retirements of property</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(49,522)</w:t>
            </w:r>
          </w:p>
        </w:tc>
        <w:tc>
          <w:tcPr>
            <w:tcW w:w="0" w:type="dxa"/>
            <w:vAlign w:val="bottom"/>
          </w:tcPr>
          <w:p>
            <w:pPr>
              <w:spacing w:after="0"/>
              <w:rPr>
                <w:sz w:val="1"/>
                <w:szCs w:val="1"/>
                <w:color w:val="auto"/>
              </w:rPr>
            </w:pPr>
          </w:p>
        </w:tc>
      </w:tr>
      <w:tr>
        <w:trPr>
          <w:trHeight w:val="257"/>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2015</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1,574,041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840" w:type="dxa"/>
            <w:vAlign w:val="bottom"/>
            <w:vMerge w:val="restart"/>
          </w:tcPr>
          <w:p>
            <w:pPr>
              <w:jc w:val="center"/>
              <w:ind w:left="50"/>
              <w:spacing w:after="0"/>
              <w:rPr>
                <w:sz w:val="20"/>
                <w:szCs w:val="20"/>
                <w:color w:val="auto"/>
              </w:rPr>
            </w:pPr>
            <w:r>
              <w:rPr>
                <w:rFonts w:ascii="Arial" w:cs="Arial" w:eastAsia="Arial" w:hAnsi="Arial"/>
                <w:sz w:val="18"/>
                <w:szCs w:val="18"/>
                <w:color w:val="auto"/>
                <w:w w:val="91"/>
              </w:rPr>
              <w:t>F-36</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1220" w:type="dxa"/>
            <w:vAlign w:val="bottom"/>
          </w:tcPr>
          <w:p>
            <w:pPr>
              <w:spacing w:after="0"/>
              <w:rPr>
                <w:sz w:val="24"/>
                <w:szCs w:val="24"/>
                <w:color w:val="auto"/>
              </w:rPr>
            </w:pPr>
          </w:p>
        </w:tc>
        <w:tc>
          <w:tcPr>
            <w:tcW w:w="8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MORTGAGE LOANS ON REAL ESTATE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40" w:type="dxa"/>
            <w:vAlign w:val="bottom"/>
            <w:gridSpan w:val="2"/>
          </w:tcPr>
          <w:p>
            <w:pPr>
              <w:ind w:left="500"/>
              <w:spacing w:after="0"/>
              <w:rPr>
                <w:sz w:val="20"/>
                <w:szCs w:val="20"/>
                <w:color w:val="auto"/>
              </w:rPr>
            </w:pPr>
            <w:r>
              <w:rPr>
                <w:rFonts w:ascii="Arial" w:cs="Arial" w:eastAsia="Arial" w:hAnsi="Arial"/>
                <w:sz w:val="14"/>
                <w:szCs w:val="14"/>
                <w:b w:val="1"/>
                <w:bCs w:val="1"/>
                <w:color w:val="auto"/>
              </w:rPr>
              <w:t>Column A</w:t>
            </w: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Column B</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Column C</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Column D</w:t>
            </w:r>
          </w:p>
        </w:tc>
        <w:tc>
          <w:tcPr>
            <w:tcW w:w="220" w:type="dxa"/>
            <w:vAlign w:val="bottom"/>
          </w:tcPr>
          <w:p>
            <w:pPr>
              <w:spacing w:after="0"/>
              <w:rPr>
                <w:sz w:val="16"/>
                <w:szCs w:val="16"/>
                <w:color w:val="auto"/>
              </w:rPr>
            </w:pPr>
          </w:p>
        </w:tc>
        <w:tc>
          <w:tcPr>
            <w:tcW w:w="1200" w:type="dxa"/>
            <w:vAlign w:val="bottom"/>
            <w:gridSpan w:val="3"/>
          </w:tcPr>
          <w:p>
            <w:pPr>
              <w:ind w:left="120"/>
              <w:spacing w:after="0"/>
              <w:rPr>
                <w:sz w:val="20"/>
                <w:szCs w:val="20"/>
                <w:color w:val="auto"/>
              </w:rPr>
            </w:pPr>
            <w:r>
              <w:rPr>
                <w:rFonts w:ascii="Arial" w:cs="Arial" w:eastAsia="Arial" w:hAnsi="Arial"/>
                <w:sz w:val="14"/>
                <w:szCs w:val="14"/>
                <w:b w:val="1"/>
                <w:bCs w:val="1"/>
                <w:color w:val="auto"/>
              </w:rPr>
              <w:t>Column E</w:t>
            </w:r>
          </w:p>
        </w:tc>
        <w:tc>
          <w:tcPr>
            <w:tcW w:w="160" w:type="dxa"/>
            <w:vAlign w:val="bottom"/>
          </w:tcPr>
          <w:p>
            <w:pPr>
              <w:spacing w:after="0"/>
              <w:rPr>
                <w:sz w:val="16"/>
                <w:szCs w:val="16"/>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Column F</w:t>
            </w:r>
          </w:p>
        </w:tc>
        <w:tc>
          <w:tcPr>
            <w:tcW w:w="140" w:type="dxa"/>
            <w:vAlign w:val="bottom"/>
          </w:tcPr>
          <w:p>
            <w:pPr>
              <w:spacing w:after="0"/>
              <w:rPr>
                <w:sz w:val="16"/>
                <w:szCs w:val="16"/>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Column G</w:t>
            </w:r>
          </w:p>
        </w:tc>
        <w:tc>
          <w:tcPr>
            <w:tcW w:w="140" w:type="dxa"/>
            <w:vAlign w:val="bottom"/>
          </w:tcPr>
          <w:p>
            <w:pPr>
              <w:spacing w:after="0"/>
              <w:rPr>
                <w:sz w:val="16"/>
                <w:szCs w:val="16"/>
                <w:color w:val="auto"/>
              </w:rPr>
            </w:pPr>
          </w:p>
        </w:tc>
        <w:tc>
          <w:tcPr>
            <w:tcW w:w="1200" w:type="dxa"/>
            <w:vAlign w:val="bottom"/>
          </w:tcPr>
          <w:p>
            <w:pPr>
              <w:jc w:val="center"/>
              <w:ind w:right="385"/>
              <w:spacing w:after="0"/>
              <w:rPr>
                <w:sz w:val="20"/>
                <w:szCs w:val="20"/>
                <w:color w:val="auto"/>
              </w:rPr>
            </w:pPr>
            <w:r>
              <w:rPr>
                <w:rFonts w:ascii="Arial" w:cs="Arial" w:eastAsia="Arial" w:hAnsi="Arial"/>
                <w:sz w:val="14"/>
                <w:szCs w:val="14"/>
                <w:b w:val="1"/>
                <w:bCs w:val="1"/>
                <w:color w:val="auto"/>
                <w:w w:val="99"/>
              </w:rPr>
              <w:t>Column H</w:t>
            </w:r>
          </w:p>
        </w:tc>
        <w:tc>
          <w:tcPr>
            <w:tcW w:w="0" w:type="dxa"/>
            <w:vAlign w:val="bottom"/>
          </w:tcPr>
          <w:p>
            <w:pPr>
              <w:spacing w:after="0"/>
              <w:rPr>
                <w:sz w:val="1"/>
                <w:szCs w:val="1"/>
                <w:color w:val="auto"/>
              </w:rPr>
            </w:pPr>
          </w:p>
        </w:tc>
      </w:tr>
      <w:tr>
        <w:trPr>
          <w:trHeight w:val="152"/>
        </w:trPr>
        <w:tc>
          <w:tcPr>
            <w:tcW w:w="1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385"/>
              <w:spacing w:after="0" w:line="152" w:lineRule="exact"/>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385"/>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385"/>
              <w:spacing w:after="0" w:line="149" w:lineRule="exact"/>
              <w:rPr>
                <w:sz w:val="20"/>
                <w:szCs w:val="20"/>
                <w:color w:val="auto"/>
              </w:rPr>
            </w:pPr>
            <w:r>
              <w:rPr>
                <w:rFonts w:ascii="Arial" w:cs="Arial" w:eastAsia="Arial" w:hAnsi="Arial"/>
                <w:sz w:val="14"/>
                <w:szCs w:val="14"/>
                <w:b w:val="1"/>
                <w:bCs w:val="1"/>
                <w:color w:val="auto"/>
                <w:w w:val="92"/>
              </w:rPr>
              <w:t>of Loans</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200" w:type="dxa"/>
            <w:vAlign w:val="bottom"/>
          </w:tcPr>
          <w:p>
            <w:pPr>
              <w:jc w:val="center"/>
              <w:ind w:right="385"/>
              <w:spacing w:after="0" w:line="149" w:lineRule="exact"/>
              <w:rPr>
                <w:sz w:val="20"/>
                <w:szCs w:val="20"/>
                <w:color w:val="auto"/>
              </w:rPr>
            </w:pPr>
            <w:r>
              <w:rPr>
                <w:rFonts w:ascii="Arial" w:cs="Arial" w:eastAsia="Arial" w:hAnsi="Arial"/>
                <w:sz w:val="14"/>
                <w:szCs w:val="14"/>
                <w:b w:val="1"/>
                <w:bCs w:val="1"/>
                <w:color w:val="auto"/>
                <w:w w:val="91"/>
              </w:rPr>
              <w:t>Subject to</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Periodic Payment</w:t>
            </w:r>
          </w:p>
        </w:tc>
        <w:tc>
          <w:tcPr>
            <w:tcW w:w="220" w:type="dxa"/>
            <w:vAlign w:val="bottom"/>
          </w:tcPr>
          <w:p>
            <w:pPr>
              <w:spacing w:after="0"/>
              <w:rPr>
                <w:sz w:val="12"/>
                <w:szCs w:val="12"/>
                <w:color w:val="auto"/>
              </w:rPr>
            </w:pPr>
          </w:p>
        </w:tc>
        <w:tc>
          <w:tcPr>
            <w:tcW w:w="120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Prior</w:t>
            </w:r>
          </w:p>
        </w:tc>
        <w:tc>
          <w:tcPr>
            <w:tcW w:w="160" w:type="dxa"/>
            <w:vAlign w:val="bottom"/>
          </w:tcPr>
          <w:p>
            <w:pPr>
              <w:spacing w:after="0"/>
              <w:rPr>
                <w:sz w:val="12"/>
                <w:szCs w:val="12"/>
                <w:color w:val="auto"/>
              </w:rPr>
            </w:pP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2"/>
              </w:rPr>
              <w:t>Face Amount</w:t>
            </w: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385"/>
              <w:spacing w:after="0" w:line="149" w:lineRule="exact"/>
              <w:rPr>
                <w:sz w:val="20"/>
                <w:szCs w:val="20"/>
                <w:color w:val="auto"/>
              </w:rPr>
            </w:pPr>
            <w:r>
              <w:rPr>
                <w:rFonts w:ascii="Arial" w:cs="Arial" w:eastAsia="Arial" w:hAnsi="Arial"/>
                <w:sz w:val="14"/>
                <w:szCs w:val="14"/>
                <w:b w:val="1"/>
                <w:bCs w:val="1"/>
                <w:color w:val="auto"/>
                <w:w w:val="93"/>
              </w:rPr>
              <w:t>delinquent</w:t>
            </w:r>
          </w:p>
        </w:tc>
        <w:tc>
          <w:tcPr>
            <w:tcW w:w="0" w:type="dxa"/>
            <w:vAlign w:val="bottom"/>
          </w:tcPr>
          <w:p>
            <w:pPr>
              <w:spacing w:after="0"/>
              <w:rPr>
                <w:sz w:val="1"/>
                <w:szCs w:val="1"/>
                <w:color w:val="auto"/>
              </w:rPr>
            </w:pPr>
          </w:p>
        </w:tc>
      </w:tr>
      <w:tr>
        <w:trPr>
          <w:trHeight w:val="148"/>
        </w:trPr>
        <w:tc>
          <w:tcPr>
            <w:tcW w:w="1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Lien</w:t>
            </w:r>
          </w:p>
        </w:tc>
        <w:tc>
          <w:tcPr>
            <w:tcW w:w="120" w:type="dxa"/>
            <w:vAlign w:val="bottom"/>
            <w:vMerge w:val="restart"/>
          </w:tcPr>
          <w:p>
            <w:pPr>
              <w:spacing w:after="0"/>
              <w:rPr>
                <w:sz w:val="12"/>
                <w:szCs w:val="12"/>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Interest Rate</w:t>
            </w:r>
          </w:p>
        </w:tc>
        <w:tc>
          <w:tcPr>
            <w:tcW w:w="120" w:type="dxa"/>
            <w:vAlign w:val="bottom"/>
            <w:vMerge w:val="restart"/>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20" w:type="dxa"/>
            <w:vAlign w:val="bottom"/>
            <w:vMerge w:val="restart"/>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200" w:type="dxa"/>
            <w:vAlign w:val="bottom"/>
          </w:tcPr>
          <w:p>
            <w:pPr>
              <w:jc w:val="center"/>
              <w:ind w:right="385"/>
              <w:spacing w:after="0" w:line="149" w:lineRule="exact"/>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Terms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Liens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of Mortgages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of Mortgages(1)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85"/>
              <w:spacing w:after="0"/>
              <w:rPr>
                <w:sz w:val="20"/>
                <w:szCs w:val="20"/>
                <w:color w:val="auto"/>
              </w:rPr>
            </w:pPr>
            <w:r>
              <w:rPr>
                <w:rFonts w:ascii="Arial" w:cs="Arial" w:eastAsia="Arial" w:hAnsi="Arial"/>
                <w:sz w:val="14"/>
                <w:szCs w:val="14"/>
                <w:b w:val="1"/>
                <w:bCs w:val="1"/>
                <w:color w:val="auto"/>
                <w:w w:val="96"/>
              </w:rPr>
              <w:t>or Interest</w:t>
            </w:r>
          </w:p>
        </w:tc>
        <w:tc>
          <w:tcPr>
            <w:tcW w:w="0" w:type="dxa"/>
            <w:vAlign w:val="bottom"/>
          </w:tcPr>
          <w:p>
            <w:pPr>
              <w:spacing w:after="0"/>
              <w:rPr>
                <w:sz w:val="1"/>
                <w:szCs w:val="1"/>
                <w:color w:val="auto"/>
              </w:rPr>
            </w:pPr>
          </w:p>
        </w:tc>
      </w:tr>
      <w:tr>
        <w:trPr>
          <w:trHeight w:val="219"/>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Mortgage on</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8% or 10%</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May 2021</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only</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98"/>
              </w:rPr>
              <w:t>20,653</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20,653   (2)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6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retail buildings in</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based on</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monthly; balloon</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Philadelphia, PA</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timing of</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payment due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draws, plus</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at maturity</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participation</w:t>
            </w: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Mortgage on retail</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10% plus</w:t>
            </w:r>
          </w:p>
        </w:tc>
        <w:tc>
          <w:tcPr>
            <w:tcW w:w="1400" w:type="dxa"/>
            <w:vAlign w:val="bottom"/>
            <w:gridSpan w:val="2"/>
          </w:tcPr>
          <w:p>
            <w:pPr>
              <w:ind w:left="20"/>
              <w:spacing w:after="0"/>
              <w:rPr>
                <w:sz w:val="20"/>
                <w:szCs w:val="20"/>
                <w:color w:val="auto"/>
              </w:rPr>
            </w:pPr>
            <w:r>
              <w:rPr>
                <w:rFonts w:ascii="Arial" w:cs="Arial" w:eastAsia="Arial" w:hAnsi="Arial"/>
                <w:sz w:val="16"/>
                <w:szCs w:val="16"/>
                <w:color w:val="auto"/>
              </w:rPr>
              <w:t>May 2021</w:t>
            </w: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Interest only</w:t>
            </w:r>
          </w:p>
        </w:tc>
        <w:tc>
          <w:tcPr>
            <w:tcW w:w="220" w:type="dxa"/>
            <w:vAlign w:val="bottom"/>
          </w:tcPr>
          <w:p>
            <w:pPr>
              <w:spacing w:after="0"/>
              <w:rPr>
                <w:sz w:val="19"/>
                <w:szCs w:val="19"/>
                <w:color w:val="auto"/>
              </w:rPr>
            </w:pPr>
          </w:p>
        </w:tc>
        <w:tc>
          <w:tcPr>
            <w:tcW w:w="120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20" w:type="dxa"/>
            <w:vAlign w:val="bottom"/>
          </w:tcPr>
          <w:p>
            <w:pPr>
              <w:jc w:val="right"/>
              <w:ind w:right="43"/>
              <w:spacing w:after="0"/>
              <w:rPr>
                <w:sz w:val="20"/>
                <w:szCs w:val="20"/>
                <w:color w:val="auto"/>
              </w:rPr>
            </w:pPr>
            <w:r>
              <w:rPr>
                <w:rFonts w:ascii="Arial" w:cs="Arial" w:eastAsia="Arial" w:hAnsi="Arial"/>
                <w:sz w:val="16"/>
                <w:szCs w:val="16"/>
                <w:color w:val="auto"/>
              </w:rPr>
              <w:t>9,250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44"/>
              <w:spacing w:after="0"/>
              <w:rPr>
                <w:sz w:val="20"/>
                <w:szCs w:val="20"/>
                <w:color w:val="auto"/>
              </w:rPr>
            </w:pPr>
            <w:r>
              <w:rPr>
                <w:rFonts w:ascii="Arial" w:cs="Arial" w:eastAsia="Arial" w:hAnsi="Arial"/>
                <w:sz w:val="16"/>
                <w:szCs w:val="16"/>
                <w:color w:val="auto"/>
              </w:rPr>
              <w:t>9,250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36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buildings in</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participation</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monthly;</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Philadelphia, PA</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balloon payment due</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at maturity</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Mortgage on retail</w:t>
            </w:r>
          </w:p>
        </w:tc>
        <w:tc>
          <w:tcPr>
            <w:tcW w:w="1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2015</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only; balloon</w:t>
            </w:r>
          </w:p>
        </w:tc>
        <w:tc>
          <w:tcPr>
            <w:tcW w:w="2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98"/>
              </w:rPr>
              <w:t>11,715</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11,715</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11,715   (3)</w:t>
            </w:r>
          </w:p>
        </w:tc>
        <w:tc>
          <w:tcPr>
            <w:tcW w:w="0" w:type="dxa"/>
            <w:vAlign w:val="bottom"/>
          </w:tcPr>
          <w:p>
            <w:pPr>
              <w:spacing w:after="0"/>
              <w:rPr>
                <w:sz w:val="1"/>
                <w:szCs w:val="1"/>
                <w:color w:val="auto"/>
              </w:rPr>
            </w:pPr>
          </w:p>
        </w:tc>
      </w:tr>
      <w:tr>
        <w:trPr>
          <w:trHeight w:val="202"/>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building in Norwalk,</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payment due at</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w:t>
            </w: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maturity</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600" w:type="dxa"/>
            <w:vAlign w:val="bottom"/>
            <w:gridSpan w:val="2"/>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w w:val="98"/>
              </w:rPr>
              <w:t>41,618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41,618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365"/>
              <w:spacing w:after="0"/>
              <w:rPr>
                <w:sz w:val="20"/>
                <w:szCs w:val="20"/>
                <w:color w:val="auto"/>
              </w:rPr>
            </w:pPr>
            <w:r>
              <w:rPr>
                <w:rFonts w:ascii="Arial" w:cs="Arial" w:eastAsia="Arial" w:hAnsi="Arial"/>
                <w:sz w:val="16"/>
                <w:szCs w:val="16"/>
                <w:color w:val="auto"/>
              </w:rPr>
              <w:t>11,715</w:t>
            </w:r>
          </w:p>
        </w:tc>
        <w:tc>
          <w:tcPr>
            <w:tcW w:w="0" w:type="dxa"/>
            <w:vAlign w:val="bottom"/>
          </w:tcPr>
          <w:p>
            <w:pPr>
              <w:spacing w:after="0"/>
              <w:rPr>
                <w:sz w:val="1"/>
                <w:szCs w:val="1"/>
                <w:color w:val="auto"/>
              </w:rPr>
            </w:pPr>
          </w:p>
        </w:tc>
      </w:tr>
      <w:tr>
        <w:trPr>
          <w:trHeight w:val="46"/>
        </w:trPr>
        <w:tc>
          <w:tcPr>
            <w:tcW w:w="288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880" w:type="dxa"/>
            <w:vAlign w:val="bottom"/>
            <w:gridSpan w:val="3"/>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For Federal tax purposes, the aggregate tax basis is approximately $41.6 million as of December 31, 2015.</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This mortgage is available for up to $25.0 million.</w:t>
      </w:r>
    </w:p>
    <w:p>
      <w:pPr>
        <w:spacing w:after="0" w:line="4" w:lineRule="exact"/>
        <w:rPr>
          <w:rFonts w:ascii="Arial" w:cs="Arial" w:eastAsia="Arial" w:hAnsi="Arial"/>
          <w:sz w:val="16"/>
          <w:szCs w:val="16"/>
          <w:color w:val="auto"/>
        </w:rPr>
      </w:pPr>
    </w:p>
    <w:p>
      <w:pPr>
        <w:ind w:left="340" w:right="420" w:hanging="332"/>
        <w:spacing w:after="0" w:line="257"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This note matured on June 30, 2015, is currently in default, and we have initiated foreclosure proceedings. The estimated net realizable value of the related collateral supports the carrying amount of the note.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6"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84"/>
        </w:trPr>
        <w:tc>
          <w:tcPr>
            <w:tcW w:w="3220" w:type="dxa"/>
            <w:vAlign w:val="bottom"/>
            <w:gridSpan w:val="2"/>
          </w:tcPr>
          <w:p>
            <w:pPr>
              <w:spacing w:after="0"/>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Table of Contents</w:t>
              </w:r>
            </w:hyperlink>
          </w:p>
        </w:tc>
        <w:tc>
          <w:tcPr>
            <w:tcW w:w="6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636"/>
        </w:trPr>
        <w:tc>
          <w:tcPr>
            <w:tcW w:w="122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7240" w:type="dxa"/>
            <w:vAlign w:val="bottom"/>
            <w:gridSpan w:val="2"/>
          </w:tcPr>
          <w:p>
            <w:pPr>
              <w:jc w:val="center"/>
              <w:ind w:right="2170"/>
              <w:spacing w:after="0"/>
              <w:rPr>
                <w:sz w:val="20"/>
                <w:szCs w:val="20"/>
                <w:color w:val="auto"/>
              </w:rPr>
            </w:pPr>
            <w:r>
              <w:rPr>
                <w:rFonts w:ascii="Arial" w:cs="Arial" w:eastAsia="Arial" w:hAnsi="Arial"/>
                <w:sz w:val="18"/>
                <w:szCs w:val="18"/>
                <w:b w:val="1"/>
                <w:bCs w:val="1"/>
                <w:color w:val="auto"/>
              </w:rPr>
              <w:t>FEDERAL REALTY INVESTMENT TRUST</w:t>
            </w:r>
          </w:p>
        </w:tc>
        <w:tc>
          <w:tcPr>
            <w:tcW w:w="96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gridSpan w:val="2"/>
          </w:tcPr>
          <w:p>
            <w:pPr>
              <w:jc w:val="center"/>
              <w:ind w:right="2150"/>
              <w:spacing w:after="0"/>
              <w:rPr>
                <w:sz w:val="20"/>
                <w:szCs w:val="20"/>
                <w:color w:val="auto"/>
              </w:rPr>
            </w:pPr>
            <w:r>
              <w:rPr>
                <w:rFonts w:ascii="Arial" w:cs="Arial" w:eastAsia="Arial" w:hAnsi="Arial"/>
                <w:sz w:val="18"/>
                <w:szCs w:val="18"/>
                <w:b w:val="1"/>
                <w:bCs w:val="1"/>
                <w:color w:val="auto"/>
              </w:rPr>
              <w:t>SCHEDULE IV</w:t>
            </w:r>
          </w:p>
        </w:tc>
        <w:tc>
          <w:tcPr>
            <w:tcW w:w="9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gridSpan w:val="2"/>
          </w:tcPr>
          <w:p>
            <w:pPr>
              <w:jc w:val="center"/>
              <w:ind w:right="2170"/>
              <w:spacing w:after="0"/>
              <w:rPr>
                <w:sz w:val="20"/>
                <w:szCs w:val="20"/>
                <w:color w:val="auto"/>
              </w:rPr>
            </w:pPr>
            <w:r>
              <w:rPr>
                <w:rFonts w:ascii="Arial" w:cs="Arial" w:eastAsia="Arial" w:hAnsi="Arial"/>
                <w:sz w:val="18"/>
                <w:szCs w:val="18"/>
                <w:b w:val="1"/>
                <w:bCs w:val="1"/>
                <w:color w:val="auto"/>
                <w:w w:val="99"/>
              </w:rPr>
              <w:t>MORTGAGE LOANS ON REAL ESTATE - CONTINUED</w:t>
            </w:r>
          </w:p>
        </w:tc>
        <w:tc>
          <w:tcPr>
            <w:tcW w:w="9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gridSpan w:val="2"/>
          </w:tcPr>
          <w:p>
            <w:pPr>
              <w:jc w:val="center"/>
              <w:ind w:right="2170"/>
              <w:spacing w:after="0"/>
              <w:rPr>
                <w:sz w:val="20"/>
                <w:szCs w:val="20"/>
                <w:color w:val="auto"/>
              </w:rPr>
            </w:pPr>
            <w:r>
              <w:rPr>
                <w:rFonts w:ascii="Arial" w:cs="Arial" w:eastAsia="Arial" w:hAnsi="Arial"/>
                <w:sz w:val="18"/>
                <w:szCs w:val="18"/>
                <w:b w:val="1"/>
                <w:bCs w:val="1"/>
                <w:color w:val="auto"/>
                <w:w w:val="90"/>
              </w:rPr>
              <w:t>Three Years Ended December 31, 2015</w:t>
            </w:r>
          </w:p>
        </w:tc>
        <w:tc>
          <w:tcPr>
            <w:tcW w:w="9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gridSpan w:val="2"/>
          </w:tcPr>
          <w:p>
            <w:pPr>
              <w:jc w:val="center"/>
              <w:ind w:right="2150"/>
              <w:spacing w:after="0"/>
              <w:rPr>
                <w:sz w:val="20"/>
                <w:szCs w:val="20"/>
                <w:color w:val="auto"/>
              </w:rPr>
            </w:pPr>
            <w:r>
              <w:rPr>
                <w:rFonts w:ascii="Arial" w:cs="Arial" w:eastAsia="Arial" w:hAnsi="Arial"/>
                <w:sz w:val="18"/>
                <w:szCs w:val="18"/>
                <w:b w:val="1"/>
                <w:bCs w:val="1"/>
                <w:color w:val="auto"/>
                <w:w w:val="91"/>
              </w:rPr>
              <w:t>Reconciliation of Carrying Amount</w:t>
            </w:r>
          </w:p>
        </w:tc>
        <w:tc>
          <w:tcPr>
            <w:tcW w:w="96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240" w:type="dxa"/>
            <w:vAlign w:val="bottom"/>
            <w:gridSpan w:val="2"/>
          </w:tcPr>
          <w:p>
            <w:pPr>
              <w:jc w:val="center"/>
              <w:ind w:right="2170"/>
              <w:spacing w:after="0"/>
              <w:rPr>
                <w:sz w:val="20"/>
                <w:szCs w:val="20"/>
                <w:color w:val="auto"/>
              </w:rPr>
            </w:pPr>
            <w:r>
              <w:rPr>
                <w:rFonts w:ascii="Arial" w:cs="Arial" w:eastAsia="Arial" w:hAnsi="Arial"/>
                <w:sz w:val="18"/>
                <w:szCs w:val="18"/>
                <w:b w:val="1"/>
                <w:bCs w:val="1"/>
                <w:color w:val="auto"/>
                <w:w w:val="88"/>
              </w:rPr>
              <w:t>(in thousands)</w:t>
            </w:r>
          </w:p>
        </w:tc>
        <w:tc>
          <w:tcPr>
            <w:tcW w:w="960" w:type="dxa"/>
            <w:vAlign w:val="bottom"/>
          </w:tcPr>
          <w:p>
            <w:pPr>
              <w:spacing w:after="0"/>
              <w:rPr>
                <w:sz w:val="20"/>
                <w:szCs w:val="20"/>
                <w:color w:val="auto"/>
              </w:rPr>
            </w:pPr>
          </w:p>
        </w:tc>
      </w:tr>
      <w:tr>
        <w:trPr>
          <w:trHeight w:val="378"/>
        </w:trPr>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2012</w:t>
            </w:r>
          </w:p>
        </w:tc>
        <w:tc>
          <w:tcPr>
            <w:tcW w:w="724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55,648</w:t>
            </w:r>
          </w:p>
        </w:tc>
      </w:tr>
      <w:tr>
        <w:trPr>
          <w:trHeight w:val="243"/>
        </w:trPr>
        <w:tc>
          <w:tcPr>
            <w:tcW w:w="3220" w:type="dxa"/>
            <w:vAlign w:val="bottom"/>
            <w:gridSpan w:val="2"/>
          </w:tcPr>
          <w:p>
            <w:pPr>
              <w:ind w:left="280"/>
              <w:spacing w:after="0"/>
              <w:rPr>
                <w:sz w:val="20"/>
                <w:szCs w:val="20"/>
                <w:color w:val="auto"/>
              </w:rPr>
            </w:pPr>
            <w:r>
              <w:rPr>
                <w:rFonts w:ascii="Arial" w:cs="Arial" w:eastAsia="Arial" w:hAnsi="Arial"/>
                <w:sz w:val="18"/>
                <w:szCs w:val="18"/>
                <w:color w:val="auto"/>
              </w:rPr>
              <w:t>Deductions during period:</w:t>
            </w:r>
          </w:p>
        </w:tc>
        <w:tc>
          <w:tcPr>
            <w:tcW w:w="6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7"/>
              </w:rPr>
              <w:t>Collection and satisfaction of loans</w:t>
            </w:r>
          </w:p>
        </w:tc>
        <w:tc>
          <w:tcPr>
            <w:tcW w:w="6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43"/>
        </w:trPr>
        <w:tc>
          <w:tcPr>
            <w:tcW w:w="3220" w:type="dxa"/>
            <w:vAlign w:val="bottom"/>
            <w:gridSpan w:val="2"/>
          </w:tcPr>
          <w:p>
            <w:pPr>
              <w:ind w:left="500"/>
              <w:spacing w:after="0"/>
              <w:rPr>
                <w:sz w:val="20"/>
                <w:szCs w:val="20"/>
                <w:color w:val="auto"/>
              </w:rPr>
            </w:pPr>
            <w:r>
              <w:rPr>
                <w:rFonts w:ascii="Arial" w:cs="Arial" w:eastAsia="Arial" w:hAnsi="Arial"/>
                <w:sz w:val="18"/>
                <w:szCs w:val="18"/>
                <w:color w:val="auto"/>
              </w:rPr>
              <w:t>Amortization of discount</w:t>
            </w:r>
          </w:p>
        </w:tc>
        <w:tc>
          <w:tcPr>
            <w:tcW w:w="6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564</w:t>
            </w:r>
          </w:p>
        </w:tc>
      </w:tr>
      <w:tr>
        <w:trPr>
          <w:trHeight w:val="27"/>
        </w:trPr>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6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55,155</w:t>
            </w:r>
          </w:p>
        </w:tc>
      </w:tr>
      <w:tr>
        <w:trPr>
          <w:trHeight w:val="243"/>
        </w:trPr>
        <w:tc>
          <w:tcPr>
            <w:tcW w:w="3220" w:type="dxa"/>
            <w:vAlign w:val="bottom"/>
            <w:gridSpan w:val="2"/>
          </w:tcPr>
          <w:p>
            <w:pPr>
              <w:ind w:left="280"/>
              <w:spacing w:after="0"/>
              <w:rPr>
                <w:sz w:val="20"/>
                <w:szCs w:val="20"/>
                <w:color w:val="auto"/>
              </w:rPr>
            </w:pPr>
            <w:r>
              <w:rPr>
                <w:rFonts w:ascii="Arial" w:cs="Arial" w:eastAsia="Arial" w:hAnsi="Arial"/>
                <w:sz w:val="18"/>
                <w:szCs w:val="18"/>
                <w:color w:val="auto"/>
              </w:rPr>
              <w:t>Deductions during period:</w:t>
            </w:r>
          </w:p>
        </w:tc>
        <w:tc>
          <w:tcPr>
            <w:tcW w:w="6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7"/>
              </w:rPr>
              <w:t>Collection and satisfaction of loans</w:t>
            </w:r>
          </w:p>
        </w:tc>
        <w:tc>
          <w:tcPr>
            <w:tcW w:w="6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(4,778)</w:t>
            </w:r>
          </w:p>
        </w:tc>
      </w:tr>
      <w:tr>
        <w:trPr>
          <w:trHeight w:val="243"/>
        </w:trPr>
        <w:tc>
          <w:tcPr>
            <w:tcW w:w="3220" w:type="dxa"/>
            <w:vAlign w:val="bottom"/>
            <w:gridSpan w:val="2"/>
          </w:tcPr>
          <w:p>
            <w:pPr>
              <w:ind w:left="500"/>
              <w:spacing w:after="0"/>
              <w:rPr>
                <w:sz w:val="20"/>
                <w:szCs w:val="20"/>
                <w:color w:val="auto"/>
              </w:rPr>
            </w:pPr>
            <w:r>
              <w:rPr>
                <w:rFonts w:ascii="Arial" w:cs="Arial" w:eastAsia="Arial" w:hAnsi="Arial"/>
                <w:sz w:val="18"/>
                <w:szCs w:val="18"/>
                <w:color w:val="auto"/>
              </w:rPr>
              <w:t>Amortization of discount</w:t>
            </w:r>
          </w:p>
        </w:tc>
        <w:tc>
          <w:tcPr>
            <w:tcW w:w="6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611</w:t>
            </w:r>
          </w:p>
        </w:tc>
      </w:tr>
      <w:tr>
        <w:trPr>
          <w:trHeight w:val="27"/>
        </w:trPr>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6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50,988</w:t>
            </w:r>
          </w:p>
        </w:tc>
      </w:tr>
      <w:tr>
        <w:trPr>
          <w:trHeight w:val="243"/>
        </w:trPr>
        <w:tc>
          <w:tcPr>
            <w:tcW w:w="322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w:t>
            </w:r>
          </w:p>
        </w:tc>
        <w:tc>
          <w:tcPr>
            <w:tcW w:w="6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Issuance of loans</w:t>
            </w:r>
          </w:p>
        </w:tc>
        <w:tc>
          <w:tcPr>
            <w:tcW w:w="6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r>
      <w:tr>
        <w:trPr>
          <w:trHeight w:val="243"/>
        </w:trPr>
        <w:tc>
          <w:tcPr>
            <w:tcW w:w="3220" w:type="dxa"/>
            <w:vAlign w:val="bottom"/>
            <w:gridSpan w:val="2"/>
          </w:tcPr>
          <w:p>
            <w:pPr>
              <w:ind w:left="280"/>
              <w:spacing w:after="0"/>
              <w:rPr>
                <w:sz w:val="20"/>
                <w:szCs w:val="20"/>
                <w:color w:val="auto"/>
              </w:rPr>
            </w:pPr>
            <w:r>
              <w:rPr>
                <w:rFonts w:ascii="Arial" w:cs="Arial" w:eastAsia="Arial" w:hAnsi="Arial"/>
                <w:sz w:val="18"/>
                <w:szCs w:val="18"/>
                <w:color w:val="auto"/>
              </w:rPr>
              <w:t>Deductions during period:</w:t>
            </w:r>
          </w:p>
        </w:tc>
        <w:tc>
          <w:tcPr>
            <w:tcW w:w="6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7"/>
              </w:rPr>
              <w:t>Collection and satisfaction of loans</w:t>
            </w:r>
          </w:p>
        </w:tc>
        <w:tc>
          <w:tcPr>
            <w:tcW w:w="6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(10,692)</w:t>
            </w:r>
          </w:p>
        </w:tc>
      </w:tr>
      <w:tr>
        <w:trPr>
          <w:trHeight w:val="243"/>
        </w:trPr>
        <w:tc>
          <w:tcPr>
            <w:tcW w:w="3220" w:type="dxa"/>
            <w:vAlign w:val="bottom"/>
            <w:gridSpan w:val="2"/>
          </w:tcPr>
          <w:p>
            <w:pPr>
              <w:ind w:left="500"/>
              <w:spacing w:after="0"/>
              <w:rPr>
                <w:sz w:val="20"/>
                <w:szCs w:val="20"/>
                <w:color w:val="auto"/>
              </w:rPr>
            </w:pPr>
            <w:r>
              <w:rPr>
                <w:rFonts w:ascii="Arial" w:cs="Arial" w:eastAsia="Arial" w:hAnsi="Arial"/>
                <w:sz w:val="18"/>
                <w:szCs w:val="18"/>
                <w:color w:val="auto"/>
              </w:rPr>
              <w:t>Amortization of discount</w:t>
            </w:r>
          </w:p>
        </w:tc>
        <w:tc>
          <w:tcPr>
            <w:tcW w:w="6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954</w:t>
            </w:r>
          </w:p>
        </w:tc>
      </w:tr>
      <w:tr>
        <w:trPr>
          <w:trHeight w:val="27"/>
        </w:trPr>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68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41,618</w:t>
            </w:r>
          </w:p>
        </w:tc>
      </w:tr>
      <w:tr>
        <w:trPr>
          <w:trHeight w:val="20"/>
        </w:trPr>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50"/>
        </w:trPr>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240" w:type="dxa"/>
            <w:vAlign w:val="bottom"/>
            <w:gridSpan w:val="2"/>
          </w:tcPr>
          <w:p>
            <w:pPr>
              <w:jc w:val="center"/>
              <w:ind w:right="2170"/>
              <w:spacing w:after="0"/>
              <w:rPr>
                <w:sz w:val="20"/>
                <w:szCs w:val="20"/>
                <w:color w:val="auto"/>
              </w:rPr>
            </w:pPr>
            <w:r>
              <w:rPr>
                <w:rFonts w:ascii="Arial" w:cs="Arial" w:eastAsia="Arial" w:hAnsi="Arial"/>
                <w:sz w:val="18"/>
                <w:szCs w:val="18"/>
                <w:color w:val="auto"/>
                <w:w w:val="91"/>
              </w:rPr>
              <w:t>F-38</w:t>
            </w:r>
          </w:p>
        </w:tc>
        <w:tc>
          <w:tcPr>
            <w:tcW w:w="96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6"/>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of Federal Realty Investment Trust dated May 6, 2004, as corrected by the Certificate of Correction of Articles of Amendment of Declaration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of 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Realty Investment Trust dated May 6, 2009 (previously filed as Exhibit 3.1 to the Trust’s Registration Statement on Form S-3 (File No. 333-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160009)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February 17, 2006 and May 6, 2009 (previously filed as Exhibit 3.2 to the Trust’s Registration Statement on Form S-3 (File No. 333-160009)</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December 31, 1999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Exhibit 4.1 to 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498"/>
        </w:trPr>
        <w:tc>
          <w:tcPr>
            <w:tcW w:w="900" w:type="dxa"/>
            <w:vAlign w:val="bottom"/>
          </w:tcPr>
          <w:p>
            <w:pPr>
              <w:ind w:left="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 Indenture dated December 1, 1993 related to the Trust’s 7.48% Debentures due August 15, 2026; and 6.82% Medium Term Notes due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August 1, 2027; (previously filed as Exhibit 4(a) to the Trust’s Registration Statement on Form S-3 (File No. 33-51029), and amended on Form</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S-3 (File No. 33-63687), filed on December 13, 1993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 Indenture dated September 1, 1998 related to the Trust’s 5.65% Notes due 2016; 6.20% Notes due 2017; 5.90% Notes due 2020; 3.00%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Notes due 2022; 2.75% Notes due 2023; 3.95% Notes due 2024; 4.50% Notes due 2044; 2.55% Notes due 2021 (previously filed as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Exhibit 4(a) to the Trust’s Registration Statement on Form S-3 (File No. 333-63619) filed on September 17, 1998 and incorporated herein by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 Severance Agreement between the Trust and Donald C. Wood dated February 22, 1999 (previously filed as a portion of Exhibit 10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Trust's Quarterly Report on Form 10-Q for the quarter ended March 31, 1999 (File No. 1-07533) (the "1999 1Q Form 10-Q")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 Executive Agreement between Federal Realty Investment Trust and Donald C. Wood dated February 22, 1999 (previously filed as a portion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of Exhibit 10 to the 1999 1Q 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 Amendment to Executive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filed as Exhibit 10.12 to the Trust’s Annual Report on Form 10-K for the year ended December 31, 2004 (File No. 1-07533) (the “2004</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2001 Long-Term Incentive Plan (previously filed as Exhibit 99.1 to the Trust’s S-8 Registration Number 333-60364 filed on May 7, 2001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 Health Coverage Continuation Agreement between Federal Realty Investment Trust and Donald C. Wood dated February 16, 2005</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(previously filed as Exhibit 10.26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 Severance Agreement between the Trust and Dawn M. Becker dated April 19, 2000 (previously filed as Exhibit 10.26 to the Trust’s 2005 2Q</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 Amendment to Severance Agreement between the Trust and Dawn M. Becker dated February 16, 2005 (previously filed as Exhibit 10.27 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2003 Long-Term Incentive Award Program for shares issued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out of 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Form of Restricted Share Award Agreement for long term vesting and retention awards for shares issued out of the 2010 Plan (previously filed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as Exhibit 10.35 to the Trust's Annual Report on Form 10-K for the year ended December 31, 2010 (File No. 1-07533) (the "2010 Form 10-K")</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2003 Long-Term Incentive Award Program for shares issued out of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2001 Long-Term Incentive Plan (previously filed as Exhibit 10.32 to the 2005 Form 10-K and 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6" w:right="239" w:bottom="1440" w:gutter="0" w:footer="0" w:header="0"/>
          <w:type w:val="continuous"/>
        </w:sectPr>
      </w:pPr>
    </w:p>
    <w:bookmarkStart w:id="93" w:name="page94"/>
    <w:bookmarkEnd w:id="93"/>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920" w:type="dxa"/>
            <w:vAlign w:val="bottom"/>
            <w:tcBorders>
              <w:top w:val="single" w:sz="8" w:color="auto"/>
            </w:tcBorders>
          </w:tcPr>
          <w:p>
            <w:pPr>
              <w:jc w:val="right"/>
              <w:ind w:right="392"/>
              <w:spacing w:after="0"/>
              <w:rPr>
                <w:sz w:val="20"/>
                <w:szCs w:val="20"/>
                <w:color w:val="auto"/>
              </w:rPr>
            </w:pPr>
            <w:r>
              <w:rPr>
                <w:rFonts w:ascii="Arial" w:cs="Arial" w:eastAsia="Arial" w:hAnsi="Arial"/>
                <w:sz w:val="18"/>
                <w:szCs w:val="18"/>
                <w:color w:val="auto"/>
                <w:w w:val="93"/>
              </w:rPr>
              <w:t>10.11</w:t>
            </w:r>
          </w:p>
        </w:tc>
        <w:tc>
          <w:tcPr>
            <w:tcW w:w="12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Amended and Restated 2001 Long-Term Incentive Plan (previously filed as Exhibit 10.34 to the Trust’s Quarterly Report on Form 10-Q for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quarter ended June 30, 2007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10.12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 Amendment to Severance Agreement between the Trust and Donald C. Wood dated January 1, 2009 (previously filed as Exhibit 10.26 to the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Trust’s Annual Report on Form 10-K for the year ended December 31, 2008 (File No. 1-07533) (“the 2008 Form 10-K”) and incorporated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10.13</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 Second Amendment to Executive Agreement between the Trust and Donald C. Wood dated January 1, 2009 (previously filed as Exhibit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10.27 to the Trust’s 2008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10.14</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 Amendment to Health Coverage Continuation Agreement between the Trust and Donald C. Wood dated January 1, 2009 (previously filed as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10.28 to the Trust’s 2008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10.15</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 Second Amendment to Severance Agreement between the Trust and Dawn M. Becker dated January 1, 2009 (previously filed as Exhibit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10.30 to the Trust’s 2008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10.16</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2010 Performance Incentive Plan (previously filed as Appendix A to the Trust’s Definitive Proxy Statement for the 2010 Annual Meeting of</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10.17</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Amendment to 2010 Performance Incentive Plan (“the 2010 Plan”) (previously filed as Appendix A to the Trust’s Proxy Supplement for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2010 Annual Meeting of Shareholders (File No. 01-07533)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10.18</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 Restricted Share Award Agreement between the Trust and Donald C. Wood dated October 12, 2010 (previously filed as Exhibit 10.36 to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Trust’s Quarterly Report on Form 10-Q for the quarter ended September 30, 2010 (File No. 01-07533)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10.19</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Incentive Bonus Program and basic awards with annual vesting for shares issued out of the 2010 Plan (previously filed as Exhibit 10.34 to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Trust’s 2010 Form 10-K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10.20</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Long-Term Incentive Award Program for shares issued out of the 2010</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Plan (previously filed as Exhibit 10.38 to the Trust’s 2010 Form 10-K (File No. 1-07533) and incorporated herein by reference)</w:t>
            </w:r>
          </w:p>
        </w:tc>
        <w:tc>
          <w:tcPr>
            <w:tcW w:w="0" w:type="dxa"/>
            <w:vAlign w:val="bottom"/>
          </w:tcPr>
          <w:p>
            <w:pPr>
              <w:spacing w:after="0"/>
              <w:rPr>
                <w:sz w:val="1"/>
                <w:szCs w:val="1"/>
                <w:color w:val="auto"/>
              </w:rPr>
            </w:pPr>
          </w:p>
        </w:tc>
      </w:tr>
      <w:tr>
        <w:trPr>
          <w:trHeight w:val="525"/>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front loaded awards made under the Trust’s Long-Term Incentive Award Program for shares issued out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of the 2010 Plan (previously filed as Exhibit 10.39 to the Trust’s 2010 Form 10-K (File No. 1-07533) and incorporated herein by reference)</w:t>
            </w:r>
          </w:p>
        </w:tc>
        <w:tc>
          <w:tcPr>
            <w:tcW w:w="0" w:type="dxa"/>
            <w:vAlign w:val="bottom"/>
          </w:tcPr>
          <w:p>
            <w:pPr>
              <w:spacing w:after="0"/>
              <w:rPr>
                <w:sz w:val="1"/>
                <w:szCs w:val="1"/>
                <w:color w:val="auto"/>
              </w:rPr>
            </w:pPr>
          </w:p>
        </w:tc>
      </w:tr>
      <w:tr>
        <w:trPr>
          <w:trHeight w:val="525"/>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Form of Option Award Agreement for basic options awarded out of the 2010 Plan (previously filed as Exhibit 10.40 to the Trust’s 2010 Form</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10-K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10.23</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Form of Restricted Share Award Agreement, dated as of February 10, 2011, between the Trust and Dawn M. Becker (previously filed as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10.41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10.24</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 Severance Agreement between the Trust and James M. Taylor dated July 30, 2012 (previously filed as Exhibit 10.35 to the Trust's Quarterly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10-Q for the quarter ended September 30, 2012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10.25</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assignees under Section 12.6., as Lenders, Wells Fargo Bank, National Association, as Administrative Agent, PNC Bank, National</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Association, as Syndication Agent, Wells Fargo Securities, LLC, as a Lead Arranger and Book Manager, and PNC Capital Markets LLC, as 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Lead Arranger and Book Manager (previously filed as Exhibit 10.1 to the Trust’s Current Report on Form 8-K (File No. 1-07533), filed 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July 11, 2011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10.26</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Term Loan Agreement dated as of November 22, 2011, by and among the Trust, as Borrower, the financial institutions party thereto and their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8"/>
              </w:rPr>
              <w:t>permitted assignees under Section 12.6., as Lenders, PNC Bank, National Association, as Administrative Agent, Capital One, N.A.,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Syndication Agent, PNC Capital Markets, LLC, as a Lead Arranger and Book Manager, and Capital One, N.A., as a Lead Arranger and Book</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Manager (previously filed as Exhibit 10.1 to the Trust's Current Report on Form 8-K (File No. 1-07533), filed on November 28, 2011 and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86"/>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tcPr>
          <w:p>
            <w:pPr>
              <w:ind w:left="46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94" w:name="page95"/>
    <w:bookmarkEnd w:id="94"/>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6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Revised Form of Restricted Share Award Agreement for front loaded awards made under the Trust’s Long-Term Incentive Award Program for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shares issued out of the 2010 Plan (previously filed as Exhibit 10.35 to the Trust's Annual Report on Form 10-K for the year ended December</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31, 2012 (File No. 1-07533) (the "2012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Revised Form of Restricted Share Award Agreement for long-term vesting and retention awards made under the Trust’s Long-Term Incentive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Award Program for shares issued out of the 2010 Plan (previously filed as Exhibit 10.36 to the Trust's 2012 Form 10-K (File No. 1-07533) and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Revised Form of Performance Share Award Agreement for shares awarded out of the 2010 Plan (previously filed as Exhibit 10.37 to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Trust's 2012 Form 10-K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Revised Form of Restricted Share Award Agreement for awards made under the Trust’s Long-Term Incentive Award Program and the Trust’s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Annual Incentive Bonus Program and basic awards with annual vesting for shares issued out of the 2010 Plan (previously filed as Exhibit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10.38 to the Trust's 2012 Form 10-K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First Amendment to the Credit Agreement, dated as of April 22, 2013, by and among Federal Realty Investment Trust, each of the Lenders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party thereto, and Wells Fargo Bank, National Association, as Administrative Agent (previously filed as Exhibit 10.1 to the Trust's Current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8-K (File No. 1-07533), filed on April 26, 2013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First Amendment to the Term Loan Agreement, dated as of April 22, 2013, by and among Federal Realty Investment Trust, each of the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Lenders party thereto, and PNC Bank, National Association, as Administrative Agent (previously filed as Exhibit 10.40 to the Trust's Quarterly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10-Q for the quarter ended March 31, 2013 (File No. 1-07533) and incorporated herein by reference</w:t>
            </w:r>
          </w:p>
        </w:tc>
        <w:tc>
          <w:tcPr>
            <w:tcW w:w="0" w:type="dxa"/>
            <w:vAlign w:val="bottom"/>
          </w:tcPr>
          <w:p>
            <w:pPr>
              <w:spacing w:after="0"/>
              <w:rPr>
                <w:sz w:val="1"/>
                <w:szCs w:val="1"/>
                <w:color w:val="auto"/>
              </w:rPr>
            </w:pPr>
          </w:p>
        </w:tc>
      </w:tr>
      <w:tr>
        <w:trPr>
          <w:trHeight w:val="391"/>
        </w:trPr>
        <w:tc>
          <w:tcPr>
            <w:tcW w:w="920" w:type="dxa"/>
            <w:vAlign w:val="bottom"/>
          </w:tcPr>
          <w:p>
            <w:pPr>
              <w:ind w:left="4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4"/>
                <w:szCs w:val="24"/>
                <w:color w:val="auto"/>
              </w:rPr>
            </w:pPr>
          </w:p>
        </w:tc>
        <w:tc>
          <w:tcPr>
            <w:tcW w:w="10380" w:type="dxa"/>
            <w:vAlign w:val="bottom"/>
            <w:vMerge w:val="restart"/>
          </w:tcPr>
          <w:p>
            <w:pPr>
              <w:ind w:left="40"/>
              <w:spacing w:after="0"/>
              <w:rPr>
                <w:sz w:val="20"/>
                <w:szCs w:val="20"/>
                <w:color w:val="auto"/>
              </w:rPr>
            </w:pPr>
            <w:r>
              <w:rPr>
                <w:rFonts w:ascii="Arial" w:cs="Arial" w:eastAsia="Arial" w:hAnsi="Arial"/>
                <w:sz w:val="18"/>
                <w:szCs w:val="18"/>
                <w:color w:val="auto"/>
                <w:w w:val="94"/>
              </w:rPr>
              <w:t>Second Amendment to Term Loan Agreement, dated as of August 28, 2014, by and among Federal Realty Investment Trust, each of the</w:t>
            </w:r>
          </w:p>
        </w:tc>
        <w:tc>
          <w:tcPr>
            <w:tcW w:w="0" w:type="dxa"/>
            <w:vAlign w:val="bottom"/>
          </w:tcPr>
          <w:p>
            <w:pPr>
              <w:spacing w:after="0"/>
              <w:rPr>
                <w:sz w:val="1"/>
                <w:szCs w:val="1"/>
                <w:color w:val="auto"/>
              </w:rPr>
            </w:pPr>
          </w:p>
        </w:tc>
      </w:tr>
      <w:tr>
        <w:trPr>
          <w:trHeight w:val="67"/>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Lenders party thereto, and PNC Bank, National Association, as Administrative Agent (previously filed as Exhibit 10.1 to the Trust's Current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8-K (File No. 1-07533), filed on September 2, 2014 and incorporated herein by reference)</w:t>
            </w:r>
          </w:p>
        </w:tc>
        <w:tc>
          <w:tcPr>
            <w:tcW w:w="0" w:type="dxa"/>
            <w:vAlign w:val="bottom"/>
          </w:tcPr>
          <w:p>
            <w:pPr>
              <w:spacing w:after="0"/>
              <w:rPr>
                <w:sz w:val="1"/>
                <w:szCs w:val="1"/>
                <w:color w:val="auto"/>
              </w:rPr>
            </w:pPr>
          </w:p>
        </w:tc>
      </w:tr>
      <w:tr>
        <w:trPr>
          <w:trHeight w:val="472"/>
        </w:trPr>
        <w:tc>
          <w:tcPr>
            <w:tcW w:w="920" w:type="dxa"/>
            <w:vAlign w:val="bottom"/>
          </w:tcPr>
          <w:p>
            <w:pPr>
              <w:ind w:left="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Subsidiaries of Federal Realty Investment Trust (filed herewith)</w:t>
            </w:r>
          </w:p>
        </w:tc>
        <w:tc>
          <w:tcPr>
            <w:tcW w:w="0" w:type="dxa"/>
            <w:vAlign w:val="bottom"/>
          </w:tcPr>
          <w:p>
            <w:pPr>
              <w:spacing w:after="0"/>
              <w:rPr>
                <w:sz w:val="1"/>
                <w:szCs w:val="1"/>
                <w:color w:val="auto"/>
              </w:rPr>
            </w:pPr>
          </w:p>
        </w:tc>
      </w:tr>
      <w:tr>
        <w:trPr>
          <w:trHeight w:val="391"/>
        </w:trPr>
        <w:tc>
          <w:tcPr>
            <w:tcW w:w="9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Consent of Grant Thornton LLP (filed herewith)</w:t>
            </w:r>
          </w:p>
        </w:tc>
        <w:tc>
          <w:tcPr>
            <w:tcW w:w="0" w:type="dxa"/>
            <w:vAlign w:val="bottom"/>
          </w:tcPr>
          <w:p>
            <w:pPr>
              <w:spacing w:after="0"/>
              <w:rPr>
                <w:sz w:val="1"/>
                <w:szCs w:val="1"/>
                <w:color w:val="auto"/>
              </w:rPr>
            </w:pPr>
          </w:p>
        </w:tc>
      </w:tr>
      <w:tr>
        <w:trPr>
          <w:trHeight w:val="391"/>
        </w:trPr>
        <w:tc>
          <w:tcPr>
            <w:tcW w:w="9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391"/>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Financial Officer (filed herewith)</w:t>
            </w:r>
          </w:p>
        </w:tc>
        <w:tc>
          <w:tcPr>
            <w:tcW w:w="0" w:type="dxa"/>
            <w:vAlign w:val="bottom"/>
          </w:tcPr>
          <w:p>
            <w:pPr>
              <w:spacing w:after="0"/>
              <w:rPr>
                <w:sz w:val="1"/>
                <w:szCs w:val="1"/>
                <w:color w:val="auto"/>
              </w:rPr>
            </w:pPr>
          </w:p>
        </w:tc>
      </w:tr>
      <w:tr>
        <w:trPr>
          <w:trHeight w:val="391"/>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(filed herewith)</w:t>
            </w:r>
          </w:p>
        </w:tc>
        <w:tc>
          <w:tcPr>
            <w:tcW w:w="0" w:type="dxa"/>
            <w:vAlign w:val="bottom"/>
          </w:tcPr>
          <w:p>
            <w:pPr>
              <w:spacing w:after="0"/>
              <w:rPr>
                <w:sz w:val="1"/>
                <w:szCs w:val="1"/>
                <w:color w:val="auto"/>
              </w:rPr>
            </w:pPr>
          </w:p>
        </w:tc>
      </w:tr>
      <w:tr>
        <w:trPr>
          <w:trHeight w:val="391"/>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Financial Officer (filed herewith)</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80" w:right="480" w:hanging="1045"/>
        <w:spacing w:after="0" w:line="25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Annual Report on Form 10-K for the year ended December 31, 2015,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required to be filed as an exhibit pursuant to Item 15(b) of Form 10-K.</w:t>
      </w:r>
    </w:p>
    <w:p>
      <w:pPr>
        <w:spacing w:after="0" w:line="9" w:lineRule="exact"/>
        <w:rPr>
          <w:sz w:val="20"/>
          <w:szCs w:val="20"/>
          <w:color w:val="auto"/>
        </w:rPr>
      </w:pPr>
    </w:p>
    <w:p>
      <w:pPr>
        <w:ind w:right="100" w:firstLine="8"/>
        <w:spacing w:after="0" w:line="260" w:lineRule="auto"/>
        <w:tabs>
          <w:tab w:leader="none" w:pos="225" w:val="left"/>
        </w:tabs>
        <w:numPr>
          <w:ilvl w:val="0"/>
          <w:numId w:val="62"/>
        </w:numPr>
        <w:rPr>
          <w:rFonts w:ascii="Arial" w:cs="Arial" w:eastAsia="Arial" w:hAnsi="Arial"/>
          <w:sz w:val="18"/>
          <w:szCs w:val="18"/>
          <w:color w:val="auto"/>
        </w:rPr>
      </w:pPr>
      <w:r>
        <w:rPr>
          <w:rFonts w:ascii="Arial" w:cs="Arial" w:eastAsia="Arial" w:hAnsi="Arial"/>
          <w:sz w:val="18"/>
          <w:szCs w:val="18"/>
          <w:color w:val="auto"/>
        </w:rPr>
        <w:t>Pursuant to Regulation S-K Item 601(b)(4)(iii), the Trust by this filing agrees, upon request, to furnish to the Securities and Exchange Commission a copy of other instruments defining the rights of holders of long-term debt of the Trust.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6"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21.1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FEDERAL REALTY INVESTMENT TRUST AND SUBSIDIARIES</w:t>
            </w:r>
          </w:p>
        </w:tc>
      </w:tr>
      <w:tr>
        <w:trPr>
          <w:trHeight w:val="573"/>
        </w:trPr>
        <w:tc>
          <w:tcPr>
            <w:tcW w:w="3080" w:type="dxa"/>
            <w:vAlign w:val="bottom"/>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3060" w:type="dxa"/>
            <w:vAlign w:val="bottom"/>
          </w:tcPr>
          <w:p>
            <w:pPr>
              <w:jc w:val="center"/>
              <w:ind w:right="150"/>
              <w:spacing w:after="0"/>
              <w:rPr>
                <w:sz w:val="20"/>
                <w:szCs w:val="20"/>
                <w:color w:val="auto"/>
              </w:rPr>
            </w:pPr>
            <w:r>
              <w:rPr>
                <w:rFonts w:ascii="Arial" w:cs="Arial" w:eastAsia="Arial" w:hAnsi="Arial"/>
                <w:sz w:val="18"/>
                <w:szCs w:val="18"/>
                <w:color w:val="auto"/>
                <w:w w:val="93"/>
              </w:rPr>
              <w:t>STATE OF INCORPORATION OR</w:t>
            </w:r>
          </w:p>
        </w:tc>
      </w:tr>
      <w:tr>
        <w:trPr>
          <w:trHeight w:val="230"/>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NAME OF SUBSIDIARY</w:t>
            </w:r>
          </w:p>
        </w:tc>
        <w:tc>
          <w:tcPr>
            <w:tcW w:w="2440" w:type="dxa"/>
            <w:vAlign w:val="bottom"/>
          </w:tcPr>
          <w:p>
            <w:pPr>
              <w:spacing w:after="0"/>
              <w:rPr>
                <w:sz w:val="20"/>
                <w:szCs w:val="20"/>
                <w:color w:val="auto"/>
              </w:rPr>
            </w:pPr>
          </w:p>
        </w:tc>
        <w:tc>
          <w:tcPr>
            <w:tcW w:w="3060" w:type="dxa"/>
            <w:vAlign w:val="bottom"/>
          </w:tcPr>
          <w:p>
            <w:pPr>
              <w:jc w:val="center"/>
              <w:ind w:right="150"/>
              <w:spacing w:after="0"/>
              <w:rPr>
                <w:sz w:val="20"/>
                <w:szCs w:val="20"/>
                <w:color w:val="auto"/>
              </w:rPr>
            </w:pPr>
            <w:r>
              <w:rPr>
                <w:rFonts w:ascii="Arial" w:cs="Arial" w:eastAsia="Arial" w:hAnsi="Arial"/>
                <w:sz w:val="18"/>
                <w:szCs w:val="18"/>
                <w:color w:val="auto"/>
                <w:w w:val="97"/>
              </w:rPr>
              <w:t>ORGANIZATION</w:t>
            </w:r>
          </w:p>
        </w:tc>
      </w:tr>
      <w:tr>
        <w:trPr>
          <w:trHeight w:val="27"/>
        </w:trPr>
        <w:tc>
          <w:tcPr>
            <w:tcW w:w="30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52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Associates Limited Partnership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Andorra Associates</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Pennsylvania</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Governor Plaza Associates</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Pennsylvania</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Shopping Center Associates</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Pennsylvania</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Berman Enterprises II Limited Partnership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FRIT Escondido Promenade,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California</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FRIT Leasing &amp; Development Services,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FRIT Santana Row TRS,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Congressional Plaza Associates,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Pike 7 Limited Partnership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Federal/LPF GP,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Partners L.P.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FRLP,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Partners,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East Bay Bridge,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East Bay Bridge Retail,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Management Services,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FRIT Solar,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Santana Row ROF,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Mercer Mall,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Mercer Mall,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Westgate Mall,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Westgate Mall,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Assembly Square,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Crow Canyon,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Crow Canyon,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Linden Square,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Chelsea Commons I,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Chelsea Commons I,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White Marsh,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Cordon Fairfield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Campbell-Philadelphia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Shoppes at Nottingham Square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Retail Properties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Nottingham Square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White Marsh Plaza,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White Marsh Plaza Limited Partnership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White Marsh Plaza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Byron Station,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Byron Station Limited Partnership, LLLP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The Avenue at White Marsh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NVI-Avenue,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Retail Funding Affiliates,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Shoppers World,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Shoppers World,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Florida,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Rollingwood,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Rollingwood,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Boston,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West Coast,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420"/>
          </w:cols>
          <w:pgMar w:left="240" w:top="742" w:right="239" w:bottom="0" w:gutter="0" w:footer="0" w:header="0"/>
        </w:sectPr>
      </w:pPr>
    </w:p>
    <w:bookmarkStart w:id="96" w:name="page97"/>
    <w:bookmarkEnd w:id="96"/>
    <w:p>
      <w:pPr>
        <w:spacing w:after="0"/>
        <w:tabs>
          <w:tab w:leader="none" w:pos="8080" w:val="left"/>
        </w:tabs>
        <w:rPr>
          <w:sz w:val="20"/>
          <w:szCs w:val="20"/>
          <w:color w:val="auto"/>
        </w:rPr>
      </w:pPr>
      <w:r>
        <w:rPr>
          <w:rFonts w:ascii="Arial" w:cs="Arial" w:eastAsia="Arial" w:hAnsi="Arial"/>
          <w:sz w:val="20"/>
          <w:szCs w:val="20"/>
          <w:color w:val="auto"/>
        </w:rPr>
        <w:t>FR Montrose Crossing, Inc.</w:t>
      </w:r>
      <w:r>
        <w:rPr>
          <w:sz w:val="20"/>
          <w:szCs w:val="20"/>
          <w:color w:val="auto"/>
        </w:rPr>
        <w:tab/>
      </w:r>
      <w:r>
        <w:rPr>
          <w:rFonts w:ascii="Arial" w:cs="Arial" w:eastAsia="Arial" w:hAnsi="Arial"/>
          <w:sz w:val="16"/>
          <w:szCs w:val="16"/>
          <w:color w:val="auto"/>
        </w:rPr>
        <w:t>Delaware</w:t>
      </w:r>
    </w:p>
    <w:p>
      <w:pPr>
        <w:sectPr>
          <w:pgSz w:w="11900" w:h="16838" w:orient="portrait"/>
          <w:cols w:equalWidth="0" w:num="1">
            <w:col w:w="10179"/>
          </w:cols>
          <w:pgMar w:left="280" w:top="122" w:right="1440" w:bottom="1440" w:gutter="0" w:footer="0" w:header="0"/>
        </w:sectPr>
      </w:pPr>
    </w:p>
    <w:bookmarkStart w:id="97" w:name="page98"/>
    <w:bookmarkEnd w:id="97"/>
    <w:p>
      <w:pPr>
        <w:spacing w:after="0"/>
        <w:rPr>
          <w:sz w:val="20"/>
          <w:szCs w:val="20"/>
          <w:color w:val="auto"/>
        </w:rPr>
      </w:pPr>
      <w:r>
        <w:rPr>
          <w:rFonts w:ascii="Arial" w:cs="Arial" w:eastAsia="Arial" w:hAnsi="Arial"/>
          <w:sz w:val="20"/>
          <w:szCs w:val="20"/>
          <w:color w:val="auto"/>
        </w:rPr>
        <w:t>FR Montrose Crossing,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 Montrose Crossing Borrower,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FRIT CA Operations,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 Huntington Square,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 Darien,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Old Town,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Forest Hills I,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GP,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I,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II,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3,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4,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6,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7,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10,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San Antonio,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San Antonio,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Texas, Inc.</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FRIT San Jose Town and Country Village, LLC</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FR Sturtevant Street,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 Sturtevant Street,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B5,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B6,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B7,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B8,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B9,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Santana Row Services,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SRI/Continental JV,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CCA Sepulveda,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Rosecrans-Sepulveda Partners 3,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PES Partners,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Route 35 Shrewsbury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Shrewsbury Commons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Sea Girt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35 West,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Merritt Shrewsbury Commons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Cole Grove West,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 508 Broad Street,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 San Antonio Center,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San Antonio Center II,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Pike &amp; Rose Condominium,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JV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Owner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Operator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FRIT Santana Row Office Holdings,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 Winchester,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Assembly Row Condominium,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FRIT Shops at Sunset Place,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FRIT Shops at Sunset Place Owner, LLC</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FRIT Shops at Sunset Place Fee Owner, LLC</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FRIT Cocowalk,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FRIT Cocowalk Owner,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3206 Grand Avenue,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Federal/Lion Venture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FLV Atlantic Plaza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California</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Maryland</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California</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Maryland</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Maryland</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California</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New Jersey</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ectPr>
          <w:pgSz w:w="11900" w:h="16838" w:orient="portrait"/>
          <w:cols w:equalWidth="0" w:num="2">
            <w:col w:w="7380" w:space="720"/>
            <w:col w:w="2079"/>
          </w:cols>
          <w:pgMar w:left="280" w:top="743" w:right="1440" w:bottom="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FLV Atlantic Plaza Limited 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ectPr>
          <w:pgSz w:w="11900" w:h="16838" w:orient="portrait"/>
          <w:cols w:equalWidth="0" w:num="2">
            <w:col w:w="7380" w:space="720"/>
            <w:col w:w="2079"/>
          </w:cols>
          <w:pgMar w:left="280" w:top="121" w:right="1440" w:bottom="1440" w:gutter="0" w:footer="0" w:header="0"/>
        </w:sectPr>
      </w:pPr>
    </w:p>
    <w:p>
      <w:pPr>
        <w:spacing w:after="0"/>
        <w:rPr>
          <w:sz w:val="20"/>
          <w:szCs w:val="20"/>
          <w:color w:val="auto"/>
        </w:rPr>
      </w:pPr>
      <w:r>
        <w:rPr>
          <w:rFonts w:ascii="Arial" w:cs="Arial" w:eastAsia="Arial" w:hAnsi="Arial"/>
          <w:sz w:val="16"/>
          <w:szCs w:val="16"/>
          <w:color w:val="auto"/>
        </w:rPr>
        <w:t>FLV Campus Plaza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7380" w:space="720"/>
            <w:col w:w="2079"/>
          </w:cols>
          <w:pgMar w:left="280" w:top="121" w:right="1440"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color w:val="auto"/>
        </w:rPr>
        <w:t>FLV Campus Plaza Limited 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98" w:lineRule="exact"/>
        <w:rPr>
          <w:sz w:val="20"/>
          <w:szCs w:val="20"/>
          <w:color w:val="auto"/>
        </w:rPr>
      </w:pPr>
    </w:p>
    <w:p>
      <w:pPr>
        <w:sectPr>
          <w:pgSz w:w="11900" w:h="16838" w:orient="portrait"/>
          <w:cols w:equalWidth="0" w:num="2">
            <w:col w:w="7380" w:space="720"/>
            <w:col w:w="2079"/>
          </w:cols>
          <w:pgMar w:left="280" w:top="743" w:right="1440" w:bottom="1440" w:gutter="0" w:footer="0" w:header="0"/>
        </w:sectPr>
      </w:pPr>
    </w:p>
    <w:p>
      <w:pPr>
        <w:spacing w:after="0"/>
        <w:rPr>
          <w:sz w:val="20"/>
          <w:szCs w:val="20"/>
          <w:color w:val="auto"/>
        </w:rPr>
      </w:pPr>
      <w:r>
        <w:rPr>
          <w:rFonts w:ascii="Arial" w:cs="Arial" w:eastAsia="Arial" w:hAnsi="Arial"/>
          <w:sz w:val="18"/>
          <w:szCs w:val="18"/>
          <w:color w:val="auto"/>
        </w:rPr>
        <w:t>FLV Plaza del Mercado,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98" w:lineRule="exact"/>
        <w:rPr>
          <w:sz w:val="20"/>
          <w:szCs w:val="20"/>
          <w:color w:val="auto"/>
        </w:rPr>
      </w:pPr>
    </w:p>
    <w:p>
      <w:pPr>
        <w:sectPr>
          <w:pgSz w:w="11900" w:h="16838" w:orient="portrait"/>
          <w:cols w:equalWidth="0" w:num="2">
            <w:col w:w="7380" w:space="720"/>
            <w:col w:w="2079"/>
          </w:cols>
          <w:pgMar w:left="280" w:top="743" w:right="1440" w:bottom="1440" w:gutter="0" w:footer="0" w:header="0"/>
          <w:type w:val="continuous"/>
        </w:sectPr>
      </w:pPr>
    </w:p>
    <w:p>
      <w:pPr>
        <w:spacing w:after="0"/>
        <w:rPr>
          <w:sz w:val="20"/>
          <w:szCs w:val="20"/>
          <w:color w:val="auto"/>
        </w:rPr>
      </w:pPr>
      <w:r>
        <w:rPr>
          <w:rFonts w:ascii="Arial" w:cs="Arial" w:eastAsia="Arial" w:hAnsi="Arial"/>
          <w:sz w:val="18"/>
          <w:szCs w:val="18"/>
          <w:color w:val="auto"/>
        </w:rPr>
        <w:t>FLV Plaza del Mercado,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98" w:lineRule="exact"/>
        <w:rPr>
          <w:sz w:val="20"/>
          <w:szCs w:val="20"/>
          <w:color w:val="auto"/>
        </w:rPr>
      </w:pPr>
    </w:p>
    <w:p>
      <w:pPr>
        <w:sectPr>
          <w:pgSz w:w="11900" w:h="16838" w:orient="portrait"/>
          <w:cols w:equalWidth="0" w:num="2">
            <w:col w:w="7380" w:space="720"/>
            <w:col w:w="2079"/>
          </w:cols>
          <w:pgMar w:left="280" w:top="743" w:right="1440" w:bottom="1440" w:gutter="0" w:footer="0" w:header="0"/>
          <w:type w:val="continuous"/>
        </w:sectPr>
      </w:pPr>
    </w:p>
    <w:p>
      <w:pPr>
        <w:spacing w:after="0"/>
        <w:rPr>
          <w:sz w:val="20"/>
          <w:szCs w:val="20"/>
          <w:color w:val="auto"/>
        </w:rPr>
      </w:pPr>
      <w:r>
        <w:rPr>
          <w:rFonts w:ascii="Arial" w:cs="Arial" w:eastAsia="Arial" w:hAnsi="Arial"/>
          <w:sz w:val="18"/>
          <w:szCs w:val="18"/>
          <w:color w:val="auto"/>
        </w:rPr>
        <w:t>FLV Greenlawn Plaza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98" w:lineRule="exact"/>
        <w:rPr>
          <w:sz w:val="20"/>
          <w:szCs w:val="20"/>
          <w:color w:val="auto"/>
        </w:rPr>
      </w:pPr>
    </w:p>
    <w:p>
      <w:pPr>
        <w:sectPr>
          <w:pgSz w:w="11900" w:h="16838" w:orient="portrait"/>
          <w:cols w:equalWidth="0" w:num="2">
            <w:col w:w="7380" w:space="720"/>
            <w:col w:w="2079"/>
          </w:cols>
          <w:pgMar w:left="280" w:top="743" w:right="1440" w:bottom="1440" w:gutter="0" w:footer="0" w:header="0"/>
          <w:type w:val="continuous"/>
        </w:sectPr>
      </w:pPr>
    </w:p>
    <w:p>
      <w:pPr>
        <w:spacing w:after="0"/>
        <w:rPr>
          <w:sz w:val="20"/>
          <w:szCs w:val="20"/>
          <w:color w:val="auto"/>
        </w:rPr>
      </w:pPr>
      <w:r>
        <w:rPr>
          <w:rFonts w:ascii="Arial" w:cs="Arial" w:eastAsia="Arial" w:hAnsi="Arial"/>
          <w:sz w:val="18"/>
          <w:szCs w:val="18"/>
          <w:color w:val="auto"/>
        </w:rPr>
        <w:t>FLV Greenlawn Plaza,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98" w:lineRule="exact"/>
        <w:rPr>
          <w:sz w:val="20"/>
          <w:szCs w:val="20"/>
          <w:color w:val="auto"/>
        </w:rPr>
      </w:pPr>
    </w:p>
    <w:p>
      <w:pPr>
        <w:sectPr>
          <w:pgSz w:w="11900" w:h="16838" w:orient="portrait"/>
          <w:cols w:equalWidth="0" w:num="2">
            <w:col w:w="7380" w:space="720"/>
            <w:col w:w="2079"/>
          </w:cols>
          <w:pgMar w:left="280" w:top="743" w:right="1440" w:bottom="1440" w:gutter="0" w:footer="0" w:header="0"/>
          <w:type w:val="continuous"/>
        </w:sectPr>
      </w:pPr>
    </w:p>
    <w:p>
      <w:pPr>
        <w:spacing w:after="0"/>
        <w:rPr>
          <w:sz w:val="20"/>
          <w:szCs w:val="20"/>
          <w:color w:val="auto"/>
        </w:rPr>
      </w:pPr>
      <w:r>
        <w:rPr>
          <w:rFonts w:ascii="Arial" w:cs="Arial" w:eastAsia="Arial" w:hAnsi="Arial"/>
          <w:sz w:val="18"/>
          <w:szCs w:val="18"/>
          <w:color w:val="auto"/>
        </w:rPr>
        <w:t>FLV Barcroft Plaza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98" w:lineRule="exact"/>
        <w:rPr>
          <w:sz w:val="20"/>
          <w:szCs w:val="20"/>
          <w:color w:val="auto"/>
        </w:rPr>
      </w:pPr>
    </w:p>
    <w:p>
      <w:pPr>
        <w:sectPr>
          <w:pgSz w:w="11900" w:h="16838" w:orient="portrait"/>
          <w:cols w:equalWidth="0" w:num="2">
            <w:col w:w="7380" w:space="720"/>
            <w:col w:w="2079"/>
          </w:cols>
          <w:pgMar w:left="280" w:top="743" w:right="1440" w:bottom="1440" w:gutter="0" w:footer="0" w:header="0"/>
          <w:type w:val="continuous"/>
        </w:sectPr>
      </w:pPr>
    </w:p>
    <w:p>
      <w:pPr>
        <w:spacing w:after="0"/>
        <w:rPr>
          <w:sz w:val="20"/>
          <w:szCs w:val="20"/>
          <w:color w:val="auto"/>
        </w:rPr>
      </w:pPr>
      <w:r>
        <w:rPr>
          <w:rFonts w:ascii="Arial" w:cs="Arial" w:eastAsia="Arial" w:hAnsi="Arial"/>
          <w:sz w:val="18"/>
          <w:szCs w:val="18"/>
          <w:color w:val="auto"/>
        </w:rPr>
        <w:t>FLV Barcroft Plaza,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98" w:lineRule="exact"/>
        <w:rPr>
          <w:sz w:val="20"/>
          <w:szCs w:val="20"/>
          <w:color w:val="auto"/>
        </w:rPr>
      </w:pPr>
    </w:p>
    <w:p>
      <w:pPr>
        <w:sectPr>
          <w:pgSz w:w="11900" w:h="16838" w:orient="portrait"/>
          <w:cols w:equalWidth="0" w:num="2">
            <w:col w:w="7380" w:space="720"/>
            <w:col w:w="2079"/>
          </w:cols>
          <w:pgMar w:left="280" w:top="74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FLV Free State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ectPr>
          <w:pgSz w:w="11900" w:h="16838" w:orient="portrait"/>
          <w:cols w:equalWidth="0" w:num="2">
            <w:col w:w="7380" w:space="720"/>
            <w:col w:w="2079"/>
          </w:cols>
          <w:pgMar w:left="280" w:top="74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FL Free State Limited 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ectPr>
          <w:pgSz w:w="11900" w:h="16838" w:orient="portrait"/>
          <w:cols w:equalWidth="0" w:num="2">
            <w:col w:w="7380" w:space="720"/>
            <w:col w:w="2079"/>
          </w:cols>
          <w:pgMar w:left="280" w:top="74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FLV Pleasant Shops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ectPr>
          <w:pgSz w:w="11900" w:h="16838" w:orient="portrait"/>
          <w:cols w:equalWidth="0" w:num="2">
            <w:col w:w="7380" w:space="720"/>
            <w:col w:w="2079"/>
          </w:cols>
          <w:pgMar w:left="280" w:top="74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FLV Pleasant Shops Limited 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7380" w:space="720"/>
            <w:col w:w="2079"/>
          </w:cols>
          <w:pgMar w:left="280" w:top="743" w:right="1440"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issued our reports dated February 9, 2016, with respect to the consolidated financial statements, schedules, and internal control over financial reporting included in the Annual Report of Federal Realty Investment Trust on Form 10-K for the year ended December 31, 2015. We hereby consent to the incorporation by reference of said reports in the Registration Statements of Federal Realty Investment Trust on Form S-3 (File No. 333-204103 effective 5/12/2015, File No. 333-204009 effective 5/8/2015, File No. 333-203999 effective 5/8/2015, File No. 333-181236 effective 5/8/2012, File No. 333-160009 effective June 16, 2009, File No. 333-135159 effective June 20, 2006, File No. 333-124195 effective 4/20/2005, File No. 033-63687 effective 10/25/1995 and on Form S-8 (File No. 333-166531 effective 5/5/2010, File No. 333-147080 effective 11/01/2007, File No. 333-147081 effective 11/01/2007 and File No. 333-60364 effective 05/07/2001).</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9, 2016</w:t>
      </w:r>
    </w:p>
    <w:p>
      <w:pPr>
        <w:sectPr>
          <w:pgSz w:w="11900" w:h="16838" w:orient="portrait"/>
          <w:cols w:equalWidth="0" w:num="1">
            <w:col w:w="11420"/>
          </w:cols>
          <w:pgMar w:left="240" w:top="580"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Donald C. Wood, certify that:</w:t>
      </w:r>
    </w:p>
    <w:p>
      <w:pPr>
        <w:spacing w:after="0" w:line="90" w:lineRule="exact"/>
        <w:rPr>
          <w:sz w:val="20"/>
          <w:szCs w:val="20"/>
          <w:color w:val="auto"/>
        </w:rPr>
      </w:pPr>
    </w:p>
    <w:p>
      <w:pPr>
        <w:ind w:left="880" w:hanging="467"/>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89" w:lineRule="exact"/>
        <w:rPr>
          <w:rFonts w:ascii="Arial" w:cs="Arial" w:eastAsia="Arial" w:hAnsi="Arial"/>
          <w:sz w:val="18"/>
          <w:szCs w:val="18"/>
          <w:color w:val="auto"/>
        </w:rPr>
      </w:pPr>
    </w:p>
    <w:p>
      <w:pPr>
        <w:jc w:val="both"/>
        <w:ind w:left="880" w:right="80" w:hanging="467"/>
        <w:spacing w:after="0" w:line="263"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8"/>
          <w:szCs w:val="18"/>
          <w:color w:val="auto"/>
        </w:rPr>
      </w:pPr>
    </w:p>
    <w:p>
      <w:pPr>
        <w:ind w:left="880" w:right="60" w:hanging="467"/>
        <w:spacing w:after="0" w:line="307" w:lineRule="auto"/>
        <w:tabs>
          <w:tab w:leader="none" w:pos="8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 w:lineRule="exact"/>
        <w:rPr>
          <w:rFonts w:ascii="Arial" w:cs="Arial" w:eastAsia="Arial" w:hAnsi="Arial"/>
          <w:sz w:val="17"/>
          <w:szCs w:val="17"/>
          <w:color w:val="auto"/>
        </w:rPr>
      </w:pPr>
    </w:p>
    <w:p>
      <w:pPr>
        <w:ind w:left="880" w:right="80" w:hanging="467"/>
        <w:spacing w:after="0" w:line="263"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8"/>
          <w:szCs w:val="18"/>
          <w:color w:val="auto"/>
        </w:rPr>
      </w:pPr>
    </w:p>
    <w:p>
      <w:pPr>
        <w:ind w:left="1420" w:right="20" w:hanging="441"/>
        <w:spacing w:after="0" w:line="263" w:lineRule="auto"/>
        <w:tabs>
          <w:tab w:leader="none" w:pos="14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8"/>
          <w:szCs w:val="18"/>
          <w:color w:val="auto"/>
        </w:rPr>
      </w:pPr>
    </w:p>
    <w:p>
      <w:pPr>
        <w:ind w:left="1420" w:right="120" w:hanging="441"/>
        <w:spacing w:after="0" w:line="263" w:lineRule="auto"/>
        <w:tabs>
          <w:tab w:leader="none" w:pos="14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8"/>
          <w:szCs w:val="18"/>
          <w:color w:val="auto"/>
        </w:rPr>
      </w:pPr>
    </w:p>
    <w:p>
      <w:pPr>
        <w:ind w:left="1420" w:right="280" w:hanging="441"/>
        <w:spacing w:after="0" w:line="334" w:lineRule="auto"/>
        <w:tabs>
          <w:tab w:leader="none" w:pos="14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340" w:hanging="441"/>
        <w:spacing w:after="0" w:line="263" w:lineRule="auto"/>
        <w:tabs>
          <w:tab w:leader="none" w:pos="14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8"/>
          <w:szCs w:val="18"/>
          <w:color w:val="auto"/>
        </w:rPr>
      </w:pPr>
    </w:p>
    <w:p>
      <w:pPr>
        <w:ind w:left="880" w:right="260" w:hanging="467"/>
        <w:spacing w:after="0" w:line="334" w:lineRule="auto"/>
        <w:tabs>
          <w:tab w:leader="none" w:pos="8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580" w:hanging="441"/>
        <w:spacing w:after="0" w:line="334" w:lineRule="auto"/>
        <w:tabs>
          <w:tab w:leader="none" w:pos="14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280" w:hanging="441"/>
        <w:spacing w:after="0" w:line="277" w:lineRule="auto"/>
        <w:tabs>
          <w:tab w:leader="none" w:pos="14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February 9, 2016</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31750</wp:posOffset>
            </wp:positionV>
            <wp:extent cx="35464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52"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James M. Taylor, Jr.</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89" w:lineRule="exact"/>
        <w:rPr>
          <w:rFonts w:ascii="Arial" w:cs="Arial" w:eastAsia="Arial" w:hAnsi="Arial"/>
          <w:sz w:val="18"/>
          <w:szCs w:val="18"/>
          <w:color w:val="auto"/>
        </w:rPr>
      </w:pPr>
    </w:p>
    <w:p>
      <w:pPr>
        <w:jc w:val="both"/>
        <w:ind w:left="880" w:right="80" w:hanging="467"/>
        <w:spacing w:after="0" w:line="263"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8"/>
          <w:szCs w:val="18"/>
          <w:color w:val="auto"/>
        </w:rPr>
      </w:pPr>
    </w:p>
    <w:p>
      <w:pPr>
        <w:ind w:left="880" w:right="60" w:hanging="467"/>
        <w:spacing w:after="0" w:line="307" w:lineRule="auto"/>
        <w:tabs>
          <w:tab w:leader="none" w:pos="8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 w:lineRule="exact"/>
        <w:rPr>
          <w:rFonts w:ascii="Arial" w:cs="Arial" w:eastAsia="Arial" w:hAnsi="Arial"/>
          <w:sz w:val="17"/>
          <w:szCs w:val="17"/>
          <w:color w:val="auto"/>
        </w:rPr>
      </w:pPr>
    </w:p>
    <w:p>
      <w:pPr>
        <w:ind w:left="880" w:right="80" w:hanging="467"/>
        <w:spacing w:after="0" w:line="263"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8"/>
          <w:szCs w:val="18"/>
          <w:color w:val="auto"/>
        </w:rPr>
      </w:pPr>
    </w:p>
    <w:p>
      <w:pPr>
        <w:ind w:left="1420" w:right="20" w:hanging="441"/>
        <w:spacing w:after="0" w:line="263" w:lineRule="auto"/>
        <w:tabs>
          <w:tab w:leader="none" w:pos="14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8"/>
          <w:szCs w:val="18"/>
          <w:color w:val="auto"/>
        </w:rPr>
      </w:pPr>
    </w:p>
    <w:p>
      <w:pPr>
        <w:ind w:left="1420" w:right="120" w:hanging="441"/>
        <w:spacing w:after="0" w:line="263" w:lineRule="auto"/>
        <w:tabs>
          <w:tab w:leader="none" w:pos="14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8"/>
          <w:szCs w:val="18"/>
          <w:color w:val="auto"/>
        </w:rPr>
      </w:pPr>
    </w:p>
    <w:p>
      <w:pPr>
        <w:ind w:left="1420" w:right="280" w:hanging="441"/>
        <w:spacing w:after="0" w:line="334" w:lineRule="auto"/>
        <w:tabs>
          <w:tab w:leader="none" w:pos="14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340" w:hanging="441"/>
        <w:spacing w:after="0" w:line="263" w:lineRule="auto"/>
        <w:tabs>
          <w:tab w:leader="none" w:pos="14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8"/>
          <w:szCs w:val="18"/>
          <w:color w:val="auto"/>
        </w:rPr>
      </w:pPr>
    </w:p>
    <w:p>
      <w:pPr>
        <w:ind w:left="880" w:right="260" w:hanging="467"/>
        <w:spacing w:after="0" w:line="334" w:lineRule="auto"/>
        <w:tabs>
          <w:tab w:leader="none" w:pos="8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580" w:hanging="441"/>
        <w:spacing w:after="0" w:line="334" w:lineRule="auto"/>
        <w:tabs>
          <w:tab w:leader="none" w:pos="14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280" w:hanging="441"/>
        <w:spacing w:after="0" w:line="277" w:lineRule="auto"/>
        <w:tabs>
          <w:tab w:leader="none" w:pos="14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February 9, 2016</w:t>
      </w:r>
      <w:r>
        <w:rPr>
          <w:sz w:val="20"/>
          <w:szCs w:val="20"/>
          <w:color w:val="auto"/>
        </w:rPr>
        <w:tab/>
      </w:r>
      <w:r>
        <w:rPr>
          <w:rFonts w:ascii="Arial" w:cs="Arial" w:eastAsia="Arial" w:hAnsi="Arial"/>
          <w:sz w:val="15"/>
          <w:szCs w:val="15"/>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31750</wp:posOffset>
            </wp:positionV>
            <wp:extent cx="35464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52"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4"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6"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Annual Report on Form 10-K for the period ended December 31, 2015 (the “Report”). The undersigned hereby certifies, to the best of his knowledge, that:</w:t>
      </w:r>
    </w:p>
    <w:p>
      <w:pPr>
        <w:spacing w:after="0" w:line="75" w:lineRule="exact"/>
        <w:rPr>
          <w:sz w:val="20"/>
          <w:szCs w:val="20"/>
          <w:color w:val="auto"/>
        </w:rPr>
      </w:pPr>
    </w:p>
    <w:p>
      <w:pPr>
        <w:ind w:left="1300" w:hanging="887"/>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1300" w:right="520" w:hanging="887"/>
        <w:spacing w:after="0" w:line="27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February 9, 2016</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31750</wp:posOffset>
            </wp:positionV>
            <wp:extent cx="35464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52"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6" w:lineRule="exact"/>
        <w:rPr>
          <w:sz w:val="20"/>
          <w:szCs w:val="20"/>
          <w:color w:val="auto"/>
        </w:rPr>
      </w:pPr>
    </w:p>
    <w:p>
      <w:pPr>
        <w:jc w:val="both"/>
        <w:ind w:right="120" w:firstLine="432"/>
        <w:spacing w:after="0" w:line="311" w:lineRule="auto"/>
        <w:rPr>
          <w:sz w:val="20"/>
          <w:szCs w:val="20"/>
          <w:color w:val="auto"/>
        </w:rPr>
      </w:pPr>
      <w:r>
        <w:rPr>
          <w:rFonts w:ascii="Arial" w:cs="Arial" w:eastAsia="Arial" w:hAnsi="Arial"/>
          <w:sz w:val="16"/>
          <w:szCs w:val="16"/>
          <w:color w:val="auto"/>
        </w:rPr>
        <w:t>The undersigned, James M. Taylor, Jr., the Executive Vice President and Chief Financial Officer and Treasurer of Federal Realty Investment Trust (the “Company”), has executed this certification in connection with the filing with the Securities and Exchange Commission of the Company’s Annual Report on Form 10-K for the period ended December 31, 2015 (the “Report”). The undersigned hereby certifies, to the best of his knowledge, that:</w:t>
      </w:r>
    </w:p>
    <w:p>
      <w:pPr>
        <w:spacing w:after="0" w:line="40" w:lineRule="exact"/>
        <w:rPr>
          <w:sz w:val="20"/>
          <w:szCs w:val="20"/>
          <w:color w:val="auto"/>
        </w:rPr>
      </w:pPr>
    </w:p>
    <w:p>
      <w:pPr>
        <w:ind w:left="1300" w:hanging="887"/>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1300" w:right="520" w:hanging="887"/>
        <w:spacing w:after="0" w:line="277"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February 9, 2016</w:t>
      </w:r>
      <w:r>
        <w:rPr>
          <w:sz w:val="20"/>
          <w:szCs w:val="20"/>
          <w:color w:val="auto"/>
        </w:rPr>
        <w:tab/>
      </w:r>
      <w:r>
        <w:rPr>
          <w:rFonts w:ascii="Arial" w:cs="Arial" w:eastAsia="Arial" w:hAnsi="Arial"/>
          <w:sz w:val="15"/>
          <w:szCs w:val="15"/>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31750</wp:posOffset>
            </wp:positionV>
            <wp:extent cx="35464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52"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4"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1)"/>
      <w:numFmt w:val="decimal"/>
      <w:start w:val="1"/>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1)"/>
      <w:numFmt w:val="decimal"/>
      <w:start w:val="2"/>
    </w:lvl>
  </w:abstractNum>
  <w:abstractNum w:abstractNumId="27">
    <w:nsid w:val="6DE91B18"/>
    <w:multiLevelType w:val="hybridMultilevel"/>
    <w:lvl w:ilvl="0">
      <w:lvlJc w:val="left"/>
      <w:lvlText w:val="(%1)"/>
      <w:numFmt w:val="decimal"/>
      <w:start w:val="3"/>
    </w:lvl>
  </w:abstractNum>
  <w:abstractNum w:abstractNumId="28">
    <w:nsid w:val="38437FDB"/>
    <w:multiLevelType w:val="hybridMultilevel"/>
    <w:lvl w:ilvl="0">
      <w:lvlJc w:val="left"/>
      <w:lvlText w:val="(%1)"/>
      <w:numFmt w:val="decimal"/>
      <w:start w:val="4"/>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1)"/>
      <w:numFmt w:val="decimal"/>
      <w:start w:val="1"/>
    </w:lvl>
  </w:abstractNum>
  <w:abstractNum w:abstractNumId="47">
    <w:nsid w:val="1CF10FD8"/>
    <w:multiLevelType w:val="hybridMultilevel"/>
    <w:lvl w:ilvl="0">
      <w:lvlJc w:val="left"/>
      <w:lvlText w:val="(%1)"/>
      <w:numFmt w:val="lowerLetter"/>
      <w:start w:val="1"/>
    </w:lvl>
    <w:lvl w:ilvl="1">
      <w:lvlJc w:val="left"/>
      <w:lvlText w:val="(%2)"/>
      <w:numFmt w:val="lowerLetter"/>
      <w:start w:val="2"/>
    </w:lvl>
  </w:abstractNum>
  <w:abstractNum w:abstractNumId="48">
    <w:nsid w:val="180115BE"/>
    <w:multiLevelType w:val="hybridMultilevel"/>
    <w:lvl w:ilvl="0">
      <w:lvlJc w:val="left"/>
      <w:lvlText w:val="%1)"/>
      <w:numFmt w:val="decimal"/>
      <w:start w:val="1"/>
    </w:lvl>
  </w:abstractNum>
  <w:abstractNum w:abstractNumId="49">
    <w:nsid w:val="235BA861"/>
    <w:multiLevelType w:val="hybridMultilevel"/>
    <w:lvl w:ilvl="0">
      <w:lvlJc w:val="left"/>
      <w:lvlText w:val="%1)"/>
      <w:numFmt w:val="decimal"/>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1)"/>
      <w:numFmt w:val="decimal"/>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1)"/>
      <w:numFmt w:val="lowerLetter"/>
      <w:start w:val="2"/>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1."/>
      <w:numFmt w:val="decimal"/>
      <w:start w:val="1"/>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decimal"/>
      <w:start w:val="1"/>
    </w:lvl>
  </w:abstractNum>
  <w:abstractNum w:abstractNumId="60">
    <w:nsid w:val="579BE4F1"/>
    <w:multiLevelType w:val="hybridMultilevel"/>
    <w:lvl w:ilvl="0">
      <w:lvlJc w:val="left"/>
      <w:lvlText w:val="%1"/>
      <w:numFmt w:val="decimal"/>
      <w:start w:val="10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2019-12-29T14:20:54Z</dcterms:created>
  <dcterms:modified xsi:type="dcterms:W3CDTF">2019-12-29T14:20:54Z</dcterms:modified>
</cp:coreProperties>
</file>