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646d8k.htm"/>
      <w:bookmarkStart w:id="1" w:name="ksd1176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120" w:after="0"/>
        <w:jc w:val="center"/>
        <w:rPr>
          <w:rFonts w:ascii="Times New Roman" w:hAnsi="Times New Roman"/>
          <w:b/>
          <w:sz w:val="48"/>
        </w:rPr>
      </w:pPr>
      <w:r>
        <w:rPr>
          <w:rFonts w:ascii="Times New Roman" w:hAnsi="Times New Roman"/>
          <w:b/>
          <w:sz w:val="48"/>
        </w:rPr>
        <w:t xml:space="preserve">Federal Realty OP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1-07533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87-3916363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1985"/>
        <w:gridCol w:w="60"/>
        <w:gridCol w:w="149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b/>
                <w:spacing w:val="0"/>
              </w:rPr>
            </w:pPr>
            <w:r>
              <w:rPr>
                <w:b/>
                <w:spacing w:val="0"/>
              </w:rPr>
              <w:t>333-262016-01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52-0782497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35"/>
        <w:gridCol w:w="60"/>
        <w:gridCol w:w="119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909 Rose Avenue, Suite 200,</w:t>
            </w:r>
          </w:p>
          <w:p>
            <w:pPr>
              <w:pStyle w:val="TableContents"/>
              <w:bidi w:val="0"/>
              <w:spacing w:before="0" w:after="20"/>
              <w:jc w:val="center"/>
              <w:rPr>
                <w:rFonts w:ascii="Times New Roman" w:hAnsi="Times New Roman"/>
                <w:b/>
                <w:sz w:val="20"/>
              </w:rPr>
            </w:pPr>
            <w:r>
              <w:rPr>
                <w:rFonts w:ascii="Times New Roman" w:hAnsi="Times New Roman"/>
                <w:b/>
                <w:sz w:val="20"/>
              </w:rPr>
              <w:t>North Bethesda, Maryland</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20852-4041</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301/998-8100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8"/>
        <w:gridCol w:w="60"/>
        <w:gridCol w:w="710"/>
        <w:gridCol w:w="60"/>
        <w:gridCol w:w="1857"/>
      </w:tblGrid>
      <w:tr>
        <w:trPr/>
        <w:tc>
          <w:tcPr>
            <w:tcW w:w="7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75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8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518" w:type="dxa"/>
            <w:tcBorders/>
            <w:vAlign w:val="center"/>
          </w:tcPr>
          <w:p>
            <w:pPr>
              <w:pStyle w:val="TableContents"/>
              <w:bidi w:val="0"/>
              <w:spacing w:before="0" w:after="283"/>
              <w:jc w:val="center"/>
              <w:rPr/>
            </w:pPr>
            <w:r>
              <w:rPr/>
              <w:t>Common Shares of Beneficial Interest $.01 par value per share, with associated Common Share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FRT</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r>
        <w:trPr/>
        <w:tc>
          <w:tcPr>
            <w:tcW w:w="7518" w:type="dxa"/>
            <w:tcBorders/>
            <w:vAlign w:val="center"/>
          </w:tcPr>
          <w:p>
            <w:pPr>
              <w:pStyle w:val="TableContents"/>
              <w:bidi w:val="0"/>
              <w:spacing w:before="0" w:after="283"/>
              <w:jc w:val="center"/>
              <w:rPr/>
            </w:pPr>
            <w:r>
              <w:rPr/>
              <w:t>Depositary Shares, each representing 1/1000 of a share of 5.00% Series C Cumulative Redeemable Preferred Stock, $.01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center"/>
              <w:rPr>
                <w:spacing w:val="0"/>
              </w:rPr>
            </w:pPr>
            <w:r>
              <w:rPr>
                <w:spacing w:val="0"/>
              </w:rPr>
              <w:t>FRT-C</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85"/>
        <w:gridCol w:w="60"/>
        <w:gridCol w:w="605"/>
        <w:gridCol w:w="60"/>
        <w:gridCol w:w="1805"/>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85"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right"/>
        <w:rPr>
          <w:rFonts w:ascii="Times New Roman" w:hAnsi="Times New Roman"/>
          <w:b/>
          <w:spacing w:val="0"/>
          <w:sz w:val="20"/>
        </w:rPr>
      </w:pPr>
      <w:r>
        <w:rPr>
          <w:rFonts w:ascii="Times New Roman" w:hAnsi="Times New Roman"/>
          <w:b/>
          <w:spacing w:val="0"/>
          <w:sz w:val="20"/>
        </w:rPr>
        <w:t>Federal Realty Investment Trust </w:t>
      </w:r>
    </w:p>
    <w:p>
      <w:pPr>
        <w:pStyle w:val="TextBody"/>
        <w:bidi w:val="0"/>
        <w:spacing w:before="240" w:after="0"/>
        <w:jc w:val="right"/>
        <w:rPr/>
      </w:pPr>
      <w:r>
        <w:rPr/>
        <w:t>☐</w:t>
      </w:r>
    </w:p>
    <w:p>
      <w:pPr>
        <w:pStyle w:val="TextBody"/>
        <w:bidi w:val="0"/>
        <w:spacing w:before="120" w:after="0"/>
        <w:jc w:val="right"/>
        <w:rPr>
          <w:rFonts w:ascii="Times New Roman" w:hAnsi="Times New Roman"/>
          <w:b/>
          <w:spacing w:val="0"/>
          <w:sz w:val="20"/>
        </w:rPr>
      </w:pPr>
      <w:r>
        <w:rPr>
          <w:rFonts w:ascii="Times New Roman" w:hAnsi="Times New Roman"/>
          <w:b/>
          <w:spacing w:val="0"/>
          <w:sz w:val="20"/>
        </w:rPr>
        <w:t>Federal Realty OP LP </w:t>
      </w:r>
    </w:p>
    <w:p>
      <w:pPr>
        <w:pStyle w:val="TextBody"/>
        <w:bidi w:val="0"/>
        <w:spacing w:before="120" w:after="0"/>
        <w:jc w:val="righ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checkmark if the registrant has elected not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below under the heading “Registration Rights Agreement” in Item 8.01 is incorporated by reference under this Item 1.01.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2"/>
        <w:gridCol w:w="9223"/>
      </w:tblGrid>
      <w:tr>
        <w:trPr/>
        <w:tc>
          <w:tcPr>
            <w:tcW w:w="982" w:type="dxa"/>
            <w:tcBorders/>
            <w:vAlign w:val="center"/>
          </w:tcPr>
          <w:p>
            <w:pPr>
              <w:pStyle w:val="TableContents"/>
              <w:bidi w:val="0"/>
              <w:spacing w:before="0" w:after="283"/>
              <w:jc w:val="left"/>
              <w:rPr>
                <w:b/>
              </w:rPr>
            </w:pPr>
            <w:r>
              <w:rPr>
                <w:b/>
              </w:rPr>
              <w:t>Item 2.03.</w:t>
            </w:r>
          </w:p>
        </w:tc>
        <w:tc>
          <w:tcPr>
            <w:tcW w:w="922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below under the heading “3.500% Exchangeable Senior Notes due 2031” in Item 8.01 is incorporated by reference under this Item 2.03.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965"/>
        <w:gridCol w:w="3320"/>
      </w:tblGrid>
      <w:tr>
        <w:trPr/>
        <w:tc>
          <w:tcPr>
            <w:tcW w:w="965" w:type="dxa"/>
            <w:tcBorders/>
            <w:vAlign w:val="center"/>
          </w:tcPr>
          <w:p>
            <w:pPr>
              <w:pStyle w:val="TableContents"/>
              <w:bidi w:val="0"/>
              <w:spacing w:before="0" w:after="283"/>
              <w:jc w:val="left"/>
              <w:rPr>
                <w:b/>
              </w:rPr>
            </w:pPr>
            <w:r>
              <w:rPr>
                <w:b/>
              </w:rPr>
              <w:t>Item 3.02</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below under the heading “3.500% Exchangeable Senior Notes due 2031” in Item 8.01 is incorporated by reference under this Item 3.02. </w:t>
      </w:r>
    </w:p>
    <w:p>
      <w:pPr>
        <w:pStyle w:val="TextBody"/>
        <w:bidi w:val="0"/>
        <w:spacing w:before="240" w:after="0"/>
        <w:jc w:val="left"/>
        <w:rPr>
          <w:rFonts w:ascii="Times New Roman" w:hAnsi="Times New Roman"/>
          <w:sz w:val="20"/>
        </w:rPr>
      </w:pPr>
      <w:r>
        <w:rPr>
          <w:rFonts w:ascii="Times New Roman" w:hAnsi="Times New Roman"/>
          <w:sz w:val="20"/>
        </w:rPr>
        <w:t xml:space="preserve">The Notes (as defined below) were sold to the initial purchasers in reliance on the exemption from registration provided by Section 4(a)(2) of the Securities Act of 1933, as amended (the “Securities Act”). The initial purchasers subsequently resold the Notes to persons reasonably believed to be qualified institutional buyers in reliance on the exemption from registration provided by Rule 144A under the Securities Act. The Issuer relied on these exemptions from registration based in part on representations made by the initial purchasers in the Purchase Agreement, dated August 6, 2026, by and among the Issuer and the Parent, on the one hand, and, on the other hand, Wells Fargo Securities, LLC, BofA Securities, Inc., J.P. Morgan Securities LLC and Truist Securities, Inc. (collectively, the “Representatives”), and each of the other Initial Purchasers named in Schedule 1 thereto. Initially, a maximum of 3,901,260 common shares may be issued upon exchange of the Notes, based on the initial maximum exchange rate of 8.4810 common shares per $1,000 principal amount of Notes, which is subject to customary adjustments.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3.500% Exchangeable Senior Notes due 2031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Federal Realty OP LP (the “Issuer”), the operating partnership through which Federal Realty Investment Trust (the “Parent”) conducts all of its business, issued $460,000,000 aggregate principal amount of its 3.500% Exchangeable Senior Notes due 2031 (the “Notes”), which amount includes $60,000,000 aggregate principal amount of Notes pursuant to the exercise in full by the initial purchasers of their option to acquire additional Notes. The Notes were issued pursuant to, and are governed by, an Indenture, dated as of August 11, 2026 (the “Indenture”), among the Issuer, the Parent and U.S. Bank Trust Company, National Association, as trustee (the “Trustee”). The Notes were sold to the initial purchasers in reliance on the exemption from registration provided by Section 4(a)(2) of the Securities Act. The initial purchasers subsequently resold the Notes to persons reasonably believed to be qualified institutional buyers in reliance on the exemption from registration provided by Rule 144A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the Issuer’s senior unsecured obligations and will rank </w:t>
      </w:r>
      <w:r>
        <w:rPr>
          <w:rFonts w:ascii="Times New Roman" w:hAnsi="Times New Roman"/>
          <w:i/>
          <w:sz w:val="20"/>
        </w:rPr>
        <w:t>pari passu</w:t>
      </w:r>
      <w:r>
        <w:rPr>
          <w:rFonts w:ascii="Times New Roman" w:hAnsi="Times New Roman"/>
          <w:sz w:val="20"/>
        </w:rPr>
        <w:t xml:space="preserve">, or equally, with all of the Issuer’s existing and future unsecured and unsubordinated indebtedness. The Notes will be effectively subordinated to the prior claims of each secured mortgage lender to any specific property that secures such lender’s mortgage and to all of the unsecured indebtedness and other liabilities, as well as any preferred equity, of the Issuer’s subsidiaries. The Notes are not guaranteed by the Parent or any of its or the Issuer’s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be payable semiannually in arrears on February 15 and August 15 of each year, beginning on February 15, 2027. The Notes will mature on August 15, 2031 unless earlier exchanged, purchased or redeemed.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certain restrictions on share ownership and transfer, holders may exchange the Notes at their option prior to the close of business on the business day immediately preceding May 15, 2031, but only under certain circumstances. On or after May 15, 2031, until the close of business on the second scheduled trading day immediately preceding the maturity date of the Notes, holders may exchange their Notes at any time. Upon exchange of the Notes, the Issuer will pay cash up to the aggregate principal amount of the Notes to be exchanged and pay or deliver, as the case may be, cash, common shares of beneficial interest of the Parent (“common shares”) or a combination of cash and common shares, at the Issuer’s election, in respect of the remainder, if any, of the Issuer’s exchange obligation in excess of the aggregate principal amount of the Notes being exchanged.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rate applicable to the Notes is initially equal to 7.2179 common shares per $1,000 principal amount of Notes (equivalent to an exchange price of approximately $138.54 per common share). The exchange rate will be subject to adjustment upon the occurrence of certain events, but will not be adjusted for any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If a fundamental change (as defined in the Indenture) occurs, subject to certain conditions, holders of the Notes may require the Issuer to repurchase for cash all or any portion of their Notes at a repurchase price equal to 100% of the principal amount of the Notes to be repurchased, plus accrued and unpaid interest to, but excluding, the fundamental change purchase date (as defined in the Indenture). In addition, if certain fundamental changes occur or if the Issuer provides notice of redemption, the Issuer may be required, in certain circumstances, to increase the exchange rate for any Notes exchanged in connection with such fundamental change or notice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redeem for cash all or any portion of the Notes, at its option, on or after August 20, 2029 if the last reported sale price of the common shares has been at least 130% of the exchange price then in effect for at least 20 trading days (whether or not consecutive) during any 30 consecutive trading day period (including the last trading day of such period) ending on, and including, the trading day immediately preceding the date on which the Issuer provides notice of redemption. The Issuer will also have the right, at its election, to redeem all or any portion of the Notes at any time and from time to time to the extent necessary to preserve the Parent’s status as a REIT for U.S. federal income tax purposes. The issuer may also redeem the Notes, in whole but not in part, at any time if the aggregate principal amount of Notes that remains outstanding at such time is less than 10% of the aggregate principal amount of Notes initially issued under the indenture. In the case of any redemption, the redemption price will be equal to 100% of the principal amount of the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(as defined in the Indenture) other than those described in the following sentence occurs and is continuing, the Trustee by notice to the Issuer, or the holders of at least 25% in aggregate principal amount of the Notes then outstanding by notice to the Issuer and the Trustee, may declare 100% of the principal of, and accrued and unpaid interest, if any, on all then outstanding Notes to be due and payable. In the case of an Event of Default arising out of certain bankruptcy or insolvency events (as set forth in the Indenture),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Issuer used a portion of the net proceeds from the offering of the Notes to pay the cost of the capped call transactions described below. The Issuer intends to use the remainder of the net proceeds from the offering of the Notes for the repayment of indebtedness and for general corporate purposes. Pending such use, the net proceeds may be invested in short-term, income-producing investments, or the Issuer may use the net proceeds to temporarily repay current and/or future amounts outstanding under its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registered under the Securities Act or any state securities laws, and unless so registered, may not be offered or sold in the United States absent registration or an applicable exemption from, or in a transaction not subject to, the registration requirements of the Securities Act and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Indenture and the Notes is qualified in its entirety by reference to the Indenture and the form of global note, filed herewith as Exhibits 4.1 and 4.2, respectively, and incorporated by reference herein.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and sale of the Notes, on August 11, 2026, the Issuer and the Parent also entered into a registration rights agreement (the “Registration Rights Agreement”) with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Parent has agreed that it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or before the 90th day after the original issuance of the Notes, file a shelf registration statement (which will be an automatic shelf registration statement if the Parent is then a well-known seasoned issuer (“WKSI”)) or a resale prospectus supplement to an effective shelf registration statement with the Securities and Exchange Commission (the “SEC”) providing for the registration of, and the sale on a continuous or delayed basis by the holders of the common shares, if any, issuable upon exchange of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such shelf registration statement is not an automatic shelf registration statement, use commercially reasonable efforts to cause the shelf registration statement or resale prospectus supplement to become effective within 180 days after the first date of original issuance of the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keep the shelf registration statement or resale prospectus effective until the earlier of (1) the 30th trading day immediately following the maturity date of the Notes (subject to extension for any suspension of the effectiveness of the registration during such 30-trading day period immediately following the maturity date) and (2) the date on which there are no longer outstanding any Notes or common shares issued upon exchange thereof that would be “restricted” securities (within the meaning of Rule 144 under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Issuer does not fulfill certain of its obligations under the Registration Rights Agreement with respect to the Notes, the Issuer will be required to pay additional interest to holders of the Notes. If a holder of the Notes exchanges some or all of its Notes, such holder will not be entitled to additional interest. However, if such holder exchanges its Notes when there exists a registration default with respect to common shares, the Issuer will increase the applicable exchange rate by 3% instead of paying any additional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Registration Rights Agreement is qualified in its entirety by reference to the Registration Rights Agreement, filed herewith as Exhibit 10.1 and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Capped Call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pricing of the Notes and the exercise by the initial purchasers of their option to purchase additional Notes, the Issuer and the Parent entered into privately negotiated capped call transactions relating to the Notes with certain of the initial purchasers or their affiliates and/or other financial institutions (the “option counterparties”). The capped call transactions cover, subject to customary adjustments, the number of common shares that initially underlie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cap price of the capped call transactions initially is approximately $165.07 per share, which represents a premium of approximately 40% over the last reported sale price of the Parent’s common shares of $117.91 on the New York Stock Exchange on August 6, 2026, and is subject to certain adjustments under the terms of the capped call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capped call transactions are expected generally to reduce the potential dilution to the Parent’s common shares upon exchange of any Notes and/or offset any cash payments the Issuer is required to make in excess of the principal amount of exchanged Notes, as the case may be, with such reduction and/or offset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establishing their initial hedges of the capped call transactions, the Issuer expects that the option counterparties or their respective affiliates may have entered into various derivative transactions with respect to the common shares and/or purchased common shares in secondary market transactions concurrently with or shortly after the pricing of the Notes, including with or from, as the case may be, certain investors in the Notes. This activity could have increased (or reduced the size of any decrease in) the market price of the common shares or the Notes at that time.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Issuer expects that the option counterparties or their respective affiliates may modify or unwind their hedge positions by entering into or unwinding various derivative transactions with respect to the common shares and/or purchasing or selling common shares or other securities of the Parent in secondary market transactions following the pricing of the Notes and prior to the maturity of the Notes (and are likely to do so following any fundamental change repurchase, redemption or early exchange of the Notes and during the 40 trading day period beginning on the 41st scheduled trading day prior to the maturity date of the Notes, or, to the extent the Issuer exercises the relevant election under the capped call transactions, following any other repurchase of the Notes). This activity could also cause, reduce the extent of or avoid an increase or a decrease in the market price of the common shares or the Notes, which could affect a noteholder’s ability to exchange the Notes, and, to the extent the activity occurs following exchange or during any observation period related to an exchange of Notes, it could affect the amount and value of the consideration that a noteholder will receive upon exchange of such Notes. </w:t>
      </w:r>
    </w:p>
    <w:p>
      <w:pPr>
        <w:pStyle w:val="TextBody"/>
        <w:bidi w:val="0"/>
        <w:spacing w:before="240" w:after="0"/>
        <w:jc w:val="left"/>
        <w:rPr>
          <w:rFonts w:ascii="Times New Roman" w:hAnsi="Times New Roman"/>
          <w:sz w:val="20"/>
        </w:rPr>
      </w:pPr>
      <w:r>
        <w:rPr>
          <w:rFonts w:ascii="Times New Roman" w:hAnsi="Times New Roman"/>
          <w:sz w:val="20"/>
        </w:rPr>
        <w:t xml:space="preserve">The capped call transactions are separate transactions (in each case entered into with a separate option counterparty), are not part of the terms of the Notes and will not change the holders’ rights under the Notes. Noteholders will not have any rights with respect to the capped call transactions. A copy of the form of capped call confirmation relating to the capped call transactions is attached as Exhibit 99.1 hereto and is incorporated by reference (and the foregoing summary of the capped call transactions is qualified in its entirety by reference to such document).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forward-looking statements within the meaning of Section 27A of the Securities Act and Section 21E of the Securities Exchange Act of 1934, as amended. These statements may be identified by use of terms such as “propose,” “will,” “expect,” “shall,” and similar terms or the negative of such terms, and include, without limitation, statements regarding the expected use of the net proceeds of the offering of the Notes and other information that is not historical information. Actual results or developments may differ materially from those projected or implied in these forward-looking statements. More information about the risks and uncertainties faced by the Issuer and the Parent is contained in the section captioned “Risk Factors” in the Issuer’s and the Parent’s SEC filings, including their Annual Report on Form 10-K for the fiscal year ended December 31, 2025, as well as subsequent SEC filings. The forward-looking statements contained in this Current Report are as of the date hereof, and, except as required by law, neither the Issuer nor the Parent undertakes any obligation to update any such statements, whether as a result of new information, future events or otherwise.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17646dex41.htm">
              <w:r>
                <w:rPr>
                  <w:rStyle w:val="InternetLink"/>
                </w:rPr>
                <w:t xml:space="preserve">Indenture dated August 11, 2026 among the Issuer, the Parent and the Trustee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17646dex41.htm">
              <w:r>
                <w:rPr>
                  <w:rStyle w:val="InternetLink"/>
                </w:rPr>
                <w:t xml:space="preserve">Form of 3.500% Exchangeable Senior Note due 2031 (included in Exhibit 4.1)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17646dex101.htm">
              <w:r>
                <w:rPr>
                  <w:rStyle w:val="InternetLink"/>
                </w:rPr>
                <w:t xml:space="preserve">Registration Rights Agreement dated August 11, 2026 among the Issuer, the Parent and the Representatives.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117646dex991.htm">
              <w:r>
                <w:rPr>
                  <w:rStyle w:val="InternetLink"/>
                </w:rPr>
                <w:t xml:space="preserve">Form of Capped Call Transaction Confirmation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(the Cover Page Interactive Data File is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8126" w:type="dxa"/>
        <w:jc w:val="left"/>
        <w:tblInd w:w="0" w:type="dxa"/>
        <w:tblLayout w:type="fixed"/>
        <w:tblCellMar>
          <w:top w:w="0" w:type="dxa"/>
          <w:left w:w="0" w:type="dxa"/>
          <w:bottom w:w="0" w:type="dxa"/>
          <w:right w:w="0" w:type="dxa"/>
        </w:tblCellMar>
      </w:tblPr>
      <w:tblGrid>
        <w:gridCol w:w="2195"/>
        <w:gridCol w:w="60"/>
        <w:gridCol w:w="23"/>
        <w:gridCol w:w="60"/>
        <w:gridCol w:w="23"/>
        <w:gridCol w:w="60"/>
        <w:gridCol w:w="570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b/>
              </w:rPr>
            </w:pPr>
            <w:r>
              <w:rPr>
                <w:b/>
              </w:rPr>
              <w:t>FEDERAL REALTY INVESTMENT TRUST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b/>
              </w:rPr>
            </w:pPr>
            <w:r>
              <w:rPr>
                <w:b/>
              </w:rPr>
              <w:t>FEDERAL REALTY OP LP</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6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Dawn M. Becker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Dawn M. Becker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Executive Vice President-Chief Legal Officer and Secretary</w:t>
            </w:r>
          </w:p>
        </w:tc>
      </w:tr>
    </w:tbl>
    <w:p>
      <w:pPr>
        <w:pStyle w:val="TextBody"/>
        <w:bidi w:val="0"/>
        <w:spacing w:before="0" w:after="0"/>
        <w:jc w:val="right"/>
        <w:rPr>
          <w:rFonts w:ascii="Times New Roman" w:hAnsi="Times New Roman"/>
          <w:b/>
          <w:sz w:val="20"/>
        </w:rPr>
      </w:pPr>
      <w:bookmarkStart w:id="2" w:name="d117646dex41.htm"/>
      <w:bookmarkStart w:id="3" w:name="ksd117646dex41"/>
      <w:bookmarkEnd w:id="2"/>
      <w:bookmarkEnd w:id="3"/>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4"/>
        </w:rPr>
      </w:pPr>
      <w:r>
        <w:rPr>
          <w:rFonts w:ascii="Times New Roman" w:hAnsi="Times New Roman"/>
          <w:sz w:val="24"/>
        </w:rPr>
        <w:t xml:space="preserve">FEDERAL REALTY OP LP </w:t>
      </w:r>
    </w:p>
    <w:p>
      <w:pPr>
        <w:pStyle w:val="TextBody"/>
        <w:bidi w:val="0"/>
        <w:spacing w:before="24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sz w:val="24"/>
        </w:rPr>
      </w:pPr>
      <w:r>
        <w:rPr>
          <w:rFonts w:ascii="Times New Roman" w:hAnsi="Times New Roman"/>
          <w:sz w:val="24"/>
        </w:rPr>
        <w:t xml:space="preserve">FEDERAL REALTY INVESTMENT TRUST </w:t>
      </w:r>
    </w:p>
    <w:p>
      <w:pPr>
        <w:pStyle w:val="TextBody"/>
        <w:bidi w:val="0"/>
        <w:spacing w:before="240" w:after="0"/>
        <w:jc w:val="center"/>
        <w:rPr>
          <w:rFonts w:ascii="Times New Roman" w:hAnsi="Times New Roman"/>
          <w:sz w:val="20"/>
        </w:rPr>
      </w:pPr>
      <w:r>
        <w:rPr>
          <w:rFonts w:ascii="Times New Roman" w:hAnsi="Times New Roman"/>
          <w:sz w:val="20"/>
        </w:rPr>
        <w:t xml:space="preserve">as the REIT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4"/>
        </w:rPr>
      </w:pPr>
      <w:r>
        <w:rPr>
          <w:rFonts w:ascii="Times New Roman" w:hAnsi="Times New Roman"/>
          <w:sz w:val="24"/>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11, 2026 </w:t>
      </w:r>
    </w:p>
    <w:p>
      <w:pPr>
        <w:pStyle w:val="TextBody"/>
        <w:bidi w:val="0"/>
        <w:spacing w:before="24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2480" w:type="dxa"/>
        <w:jc w:val="center"/>
        <w:tblInd w:w="0" w:type="dxa"/>
        <w:tblLayout w:type="fixed"/>
        <w:tblCellMar>
          <w:top w:w="0" w:type="dxa"/>
          <w:left w:w="0" w:type="dxa"/>
          <w:bottom w:w="0" w:type="dxa"/>
          <w:right w:w="0" w:type="dxa"/>
        </w:tblCellMar>
      </w:tblPr>
      <w:tblGrid>
        <w:gridCol w:w="1040"/>
        <w:gridCol w:w="60"/>
        <w:gridCol w:w="10505"/>
        <w:gridCol w:w="120"/>
        <w:gridCol w:w="130"/>
        <w:gridCol w:w="56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1605"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6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References to Interest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1605"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6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ISSUE, DESCRIPTION, EXECUTION, REGISTRATION AND EXCHANGE OF NOTES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Designation and Amount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Form of Notes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Date and Denomination of Notes; Payments of Interest and Defaulted Amounts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Execution, Authentication and Delivery of Notes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Exchange of Notes for Other Notes and Registration of Transfer of Notes; Restrictions on Transfer; Depositary</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Mutilated, Destroyed, Lost or Stolen Notes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Temporary Notes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Cancellation of Notes Paid, Exchanged, Etc.</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CUSIP Numbers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Additional Notes; Repurchases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Ranking</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1605"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6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SATISFACTION AND DISCHARGE</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Satisfaction and Discharge of the Indenture</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Deposited Monies to Be Held in Trust by Trustee</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Paying Agent to Repay Monies Held</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1605"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6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PARTICULAR COVENANTS OF THE COMPANY AND/OR THE REIT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Payment of Principal and Interest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Maintenance of Office or Agency</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Appointments to Fill Vacancies in Trustee’s Office</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Provisions as to Paying Agent</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Existence</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Rule 144A Information Requirement and Annual Reports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Stay, Extension and Usury Laws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6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60" w:type="dxa"/>
            <w:tcBorders/>
            <w:vAlign w:val="bottom"/>
          </w:tcPr>
          <w:p>
            <w:pPr>
              <w:pStyle w:val="TableContents"/>
              <w:bidi w:val="0"/>
              <w:spacing w:before="0" w:after="283"/>
              <w:jc w:val="left"/>
              <w:rPr/>
            </w:pPr>
            <w:r>
              <w:rPr/>
              <w:t> </w:t>
            </w:r>
          </w:p>
        </w:tc>
        <w:tc>
          <w:tcPr>
            <w:tcW w:w="10505" w:type="dxa"/>
            <w:tcBorders/>
            <w:vAlign w:val="bottom"/>
          </w:tcPr>
          <w:p>
            <w:pPr>
              <w:pStyle w:val="TableContents"/>
              <w:bidi w:val="0"/>
              <w:spacing w:before="0" w:after="283"/>
              <w:jc w:val="left"/>
              <w:rPr/>
            </w:pPr>
            <w:r>
              <w:rPr/>
              <w:t>Compliance Certificate; Statements as to Defaults</w:t>
            </w:r>
          </w:p>
        </w:tc>
        <w:tc>
          <w:tcPr>
            <w:tcW w:w="12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6"/>
        <w:gridCol w:w="74"/>
        <w:gridCol w:w="8392"/>
        <w:gridCol w:w="130"/>
        <w:gridCol w:w="60"/>
        <w:gridCol w:w="260"/>
        <w:gridCol w:w="63"/>
      </w:tblGrid>
      <w:tr>
        <w:trPr/>
        <w:tc>
          <w:tcPr>
            <w:tcW w:w="122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39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Additional Interest Notice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Covenant to Take Certain Actions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LISTS OF HOLDERS AND REPORTS BY THE COMPANY AND THE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Lists of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Preservation and Disclosure of Lists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DEFAULTS AND REMEDIES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Events of Default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Acceleration; Rescission and Annulment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Additional Interest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Payments of Notes on Default; Suit Therefor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Application of Monies Collected by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Proceedings by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Proceedings by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Remedies Cumulative and Continuing</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Direction of Proceedings and Waiver of Defaults by Majority of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Notice of Defaults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Undertaking to Pay Costs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Duties and Responsibilities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Reliance on Documents, Opinions,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No Responsibility for Recitals,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Trustee, Paying Agents, Exchange Agents or Note Registrar May Own Notes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Monies and Common Shares to Be Held in Trust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Compensation and Expenses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Officer’s Certificate as Evidence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Eligibility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Resignation or Removal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Acceptance by Successor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Succession by Merger,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Action by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Proof of Execution by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226"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74" w:type="dxa"/>
            <w:tcBorders/>
            <w:vAlign w:val="bottom"/>
          </w:tcPr>
          <w:p>
            <w:pPr>
              <w:pStyle w:val="TableContents"/>
              <w:bidi w:val="0"/>
              <w:spacing w:before="0" w:after="283"/>
              <w:jc w:val="left"/>
              <w:rPr/>
            </w:pPr>
            <w:r>
              <w:rPr/>
              <w:t> </w:t>
            </w:r>
          </w:p>
        </w:tc>
        <w:tc>
          <w:tcPr>
            <w:tcW w:w="8392" w:type="dxa"/>
            <w:tcBorders/>
            <w:vAlign w:val="bottom"/>
          </w:tcPr>
          <w:p>
            <w:pPr>
              <w:pStyle w:val="TableContents"/>
              <w:bidi w:val="0"/>
              <w:spacing w:before="0" w:after="283"/>
              <w:jc w:val="left"/>
              <w:rPr/>
            </w:pPr>
            <w:r>
              <w:rPr/>
              <w:t>Who Are Deemed Absolute Owners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00"/>
        <w:gridCol w:w="120"/>
        <w:gridCol w:w="7638"/>
        <w:gridCol w:w="162"/>
        <w:gridCol w:w="60"/>
        <w:gridCol w:w="261"/>
        <w:gridCol w:w="64"/>
      </w:tblGrid>
      <w:tr>
        <w:trPr/>
        <w:tc>
          <w:tcPr>
            <w:tcW w:w="1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Company-Owned Notes Disregarded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Revocation of Consents; Future Holders Bound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[RESERVED]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SUPPLEMENTAL INDENTURES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Supplemental Indentures Without Consent of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Supplemental Indentures with Consent of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Effect of Supplemental Indentures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Notation on Notes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Trustee to Sign Amendments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CONSOLIDATION, MERGER, SALE, CONVEYANCE AND LEASE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Company and REIT May Consolidate, Merge, etc., on Certain Terms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Successor Entity to Be Substituted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Opinion of Counsel to Be Given to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Indenture and Notes Solely Corporate Obligations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[RESERVED]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14 EXCHANGE OF NOTES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Right to Exchange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Exchange Procedure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Settlement Upon Exchange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Adjustment of Exchange Rate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Discretionary and Voluntary Adjustments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Increased Exchange Rate Applicable to Certain Notes Surrendered in Connection with Make-Whole Fundamental Changes or Notices of Redemption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Effect of Recapitalizations, Reclassifications and Changes of the Common Shares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Certain Covenants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Responsibility of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Stockholder Rights Plan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Deferral of Adjustments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Notice to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900" w:type="dxa"/>
            <w:tcBorders/>
            <w:vAlign w:val="center"/>
          </w:tcPr>
          <w:p>
            <w:pPr>
              <w:pStyle w:val="TableContents"/>
              <w:bidi w:val="0"/>
              <w:spacing w:before="0" w:after="283"/>
              <w:jc w:val="left"/>
              <w:rPr>
                <w:sz w:val="4"/>
                <w:szCs w:val="4"/>
              </w:rPr>
            </w:pPr>
            <w:r>
              <w:rPr>
                <w:sz w:val="4"/>
                <w:szCs w:val="4"/>
              </w:rPr>
            </w:r>
          </w:p>
        </w:tc>
        <w:tc>
          <w:tcPr>
            <w:tcW w:w="775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90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120" w:type="dxa"/>
            <w:tcBorders/>
            <w:vAlign w:val="bottom"/>
          </w:tcPr>
          <w:p>
            <w:pPr>
              <w:pStyle w:val="TableContents"/>
              <w:bidi w:val="0"/>
              <w:spacing w:before="0" w:after="283"/>
              <w:jc w:val="left"/>
              <w:rPr/>
            </w:pPr>
            <w:r>
              <w:rPr/>
              <w:t> </w:t>
            </w:r>
          </w:p>
        </w:tc>
        <w:tc>
          <w:tcPr>
            <w:tcW w:w="7638" w:type="dxa"/>
            <w:tcBorders/>
            <w:vAlign w:val="bottom"/>
          </w:tcPr>
          <w:p>
            <w:pPr>
              <w:pStyle w:val="TableContents"/>
              <w:bidi w:val="0"/>
              <w:spacing w:before="0" w:after="283"/>
              <w:jc w:val="left"/>
              <w:rPr/>
            </w:pPr>
            <w:r>
              <w:rPr/>
              <w:t>Exchange in Lieu of Exchange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1250" w:type="dxa"/>
        <w:jc w:val="center"/>
        <w:tblInd w:w="0" w:type="dxa"/>
        <w:tblLayout w:type="fixed"/>
        <w:tblCellMar>
          <w:top w:w="0" w:type="dxa"/>
          <w:left w:w="0" w:type="dxa"/>
          <w:bottom w:w="0" w:type="dxa"/>
          <w:right w:w="0" w:type="dxa"/>
        </w:tblCellMar>
      </w:tblPr>
      <w:tblGrid>
        <w:gridCol w:w="1145"/>
        <w:gridCol w:w="60"/>
        <w:gridCol w:w="9545"/>
        <w:gridCol w:w="120"/>
        <w:gridCol w:w="60"/>
        <w:gridCol w:w="26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7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15 REPURCHASE OF NOTES AT OPTION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Purchase at Option of Holders Upon a Fundamental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Effect of Fundamental Change Purchase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Withdrawal of Fundamental Change Purchase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Deposit of Fundamental Change Purchase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Notes Purchased in Whole or in Part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Covenant to Comply with Applicable Laws Upon Purchase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Repayment to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Purchase by Third Party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Exempted Fundamental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rHeight w:val="120" w:hRule="atLeast"/>
        </w:trPr>
        <w:tc>
          <w:tcPr>
            <w:tcW w:w="107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16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Notice of Redemption; Selection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Payment of Notes Called for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Restrictions on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16.05.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No Sinking Fund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07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75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17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Provisions Binding on the Company’s and the REIT’s Successors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Official Acts by Successor Entity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Addresses for Notices, Demands,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Evidence of Compliance with Conditions Precedent; Certificates and Opinions of Counsel to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Legal Holidays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17.07.</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No Security Interest Created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17.08.</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Benefits of Indenture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17.09.</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Table of Contents, Headings,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17.10.</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Authenticating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17.11.</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Execution in 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17.12.</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17.13.</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17.14.</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17.15.</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Calculations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17.16.</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17.17.</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Tax Information and Withholding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60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17.18.</w:t>
            </w:r>
          </w:p>
        </w:tc>
        <w:tc>
          <w:tcPr>
            <w:tcW w:w="60" w:type="dxa"/>
            <w:tcBorders/>
            <w:vAlign w:val="bottom"/>
          </w:tcPr>
          <w:p>
            <w:pPr>
              <w:pStyle w:val="TableContents"/>
              <w:bidi w:val="0"/>
              <w:spacing w:before="0" w:after="283"/>
              <w:jc w:val="left"/>
              <w:rPr/>
            </w:pPr>
            <w:r>
              <w:rPr/>
              <w:t> </w:t>
            </w:r>
          </w:p>
        </w:tc>
        <w:tc>
          <w:tcPr>
            <w:tcW w:w="9545" w:type="dxa"/>
            <w:tcBorders/>
            <w:vAlign w:val="bottom"/>
          </w:tcPr>
          <w:p>
            <w:pPr>
              <w:pStyle w:val="TableContents"/>
              <w:bidi w:val="0"/>
              <w:spacing w:before="0" w:after="283"/>
              <w:jc w:val="left"/>
              <w:rPr/>
            </w:pPr>
            <w:r>
              <w:rPr/>
              <w:t>Economic Sanctions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06"/>
        <w:gridCol w:w="123"/>
        <w:gridCol w:w="8676"/>
      </w:tblGrid>
      <w:tr>
        <w:trPr/>
        <w:tc>
          <w:tcPr>
            <w:tcW w:w="14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EXHIBIT</w:t>
            </w:r>
          </w:p>
        </w:tc>
      </w:tr>
      <w:tr>
        <w:trPr>
          <w:trHeight w:val="120" w:hRule="atLeast"/>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r>
              <w:rPr/>
              <w:t>[Form of Face of Note]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SCHEDULE</w:t>
            </w:r>
          </w:p>
        </w:tc>
      </w:tr>
      <w:tr>
        <w:trPr>
          <w:trHeight w:val="120" w:hRule="atLeast"/>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283"/>
              <w:jc w:val="left"/>
              <w:rPr/>
            </w:pPr>
            <w:r>
              <w:rPr/>
              <w:t>Schedule A</w:t>
            </w:r>
          </w:p>
        </w:tc>
        <w:tc>
          <w:tcPr>
            <w:tcW w:w="123"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r>
              <w:rPr/>
              <w:t>Schedule of Exchanges of Notes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ATTACHMENTS</w:t>
            </w:r>
          </w:p>
        </w:tc>
      </w:tr>
      <w:tr>
        <w:trPr>
          <w:trHeight w:val="120" w:hRule="atLeast"/>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283"/>
              <w:jc w:val="left"/>
              <w:rPr/>
            </w:pPr>
            <w:r>
              <w:rPr/>
              <w:t>Attachment 1</w:t>
            </w:r>
          </w:p>
        </w:tc>
        <w:tc>
          <w:tcPr>
            <w:tcW w:w="123"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r>
              <w:rPr/>
              <w:t>[Form of Notice of Exchange]</w:t>
            </w:r>
          </w:p>
        </w:tc>
      </w:tr>
      <w:tr>
        <w:trPr>
          <w:trHeight w:val="120" w:hRule="atLeast"/>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283"/>
              <w:jc w:val="left"/>
              <w:rPr/>
            </w:pPr>
            <w:r>
              <w:rPr/>
              <w:t>Attachment 2</w:t>
            </w:r>
          </w:p>
        </w:tc>
        <w:tc>
          <w:tcPr>
            <w:tcW w:w="123"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r>
              <w:rPr/>
              <w:t>[Form of Fundamental Change Purchase Notice]</w:t>
            </w:r>
          </w:p>
        </w:tc>
      </w:tr>
      <w:tr>
        <w:trPr>
          <w:trHeight w:val="120" w:hRule="atLeast"/>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283"/>
              <w:jc w:val="left"/>
              <w:rPr/>
            </w:pPr>
            <w:r>
              <w:rPr/>
              <w:t>Attachment 3</w:t>
            </w:r>
          </w:p>
        </w:tc>
        <w:tc>
          <w:tcPr>
            <w:tcW w:w="123"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r>
              <w:rPr/>
              <w:t>[Form of Assignment and Transfer]</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August 11, 2026 among FEDERAL REALTY OP LP, a Delaware limited partnership, as issuer (the “</w:t>
      </w:r>
      <w:r>
        <w:rPr>
          <w:rFonts w:ascii="Times New Roman" w:hAnsi="Times New Roman"/>
          <w:b/>
          <w:sz w:val="20"/>
        </w:rPr>
        <w:t>Company</w:t>
      </w:r>
      <w:r>
        <w:rPr>
          <w:rFonts w:ascii="Times New Roman" w:hAnsi="Times New Roman"/>
          <w:sz w:val="20"/>
        </w:rPr>
        <w:t xml:space="preserve">,” as more fully set forth in </w:t>
      </w:r>
      <w:r>
        <w:rPr>
          <w:rFonts w:ascii="Times New Roman" w:hAnsi="Times New Roman"/>
          <w:sz w:val="20"/>
          <w:u w:val="single"/>
        </w:rPr>
        <w:t>Section 1.01</w:t>
      </w:r>
      <w:r>
        <w:rPr>
          <w:rFonts w:ascii="Times New Roman" w:hAnsi="Times New Roman"/>
          <w:sz w:val="20"/>
        </w:rPr>
        <w:t xml:space="preserve"> hereof), FEDERAL REALTY INVESTMENT TRUST, a Maryland real estate investment trust, as the REIT (the “</w:t>
      </w:r>
      <w:r>
        <w:rPr>
          <w:rFonts w:ascii="Times New Roman" w:hAnsi="Times New Roman"/>
          <w:b/>
          <w:sz w:val="20"/>
        </w:rPr>
        <w:t>REIT</w:t>
      </w:r>
      <w:r>
        <w:rPr>
          <w:rFonts w:ascii="Times New Roman" w:hAnsi="Times New Roman"/>
          <w:sz w:val="20"/>
        </w:rPr>
        <w:t xml:space="preserve">,” as more fully set forth in </w:t>
      </w:r>
      <w:r>
        <w:rPr>
          <w:rFonts w:ascii="Times New Roman" w:hAnsi="Times New Roman"/>
          <w:sz w:val="20"/>
          <w:u w:val="single"/>
        </w:rPr>
        <w:t>Section 1.01</w:t>
      </w:r>
      <w:r>
        <w:rPr>
          <w:rFonts w:ascii="Times New Roman" w:hAnsi="Times New Roman"/>
          <w:sz w:val="20"/>
        </w:rPr>
        <w:t xml:space="preserve"> hereof),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as more fully set forth in </w:t>
      </w:r>
      <w:r>
        <w:rPr>
          <w:rFonts w:ascii="Times New Roman" w:hAnsi="Times New Roman"/>
          <w:sz w:val="20"/>
          <w:u w:val="single"/>
        </w:rPr>
        <w:t>Section 1.01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Each party agrees as follows for the benefit of the other parties and for the equal and ratable benefit of the holders of the Company’s 3.500% Exchangeable Senior Notes due 2031 (hereinafter called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i/>
          <w:sz w:val="20"/>
        </w:rPr>
        <w:t>Definitions</w:t>
      </w:r>
      <w:r>
        <w:rPr>
          <w:rFonts w:ascii="Times New Roman" w:hAnsi="Times New Roman"/>
          <w:sz w:val="20"/>
        </w:rPr>
        <w:t xml:space="preserve">. The terms defined in this </w:t>
      </w:r>
      <w:r>
        <w:rPr>
          <w:rFonts w:ascii="Times New Roman" w:hAnsi="Times New Roman"/>
          <w:sz w:val="20"/>
          <w:u w:val="single"/>
        </w:rPr>
        <w:t>Section 1.01</w:t>
      </w:r>
      <w:r>
        <w:rPr>
          <w:rFonts w:ascii="Times New Roman" w:hAnsi="Times New Roman"/>
          <w:sz w:val="20"/>
        </w:rPr>
        <w:t xml:space="preserve"> (except as herein otherwise expressly provided or unless the context otherwise requires) for all purposes of this Indenture and of any indenture supplemental hereto shall have the respective meanings specified in this </w:t>
      </w:r>
      <w:r>
        <w:rPr>
          <w:rFonts w:ascii="Times New Roman" w:hAnsi="Times New Roman"/>
          <w:sz w:val="20"/>
          <w:u w:val="single"/>
        </w:rPr>
        <w:t>Section 1.01</w:t>
      </w:r>
      <w:r>
        <w:rPr>
          <w:rFonts w:ascii="Times New Roman" w:hAnsi="Times New Roman"/>
          <w:sz w:val="20"/>
        </w:rPr>
        <w:t xml:space="preserve">. The words “herein,” “hereof,” “hereunder” and words of similar import refer to this Indenture as a whole and not to any particular Article, Section or other subdivision. The terms defined in this Article include the plural as well as the singular.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all amounts, if any, payable pursuant to </w:t>
      </w:r>
      <w:r>
        <w:rPr>
          <w:rFonts w:ascii="Times New Roman" w:hAnsi="Times New Roman"/>
          <w:sz w:val="20"/>
          <w:u w:val="single"/>
        </w:rPr>
        <w:t>Section 6.03</w:t>
      </w:r>
      <w:r>
        <w:rPr>
          <w:rFonts w:ascii="Times New Roman" w:hAnsi="Times New Roman"/>
          <w:sz w:val="20"/>
        </w:rPr>
        <w:t xml:space="preserve"> and any liquidated damages payable pursuant to the Registration Rights Agreement, as applicable. </w:t>
      </w:r>
    </w:p>
    <w:p>
      <w:pPr>
        <w:pStyle w:val="TextBody"/>
        <w:bidi w:val="0"/>
        <w:spacing w:before="240" w:after="0"/>
        <w:jc w:val="left"/>
        <w:rPr/>
      </w:pPr>
      <w:r>
        <w:rPr/>
        <w:t>“</w:t>
      </w:r>
      <w:r>
        <w:rPr>
          <w:rFonts w:ascii="Times New Roman" w:hAnsi="Times New Roman"/>
          <w:b/>
          <w:sz w:val="20"/>
        </w:rPr>
        <w:t>Additional Shares</w:t>
      </w:r>
      <w:r>
        <w:rPr>
          <w:rFonts w:ascii="Times New Roman" w:hAnsi="Times New Roman"/>
          <w:sz w:val="20"/>
        </w:rPr>
        <w:t xml:space="preserve">” shall have the meaning specified in </w:t>
      </w:r>
      <w:r>
        <w:rPr>
          <w:rFonts w:ascii="Times New Roman" w:hAnsi="Times New Roman"/>
          <w:sz w:val="20"/>
          <w:u w:val="single"/>
        </w:rPr>
        <w:t>Section 14.06(a)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shall have the meaning specified in </w:t>
      </w:r>
      <w:r>
        <w:rPr>
          <w:rFonts w:ascii="Times New Roman" w:hAnsi="Times New Roman"/>
          <w:sz w:val="20"/>
          <w:u w:val="single"/>
        </w:rPr>
        <w:t>Section 17.17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means, with respect to any matter at any time, the policies and procedures of the Depositary, if any, that are applicable to such matter at such time. </w:t>
      </w:r>
    </w:p>
    <w:p>
      <w:pPr>
        <w:pStyle w:val="TextBody"/>
        <w:bidi w:val="0"/>
        <w:spacing w:before="240" w:after="0"/>
        <w:jc w:val="left"/>
        <w:rPr/>
      </w:pPr>
      <w:r>
        <w:rPr/>
        <w:t>“</w:t>
      </w:r>
      <w:r>
        <w:rPr>
          <w:rFonts w:ascii="Times New Roman" w:hAnsi="Times New Roman"/>
          <w:b/>
          <w:sz w:val="20"/>
        </w:rPr>
        <w:t>Authorized Officers”</w:t>
      </w:r>
      <w:r>
        <w:rPr>
          <w:rFonts w:ascii="Times New Roman" w:hAnsi="Times New Roman"/>
          <w:sz w:val="20"/>
        </w:rPr>
        <w:t xml:space="preserve"> shall have the meaning specified in </w:t>
      </w:r>
      <w:r>
        <w:rPr>
          <w:rFonts w:ascii="Times New Roman" w:hAnsi="Times New Roman"/>
          <w:sz w:val="20"/>
          <w:u w:val="single"/>
        </w:rPr>
        <w:t>Section 17.03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Company or such other Person as may be appointed, from time to time, by the Company to solicit bids for the Trading Price of the Notes in accordance with </w:t>
      </w:r>
      <w:r>
        <w:rPr>
          <w:rFonts w:ascii="Times New Roman" w:hAnsi="Times New Roman"/>
          <w:sz w:val="20"/>
          <w:u w:val="single"/>
        </w:rPr>
        <w:t>Section 14.01(b)(2)</w:t>
      </w:r>
      <w:r>
        <w:rPr>
          <w:rFonts w:ascii="Times New Roman" w:hAnsi="Times New Roman"/>
          <w:sz w:val="20"/>
        </w:rPr>
        <w:t xml:space="preserve"> hereof. Initially, the “Bid Solicitation Agent” means the Company. </w:t>
      </w:r>
    </w:p>
    <w:p>
      <w:pPr>
        <w:pStyle w:val="TextBody"/>
        <w:bidi w:val="0"/>
        <w:spacing w:before="240" w:after="0"/>
        <w:jc w:val="left"/>
        <w:rPr/>
      </w:pPr>
      <w:r>
        <w:rPr/>
        <w:t>“</w:t>
      </w:r>
      <w:r>
        <w:rPr>
          <w:rFonts w:ascii="Times New Roman" w:hAnsi="Times New Roman"/>
          <w:b/>
          <w:sz w:val="20"/>
        </w:rPr>
        <w:t>Board of Trustees</w:t>
      </w:r>
      <w:r>
        <w:rPr>
          <w:rFonts w:ascii="Times New Roman" w:hAnsi="Times New Roman"/>
          <w:sz w:val="20"/>
        </w:rPr>
        <w:t xml:space="preserve">” means the board of trustees of the REIT, or other body with analogous authority with respect to the REIT, or any duly authorized committee of that board or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REIT or the Company to have been duly adopted by the Board of Trustees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day on which the Federal Reserve Bank of New York is authorized or required by law or executive order to close or to be closed.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for any Person, any and all shares, interests, rights to purchase, warrants, options, participations or other equivalents of or interests in (however designated) the equity of such Person, but excluding any debt securities convertible into or exchangeable for such equity. </w:t>
      </w:r>
    </w:p>
    <w:p>
      <w:pPr>
        <w:pStyle w:val="TextBody"/>
        <w:bidi w:val="0"/>
        <w:spacing w:before="240" w:after="0"/>
        <w:jc w:val="left"/>
        <w:rPr/>
      </w:pPr>
      <w:r>
        <w:rPr/>
        <w:t>“</w:t>
      </w:r>
      <w:r>
        <w:rPr>
          <w:rFonts w:ascii="Times New Roman" w:hAnsi="Times New Roman"/>
          <w:b/>
          <w:sz w:val="20"/>
        </w:rPr>
        <w:t>Cash Percentage</w:t>
      </w:r>
      <w:r>
        <w:rPr>
          <w:rFonts w:ascii="Times New Roman" w:hAnsi="Times New Roman"/>
          <w:sz w:val="20"/>
        </w:rPr>
        <w:t xml:space="preserve">” shall have the meaning specified in </w:t>
      </w:r>
      <w:r>
        <w:rPr>
          <w:rFonts w:ascii="Times New Roman" w:hAnsi="Times New Roman"/>
          <w:sz w:val="20"/>
          <w:u w:val="single"/>
        </w:rPr>
        <w:t>Section 14.03(a)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Cash Settlement Averaging Period</w:t>
      </w:r>
      <w:r>
        <w:rPr>
          <w:rFonts w:ascii="Times New Roman" w:hAnsi="Times New Roman"/>
          <w:sz w:val="20"/>
        </w:rPr>
        <w:t xml:space="preserve">” with respect to any Note surrendered for exchange means: </w:t>
      </w:r>
    </w:p>
    <w:p>
      <w:pPr>
        <w:pStyle w:val="TextBody"/>
        <w:bidi w:val="0"/>
        <w:spacing w:before="120" w:after="0"/>
        <w:jc w:val="left"/>
        <w:rPr>
          <w:rFonts w:ascii="Times New Roman" w:hAnsi="Times New Roman"/>
          <w:sz w:val="20"/>
        </w:rPr>
      </w:pPr>
      <w:r>
        <w:rPr>
          <w:rFonts w:ascii="Times New Roman" w:hAnsi="Times New Roman"/>
          <w:sz w:val="20"/>
        </w:rPr>
        <w:t xml:space="preserve">(1) subject to clause (2) below, if the relevant Exchange Date occurs prior to May 15, 2031, the 40 consecutive Trading Day period beginning on, and including, the second Trading Day immediately succeeding such Exchange Date; </w:t>
      </w:r>
    </w:p>
    <w:p>
      <w:pPr>
        <w:pStyle w:val="TextBody"/>
        <w:bidi w:val="0"/>
        <w:spacing w:before="120" w:after="0"/>
        <w:jc w:val="left"/>
        <w:rPr>
          <w:rFonts w:ascii="Times New Roman" w:hAnsi="Times New Roman"/>
          <w:sz w:val="20"/>
        </w:rPr>
      </w:pPr>
      <w:r>
        <w:rPr>
          <w:rFonts w:ascii="Times New Roman" w:hAnsi="Times New Roman"/>
          <w:sz w:val="20"/>
        </w:rPr>
        <w:t xml:space="preserve">(2) if the relevant Exchange Date occurs on or after the date of issuance by the Company of a Redemption Notice and prior to the related Redemption Date, the 40 consecutive Trading Day period beginning on and including the 41st Scheduled Trading Day prior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(3) subject to clause (2) above, if the relevant Exchange Date occurs on or after May 15, 2031, the 40 consecutive Trading Day period beginning on, and including, the 41st Scheduled Trading Day immediately preceding the Maturity Date. </w:t>
      </w:r>
    </w:p>
    <w:p>
      <w:pPr>
        <w:pStyle w:val="TextBody"/>
        <w:bidi w:val="0"/>
        <w:spacing w:before="240" w:after="0"/>
        <w:jc w:val="left"/>
        <w:rPr/>
      </w:pPr>
      <w:r>
        <w:rPr/>
        <w:t>“</w:t>
      </w:r>
      <w:r>
        <w:rPr>
          <w:rFonts w:ascii="Times New Roman" w:hAnsi="Times New Roman"/>
          <w:b/>
          <w:sz w:val="20"/>
        </w:rPr>
        <w:t>Clause A Distribution</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Clause B Distribution</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Clause C Distribution</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Clean Up Redemption</w:t>
      </w:r>
      <w:r>
        <w:rPr>
          <w:rFonts w:ascii="Times New Roman" w:hAnsi="Times New Roman"/>
          <w:sz w:val="20"/>
        </w:rPr>
        <w:t xml:space="preserve">” shall have the meaning specified in </w:t>
      </w:r>
      <w:r>
        <w:rPr>
          <w:rFonts w:ascii="Times New Roman" w:hAnsi="Times New Roman"/>
          <w:sz w:val="20"/>
          <w:u w:val="single"/>
        </w:rPr>
        <w:t>Section 16.01(c)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Common Equity</w:t>
      </w:r>
      <w:r>
        <w:rPr>
          <w:rFonts w:ascii="Times New Roman" w:hAnsi="Times New Roman"/>
          <w:sz w:val="20"/>
        </w:rPr>
        <w:t xml:space="preserve">”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Common Shares</w:t>
      </w:r>
      <w:r>
        <w:rPr>
          <w:rFonts w:ascii="Times New Roman" w:hAnsi="Times New Roman"/>
          <w:sz w:val="20"/>
        </w:rPr>
        <w:t xml:space="preserve">” means, subject to </w:t>
      </w:r>
      <w:r>
        <w:rPr>
          <w:rFonts w:ascii="Times New Roman" w:hAnsi="Times New Roman"/>
          <w:sz w:val="20"/>
          <w:u w:val="single"/>
        </w:rPr>
        <w:t>Section 14.07</w:t>
      </w:r>
      <w:r>
        <w:rPr>
          <w:rFonts w:ascii="Times New Roman" w:hAnsi="Times New Roman"/>
          <w:sz w:val="20"/>
        </w:rPr>
        <w:t xml:space="preserve">, the common shares of beneficial interest, $.01 par value per share, of the REIT authorized at the date of this instrument as originally executed. </w:t>
      </w:r>
    </w:p>
    <w:p>
      <w:pPr>
        <w:pStyle w:val="TextBody"/>
        <w:bidi w:val="0"/>
        <w:spacing w:before="240" w:after="0"/>
        <w:jc w:val="left"/>
        <w:rPr/>
      </w:pPr>
      <w:r>
        <w:rPr/>
        <w:t>“</w:t>
      </w:r>
      <w:r>
        <w:rPr>
          <w:rFonts w:ascii="Times New Roman" w:hAnsi="Times New Roman"/>
          <w:b/>
          <w:sz w:val="20"/>
        </w:rPr>
        <w:t>Common Shares Resale Restriction Termination Date</w:t>
      </w:r>
      <w:r>
        <w:rPr>
          <w:rFonts w:ascii="Times New Roman" w:hAnsi="Times New Roman"/>
          <w:sz w:val="20"/>
        </w:rPr>
        <w:t xml:space="preserve">” shall have the meaning specified in </w:t>
      </w:r>
      <w:r>
        <w:rPr>
          <w:rFonts w:ascii="Times New Roman" w:hAnsi="Times New Roman"/>
          <w:sz w:val="20"/>
          <w:u w:val="single"/>
        </w:rPr>
        <w:t>Section 2.05(d)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specified in the first paragraph of this Indenture, and subject to the provisions of </w:t>
      </w:r>
      <w:r>
        <w:rPr>
          <w:rFonts w:ascii="Times New Roman" w:hAnsi="Times New Roman"/>
          <w:sz w:val="20"/>
          <w:u w:val="single"/>
        </w:rPr>
        <w:t>Article 11</w:t>
      </w:r>
      <w:r>
        <w:rPr>
          <w:rFonts w:ascii="Times New Roman" w:hAnsi="Times New Roman"/>
          <w:sz w:val="20"/>
        </w:rPr>
        <w:t xml:space="preserve">, shall include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request or order signed in the name of the Company by any one of its Chairman of the Board, its Chief Executive Officer, its President, its Vice Chairman, its Chief Financial Officer or a Vice President (whether or not designated by a number or numbers or word or words added before or after the title “Vice President”), its Treasurer, or its Secretary, and delivered to the Trustee.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principal office of the Trustee at which at any time its corporate trust business shall be administered, which office at the date hereof is located at 214 North Tryon Street, 27th Floor (CN-NC-H27A), Charlotte, NC 28202, Attention: Global Corporate Trust, or such other address as the Trustee may designate from time to time by notice to the Holders, the Company and the REIT, or the principal corporate trust office of any successor trustee (or such other address as such successor trustee may designate from time to time by notice to the Holders, the Company and the REIT). </w:t>
      </w:r>
    </w:p>
    <w:p>
      <w:pPr>
        <w:pStyle w:val="TextBody"/>
        <w:bidi w:val="0"/>
        <w:spacing w:before="240" w:after="0"/>
        <w:jc w:val="left"/>
        <w:rPr/>
      </w:pPr>
      <w:r>
        <w:rPr/>
        <w:t>“</w:t>
      </w:r>
      <w:r>
        <w:rPr>
          <w:rFonts w:ascii="Times New Roman" w:hAnsi="Times New Roman"/>
          <w:b/>
          <w:sz w:val="20"/>
        </w:rPr>
        <w:t>Custodian</w:t>
      </w:r>
      <w:r>
        <w:rPr>
          <w:rFonts w:ascii="Times New Roman" w:hAnsi="Times New Roman"/>
          <w:sz w:val="20"/>
        </w:rPr>
        <w:t xml:space="preserve">” means the Trustee, as custodian for the Depositary with respect to the Notes (so long as the Notes constitute Global Notes), or any successor entity. </w:t>
      </w:r>
    </w:p>
    <w:p>
      <w:pPr>
        <w:pStyle w:val="TextBody"/>
        <w:bidi w:val="0"/>
        <w:spacing w:before="240" w:after="0"/>
        <w:jc w:val="left"/>
        <w:rPr/>
      </w:pPr>
      <w:r>
        <w:rPr/>
        <w:t>“</w:t>
      </w:r>
      <w:r>
        <w:rPr>
          <w:rFonts w:ascii="Times New Roman" w:hAnsi="Times New Roman"/>
          <w:b/>
          <w:sz w:val="20"/>
        </w:rPr>
        <w:t>Daily Exchange Value</w:t>
      </w:r>
      <w:r>
        <w:rPr>
          <w:rFonts w:ascii="Times New Roman" w:hAnsi="Times New Roman"/>
          <w:sz w:val="20"/>
        </w:rPr>
        <w:t xml:space="preserve">” means, for each of the 40 consecutive Trading Days during the relevant Cash Settlement Averaging Period, 1/40th of the product of (a) the Exchange Rate on such Trading Day and (b) the Daily VWAP for such Trading Day. </w:t>
      </w:r>
    </w:p>
    <w:p>
      <w:pPr>
        <w:pStyle w:val="TextBody"/>
        <w:bidi w:val="0"/>
        <w:spacing w:before="240" w:after="0"/>
        <w:jc w:val="left"/>
        <w:rPr/>
      </w:pPr>
      <w:r>
        <w:rPr/>
        <w:t>“</w:t>
      </w:r>
      <w:r>
        <w:rPr>
          <w:rFonts w:ascii="Times New Roman" w:hAnsi="Times New Roman"/>
          <w:b/>
          <w:sz w:val="20"/>
        </w:rPr>
        <w:t>Daily Net Settlement Amount</w:t>
      </w:r>
      <w:r>
        <w:rPr>
          <w:rFonts w:ascii="Times New Roman" w:hAnsi="Times New Roman"/>
          <w:sz w:val="20"/>
        </w:rPr>
        <w:t xml:space="preserve">” means, for each of the 40 consecutive Trading Days during the relevant Cash Settlement Averaging Period: </w:t>
      </w:r>
    </w:p>
    <w:p>
      <w:pPr>
        <w:pStyle w:val="TextBody"/>
        <w:bidi w:val="0"/>
        <w:spacing w:before="120" w:after="0"/>
        <w:jc w:val="left"/>
        <w:rPr>
          <w:rFonts w:ascii="Times New Roman" w:hAnsi="Times New Roman"/>
          <w:sz w:val="20"/>
        </w:rPr>
      </w:pPr>
      <w:r>
        <w:rPr>
          <w:rFonts w:ascii="Times New Roman" w:hAnsi="Times New Roman"/>
          <w:sz w:val="20"/>
        </w:rPr>
        <w:t xml:space="preserve">(1) if the Company does not elect a Cash Percentage or the Company elects (or is deemed to have elected) a Cash Percentage of 0% as set forth herein, a number of Common Shares equal to (i) the difference between the Daily Exchange Value and $25, divided by (ii) the Daily VWAP for such Trading Day; </w:t>
      </w:r>
    </w:p>
    <w:p>
      <w:pPr>
        <w:pStyle w:val="TextBody"/>
        <w:bidi w:val="0"/>
        <w:spacing w:before="120" w:after="0"/>
        <w:jc w:val="left"/>
        <w:rPr>
          <w:rFonts w:ascii="Times New Roman" w:hAnsi="Times New Roman"/>
          <w:sz w:val="20"/>
        </w:rPr>
      </w:pPr>
      <w:r>
        <w:rPr>
          <w:rFonts w:ascii="Times New Roman" w:hAnsi="Times New Roman"/>
          <w:sz w:val="20"/>
        </w:rPr>
        <w:t xml:space="preserve">(2) if the Company elects a Cash Percentage of 100% as set forth herein, cash in an amount equal to the difference between the Daily Exchange Value and $25; or </w:t>
      </w:r>
    </w:p>
    <w:p>
      <w:pPr>
        <w:pStyle w:val="TextBody"/>
        <w:bidi w:val="0"/>
        <w:spacing w:before="120" w:after="0"/>
        <w:jc w:val="left"/>
        <w:rPr>
          <w:rFonts w:ascii="Times New Roman" w:hAnsi="Times New Roman"/>
          <w:sz w:val="20"/>
        </w:rPr>
      </w:pPr>
      <w:r>
        <w:rPr>
          <w:rFonts w:ascii="Times New Roman" w:hAnsi="Times New Roman"/>
          <w:sz w:val="20"/>
        </w:rPr>
        <w:t xml:space="preserve">(3) if the Company elects a Cash Percentage of less than 100% but greater than 0% as set forth herein, (i) cash equal to the product of (x) the difference between the Daily Exchange Value and $25 and (y) the Cash Percentage, plus (ii) a number of Common Shares equal to the product of (x) (A) the difference between the Daily Exchange Value and $25, divided by (B) the Daily VWAP for such Trading Day and (y) 100% minus the Cash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Settlement Amount</w:t>
      </w:r>
      <w:r>
        <w:rPr>
          <w:rFonts w:ascii="Times New Roman" w:hAnsi="Times New Roman"/>
          <w:sz w:val="20"/>
        </w:rPr>
        <w:t xml:space="preserve">,” for each of the 40 consecutive Trading Days during the relevant Cash Settlement Averaging Period, shall consist of: </w:t>
      </w:r>
    </w:p>
    <w:p>
      <w:pPr>
        <w:pStyle w:val="TextBody"/>
        <w:bidi w:val="0"/>
        <w:spacing w:before="120" w:after="0"/>
        <w:jc w:val="left"/>
        <w:rPr>
          <w:rFonts w:ascii="Times New Roman" w:hAnsi="Times New Roman"/>
          <w:sz w:val="20"/>
        </w:rPr>
      </w:pPr>
      <w:r>
        <w:rPr>
          <w:rFonts w:ascii="Times New Roman" w:hAnsi="Times New Roman"/>
          <w:sz w:val="20"/>
        </w:rPr>
        <w:t xml:space="preserve">(1) cash in an amount equal to the lesser of (i) $25 and (ii) the Daily Exchange Value on such Trading Day; and </w:t>
      </w:r>
    </w:p>
    <w:p>
      <w:pPr>
        <w:pStyle w:val="TextBody"/>
        <w:bidi w:val="0"/>
        <w:spacing w:before="120" w:after="0"/>
        <w:jc w:val="left"/>
        <w:rPr>
          <w:rFonts w:ascii="Times New Roman" w:hAnsi="Times New Roman"/>
          <w:sz w:val="20"/>
        </w:rPr>
      </w:pPr>
      <w:r>
        <w:rPr>
          <w:rFonts w:ascii="Times New Roman" w:hAnsi="Times New Roman"/>
          <w:sz w:val="20"/>
        </w:rPr>
        <w:t xml:space="preserve">(2) if the Daily Exchange Value on such Trading Day exceeds $25, the Daily Net Settlement Amount.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means, for each of the 40 consecutive Trading Days during the relevant Cash Settlement Averaging Period, the per share volume-weighted average price as displayed under the heading “Bloomberg VWAP” on Bloomberg page “FRT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determined, using a volume-weighted average method, by a nationally recognized independent investment banking firm retained for this purpose by the Company). The “</w:t>
      </w:r>
      <w:r>
        <w:rPr>
          <w:rFonts w:ascii="Times New Roman" w:hAnsi="Times New Roman"/>
          <w:b/>
          <w:sz w:val="20"/>
        </w:rPr>
        <w:t>Daily VWAP</w:t>
      </w:r>
      <w:r>
        <w:rPr>
          <w:rFonts w:ascii="Times New Roman" w:hAnsi="Times New Roman"/>
          <w:sz w:val="20"/>
        </w:rPr>
        <w:t xml:space="preserve">” shall be determined without regard to after-hours trading or any other trading outside of the regular trading session trading hours.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240" w:after="0"/>
        <w:jc w:val="left"/>
        <w:rPr/>
      </w:pPr>
      <w:r>
        <w:rPr/>
        <w:t>“</w:t>
      </w:r>
      <w:r>
        <w:rPr>
          <w:rFonts w:ascii="Times New Roman" w:hAnsi="Times New Roman"/>
          <w:b/>
          <w:sz w:val="20"/>
        </w:rPr>
        <w:t>Defaulted Amounts</w:t>
      </w:r>
      <w:r>
        <w:rPr>
          <w:rFonts w:ascii="Times New Roman" w:hAnsi="Times New Roman"/>
          <w:sz w:val="20"/>
        </w:rPr>
        <w:t xml:space="preserve">” means any amounts on any Note (including, without limitation, the Redemption Price, the Fundamental Change Purchase Price, principal and interest) that are payable but are not punctually paid or duly provided for.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each Global Note, the Person specified in </w:t>
      </w:r>
      <w:r>
        <w:rPr>
          <w:rFonts w:ascii="Times New Roman" w:hAnsi="Times New Roman"/>
          <w:sz w:val="20"/>
          <w:u w:val="single"/>
        </w:rPr>
        <w:t>Section 2.05(c)</w:t>
      </w:r>
      <w:r>
        <w:rPr>
          <w:rFonts w:ascii="Times New Roman" w:hAnsi="Times New Roman"/>
          <w:sz w:val="20"/>
        </w:rPr>
        <w:t xml:space="preserve"> as the Depositary with respect to such Notes, until a successor shall have been appointed and become such pursuant to the applicable provisions of this Indenture, and thereafter, “</w:t>
      </w:r>
      <w:r>
        <w:rPr>
          <w:rFonts w:ascii="Times New Roman" w:hAnsi="Times New Roman"/>
          <w:b/>
          <w:sz w:val="20"/>
        </w:rPr>
        <w:t>Depositary</w:t>
      </w:r>
      <w:r>
        <w:rPr>
          <w:rFonts w:ascii="Times New Roman" w:hAnsi="Times New Roman"/>
          <w:sz w:val="20"/>
        </w:rPr>
        <w:t xml:space="preserve">” shall mean or include such successor. </w:t>
      </w:r>
    </w:p>
    <w:p>
      <w:pPr>
        <w:pStyle w:val="TextBody"/>
        <w:bidi w:val="0"/>
        <w:spacing w:before="240" w:after="0"/>
        <w:jc w:val="left"/>
        <w:rPr/>
      </w:pPr>
      <w:r>
        <w:rPr/>
        <w:t>“</w:t>
      </w:r>
      <w:r>
        <w:rPr>
          <w:rFonts w:ascii="Times New Roman" w:hAnsi="Times New Roman"/>
          <w:b/>
          <w:sz w:val="20"/>
        </w:rPr>
        <w:t>Designated Financial Institution</w:t>
      </w:r>
      <w:r>
        <w:rPr>
          <w:rFonts w:ascii="Times New Roman" w:hAnsi="Times New Roman"/>
          <w:sz w:val="20"/>
        </w:rPr>
        <w:t xml:space="preserve">” shall have the meaning specified in </w:t>
      </w:r>
      <w:r>
        <w:rPr>
          <w:rFonts w:ascii="Times New Roman" w:hAnsi="Times New Roman"/>
          <w:sz w:val="20"/>
          <w:u w:val="single"/>
        </w:rPr>
        <w:t>Section 14.13(a)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shall have the meaning specified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Electronic Means”</w:t>
      </w:r>
      <w:r>
        <w:rPr>
          <w:rFonts w:ascii="Times New Roman" w:hAnsi="Times New Roman"/>
          <w:sz w:val="20"/>
        </w:rPr>
        <w:t xml:space="preserve">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shall have the meaning specified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Ex-Dividend Date</w:t>
      </w:r>
      <w:r>
        <w:rPr>
          <w:rFonts w:ascii="Times New Roman" w:hAnsi="Times New Roman"/>
          <w:sz w:val="20"/>
        </w:rPr>
        <w:t xml:space="preserve">” means the first date on which the Common Shares trade on the applicable exchange or in the applicable market, regular way, without the right to receive the issuance, dividend or distribution in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sz w:val="20"/>
        </w:rPr>
        <w:t>Exchange Agent</w:t>
      </w:r>
      <w:r>
        <w:rPr>
          <w:rFonts w:ascii="Times New Roman" w:hAnsi="Times New Roman"/>
          <w:sz w:val="20"/>
        </w:rPr>
        <w:t xml:space="preserve">” shall have the meaning specified in </w:t>
      </w:r>
      <w:r>
        <w:rPr>
          <w:rFonts w:ascii="Times New Roman" w:hAnsi="Times New Roman"/>
          <w:sz w:val="20"/>
          <w:u w:val="single"/>
        </w:rPr>
        <w:t>Section 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Consideration</w:t>
      </w:r>
      <w:r>
        <w:rPr>
          <w:rFonts w:ascii="Times New Roman" w:hAnsi="Times New Roman"/>
          <w:sz w:val="20"/>
        </w:rPr>
        <w:t xml:space="preserve">” shall have the meaning specified in </w:t>
      </w:r>
      <w:r>
        <w:rPr>
          <w:rFonts w:ascii="Times New Roman" w:hAnsi="Times New Roman"/>
          <w:sz w:val="20"/>
          <w:u w:val="single"/>
        </w:rPr>
        <w:t>Section 14.13(a)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Date</w:t>
      </w:r>
      <w:r>
        <w:rPr>
          <w:rFonts w:ascii="Times New Roman" w:hAnsi="Times New Roman"/>
          <w:sz w:val="20"/>
        </w:rPr>
        <w:t xml:space="preserve">” shall have the meaning specified in </w:t>
      </w:r>
      <w:r>
        <w:rPr>
          <w:rFonts w:ascii="Times New Roman" w:hAnsi="Times New Roman"/>
          <w:sz w:val="20"/>
          <w:u w:val="single"/>
        </w:rPr>
        <w:t>Section 14.02(d)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Election</w:t>
      </w:r>
      <w:r>
        <w:rPr>
          <w:rFonts w:ascii="Times New Roman" w:hAnsi="Times New Roman"/>
          <w:sz w:val="20"/>
        </w:rPr>
        <w:t xml:space="preserve">” shall have the meaning specified in </w:t>
      </w:r>
      <w:r>
        <w:rPr>
          <w:rFonts w:ascii="Times New Roman" w:hAnsi="Times New Roman"/>
          <w:sz w:val="20"/>
          <w:u w:val="single"/>
        </w:rPr>
        <w:t>Section 14.13(a)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Obligation</w:t>
      </w:r>
      <w:r>
        <w:rPr>
          <w:rFonts w:ascii="Times New Roman" w:hAnsi="Times New Roman"/>
          <w:sz w:val="20"/>
        </w:rPr>
        <w:t xml:space="preserve">” shall have the meaning specified in </w:t>
      </w:r>
      <w:r>
        <w:rPr>
          <w:rFonts w:ascii="Times New Roman" w:hAnsi="Times New Roman"/>
          <w:sz w:val="20"/>
          <w:u w:val="single"/>
        </w:rPr>
        <w:t>Section 14.01(a)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Price</w:t>
      </w:r>
      <w:r>
        <w:rPr>
          <w:rFonts w:ascii="Times New Roman" w:hAnsi="Times New Roman"/>
          <w:sz w:val="20"/>
        </w:rPr>
        <w:t xml:space="preserve">” means, in respect of each Note, as of any date, $1,000 </w:t>
      </w:r>
      <w:r>
        <w:rPr>
          <w:rFonts w:ascii="Times New Roman" w:hAnsi="Times New Roman"/>
          <w:i/>
          <w:sz w:val="20"/>
        </w:rPr>
        <w:t xml:space="preserve">divided </w:t>
      </w:r>
      <w:r>
        <w:rPr>
          <w:rFonts w:ascii="Times New Roman" w:hAnsi="Times New Roman"/>
          <w:sz w:val="20"/>
        </w:rPr>
        <w:t xml:space="preserve">by the Exchange Rate in effect on such date.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shall have the meaning specified in </w:t>
      </w:r>
      <w:r>
        <w:rPr>
          <w:rFonts w:ascii="Times New Roman" w:hAnsi="Times New Roman"/>
          <w:sz w:val="20"/>
          <w:u w:val="single"/>
        </w:rPr>
        <w:t>Section 14.01(a)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shall have the meaning specified in </w:t>
      </w:r>
      <w:r>
        <w:rPr>
          <w:rFonts w:ascii="Times New Roman" w:hAnsi="Times New Roman"/>
          <w:sz w:val="20"/>
          <w:u w:val="single"/>
        </w:rPr>
        <w:t>Section 15.10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Form of Assignment and Transfer</w:t>
      </w:r>
      <w:r>
        <w:rPr>
          <w:rFonts w:ascii="Times New Roman" w:hAnsi="Times New Roman"/>
          <w:sz w:val="20"/>
        </w:rPr>
        <w:t xml:space="preserve">” means the “Form of Assignment and Transfer” attached as Attachment 3 to the Form of Note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Form of Fundamental Change Purchase Notice</w:t>
      </w:r>
      <w:r>
        <w:rPr>
          <w:rFonts w:ascii="Times New Roman" w:hAnsi="Times New Roman"/>
          <w:sz w:val="20"/>
        </w:rPr>
        <w:t xml:space="preserve">” means the “Form of Fundamental Change Purchase Notice” attached as Attachment 2 to the Form of Note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Form of Note</w:t>
      </w:r>
      <w:r>
        <w:rPr>
          <w:rFonts w:ascii="Times New Roman" w:hAnsi="Times New Roman"/>
          <w:sz w:val="20"/>
        </w:rPr>
        <w:t xml:space="preserve">” means the “Form of Note”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Form of Notice of Exchange</w:t>
      </w:r>
      <w:r>
        <w:rPr>
          <w:rFonts w:ascii="Times New Roman" w:hAnsi="Times New Roman"/>
          <w:sz w:val="20"/>
        </w:rPr>
        <w:t xml:space="preserve">” means the “Form of Notice of Exchange” attached as Attachment 1 to the Form of Note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shall be deemed to have occurred at the time after the Notes are originally issued if any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(1) any “person” or “group” (within the meaning of Section 13(d) of the Exchange Act), other than the REIT or its Subsidiaries, files a Schedule TO or any schedule, form or report under the Exchange Act disclosing that such person or group has become the direct or indirect ultimate “beneficial owner,” as defined in Rule 13d-3 under the Exchange Act, of the REIT’s Common Equity representing more than 50% of the voting power of the REIT’s Common Equity; </w:t>
      </w:r>
    </w:p>
    <w:p>
      <w:pPr>
        <w:pStyle w:val="TextBody"/>
        <w:bidi w:val="0"/>
        <w:spacing w:before="120" w:after="0"/>
        <w:jc w:val="left"/>
        <w:rPr>
          <w:rFonts w:ascii="Times New Roman" w:hAnsi="Times New Roman"/>
          <w:sz w:val="20"/>
        </w:rPr>
      </w:pPr>
      <w:r>
        <w:rPr>
          <w:rFonts w:ascii="Times New Roman" w:hAnsi="Times New Roman"/>
          <w:sz w:val="20"/>
        </w:rPr>
        <w:t xml:space="preserve">(2) the consummation of (A) any recapitalization, reclassification or change of the Common Shares (other than a change resulting from a subdivision or combination) as a result of which the Common Shares would be converted into, or exchanged for, stock, other securities, other property or assets; (B) any share exchange, consolidation or merger of the REIT pursuant to which the Common Shares will be converted into cash, securities or other property or assets; or (C) any sale, lease or other transfer in one transaction or a series of transactions of all or substantially all of the consolidated assets of the REIT and its Subsidiaries, taken as a whole, to any Person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than one or more of the REIT’s direct or indirect wholly owned Subsidiaries; </w:t>
      </w:r>
      <w:r>
        <w:rPr>
          <w:rFonts w:ascii="Times New Roman" w:hAnsi="Times New Roman"/>
          <w:i/>
          <w:sz w:val="20"/>
        </w:rPr>
        <w:t>provided</w:t>
      </w:r>
      <w:r>
        <w:rPr>
          <w:rFonts w:ascii="Times New Roman" w:hAnsi="Times New Roman"/>
          <w:sz w:val="20"/>
        </w:rPr>
        <w:t xml:space="preserve"> that a transaction described in clause (B) in which the holders of all classes of the REIT’s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(2); </w:t>
      </w:r>
    </w:p>
    <w:p>
      <w:pPr>
        <w:pStyle w:val="TextBody"/>
        <w:bidi w:val="0"/>
        <w:spacing w:before="120" w:after="0"/>
        <w:jc w:val="left"/>
        <w:rPr>
          <w:rFonts w:ascii="Times New Roman" w:hAnsi="Times New Roman"/>
          <w:sz w:val="20"/>
        </w:rPr>
      </w:pPr>
      <w:r>
        <w:rPr>
          <w:rFonts w:ascii="Times New Roman" w:hAnsi="Times New Roman"/>
          <w:sz w:val="20"/>
        </w:rPr>
        <w:t xml:space="preserve">(3) the shareholders of the REIT approve any plan or proposal for the liquidation or dissolution of the REIT (other than in a transaction described in clause (2) above); </w:t>
      </w:r>
    </w:p>
    <w:p>
      <w:pPr>
        <w:pStyle w:val="TextBody"/>
        <w:bidi w:val="0"/>
        <w:spacing w:before="120" w:after="0"/>
        <w:jc w:val="left"/>
        <w:rPr>
          <w:rFonts w:ascii="Times New Roman" w:hAnsi="Times New Roman"/>
          <w:sz w:val="20"/>
        </w:rPr>
      </w:pPr>
      <w:r>
        <w:rPr>
          <w:rFonts w:ascii="Times New Roman" w:hAnsi="Times New Roman"/>
          <w:sz w:val="20"/>
        </w:rPr>
        <w:t xml:space="preserve">(4) the REIT (or any successor thereto permitted pursuant to the terms of this Indenture) ceases to exercise exclusive control over the general partner of the Company or otherwise ceases to control the Company; provided, however, that the pro rata distribution by the REIT to its shareholders of shares of its Capital Stock or shares of any of the REIT’s other Subsidiaries will not, in and of itself, constitute a fundamental change for purposes of this definition; or </w:t>
      </w:r>
    </w:p>
    <w:p>
      <w:pPr>
        <w:pStyle w:val="TextBody"/>
        <w:bidi w:val="0"/>
        <w:spacing w:before="120" w:after="0"/>
        <w:jc w:val="left"/>
        <w:rPr>
          <w:rFonts w:ascii="Times New Roman" w:hAnsi="Times New Roman"/>
          <w:sz w:val="20"/>
        </w:rPr>
      </w:pPr>
      <w:r>
        <w:rPr>
          <w:rFonts w:ascii="Times New Roman" w:hAnsi="Times New Roman"/>
          <w:sz w:val="20"/>
        </w:rPr>
        <w:t xml:space="preserve">(5) the Common Shares (or other Common Equity underlying the Notes) cease to be listed on any of The New York Stock Exchange, The NASDAQ Global Select Market or The NASDAQ Global Market (or any of their respective successors); </w:t>
      </w:r>
    </w:p>
    <w:p>
      <w:pPr>
        <w:pStyle w:val="TextBody"/>
        <w:bidi w:val="0"/>
        <w:spacing w:before="240" w:after="0"/>
        <w:jc w:val="left"/>
        <w:rPr>
          <w:rFonts w:ascii="Times New Roman" w:hAnsi="Times New Roman"/>
          <w:sz w:val="20"/>
        </w:rPr>
      </w:pPr>
      <w:r>
        <w:rPr>
          <w:rFonts w:ascii="Times New Roman" w:hAnsi="Times New Roman"/>
          <w:sz w:val="20"/>
        </w:rPr>
        <w:t>provided, however, that in the case of a transaction or event described in clause (1), (2) or (4) above, if at least 90% of the consideration received or to be received by holders of the Common Shares (excluding cash payments for fractional shares) in the transaction or transactions that would otherwise constitute a “Fundamental Change” consists of shares of common stock or common equity interests that are traded on The New York Stock Exchange, The NASDAQ Global Select Market or The NASDAQ Global Market (or any of their respective successors) or that will be so traded when issued or exchanged in connection with the transaction that would otherwise constitute a “Fundamental Change” under clause (1), (2) or (4) above (“</w:t>
      </w:r>
      <w:r>
        <w:rPr>
          <w:rFonts w:ascii="Times New Roman" w:hAnsi="Times New Roman"/>
          <w:b/>
          <w:sz w:val="20"/>
        </w:rPr>
        <w:t>Publicly Traded Securities</w:t>
      </w:r>
      <w:r>
        <w:rPr>
          <w:rFonts w:ascii="Times New Roman" w:hAnsi="Times New Roman"/>
          <w:sz w:val="20"/>
        </w:rPr>
        <w:t xml:space="preserve">”), and as a result of such transaction or transactions, the Notes become exchangeable into or by reference to such Publicly Traded Securities, excluding cash payments for fractional shares (subject to settlement in accordance with the provisions of </w:t>
      </w:r>
      <w:r>
        <w:rPr>
          <w:rFonts w:ascii="Times New Roman" w:hAnsi="Times New Roman"/>
          <w:sz w:val="20"/>
          <w:u w:val="single"/>
        </w:rPr>
        <w:t>Sections 14.02</w:t>
      </w:r>
      <w:r>
        <w:rPr>
          <w:rFonts w:ascii="Times New Roman" w:hAnsi="Times New Roman"/>
          <w:sz w:val="20"/>
        </w:rPr>
        <w:t xml:space="preserve">, </w:t>
      </w:r>
      <w:r>
        <w:rPr>
          <w:rFonts w:ascii="Times New Roman" w:hAnsi="Times New Roman"/>
          <w:sz w:val="20"/>
          <w:u w:val="single"/>
        </w:rPr>
        <w:t>14.04</w:t>
      </w:r>
      <w:r>
        <w:rPr>
          <w:rFonts w:ascii="Times New Roman" w:hAnsi="Times New Roman"/>
          <w:sz w:val="20"/>
        </w:rPr>
        <w:t xml:space="preserve"> and </w:t>
      </w:r>
      <w:r>
        <w:rPr>
          <w:rFonts w:ascii="Times New Roman" w:hAnsi="Times New Roman"/>
          <w:sz w:val="20"/>
          <w:u w:val="single"/>
        </w:rPr>
        <w:t>14.06</w:t>
      </w:r>
      <w:r>
        <w:rPr>
          <w:rFonts w:ascii="Times New Roman" w:hAnsi="Times New Roman"/>
          <w:sz w:val="20"/>
        </w:rPr>
        <w:t xml:space="preserve">), such event shall not be a “Fundamental Change.” </w:t>
      </w:r>
    </w:p>
    <w:p>
      <w:pPr>
        <w:pStyle w:val="TextBody"/>
        <w:bidi w:val="0"/>
        <w:spacing w:before="240" w:after="0"/>
        <w:jc w:val="left"/>
        <w:rPr/>
      </w:pPr>
      <w:r>
        <w:rPr/>
        <w:t>“</w:t>
      </w:r>
      <w:r>
        <w:rPr>
          <w:rFonts w:ascii="Times New Roman" w:hAnsi="Times New Roman"/>
          <w:b/>
          <w:sz w:val="20"/>
        </w:rPr>
        <w:t>Fundamental Change Company Notice</w:t>
      </w:r>
      <w:r>
        <w:rPr>
          <w:rFonts w:ascii="Times New Roman" w:hAnsi="Times New Roman"/>
          <w:sz w:val="20"/>
        </w:rPr>
        <w:t xml:space="preserve">” shall have the meaning specified in </w:t>
      </w:r>
      <w:r>
        <w:rPr>
          <w:rFonts w:ascii="Times New Roman" w:hAnsi="Times New Roman"/>
          <w:sz w:val="20"/>
          <w:u w:val="single"/>
        </w:rPr>
        <w:t>Section 15.02(b)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Expiration Time</w:t>
      </w:r>
      <w:r>
        <w:rPr>
          <w:rFonts w:ascii="Times New Roman" w:hAnsi="Times New Roman"/>
          <w:sz w:val="20"/>
        </w:rPr>
        <w:t xml:space="preserve">” shall have the meaning specified in </w:t>
      </w:r>
      <w:r>
        <w:rPr>
          <w:rFonts w:ascii="Times New Roman" w:hAnsi="Times New Roman"/>
          <w:sz w:val="20"/>
          <w:u w:val="single"/>
        </w:rPr>
        <w:t>Section 15.02(a)(i)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Purchase Date</w:t>
      </w:r>
      <w:r>
        <w:rPr>
          <w:rFonts w:ascii="Times New Roman" w:hAnsi="Times New Roman"/>
          <w:sz w:val="20"/>
        </w:rPr>
        <w:t xml:space="preserve">” shall have the meaning specified in </w:t>
      </w:r>
      <w:r>
        <w:rPr>
          <w:rFonts w:ascii="Times New Roman" w:hAnsi="Times New Roman"/>
          <w:sz w:val="20"/>
          <w:u w:val="single"/>
        </w:rPr>
        <w:t>Section 15.02(a)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Purchase Notice</w:t>
      </w:r>
      <w:r>
        <w:rPr>
          <w:rFonts w:ascii="Times New Roman" w:hAnsi="Times New Roman"/>
          <w:sz w:val="20"/>
        </w:rPr>
        <w:t xml:space="preserve">” shall have the meaning specified in </w:t>
      </w:r>
      <w:r>
        <w:rPr>
          <w:rFonts w:ascii="Times New Roman" w:hAnsi="Times New Roman"/>
          <w:sz w:val="20"/>
          <w:u w:val="single"/>
        </w:rPr>
        <w:t>Section 15.02(a)(i)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Fundamental Change Purchase Price</w:t>
      </w:r>
      <w:r>
        <w:rPr>
          <w:rFonts w:ascii="Times New Roman" w:hAnsi="Times New Roman"/>
          <w:sz w:val="20"/>
        </w:rPr>
        <w:t xml:space="preserve">” shall have the meaning specified in </w:t>
      </w:r>
      <w:r>
        <w:rPr>
          <w:rFonts w:ascii="Times New Roman" w:hAnsi="Times New Roman"/>
          <w:sz w:val="20"/>
          <w:u w:val="single"/>
        </w:rPr>
        <w:t>Section 15.02(a)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which is executed by the Company and authenticated and delivered to or on behalf of the Depositary or its nominee, all in accordance with this Indenture and pursuant to a Company Order, which shall be registered in the name of the Depositary or its nominee and which shall represent the amount of uncertificated Notes as specified therein.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as applied to any Note, or other similar terms (but excluding the term “beneficial holder”), means any Person in whose name at the time a particular Note is registered on the Note Register.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or, if amended or supplemented as herein provided, as so amended or supplemented. </w:t>
      </w:r>
    </w:p>
    <w:p>
      <w:pPr>
        <w:pStyle w:val="TextBody"/>
        <w:bidi w:val="0"/>
        <w:spacing w:before="240" w:after="0"/>
        <w:jc w:val="left"/>
        <w:rPr/>
      </w:pPr>
      <w:r>
        <w:rPr/>
        <w:t>“</w:t>
      </w:r>
      <w:r>
        <w:rPr>
          <w:rFonts w:ascii="Times New Roman" w:hAnsi="Times New Roman"/>
          <w:b/>
          <w:sz w:val="20"/>
        </w:rPr>
        <w:t>Initial Dividend Threshold</w:t>
      </w:r>
      <w:r>
        <w:rPr>
          <w:rFonts w:ascii="Times New Roman" w:hAnsi="Times New Roman"/>
          <w:sz w:val="20"/>
        </w:rPr>
        <w:t xml:space="preserve">” shall have the meaning specified in </w:t>
      </w:r>
      <w:r>
        <w:rPr>
          <w:rFonts w:ascii="Times New Roman" w:hAnsi="Times New Roman"/>
          <w:sz w:val="20"/>
          <w:u w:val="single"/>
        </w:rPr>
        <w:t>Section 14.04(d)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Purchasers</w:t>
      </w:r>
      <w:r>
        <w:rPr>
          <w:rFonts w:ascii="Times New Roman" w:hAnsi="Times New Roman"/>
          <w:sz w:val="20"/>
        </w:rPr>
        <w:t xml:space="preserve">” means Wells Fargo Securities, LLC, BofA Securities, Inc., J.P. Morgan Securities LLC and Truist Securities, Inc. as representatives of the initial purchasers named in the Purchase Agreement. </w:t>
      </w:r>
    </w:p>
    <w:p>
      <w:pPr>
        <w:pStyle w:val="TextBody"/>
        <w:bidi w:val="0"/>
        <w:spacing w:before="240" w:after="0"/>
        <w:jc w:val="left"/>
        <w:rPr/>
      </w:pPr>
      <w:r>
        <w:rPr/>
        <w:t>“</w:t>
      </w:r>
      <w:r>
        <w:rPr>
          <w:rFonts w:ascii="Times New Roman" w:hAnsi="Times New Roman"/>
          <w:b/>
          <w:sz w:val="20"/>
        </w:rPr>
        <w:t>Instructions”</w:t>
      </w:r>
      <w:r>
        <w:rPr>
          <w:rFonts w:ascii="Times New Roman" w:hAnsi="Times New Roman"/>
          <w:sz w:val="20"/>
        </w:rPr>
        <w:t xml:space="preserve"> shall have the meaning specified in Section 17.03.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with respect to the payment of interest on the Notes, each February 15 and August 15 of each year, beginning on February 15, 2027.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with respect to the Notes, August 11, 2026.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xml:space="preserve">” of the Common Shares for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Common Shares are traded. If the Common Shares are not listed for trading on a U.S. national or regional securities exchange on the relevant Trading Day, the “Last Reported Sale Price” will be the last quoted bid price for the Common Shares in the over-the-counter market on the relevant date as reported by OTC Markets Group Inc. or a similar organization. If the Common Shares are not so quoted, the “Last Reported Sale Price” will be the average of the mid-point of the last bid and last ask prices for the Common Shares on the relevant Trading Day from each of at least three nationally recognized independent investment banking firms selected by the Company for this purpose. Any such determination will be conclusive absent manifest error.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shall have the meaning specified in </w:t>
      </w:r>
      <w:r>
        <w:rPr>
          <w:rFonts w:ascii="Times New Roman" w:hAnsi="Times New Roman"/>
          <w:sz w:val="20"/>
          <w:u w:val="single"/>
        </w:rPr>
        <w:t>Section 14.06(a)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Make-Whole Fundamental Change Period</w:t>
      </w:r>
      <w:r>
        <w:rPr>
          <w:rFonts w:ascii="Times New Roman" w:hAnsi="Times New Roman"/>
          <w:sz w:val="20"/>
        </w:rPr>
        <w:t xml:space="preserve">” shall have the meaning specified in </w:t>
      </w:r>
      <w:r>
        <w:rPr>
          <w:rFonts w:ascii="Times New Roman" w:hAnsi="Times New Roman"/>
          <w:sz w:val="20"/>
          <w:u w:val="single"/>
        </w:rPr>
        <w:t>Section 14.06(a)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Market Disruption Event</w:t>
      </w:r>
      <w:r>
        <w:rPr>
          <w:rFonts w:ascii="Times New Roman" w:hAnsi="Times New Roman"/>
          <w:sz w:val="20"/>
        </w:rPr>
        <w:t>” means, except for determining amounts due on exchange, if the Common Shares are listed for trading on The New York Stock Exchange or listed on another U.S. national or regional securities exchange, the occurrence or existence during the one-half-hour period ending on the scheduled close of trading on any Trading Day of any material suspension or limitation imposed on trading (by reason of movements in price exceeding limits permitted by the stock exchange or otherwise) in the Common Shares or in any options contracts or futures contracts relating to the Common Shares. For the purposes of determining amounts due upon exchange, “</w:t>
      </w:r>
      <w:r>
        <w:rPr>
          <w:rFonts w:ascii="Times New Roman" w:hAnsi="Times New Roman"/>
          <w:b/>
          <w:sz w:val="20"/>
        </w:rPr>
        <w:t>Market Disruption Event</w:t>
      </w:r>
      <w:r>
        <w:rPr>
          <w:rFonts w:ascii="Times New Roman" w:hAnsi="Times New Roman"/>
          <w:sz w:val="20"/>
        </w:rPr>
        <w:t xml:space="preserve">” means (i) a failure by the primary U.S. national or regional securities exchange or market on which the Common Shares are listed or admitted for trading to open for trading during its regular trading session or (ii) the occurrence or existence prior to 1:00 p.m., New York City time, on any scheduled trading day for the Common Shares for more than one half-hour period in the aggregate during regular trading hours of any suspension or limitation imposed on trading (by reason of movements in price exceeding limits permitted by the relevant stock exchange or otherwise) in the Common Shares or in any options contracts or futures contracts relating to the Common Shares.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with respect to any Note and the payment of the principal amount thereof, August 15, 2031. </w:t>
      </w:r>
    </w:p>
    <w:p>
      <w:pPr>
        <w:pStyle w:val="TextBody"/>
        <w:bidi w:val="0"/>
        <w:spacing w:before="240" w:after="0"/>
        <w:jc w:val="left"/>
        <w:rPr/>
      </w:pPr>
      <w:r>
        <w:rPr/>
        <w:t>“</w:t>
      </w:r>
      <w:r>
        <w:rPr>
          <w:rFonts w:ascii="Times New Roman" w:hAnsi="Times New Roman"/>
          <w:b/>
          <w:sz w:val="20"/>
        </w:rPr>
        <w:t>Measurement Period</w:t>
      </w:r>
      <w:r>
        <w:rPr>
          <w:rFonts w:ascii="Times New Roman" w:hAnsi="Times New Roman"/>
          <w:sz w:val="20"/>
        </w:rPr>
        <w:t xml:space="preserve">” shall have the meaning specified in </w:t>
      </w:r>
      <w:r>
        <w:rPr>
          <w:rFonts w:ascii="Times New Roman" w:hAnsi="Times New Roman"/>
          <w:sz w:val="20"/>
          <w:u w:val="single"/>
        </w:rPr>
        <w:t>Section 14.01(b)(2)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Event</w:t>
      </w:r>
      <w:r>
        <w:rPr>
          <w:rFonts w:ascii="Times New Roman" w:hAnsi="Times New Roman"/>
          <w:sz w:val="20"/>
        </w:rPr>
        <w:t xml:space="preserve">” shall have the meaning specified in </w:t>
      </w:r>
      <w:r>
        <w:rPr>
          <w:rFonts w:ascii="Times New Roman" w:hAnsi="Times New Roman"/>
          <w:sz w:val="20"/>
          <w:u w:val="single"/>
        </w:rPr>
        <w:t>Section 14.07(a)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Event Common Stock</w:t>
      </w:r>
      <w:r>
        <w:rPr>
          <w:rFonts w:ascii="Times New Roman" w:hAnsi="Times New Roman"/>
          <w:sz w:val="20"/>
        </w:rPr>
        <w:t xml:space="preserve">” shall have the meaning specified in </w:t>
      </w:r>
      <w:r>
        <w:rPr>
          <w:rFonts w:ascii="Times New Roman" w:hAnsi="Times New Roman"/>
          <w:sz w:val="20"/>
          <w:u w:val="single"/>
        </w:rPr>
        <w:t>Section 14.07(d)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Event Valuation Period</w:t>
      </w:r>
      <w:r>
        <w:rPr>
          <w:rFonts w:ascii="Times New Roman" w:hAnsi="Times New Roman"/>
          <w:sz w:val="20"/>
        </w:rPr>
        <w:t xml:space="preserve">” shall have the meaning specified in </w:t>
      </w:r>
      <w:r>
        <w:rPr>
          <w:rFonts w:ascii="Times New Roman" w:hAnsi="Times New Roman"/>
          <w:sz w:val="20"/>
          <w:u w:val="single"/>
        </w:rPr>
        <w:t>Section 14.07(e)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shall have the meaning specified in the first paragraph of the recitals of this Indenture. </w:t>
      </w:r>
    </w:p>
    <w:p>
      <w:pPr>
        <w:pStyle w:val="TextBody"/>
        <w:bidi w:val="0"/>
        <w:spacing w:before="240" w:after="0"/>
        <w:jc w:val="left"/>
        <w:rPr/>
      </w:pPr>
      <w:r>
        <w:rPr/>
        <w:t>“</w:t>
      </w:r>
      <w:r>
        <w:rPr>
          <w:rFonts w:ascii="Times New Roman" w:hAnsi="Times New Roman"/>
          <w:b/>
          <w:sz w:val="20"/>
        </w:rPr>
        <w:t>Note Register</w:t>
      </w:r>
      <w:r>
        <w:rPr>
          <w:rFonts w:ascii="Times New Roman" w:hAnsi="Times New Roman"/>
          <w:sz w:val="20"/>
        </w:rPr>
        <w:t xml:space="preserve">” shall have the meaning specified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 Registrar</w:t>
      </w:r>
      <w:r>
        <w:rPr>
          <w:rFonts w:ascii="Times New Roman" w:hAnsi="Times New Roman"/>
          <w:sz w:val="20"/>
        </w:rPr>
        <w:t xml:space="preserve">” shall have the meaning specified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of Exchange</w:t>
      </w:r>
      <w:r>
        <w:rPr>
          <w:rFonts w:ascii="Times New Roman" w:hAnsi="Times New Roman"/>
          <w:sz w:val="20"/>
        </w:rPr>
        <w:t xml:space="preserve">” shall have the meaning specified in </w:t>
      </w:r>
      <w:r>
        <w:rPr>
          <w:rFonts w:ascii="Times New Roman" w:hAnsi="Times New Roman"/>
          <w:sz w:val="20"/>
          <w:u w:val="single"/>
        </w:rPr>
        <w:t>Section 14.02(d)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Offering Memorandum</w:t>
      </w:r>
      <w:r>
        <w:rPr>
          <w:rFonts w:ascii="Times New Roman" w:hAnsi="Times New Roman"/>
          <w:sz w:val="20"/>
        </w:rPr>
        <w:t xml:space="preserve">” means the preliminary offering memorandum dated August 6, 2026, as supplemented by the related pricing term sheet dated August 6, 2026, relating to the offering and sale of the Notes.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any person holding any of the following positions with the REIT or the Company: the Chairman of the Board, the Chief Executive Officer, the President, any Vice President (whether or not designated by a number or numbers or word or words added before or after the title “Vice President”), the Chief Financial Officer, the Treasurer, and the Secretary.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when used with respect to the Company or the REIT, means a certificate signed by any one Officer, as applicable, and delivered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legal counsel, who may be an employee of or counsel to the REIT or the Company, or a nationally recognized firm of outside legal counsel reasonably acceptable to the Trustee.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reference to Notes, shall, subject to the provisions of </w:t>
      </w:r>
      <w:r>
        <w:rPr>
          <w:rFonts w:ascii="Times New Roman" w:hAnsi="Times New Roman"/>
          <w:sz w:val="20"/>
          <w:u w:val="single"/>
        </w:rPr>
        <w:t>Section 8.04</w:t>
      </w:r>
      <w:r>
        <w:rPr>
          <w:rFonts w:ascii="Times New Roman" w:hAnsi="Times New Roman"/>
          <w:sz w:val="20"/>
        </w:rPr>
        <w:t xml:space="preserve">, mean, as of any particular time, all Notes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Notes theretofore cancelled by the Trustee or accepted by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 </w:t>
      </w:r>
    </w:p>
    <w:p>
      <w:pPr>
        <w:pStyle w:val="TextBody"/>
        <w:bidi w:val="0"/>
        <w:spacing w:before="120" w:after="0"/>
        <w:jc w:val="left"/>
        <w:rPr>
          <w:rFonts w:ascii="Times New Roman" w:hAnsi="Times New Roman"/>
          <w:sz w:val="20"/>
        </w:rPr>
      </w:pPr>
      <w:r>
        <w:rPr>
          <w:rFonts w:ascii="Times New Roman" w:hAnsi="Times New Roman"/>
          <w:sz w:val="20"/>
        </w:rPr>
        <w:t xml:space="preserve">(c) Notes that have been paid pursuant to </w:t>
      </w:r>
      <w:r>
        <w:rPr>
          <w:rFonts w:ascii="Times New Roman" w:hAnsi="Times New Roman"/>
          <w:sz w:val="20"/>
          <w:u w:val="single"/>
        </w:rPr>
        <w:t>Section 2.06</w:t>
      </w:r>
      <w:r>
        <w:rPr>
          <w:rFonts w:ascii="Times New Roman" w:hAnsi="Times New Roman"/>
          <w:sz w:val="20"/>
        </w:rPr>
        <w:t xml:space="preserve"> or Notes in lieu of which, or in substitution for which, other Notes shall have been authenticated and delivered pursuant to the terms of </w:t>
      </w:r>
      <w:r>
        <w:rPr>
          <w:rFonts w:ascii="Times New Roman" w:hAnsi="Times New Roman"/>
          <w:sz w:val="20"/>
          <w:u w:val="single"/>
        </w:rPr>
        <w:t>Section 2.06</w:t>
      </w:r>
      <w:r>
        <w:rPr>
          <w:rFonts w:ascii="Times New Roman" w:hAnsi="Times New Roman"/>
          <w:sz w:val="20"/>
        </w:rPr>
        <w:t xml:space="preserve"> unless proof satisfactory to the Trustee is presented that any such Notes are held by protected purchasers in due course; </w:t>
      </w:r>
    </w:p>
    <w:p>
      <w:pPr>
        <w:pStyle w:val="TextBody"/>
        <w:bidi w:val="0"/>
        <w:spacing w:before="120" w:after="0"/>
        <w:jc w:val="left"/>
        <w:rPr>
          <w:rFonts w:ascii="Times New Roman" w:hAnsi="Times New Roman"/>
          <w:sz w:val="20"/>
        </w:rPr>
      </w:pPr>
      <w:r>
        <w:rPr>
          <w:rFonts w:ascii="Times New Roman" w:hAnsi="Times New Roman"/>
          <w:sz w:val="20"/>
        </w:rPr>
        <w:t xml:space="preserve">(d) Notes exchanged pursuant to </w:t>
      </w:r>
      <w:r>
        <w:rPr>
          <w:rFonts w:ascii="Times New Roman" w:hAnsi="Times New Roman"/>
          <w:sz w:val="20"/>
          <w:u w:val="single"/>
        </w:rPr>
        <w:t>Article 14</w:t>
      </w:r>
      <w:r>
        <w:rPr>
          <w:rFonts w:ascii="Times New Roman" w:hAnsi="Times New Roman"/>
          <w:sz w:val="20"/>
        </w:rPr>
        <w:t xml:space="preserve"> and required to be cancelled pursuant to </w:t>
      </w:r>
      <w:r>
        <w:rPr>
          <w:rFonts w:ascii="Times New Roman" w:hAnsi="Times New Roman"/>
          <w:sz w:val="20"/>
          <w:u w:val="single"/>
        </w:rPr>
        <w:t>Section 2.08</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(e) Notes repurchased by the Company pursuant to the penultimate sentence of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in determining whether the holders of the requisite principal amount of Outstanding Notes have consented to any request, demand, authorization, direction, notice, consent, waiver, amendment or modification hereunder, Notes held for the account of the Company, any of its Subsidiaries or any of its Affiliates shall be disregarded and deemed not to be Outstanding, except that in determining whether the Trustee shall be protected in making such a determination or relying upon any such consent, only Notes which a Responsible Officer of the Trustee actually knows to be so owned shall be so disregarded.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shall have the meaning specified in </w:t>
      </w:r>
      <w:r>
        <w:rPr>
          <w:rFonts w:ascii="Times New Roman" w:hAnsi="Times New Roman"/>
          <w:sz w:val="20"/>
          <w:u w:val="single"/>
        </w:rPr>
        <w:t>Section 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corporation, a limited liability company, an association, a partnership, a joint venture, a joint stock company, a trust, an unincorporated organization or a government or an agency or a political subdivision thereof. </w:t>
      </w:r>
    </w:p>
    <w:p>
      <w:pPr>
        <w:pStyle w:val="TextBody"/>
        <w:bidi w:val="0"/>
        <w:spacing w:before="240" w:after="0"/>
        <w:jc w:val="left"/>
        <w:rPr/>
      </w:pPr>
      <w:r>
        <w:rPr/>
        <w:t>“</w:t>
      </w:r>
      <w:r>
        <w:rPr>
          <w:rFonts w:ascii="Times New Roman" w:hAnsi="Times New Roman"/>
          <w:b/>
          <w:sz w:val="20"/>
        </w:rPr>
        <w:t>Physical Notes</w:t>
      </w:r>
      <w:r>
        <w:rPr>
          <w:rFonts w:ascii="Times New Roman" w:hAnsi="Times New Roman"/>
          <w:sz w:val="20"/>
        </w:rPr>
        <w:t xml:space="preserve">” means permanent certificated Notes in registered form issued in minimum denominations of $1,000 principal amount and integral multiples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Predecessor Note</w:t>
      </w:r>
      <w:r>
        <w:rPr>
          <w:rFonts w:ascii="Times New Roman" w:hAnsi="Times New Roman"/>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hAnsi="Times New Roman"/>
          <w:sz w:val="20"/>
          <w:u w:val="single"/>
        </w:rPr>
        <w:t>Section 2.06</w:t>
      </w:r>
      <w:r>
        <w:rPr>
          <w:rFonts w:ascii="Times New Roman" w:hAnsi="Times New Roman"/>
          <w:sz w:val="20"/>
        </w:rPr>
        <w:t xml:space="preserve"> in lieu of or in exchange for a mutilated, lost, destroyed or stolen Note shall be deemed to evidence the same debt as the mutilated, lost, destroyed or stolen Note that it replaces. </w:t>
      </w:r>
    </w:p>
    <w:p>
      <w:pPr>
        <w:pStyle w:val="TextBody"/>
        <w:bidi w:val="0"/>
        <w:spacing w:before="240" w:after="0"/>
        <w:jc w:val="left"/>
        <w:rPr/>
      </w:pPr>
      <w:r>
        <w:rPr/>
        <w:t>“</w:t>
      </w:r>
      <w:r>
        <w:rPr>
          <w:rFonts w:ascii="Times New Roman" w:hAnsi="Times New Roman"/>
          <w:b/>
          <w:sz w:val="20"/>
        </w:rPr>
        <w:t>Provisional Redemption</w:t>
      </w:r>
      <w:r>
        <w:rPr>
          <w:rFonts w:ascii="Times New Roman" w:hAnsi="Times New Roman"/>
          <w:sz w:val="20"/>
        </w:rPr>
        <w:t xml:space="preserve">” shall have the meaning specified in </w:t>
      </w:r>
      <w:r>
        <w:rPr>
          <w:rFonts w:ascii="Times New Roman" w:hAnsi="Times New Roman"/>
          <w:sz w:val="20"/>
          <w:u w:val="single"/>
        </w:rPr>
        <w:t>Section 16.01(b)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August 6, 2026, among the Company, the REIT and the Initial Purchasers.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except to the extent otherwise provided under </w:t>
      </w:r>
      <w:r>
        <w:rPr>
          <w:rFonts w:ascii="Times New Roman" w:hAnsi="Times New Roman"/>
          <w:sz w:val="20"/>
          <w:u w:val="single"/>
        </w:rPr>
        <w:t>Section 4.04(c)</w:t>
      </w:r>
      <w:r>
        <w:rPr>
          <w:rFonts w:ascii="Times New Roman" w:hAnsi="Times New Roman"/>
          <w:sz w:val="20"/>
        </w:rPr>
        <w:t xml:space="preserve"> hereof, with respect to any dividend, distribution or other transaction or event in which the holders of the Common Shares (or any other applicable security) have the right to receive any cash, securities or other property or in which Common Shares (or any other applicable security) are exchanged for or converted into any combination of cash, securities or other property, the date fixed for determination of holders of the Common Shares entitled to receive such cash, securities or other property (whether such date is fixed by the Board of Trustees, statute, contract or otherwise).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shall mean any of a Provisional Redemption, a REIT Preservation Redemption or a Clean Up Redemption.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shall have the meaning specified in </w:t>
      </w:r>
      <w:r>
        <w:rPr>
          <w:rFonts w:ascii="Times New Roman" w:hAnsi="Times New Roman"/>
          <w:sz w:val="20"/>
          <w:u w:val="single"/>
        </w:rPr>
        <w:t>Section 16.02(a)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Notice</w:t>
      </w:r>
      <w:r>
        <w:rPr>
          <w:rFonts w:ascii="Times New Roman" w:hAnsi="Times New Roman"/>
          <w:sz w:val="20"/>
        </w:rPr>
        <w:t xml:space="preserve">” shall have the meaning specified in </w:t>
      </w:r>
      <w:r>
        <w:rPr>
          <w:rFonts w:ascii="Times New Roman" w:hAnsi="Times New Roman"/>
          <w:sz w:val="20"/>
          <w:u w:val="single"/>
        </w:rPr>
        <w:t>Section 16.02(a)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for any Notes to be redeemed pursuant to </w:t>
      </w:r>
      <w:r>
        <w:rPr>
          <w:rFonts w:ascii="Times New Roman" w:hAnsi="Times New Roman"/>
          <w:sz w:val="20"/>
          <w:u w:val="single"/>
        </w:rPr>
        <w:t>Section 16.01</w:t>
      </w:r>
      <w:r>
        <w:rPr>
          <w:rFonts w:ascii="Times New Roman" w:hAnsi="Times New Roman"/>
          <w:sz w:val="20"/>
        </w:rPr>
        <w:t xml:space="preserve">, cash equal to 100% of the principal amount of such Notes, </w:t>
      </w:r>
      <w:r>
        <w:rPr>
          <w:rFonts w:ascii="Times New Roman" w:hAnsi="Times New Roman"/>
          <w:i/>
          <w:sz w:val="20"/>
        </w:rPr>
        <w:t xml:space="preserve">plus </w:t>
      </w:r>
      <w:r>
        <w:rPr>
          <w:rFonts w:ascii="Times New Roman" w:hAnsi="Times New Roman"/>
          <w:sz w:val="20"/>
        </w:rPr>
        <w:t xml:space="preserve">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Notes on such Regular Record Date, and the Redemption Price will be equal to 100% of the principal amount of such Notes and will not include accrued and unpaid interest on such Note to, but excluding, such redemption date). </w:t>
      </w:r>
    </w:p>
    <w:p>
      <w:pPr>
        <w:pStyle w:val="TextBody"/>
        <w:bidi w:val="0"/>
        <w:spacing w:before="240" w:after="0"/>
        <w:jc w:val="left"/>
        <w:rPr/>
      </w:pPr>
      <w:r>
        <w:rPr/>
        <w:t>“</w:t>
      </w:r>
      <w:r>
        <w:rPr>
          <w:rFonts w:ascii="Times New Roman" w:hAnsi="Times New Roman"/>
          <w:b/>
          <w:sz w:val="20"/>
        </w:rPr>
        <w:t>Reference Property</w:t>
      </w:r>
      <w:r>
        <w:rPr>
          <w:rFonts w:ascii="Times New Roman" w:hAnsi="Times New Roman"/>
          <w:sz w:val="20"/>
        </w:rPr>
        <w:t xml:space="preserve">” shall have the meaning specified in </w:t>
      </w:r>
      <w:r>
        <w:rPr>
          <w:rFonts w:ascii="Times New Roman" w:hAnsi="Times New Roman"/>
          <w:sz w:val="20"/>
          <w:u w:val="single"/>
        </w:rPr>
        <w:t>Section 14.07(a)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the Registration Rights Agreement, dated as of August 11, 2026, among the Company, the REIT and the Initial Purchasers, as amended from time to time in accordance with its terms.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means, with respect to any Interest Payment Date, the February 1 (whether or not a Business Day) or the August 1 (whether or not a Business Day), as the case may be, immediately preceding such Interest Payment Date. </w:t>
      </w:r>
    </w:p>
    <w:p>
      <w:pPr>
        <w:pStyle w:val="TextBody"/>
        <w:bidi w:val="0"/>
        <w:spacing w:before="240" w:after="0"/>
        <w:jc w:val="left"/>
        <w:rPr/>
      </w:pPr>
      <w:r>
        <w:rPr/>
        <w:t>“</w:t>
      </w:r>
      <w:r>
        <w:rPr>
          <w:rFonts w:ascii="Times New Roman" w:hAnsi="Times New Roman"/>
          <w:b/>
          <w:sz w:val="20"/>
        </w:rPr>
        <w:t>REIT</w:t>
      </w:r>
      <w:r>
        <w:rPr>
          <w:rFonts w:ascii="Times New Roman" w:hAnsi="Times New Roman"/>
          <w:sz w:val="20"/>
        </w:rPr>
        <w:t xml:space="preserve">” shall have the meaning specified in the first paragraph of this Indenture, and subject to the provisions of </w:t>
      </w:r>
      <w:r>
        <w:rPr>
          <w:rFonts w:ascii="Times New Roman" w:hAnsi="Times New Roman"/>
          <w:sz w:val="20"/>
          <w:u w:val="single"/>
        </w:rPr>
        <w:t>Article 11</w:t>
      </w:r>
      <w:r>
        <w:rPr>
          <w:rFonts w:ascii="Times New Roman" w:hAnsi="Times New Roman"/>
          <w:sz w:val="20"/>
        </w:rPr>
        <w:t xml:space="preserve">, shall include its successors and assigns. </w:t>
      </w:r>
    </w:p>
    <w:p>
      <w:pPr>
        <w:pStyle w:val="TextBody"/>
        <w:bidi w:val="0"/>
        <w:spacing w:before="240" w:after="0"/>
        <w:jc w:val="left"/>
        <w:rPr/>
      </w:pPr>
      <w:r>
        <w:rPr/>
        <w:t>“</w:t>
      </w:r>
      <w:r>
        <w:rPr>
          <w:rFonts w:ascii="Times New Roman" w:hAnsi="Times New Roman"/>
          <w:b/>
          <w:sz w:val="20"/>
        </w:rPr>
        <w:t>REIT Preservation Redemption</w:t>
      </w:r>
      <w:r>
        <w:rPr>
          <w:rFonts w:ascii="Times New Roman" w:hAnsi="Times New Roman"/>
          <w:sz w:val="20"/>
        </w:rPr>
        <w:t xml:space="preserve">” shall have the meaning specified in </w:t>
      </w:r>
      <w:r>
        <w:rPr>
          <w:rFonts w:ascii="Times New Roman" w:hAnsi="Times New Roman"/>
          <w:sz w:val="20"/>
          <w:u w:val="single"/>
        </w:rPr>
        <w:t>Section 16.01(b)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Responsible Officer</w:t>
      </w:r>
      <w:r>
        <w:rPr>
          <w:rFonts w:ascii="Times New Roman" w:hAnsi="Times New Roman"/>
          <w:sz w:val="20"/>
        </w:rPr>
        <w:t xml:space="preserve">” means, when used with respect to the Trustee, any officer in the Corporate Trust Office,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b/>
          <w:sz w:val="20"/>
        </w:rPr>
        <w:t>Restricted Securities</w:t>
      </w:r>
      <w:r>
        <w:rPr>
          <w:rFonts w:ascii="Times New Roman" w:hAnsi="Times New Roman"/>
          <w:sz w:val="20"/>
        </w:rPr>
        <w:t xml:space="preserve">” shall have the meaning specified in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as promulgated under the Securities Act.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shall have the meaning specified in Section 17.18.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means a day that is scheduled to be a Trading Day on the principal U.S. national or regional securities exchange or market on which the Common Shares are listed or admitted for trading. If the Common Shares are not so listed or admitted for trading, “</w:t>
      </w:r>
      <w:r>
        <w:rPr>
          <w:rFonts w:ascii="Times New Roman" w:hAnsi="Times New Roman"/>
          <w:b/>
          <w:sz w:val="20"/>
        </w:rPr>
        <w:t>Scheduled 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rPr>
        <w:t>Settlement Amount</w:t>
      </w:r>
      <w:r>
        <w:rPr>
          <w:rFonts w:ascii="Times New Roman" w:hAnsi="Times New Roman"/>
          <w:sz w:val="20"/>
        </w:rPr>
        <w:t xml:space="preserve">” shall have the meaning specified in </w:t>
      </w:r>
      <w:r>
        <w:rPr>
          <w:rFonts w:ascii="Times New Roman" w:hAnsi="Times New Roman"/>
          <w:sz w:val="20"/>
          <w:u w:val="single"/>
        </w:rPr>
        <w:t>Section 14.03(a)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Settlement Notice</w:t>
      </w:r>
      <w:r>
        <w:rPr>
          <w:rFonts w:ascii="Times New Roman" w:hAnsi="Times New Roman"/>
          <w:sz w:val="20"/>
        </w:rPr>
        <w:t xml:space="preserve">” shall have the meaning specified in </w:t>
      </w:r>
      <w:r>
        <w:rPr>
          <w:rFonts w:ascii="Times New Roman" w:hAnsi="Times New Roman"/>
          <w:sz w:val="20"/>
          <w:u w:val="single"/>
        </w:rPr>
        <w:t>Section 14.03(a)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shall have the meaning specified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 Subsidiary of such person that would constitute a “significant subsidiary” as such term is defined in Article 1, Rule 1-02 of Regulation S-X, promulgated pursuant to the Exchange Act, as in effect on the original date of issuance of the Notes.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the Company or the REIT, a Person a majority of the outstanding voting stock of which is owned or controlled, directly or indirectly, by the Company or the REIT, or by one or more other Subsidiaries of the Company or the REIT. For the purposes of this definition, “voting stock” means having the voting power for the election of directors, general partners, trustees, managing members or Persons performing similar functions, whether at all times or only so long as no senior class of securities has such voting power by reason of any contingency. </w:t>
      </w:r>
    </w:p>
    <w:p>
      <w:pPr>
        <w:pStyle w:val="TextBody"/>
        <w:bidi w:val="0"/>
        <w:spacing w:before="240" w:after="0"/>
        <w:jc w:val="left"/>
        <w:rPr/>
      </w:pPr>
      <w:r>
        <w:rPr/>
        <w:t>“</w:t>
      </w:r>
      <w:r>
        <w:rPr>
          <w:rFonts w:ascii="Times New Roman" w:hAnsi="Times New Roman"/>
          <w:b/>
          <w:sz w:val="20"/>
        </w:rPr>
        <w:t>Successor Entity</w:t>
      </w:r>
      <w:r>
        <w:rPr>
          <w:rFonts w:ascii="Times New Roman" w:hAnsi="Times New Roman"/>
          <w:sz w:val="20"/>
        </w:rPr>
        <w:t xml:space="preserve">” shall have the meaning specified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Trading Day</w:t>
      </w:r>
      <w:r>
        <w:rPr>
          <w:rFonts w:ascii="Times New Roman" w:hAnsi="Times New Roman"/>
          <w:sz w:val="20"/>
        </w:rPr>
        <w:t>” means, except for determining amounts due upon exchange, a Scheduled Trading Day on which (i) trading in the Common Shares (or other security for which a closing sale price must be determined) generally occurs on the New York Stock Exchange or, if the Common Shares (or such other security) are not then listed on the New York Stock Exchange, on the principal other U.S. national or regional securities exchange on which the Common Shares (or such other security) are then listed or, if the Common Shares (or such other security) are not then listed on a U.S. national or regional securities exchange, on the principal other market on which the Common Shares (or such other security) are then traded and (ii) a there is no Market Disruption Event; provided that if the Common Shares (or such other security) are not so listed or traded, “</w:t>
      </w:r>
      <w:r>
        <w:rPr>
          <w:rFonts w:ascii="Times New Roman" w:hAnsi="Times New Roman"/>
          <w:b/>
          <w:sz w:val="20"/>
        </w:rPr>
        <w:t>Trading Day</w:t>
      </w:r>
      <w:r>
        <w:rPr>
          <w:rFonts w:ascii="Times New Roman" w:hAnsi="Times New Roman"/>
          <w:sz w:val="20"/>
        </w:rPr>
        <w:t>” means a Business Day; and provided further that, for purposes of determining amounts due upon exchange only, “</w:t>
      </w:r>
      <w:r>
        <w:rPr>
          <w:rFonts w:ascii="Times New Roman" w:hAnsi="Times New Roman"/>
          <w:b/>
          <w:sz w:val="20"/>
        </w:rPr>
        <w:t>Trading Day</w:t>
      </w:r>
      <w:r>
        <w:rPr>
          <w:rFonts w:ascii="Times New Roman" w:hAnsi="Times New Roman"/>
          <w:sz w:val="20"/>
        </w:rPr>
        <w:t xml:space="preserve">” means a day on which (x) there is no Market Disruption Event and (y) trading in the Common Shares generally occurs on the New York Stock Exchange or, if the Common Shares are not then listed on the New York Stock Exchange, on the principal other U.S. national or regional securities exchange on which the Common Shares are then listed or, if the Common Shares are not then listed on a U.S. national or regional securities exchange, on the principal other market on which the Common Shares are then listed or admitted for trading, except that if the Common Shares are not so listed or admitted for trading, “Trading Day”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date of determination means the average of the secondary market bid quotations obtained by the Bid Solicitation Agent for $3,000,000 principal amount of Notes at approximately 3:30 p.m., New York City time, on such determination date from three independent nationally recognized securities dealers selected for this purpose by the Company;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$3,000,000 principal amount of Notes from a nationally recognized securities dealer, then the Trading Price per $1,000 principal amount of Notes will be deemed to be less than 98% of the product of (i) the Last Reported Sale Price of the Common Shares and (ii) the applicable Exchange Rate. If the Company is not acting as Bid Solicitation Agent, and the Company does not, when it is required to, instruct the Bid Solicitation Agent to obtain bids, or if the Company gives such instruction to the Bid Solicitation Agent, and the Bid Solicitation Agent fails to make such determination, then, in either case, the trading price per $1,000 principal amount of Notes will be deemed to be less than 98% of the product of (i) the Last Reported Sale Price of the Common Shares and (ii) the applicable Exchange Rate on each Trading Day of such failure.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shall have the meaning specified in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Trigger Event</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amended, as it was in force at the date of execution of this Indenture; provided, however, that in the event the Trust Indenture Act of 1939 is amended after the date hereof, the term “Trust Indenture Act” shall mean, to the extent required by such amendment, the Trust Indenture Act of 1939, as so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means the Person named as the “</w:t>
      </w:r>
      <w:r>
        <w:rPr>
          <w:rFonts w:ascii="Times New Roman" w:hAnsi="Times New Roman"/>
          <w:b/>
          <w:sz w:val="20"/>
        </w:rPr>
        <w:t>Trustee</w:t>
      </w:r>
      <w:r>
        <w:rPr>
          <w:rFonts w:ascii="Times New Roman" w:hAnsi="Times New Roman"/>
          <w:sz w:val="20"/>
        </w:rPr>
        <w:t>” in the first paragraph of this Indenture until a successor trustee shall have become such pursuant to the applicable provisions of this Indenture, and thereafter “</w:t>
      </w:r>
      <w:r>
        <w:rPr>
          <w:rFonts w:ascii="Times New Roman" w:hAnsi="Times New Roman"/>
          <w:b/>
          <w:sz w:val="20"/>
        </w:rPr>
        <w:t>Trustee</w:t>
      </w:r>
      <w:r>
        <w:rPr>
          <w:rFonts w:ascii="Times New Roman" w:hAnsi="Times New Roman"/>
          <w:sz w:val="20"/>
        </w:rPr>
        <w:t xml:space="preserve">” shall mean or include each Person who is then a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Unit of Reference Property</w:t>
      </w:r>
      <w:r>
        <w:rPr>
          <w:rFonts w:ascii="Times New Roman" w:hAnsi="Times New Roman"/>
          <w:sz w:val="20"/>
        </w:rPr>
        <w:t xml:space="preserve">” shall have the meaning specified in </w:t>
      </w:r>
      <w:r>
        <w:rPr>
          <w:rFonts w:ascii="Times New Roman" w:hAnsi="Times New Roman"/>
          <w:sz w:val="20"/>
          <w:u w:val="single"/>
        </w:rPr>
        <w:t>Section 14.07(a)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Valuation Percentage</w:t>
      </w:r>
      <w:r>
        <w:rPr>
          <w:rFonts w:ascii="Times New Roman" w:hAnsi="Times New Roman"/>
          <w:sz w:val="20"/>
        </w:rPr>
        <w:t xml:space="preserve">” shall have the meaning specified in </w:t>
      </w:r>
      <w:r>
        <w:rPr>
          <w:rFonts w:ascii="Times New Roman" w:hAnsi="Times New Roman"/>
          <w:sz w:val="20"/>
          <w:u w:val="single"/>
        </w:rPr>
        <w:t>Section 14.07(e)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Valuation Period</w:t>
      </w:r>
      <w:r>
        <w:rPr>
          <w:rFonts w:ascii="Times New Roman" w:hAnsi="Times New Roman"/>
          <w:sz w:val="20"/>
        </w:rPr>
        <w:t xml:space="preserve">” shall have the meaning specified in </w:t>
      </w:r>
      <w:r>
        <w:rPr>
          <w:rFonts w:ascii="Times New Roman" w:hAnsi="Times New Roman"/>
          <w:sz w:val="20"/>
          <w:u w:val="single"/>
        </w:rPr>
        <w:t>Section 14.04(c)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b/>
          <w:i/>
          <w:sz w:val="20"/>
        </w:rPr>
        <w:t>References to Interest</w:t>
      </w:r>
      <w:r>
        <w:rPr>
          <w:rFonts w:ascii="Times New Roman" w:hAnsi="Times New Roman"/>
          <w:sz w:val="20"/>
        </w:rPr>
        <w:t xml:space="preserve">. Unless the context otherwise requires, any reference to interest on, or in respect of, any Note in this Indenture shall be deemed to include Additional Interest if, in such context, Additional Interest is, was or would be payable pursuant to </w:t>
      </w:r>
      <w:r>
        <w:rPr>
          <w:rFonts w:ascii="Times New Roman" w:hAnsi="Times New Roman"/>
          <w:sz w:val="20"/>
          <w:u w:val="single"/>
        </w:rPr>
        <w:t>Section 6.03</w:t>
      </w:r>
      <w:r>
        <w:rPr>
          <w:rFonts w:ascii="Times New Roman" w:hAnsi="Times New Roman"/>
          <w:sz w:val="20"/>
        </w:rPr>
        <w:t xml:space="preserve"> or the Registration Rights Agreement. Unless the context otherwise requires, any express mention of Additional Interest in any provision hereof shall not be construed as excluding Additional Interest in those provisions hereof where such express mention is not made.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ISSUE, DESCRIPTION, EXECUTION, REGISTRATION AND EXCHANGE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b/>
          <w:i/>
          <w:sz w:val="20"/>
        </w:rPr>
        <w:t>Designation and Amount</w:t>
      </w:r>
      <w:r>
        <w:rPr>
          <w:rFonts w:ascii="Times New Roman" w:hAnsi="Times New Roman"/>
          <w:sz w:val="20"/>
        </w:rPr>
        <w:t xml:space="preserve">. The Notes shall be designated as the “3.500% Exchangeable Senior Notes due 2031.” The aggregate principal amount of Notes that may be authenticated and delivered under this Indenture is initially limited to $460,000,000, subject to </w:t>
      </w:r>
      <w:r>
        <w:rPr>
          <w:rFonts w:ascii="Times New Roman" w:hAnsi="Times New Roman"/>
          <w:sz w:val="20"/>
          <w:u w:val="single"/>
        </w:rPr>
        <w:t>Section 2.10</w:t>
      </w:r>
      <w:r>
        <w:rPr>
          <w:rFonts w:ascii="Times New Roman" w:hAnsi="Times New Roman"/>
          <w:sz w:val="20"/>
        </w:rPr>
        <w:t xml:space="preserve"> and except for Notes authenticated and delivered upon registration or transfer of other Notes, or in exchange for other Notes, or in lieu of other Notes pursuant to </w:t>
      </w:r>
      <w:r>
        <w:rPr>
          <w:rFonts w:ascii="Times New Roman" w:hAnsi="Times New Roman"/>
          <w:sz w:val="20"/>
          <w:u w:val="single"/>
        </w:rPr>
        <w:t>Section 2.05</w:t>
      </w:r>
      <w:r>
        <w:rPr>
          <w:rFonts w:ascii="Times New Roman" w:hAnsi="Times New Roman"/>
          <w:sz w:val="20"/>
        </w:rPr>
        <w:t xml:space="preserve">,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w:t>
      </w:r>
      <w:r>
        <w:rPr>
          <w:rFonts w:ascii="Times New Roman" w:hAnsi="Times New Roman"/>
          <w:sz w:val="20"/>
          <w:u w:val="single"/>
        </w:rPr>
        <w:t>Section 10.04</w:t>
      </w:r>
      <w:r>
        <w:rPr>
          <w:rFonts w:ascii="Times New Roman" w:hAnsi="Times New Roman"/>
          <w:sz w:val="20"/>
        </w:rPr>
        <w:t xml:space="preserve">, </w:t>
      </w:r>
      <w:r>
        <w:rPr>
          <w:rFonts w:ascii="Times New Roman" w:hAnsi="Times New Roman"/>
          <w:sz w:val="20"/>
          <w:u w:val="single"/>
        </w:rPr>
        <w:t>Section 14.02</w:t>
      </w:r>
      <w:r>
        <w:rPr>
          <w:rFonts w:ascii="Times New Roman" w:hAnsi="Times New Roman"/>
          <w:sz w:val="20"/>
        </w:rPr>
        <w:t xml:space="preserve"> and </w:t>
      </w:r>
      <w:r>
        <w:rPr>
          <w:rFonts w:ascii="Times New Roman" w:hAnsi="Times New Roman"/>
          <w:sz w:val="20"/>
          <w:u w:val="single"/>
        </w:rPr>
        <w:t>Section 15.04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b/>
          <w:i/>
          <w:sz w:val="20"/>
        </w:rPr>
        <w:t>Form of Notes</w:t>
      </w:r>
      <w:r>
        <w:rPr>
          <w:rFonts w:ascii="Times New Roman" w:hAnsi="Times New Roman"/>
          <w:sz w:val="20"/>
        </w:rPr>
        <w:t xml:space="preserve">. The Notes and the Trustee’s certificate of authentication to be borne by such Notes shall be substantially in the respective forms set forth in </w:t>
      </w:r>
      <w:r>
        <w:rPr>
          <w:rFonts w:ascii="Times New Roman" w:hAnsi="Times New Roman"/>
          <w:sz w:val="20"/>
          <w:u w:val="single"/>
        </w:rPr>
        <w:t>Exhibit A</w:t>
      </w:r>
      <w:r>
        <w:rPr>
          <w:rFonts w:ascii="Times New Roman" w:hAnsi="Times New Roman"/>
          <w:sz w:val="20"/>
        </w:rPr>
        <w:t xml:space="preserve">, the terms and provisions of which shall constitute, and are hereby expressly incorporated in and made a part of this Indenture. To the extent applicable, the Company, the REIT and the Trustee, by their execution and delivery of this Indenture, and the Holders, by their acceptance of the Notes, expressly agree to such terms and provisions and to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Any of the Notes may have such letters, numbers or other marks of identification and such notations, legends, changes or endorsements as any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exchanges, transfers or exchanges for other Notes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Purchase Price, if applicable) of, and accrued and unpaid interest on, a Global Note shall be made to the Holder of such Note on the date of payment, unless a record date or other means of determining Holders eligible to receive payment is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b/>
          <w:i/>
          <w:sz w:val="20"/>
        </w:rPr>
        <w:t>Date and Denomination of Notes; Payments of Interest and Defaulted Amounts</w:t>
      </w:r>
      <w:r>
        <w:rPr>
          <w:rFonts w:ascii="Times New Roman" w:hAnsi="Times New Roman"/>
          <w:sz w:val="20"/>
        </w:rPr>
        <w:t xml:space="preserve">.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including any Additional Interest, if applicable, shall be computed on the basis of a 360-day year composed of twelve 30-day months and, for partial months, on the basis of actual days elapsed over a 30-day month.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pay the principal of, the Redemption Price or Fundamental Change Purchase Price for any Physical Note to the Holder of such Note in cash at the designated office of the Paying Agent at the Corporate Trust Office, prior to 11:00 a.m. New York City time on the relevant payment date. The Company will pay any interest on any Physical Note to the Holder of such Note by check mailed to such Holder’s registered address or, if a Holder of more than $2,000,000 aggregate principal amount of Notes delivers to the Note Registrar a written request on or prior to a Regular Record Date that the Company make such payments by wire transfer to an account of such Holder within the United States, for each interest payment corresponding to each Regular Record Date occurring during the period beginning on the date on which such Holder delivered such request and ending on the date, if any, on which such Holder delivers to the Note Registrar a written instruction to the contrary, by wire transfer of immediately available funds to the account specified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the principal of, interest on, the Redemption Price or Fundamental Change Purchase Price for any Global Note to the Depositary by wire transfer of immediately available funds on the relevant payment date in accordance with Applicable Procedures. </w:t>
      </w:r>
    </w:p>
    <w:p>
      <w:pPr>
        <w:pStyle w:val="TextBody"/>
        <w:bidi w:val="0"/>
        <w:spacing w:before="120" w:after="0"/>
        <w:jc w:val="left"/>
        <w:rPr>
          <w:rFonts w:ascii="Times New Roman" w:hAnsi="Times New Roman"/>
          <w:sz w:val="20"/>
        </w:rPr>
      </w:pPr>
      <w:r>
        <w:rPr>
          <w:rFonts w:ascii="Times New Roman" w:hAnsi="Times New Roman"/>
          <w:sz w:val="20"/>
        </w:rPr>
        <w:t xml:space="preserve">(c)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sent to each Holder at its address as it appears in the Note Register, not less than 10 days prior to such special record date. The Trustee shall send such notice at the request of the Company contained in an Officers’ Certificate; provided the Company shall provide the Trustee with the form of such notice at least five Business Days prior (or such shorter period as the Trustee may agree) to the date such notice is to be provided. Notice of the proposed payment of such Defaulted Amounts and the special record date therefor having been so sent, such Defaulted Amounts shall be paid to the Persons in whose names the Notes (or their respective Predecessor Notes) are registered at the Close of Business on such special record date and shall no longer be payable pursuant to the following clause (ii) of this </w:t>
      </w:r>
      <w:r>
        <w:rPr>
          <w:rFonts w:ascii="Times New Roman" w:hAnsi="Times New Roman"/>
          <w:sz w:val="20"/>
          <w:u w:val="single"/>
        </w:rPr>
        <w:t>Section 2.03(c)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at any time be under any duty or responsibility to any Holder to determine the Defaulted Amounts, or with respect to the nature, extent, or calculation of the amount of the Defaulted Amounts owed, or with respect to the method employed in such calculation of the Defaulted Amounts.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b/>
          <w:i/>
          <w:sz w:val="20"/>
        </w:rPr>
        <w:t>Execution, Authentication and Delivery of Notes</w:t>
      </w:r>
      <w:r>
        <w:rPr>
          <w:rFonts w:ascii="Times New Roman" w:hAnsi="Times New Roman"/>
          <w:sz w:val="20"/>
        </w:rPr>
        <w:t xml:space="preserve">. The Notes shall be signed in the name and on behalf of the Company by the manual, electronic or facsimile signature of an Officer.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such Notes as shall bear thereon a certificate of authentication substantially in the form set forth on the form of Note attached as </w:t>
      </w:r>
      <w:r>
        <w:rPr>
          <w:rFonts w:ascii="Times New Roman" w:hAnsi="Times New Roman"/>
          <w:sz w:val="20"/>
          <w:u w:val="single"/>
        </w:rPr>
        <w:t>Exhibit A</w:t>
      </w:r>
      <w:r>
        <w:rPr>
          <w:rFonts w:ascii="Times New Roman" w:hAnsi="Times New Roman"/>
          <w:sz w:val="20"/>
        </w:rPr>
        <w:t xml:space="preserve"> hereto, executed manually by an authorized signatory of the Trustee (or an authenticating agent appointed by the Trustee as provided by </w:t>
      </w:r>
      <w:r>
        <w:rPr>
          <w:rFonts w:ascii="Times New Roman" w:hAnsi="Times New Roman"/>
          <w:sz w:val="20"/>
          <w:u w:val="single"/>
        </w:rPr>
        <w:t>Section 17.10</w:t>
      </w:r>
      <w:r>
        <w:rPr>
          <w:rFonts w:ascii="Times New Roman" w:hAnsi="Times New Roman"/>
          <w:sz w:val="20"/>
        </w:rPr>
        <w:t xml:space="preserve">),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b/>
          <w:i/>
          <w:sz w:val="20"/>
        </w:rPr>
        <w:t>Exchange of Notes for Other Notes and Registration of Transfer of Notes; Restrictions on Transfer; Depositary</w:t>
      </w:r>
      <w:r>
        <w:rPr>
          <w:rFonts w:ascii="Times New Roman" w:hAnsi="Times New Roman"/>
          <w:sz w:val="20"/>
        </w:rPr>
        <w:t xml:space="preserve">. (a) The Company shall cause to be kept at the Corporate Trust Office a register (the register maintained in such office or in any other office or agency of the Company designated pursuant to </w:t>
      </w:r>
      <w:r>
        <w:rPr>
          <w:rFonts w:ascii="Times New Roman" w:hAnsi="Times New Roman"/>
          <w:sz w:val="20"/>
          <w:u w:val="single"/>
        </w:rPr>
        <w:t>Section 4.02</w:t>
      </w:r>
      <w:r>
        <w:rPr>
          <w:rFonts w:ascii="Times New Roman" w:hAnsi="Times New Roman"/>
          <w:sz w:val="20"/>
        </w:rPr>
        <w:t xml:space="preserve">, the “Note Register”)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“Note Registrar” for the purpose of registering Notes and transfers of Notes as herein provided. The Company may appoint one or more co-Note Registrars in accordance with </w:t>
      </w:r>
      <w:r>
        <w:rPr>
          <w:rFonts w:ascii="Times New Roman" w:hAnsi="Times New Roman"/>
          <w:sz w:val="20"/>
          <w:u w:val="single"/>
        </w:rPr>
        <w:t>Section 4.02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Note to the Note Registrar or any co-Note Registrar, and satisfaction of the requirements for such transfer set forth in this </w:t>
      </w:r>
      <w:r>
        <w:rPr>
          <w:rFonts w:ascii="Times New Roman" w:hAnsi="Times New Roman"/>
          <w:sz w:val="20"/>
          <w:u w:val="single"/>
        </w:rPr>
        <w:t>Section 2.05</w:t>
      </w:r>
      <w:r>
        <w:rPr>
          <w:rFonts w:ascii="Times New Roman" w:hAnsi="Times New Roman"/>
          <w:sz w:val="20"/>
        </w:rPr>
        <w:t xml:space="preserve">,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Notes may be exchanged for other Notes of any authorized denominations and of a like aggregate principal amount, upon surrender of the Notes to be exchanged at any such office or agency maintained by the Company pursuant to </w:t>
      </w:r>
      <w:r>
        <w:rPr>
          <w:rFonts w:ascii="Times New Roman" w:hAnsi="Times New Roman"/>
          <w:sz w:val="20"/>
          <w:u w:val="single"/>
        </w:rPr>
        <w:t>Section 4.02</w:t>
      </w:r>
      <w:r>
        <w:rPr>
          <w:rFonts w:ascii="Times New Roman" w:hAnsi="Times New Roman"/>
          <w:sz w:val="20"/>
        </w:rPr>
        <w:t xml:space="preserve">. Whenever any Notes are so surrendered for exchange, the Company shall execute, and the Trustee shall authenticate and deliver, the Notes that the Holder making the exchange is entitled to receive, bearing registration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All Notes presented or surrendered for registration of transfer or for exchange for other Notes, repurchase or exchange shall (if so required by the Company, the Trustee, the Note Registrar or any co-Note Registrar) be duly endorsed, or be accompanied by a written instrument or instruments of transfer in form satisfactory to the Company and the Trustee and duly executed, by the Holder thereof or its attorney-in-fact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service charge shall be imposed by the Company, the Trustee, the Note Registrar, any co-Note Registrar or the Paying Agent for any exchange of Notes for other Notes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the Note Registrar or any co-Note Registrar shall be required to exchange under this </w:t>
      </w:r>
      <w:r>
        <w:rPr>
          <w:rFonts w:ascii="Times New Roman" w:hAnsi="Times New Roman"/>
          <w:sz w:val="20"/>
          <w:u w:val="single"/>
        </w:rPr>
        <w:t>Section 2.05</w:t>
      </w:r>
      <w:r>
        <w:rPr>
          <w:rFonts w:ascii="Times New Roman" w:hAnsi="Times New Roman"/>
          <w:sz w:val="20"/>
        </w:rPr>
        <w:t xml:space="preserve"> or register a transfer of (i) any Notes surrendered for exchange in accordance with </w:t>
      </w:r>
      <w:r>
        <w:rPr>
          <w:rFonts w:ascii="Times New Roman" w:hAnsi="Times New Roman"/>
          <w:sz w:val="20"/>
          <w:u w:val="single"/>
        </w:rPr>
        <w:t>Article 14</w:t>
      </w:r>
      <w:r>
        <w:rPr>
          <w:rFonts w:ascii="Times New Roman" w:hAnsi="Times New Roman"/>
          <w:sz w:val="20"/>
        </w:rPr>
        <w:t xml:space="preserve"> or, if a portion of any Note is surrendered for exchange in accordance with </w:t>
      </w:r>
      <w:r>
        <w:rPr>
          <w:rFonts w:ascii="Times New Roman" w:hAnsi="Times New Roman"/>
          <w:sz w:val="20"/>
          <w:u w:val="single"/>
        </w:rPr>
        <w:t>Article 14</w:t>
      </w:r>
      <w:r>
        <w:rPr>
          <w:rFonts w:ascii="Times New Roman" w:hAnsi="Times New Roman"/>
          <w:sz w:val="20"/>
        </w:rPr>
        <w:t xml:space="preserve">, such portion thereof surrendered for exchange in accordance with </w:t>
      </w:r>
      <w:r>
        <w:rPr>
          <w:rFonts w:ascii="Times New Roman" w:hAnsi="Times New Roman"/>
          <w:sz w:val="20"/>
          <w:u w:val="single"/>
        </w:rPr>
        <w:t>Article 14</w:t>
      </w:r>
      <w:r>
        <w:rPr>
          <w:rFonts w:ascii="Times New Roman" w:hAnsi="Times New Roman"/>
          <w:sz w:val="20"/>
        </w:rPr>
        <w:t xml:space="preserve">, (ii) any Notes, or a portion of any Note, surrendered for repurchase (and not withdrawn) in accordance with </w:t>
      </w:r>
      <w:r>
        <w:rPr>
          <w:rFonts w:ascii="Times New Roman" w:hAnsi="Times New Roman"/>
          <w:sz w:val="20"/>
          <w:u w:val="single"/>
        </w:rPr>
        <w:t>Article 15</w:t>
      </w:r>
      <w:r>
        <w:rPr>
          <w:rFonts w:ascii="Times New Roman" w:hAnsi="Times New Roman"/>
          <w:sz w:val="20"/>
        </w:rPr>
        <w:t xml:space="preserve"> or (iii) any Notes selected for redemption in accordance with </w:t>
      </w:r>
      <w:r>
        <w:rPr>
          <w:rFonts w:ascii="Times New Roman" w:hAnsi="Times New Roman"/>
          <w:sz w:val="20"/>
          <w:u w:val="single"/>
        </w:rPr>
        <w:t>Article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Notes issued upon any registration of transfer of Notes or exchange of Notes for other Notes in accordance with this Indenture shall be the valid obligations of the Company, evidencing the same debt, and entitled to the same benefits under this Indenture as the Notes surrendered upon such registration of transfer of Notes or exchange of Notes for other Notes.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Custodian or any Note Registrar shall have any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(b) So long as the Notes are eligible for book-entry settlement with the Depositary, unless otherwise required by law, subject to the fourth paragraph from the end of </w:t>
      </w:r>
      <w:r>
        <w:rPr>
          <w:rFonts w:ascii="Times New Roman" w:hAnsi="Times New Roman"/>
          <w:sz w:val="20"/>
          <w:u w:val="single"/>
        </w:rPr>
        <w:t>Section 2.05(c)</w:t>
      </w:r>
      <w:r>
        <w:rPr>
          <w:rFonts w:ascii="Times New Roman" w:hAnsi="Times New Roman"/>
          <w:sz w:val="20"/>
        </w:rPr>
        <w:t>, all Notes shall be represented by one or more Notes in global form (each, a “</w:t>
      </w:r>
      <w:r>
        <w:rPr>
          <w:rFonts w:ascii="Times New Roman" w:hAnsi="Times New Roman"/>
          <w:b/>
          <w:sz w:val="20"/>
        </w:rPr>
        <w:t>Global Note</w:t>
      </w:r>
      <w:r>
        <w:rPr>
          <w:rFonts w:ascii="Times New Roman" w:hAnsi="Times New Roman"/>
          <w:sz w:val="20"/>
        </w:rPr>
        <w:t xml:space="preserve">”) registered in the name of the Depositary or the nominee of the Depositary. The transfer and exchange in accordance with this </w:t>
      </w:r>
      <w:r>
        <w:rPr>
          <w:rFonts w:ascii="Times New Roman" w:hAnsi="Times New Roman"/>
          <w:sz w:val="20"/>
          <w:u w:val="single"/>
        </w:rPr>
        <w:t>Section 2.05</w:t>
      </w:r>
      <w:r>
        <w:rPr>
          <w:rFonts w:ascii="Times New Roman" w:hAnsi="Times New Roman"/>
          <w:sz w:val="20"/>
        </w:rPr>
        <w:t xml:space="preserv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 </w:t>
      </w:r>
    </w:p>
    <w:p>
      <w:pPr>
        <w:pStyle w:val="TextBody"/>
        <w:bidi w:val="0"/>
        <w:spacing w:before="120" w:after="0"/>
        <w:jc w:val="left"/>
        <w:rPr>
          <w:rFonts w:ascii="Times New Roman" w:hAnsi="Times New Roman"/>
          <w:sz w:val="20"/>
        </w:rPr>
      </w:pPr>
      <w:r>
        <w:rPr>
          <w:rFonts w:ascii="Times New Roman" w:hAnsi="Times New Roman"/>
          <w:sz w:val="20"/>
        </w:rPr>
        <w:t xml:space="preserve">(c) Every Note that bears or is required under this </w:t>
      </w:r>
      <w:r>
        <w:rPr>
          <w:rFonts w:ascii="Times New Roman" w:hAnsi="Times New Roman"/>
          <w:sz w:val="20"/>
          <w:u w:val="single"/>
        </w:rPr>
        <w:t>Section 2.05(c)</w:t>
      </w:r>
      <w:r>
        <w:rPr>
          <w:rFonts w:ascii="Times New Roman" w:hAnsi="Times New Roman"/>
          <w:sz w:val="20"/>
        </w:rPr>
        <w:t xml:space="preserve"> to bear the legend set forth in this </w:t>
      </w:r>
      <w:r>
        <w:rPr>
          <w:rFonts w:ascii="Times New Roman" w:hAnsi="Times New Roman"/>
          <w:sz w:val="20"/>
          <w:u w:val="single"/>
        </w:rPr>
        <w:t>Section 2.05(c)</w:t>
      </w:r>
      <w:r>
        <w:rPr>
          <w:rFonts w:ascii="Times New Roman" w:hAnsi="Times New Roman"/>
          <w:sz w:val="20"/>
        </w:rPr>
        <w:t xml:space="preserve"> (together with any Common Shares issued upon exchange of the Notes in accordance with </w:t>
      </w:r>
      <w:r>
        <w:rPr>
          <w:rFonts w:ascii="Times New Roman" w:hAnsi="Times New Roman"/>
          <w:sz w:val="20"/>
          <w:u w:val="single"/>
        </w:rPr>
        <w:t>Article 14</w:t>
      </w:r>
      <w:r>
        <w:rPr>
          <w:rFonts w:ascii="Times New Roman" w:hAnsi="Times New Roman"/>
          <w:sz w:val="20"/>
        </w:rPr>
        <w:t xml:space="preserve"> that is required to bear the legend set forth in </w:t>
      </w:r>
      <w:r>
        <w:rPr>
          <w:rFonts w:ascii="Times New Roman" w:hAnsi="Times New Roman"/>
          <w:sz w:val="20"/>
          <w:u w:val="single"/>
        </w:rPr>
        <w:t>Section 2.05(d)</w:t>
      </w:r>
      <w:r>
        <w:rPr>
          <w:rFonts w:ascii="Times New Roman" w:hAnsi="Times New Roman"/>
          <w:sz w:val="20"/>
        </w:rPr>
        <w:t>, collectively, the “</w:t>
      </w:r>
      <w:r>
        <w:rPr>
          <w:rFonts w:ascii="Times New Roman" w:hAnsi="Times New Roman"/>
          <w:b/>
          <w:sz w:val="20"/>
        </w:rPr>
        <w:t>Restricted Securities</w:t>
      </w:r>
      <w:r>
        <w:rPr>
          <w:rFonts w:ascii="Times New Roman" w:hAnsi="Times New Roman"/>
          <w:sz w:val="20"/>
        </w:rPr>
        <w:t xml:space="preserve">”) shall be subject to the restrictions on transfer set forth in this </w:t>
      </w:r>
      <w:r>
        <w:rPr>
          <w:rFonts w:ascii="Times New Roman" w:hAnsi="Times New Roman"/>
          <w:sz w:val="20"/>
          <w:u w:val="single"/>
        </w:rPr>
        <w:t>Section 2.05(c)</w:t>
      </w:r>
      <w:r>
        <w:rPr>
          <w:rFonts w:ascii="Times New Roman" w:hAnsi="Times New Roman"/>
          <w:sz w:val="20"/>
        </w:rPr>
        <w:t xml:space="preserve"> (including the legend set forth below), unless such restrictions on transfer shall be eliminated or otherwise waived by written consent of the Company and the REIT, and the Holder of each such Restricted Security, by such Holder’s acceptance thereof, agrees to be bound by all such restrictions on transfer. As used in this </w:t>
      </w:r>
      <w:r>
        <w:rPr>
          <w:rFonts w:ascii="Times New Roman" w:hAnsi="Times New Roman"/>
          <w:sz w:val="20"/>
          <w:u w:val="single"/>
        </w:rPr>
        <w:t>Section 2.05(c)</w:t>
      </w:r>
      <w:r>
        <w:rPr>
          <w:rFonts w:ascii="Times New Roman" w:hAnsi="Times New Roman"/>
          <w:sz w:val="20"/>
        </w:rPr>
        <w:t xml:space="preserve"> and </w:t>
      </w:r>
      <w:r>
        <w:rPr>
          <w:rFonts w:ascii="Times New Roman" w:hAnsi="Times New Roman"/>
          <w:sz w:val="20"/>
          <w:u w:val="single"/>
        </w:rPr>
        <w:t>Section 2.05(d)</w:t>
      </w:r>
      <w:r>
        <w:rPr>
          <w:rFonts w:ascii="Times New Roman" w:hAnsi="Times New Roman"/>
          <w:sz w:val="20"/>
        </w:rPr>
        <w:t>, the term “</w:t>
      </w:r>
      <w:r>
        <w:rPr>
          <w:rFonts w:ascii="Times New Roman" w:hAnsi="Times New Roman"/>
          <w:b/>
          <w:sz w:val="20"/>
        </w:rPr>
        <w:t>transfer</w:t>
      </w:r>
      <w:r>
        <w:rPr>
          <w:rFonts w:ascii="Times New Roman" w:hAnsi="Times New Roman"/>
          <w:sz w:val="20"/>
        </w:rPr>
        <w:t xml:space="preserve">” encompasses any sale, pledge, transfer or other disposition whatsoever of any Restricted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evidencing such Note shall bear a legend in substantially the following form unless such Notes have been transferred pursuant to a registration statement that has become or been declared effective under the Securities Act and that continues to be effective at the time of such transfer, or unless otherwise agreed by the Company and the REIT in writing, with notice thereof to the Trustee: </w:t>
      </w:r>
    </w:p>
    <w:p>
      <w:pPr>
        <w:pStyle w:val="TextBody"/>
        <w:bidi w:val="0"/>
        <w:spacing w:before="240" w:after="0"/>
        <w:jc w:val="left"/>
        <w:rPr>
          <w:rFonts w:ascii="Times New Roman" w:hAnsi="Times New Roman"/>
          <w:sz w:val="20"/>
        </w:rPr>
      </w:pPr>
      <w:r>
        <w:rPr>
          <w:rFonts w:ascii="Times New Roman" w:hAnsi="Times New Roman"/>
          <w:sz w:val="20"/>
        </w:rPr>
        <w:t>THIS SECURITY HAS NOT BEEN REGISTERED UNDER THE SECURITIES ACT OF 1933, AS AMENDED (THE “</w:t>
      </w:r>
      <w:r>
        <w:rPr>
          <w:rFonts w:ascii="Times New Roman" w:hAnsi="Times New Roman"/>
          <w:b/>
          <w:sz w:val="20"/>
        </w:rPr>
        <w:t>SECURITIES ACT”</w:t>
      </w:r>
      <w:r>
        <w:rPr>
          <w:rFonts w:ascii="Times New Roman" w:hAnsi="Times New Roman"/>
          <w:sz w:val="20"/>
        </w:rPr>
        <w:t>), AND ACCORDINGLY, MAY NOT BE OFFERED OR SOLD EXCEPT AS SET FORTH IN THE FOLLOWING SENTENCE. BY ITS ACQUISITION HEREOF, THE HOLDER AGREES THAT IT WILL NOT RESELL OR OTHERWISE TRANSFER THE SECURITY EVIDENCED HEREBY, EXCEPT (A) TO FEDERAL REALTY OP LP (THE “</w:t>
      </w:r>
      <w:r>
        <w:rPr>
          <w:rFonts w:ascii="Times New Roman" w:hAnsi="Times New Roman"/>
          <w:b/>
          <w:sz w:val="20"/>
        </w:rPr>
        <w:t>COMPANY</w:t>
      </w:r>
      <w:r>
        <w:rPr>
          <w:rFonts w:ascii="Times New Roman" w:hAnsi="Times New Roman"/>
          <w:sz w:val="20"/>
        </w:rPr>
        <w:t>”), FEDERAL REALTY INVESTMENT TRUST (THE “</w:t>
      </w:r>
      <w:r>
        <w:rPr>
          <w:rFonts w:ascii="Times New Roman" w:hAnsi="Times New Roman"/>
          <w:b/>
          <w:sz w:val="20"/>
        </w:rPr>
        <w:t>REIT</w:t>
      </w:r>
      <w:r>
        <w:rPr>
          <w:rFonts w:ascii="Times New Roman" w:hAnsi="Times New Roman"/>
          <w:sz w:val="20"/>
        </w:rPr>
        <w:t xml:space="preserve">”) OR A SUBSIDIARY THEREOF; OR (B)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any Note will be registered by the Note Registrar unless the applicable box on the Form of Assignment and Transfer has been checked.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Indenture (other than the provisions set forth in this </w:t>
      </w:r>
      <w:r>
        <w:rPr>
          <w:rFonts w:ascii="Times New Roman" w:hAnsi="Times New Roman"/>
          <w:sz w:val="20"/>
          <w:u w:val="single"/>
        </w:rPr>
        <w:t>Section 2.05(c)</w:t>
      </w:r>
      <w:r>
        <w:rPr>
          <w:rFonts w:ascii="Times New Roman" w:hAnsi="Times New Roman"/>
          <w:sz w:val="20"/>
        </w:rPr>
        <w:t xml:space="preserve">),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The Trustee shall have no liability or responsibility for the action or inaction of the Depositary or any other clearing agency. </w:t>
      </w:r>
    </w:p>
    <w:p>
      <w:pPr>
        <w:pStyle w:val="TextBody"/>
        <w:bidi w:val="0"/>
        <w:spacing w:before="240" w:after="0"/>
        <w:jc w:val="left"/>
        <w:rPr>
          <w:rFonts w:ascii="Times New Roman" w:hAnsi="Times New Roman"/>
          <w:sz w:val="20"/>
        </w:rPr>
      </w:pPr>
      <w:r>
        <w:rPr>
          <w:rFonts w:ascii="Times New Roman" w:hAnsi="Times New Roman"/>
          <w:sz w:val="20"/>
        </w:rPr>
        <w:t xml:space="preserve">If (i) the Depositary notifies the Company at any time that the Depositary is unwilling, unable or no longer permitted under applicable law to continue as depositary for the Global Notes and a successor depositary is not appointed within 90 days, (ii) the Company notifies the Trustee that the Company wishes to terminate the Global Notes (or reduce the principal amount of such Global Notes) and the beneficial owners of the majority of the principal amount of such Global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consent to such termination,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Physical Notes issued in exchange for all or a part of the Global Notes pursuant to this </w:t>
      </w:r>
      <w:r>
        <w:rPr>
          <w:rFonts w:ascii="Times New Roman" w:hAnsi="Times New Roman"/>
          <w:sz w:val="20"/>
          <w:u w:val="single"/>
        </w:rPr>
        <w:t>Section 2.05(c)</w:t>
      </w:r>
      <w:r>
        <w:rPr>
          <w:rFonts w:ascii="Times New Roman" w:hAnsi="Times New Roman"/>
          <w:sz w:val="20"/>
        </w:rPr>
        <w:t xml:space="preserve"> shall be registered in such names and in such authorized denominations as the Depositary, pursuant to instructions from its direct or indirect participants or otherwise, shall instruct the Trustee in writing. Upon execution and authentication, the Trustee shall deliver such Physical Notes to the Persons in whose names such Physical Notes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At such time as all interests in a Global Note have been exchanged, cancelled, repurchased or transferred, such Global Note shall be, upon receipt thereof and upon receipt of a Company Order directing the Trustee to cancel the Global Notes, cancelled by the Trustee in accordance with standing procedures and existing instructions between the Depositary and the Custodian. At any time prior to such cancellation, if any interest in a Global Note is exchanged for Physical Notes, exchanged, cancelled,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REIT, the Trustee or any agent of the Company, the REIT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w:t>
      </w:r>
    </w:p>
    <w:p>
      <w:pPr>
        <w:pStyle w:val="TextBody"/>
        <w:bidi w:val="0"/>
        <w:spacing w:before="120" w:after="0"/>
        <w:jc w:val="left"/>
        <w:rPr>
          <w:rFonts w:ascii="Times New Roman" w:hAnsi="Times New Roman"/>
          <w:sz w:val="20"/>
        </w:rPr>
      </w:pPr>
      <w:r>
        <w:rPr>
          <w:rFonts w:ascii="Times New Roman" w:hAnsi="Times New Roman"/>
          <w:sz w:val="20"/>
        </w:rPr>
        <w:t>(d) Until the date (the “</w:t>
      </w:r>
      <w:r>
        <w:rPr>
          <w:rFonts w:ascii="Times New Roman" w:hAnsi="Times New Roman"/>
          <w:b/>
          <w:sz w:val="20"/>
        </w:rPr>
        <w:t>Common Shares Resale Restriction Termination Date</w:t>
      </w:r>
      <w:r>
        <w:rPr>
          <w:rFonts w:ascii="Times New Roman" w:hAnsi="Times New Roman"/>
          <w:sz w:val="20"/>
        </w:rPr>
        <w:t xml:space="preserve">”) that is the later of (1) the date that is one year after the issuance date of the relevant Common Shares or such shorter period of time as permitted by Rule 144 under the Securities Act or any successor provision thereto, and (2) such later date, if any, as may be required by applicable law, any certificate representing Common Shares issued upon exchange of a Note shall bear a legend in substantially the following form (unless such Common Shares have been transferred pursuant to a registration statement that has become or been declared effective under the Securities Act and that continues to be effective at the time of such transfer or such Common Shares have been transferred pursuant to the exemption from registration provided by Rule 144 or any similar provision then in force under the Securities Act, or unless otherwise agreed by the Company and the REIT with written notice thereof to the Trustee and any transfer agent for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SECURITY HAS NOT BEEN REGISTERED UNDER THE UNITED STATES SECURITIES ACT OF 1933, AS AMENDED (THE “</w:t>
      </w:r>
      <w:r>
        <w:rPr>
          <w:rFonts w:ascii="Times New Roman" w:hAnsi="Times New Roman"/>
          <w:b/>
          <w:sz w:val="20"/>
        </w:rPr>
        <w:t>SECURITIES ACT</w:t>
      </w:r>
      <w:r>
        <w:rPr>
          <w:rFonts w:ascii="Times New Roman" w:hAnsi="Times New Roman"/>
          <w:sz w:val="20"/>
        </w:rPr>
        <w:t xml:space="preserve">”), AND ACCORDINGLY, MAY NOT BE OFFERED OR SOLD EXCEPT AS SET FORTH IN THE FOLLOWING SENTENCE. BY ITS ACQUISITION HEREOF, THE HOLDER AGREES (1) THAT IT WILL NOT RESELL OR OTHERWISE TRANSFER THE SECURITY EVIDENCED HEREBY, EXCEPT (A) TO FEDERAL REALTY INVESTMENT TRUST OR A SUBSIDIARY THEREOF; (B) UNDER AN EFFECTIVE REGISTRATION STATEMENT UNDER THE SECURITIES ACT; OR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FURNISH TO THE TRANSFER AGENT AND FEDERAL REALTY INVESTMENT TRUST SUCH CERTIFICATIONS, LEGAL OPINIONS OR OTHER INFORMATION AS MAY BE REQUIRED TO CONFIRM THAT SUCH TRANSFER IS BEING MADE PURSUANT TO AN EXEMPTION FROM, OR IN A TRANSACTION NOT SUBJECT TO,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such Common Shares as to which such restrictions on transfer shall have expired in accordance with their terms may, upon surrender of the certificates representing such Common Shares for exchange in accordance with the procedures of the transfer agent for the Common Shares, be exchanged for a new certificate or certificates for a like aggregate number of Common Shares, which shall not bear the restrictive legend required by this </w:t>
      </w:r>
      <w:r>
        <w:rPr>
          <w:rFonts w:ascii="Times New Roman" w:hAnsi="Times New Roman"/>
          <w:sz w:val="20"/>
          <w:u w:val="single"/>
        </w:rPr>
        <w:t>Section 2.05(d)</w:t>
      </w:r>
      <w:r>
        <w:rPr>
          <w:rFonts w:ascii="Times New Roman" w:hAnsi="Times New Roman"/>
          <w:sz w:val="20"/>
        </w:rPr>
        <w:t xml:space="preserve">. None of the Trustee, Custodian or any Note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b/>
          <w:i/>
          <w:sz w:val="20"/>
        </w:rPr>
        <w:t>Mutilated, Destroyed, Lost or Stolen Notes</w:t>
      </w:r>
      <w:r>
        <w:rPr>
          <w:rFonts w:ascii="Times New Roman" w:hAnsi="Times New Roman"/>
          <w:sz w:val="20"/>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REIT,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REIT, to the Trustee and, if applicable, to such authenticating agent evidence to their satisfaction of the destruction, loss or theft of such Note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or such authenticating agent may authenticate any such substituted Note and deliver the same upon the receipt of such security or indemnity as the Trustee, the Company, the REIT and, if applicable, such authenticating agent may require. No service charge shall be imposed by the Company, the REIT,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exchanged in accordance with </w:t>
      </w:r>
      <w:r>
        <w:rPr>
          <w:rFonts w:ascii="Times New Roman" w:hAnsi="Times New Roman"/>
          <w:sz w:val="20"/>
          <w:u w:val="single"/>
        </w:rPr>
        <w:t>Article 14</w:t>
      </w:r>
      <w:r>
        <w:rPr>
          <w:rFonts w:ascii="Times New Roman" w:hAnsi="Times New Roman"/>
          <w:sz w:val="20"/>
        </w:rPr>
        <w:t xml:space="preserve"> shall become mutilated or be destroyed, lost or stolen, the Company may, in its sole discretion, instead of issuing a substitute Note, pay or authorize the payment of or exchange or authorize the exchange of the same (without surrender thereof except in the case of a mutilated Note), as the case may be, if the applicant for such payment or exchange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Exchange Agent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Note issued pursuant to the provisions of this </w:t>
      </w:r>
      <w:r>
        <w:rPr>
          <w:rFonts w:ascii="Times New Roman" w:hAnsi="Times New Roman"/>
          <w:sz w:val="20"/>
          <w:u w:val="single"/>
        </w:rPr>
        <w:t>Section 2.06</w:t>
      </w:r>
      <w:r>
        <w:rPr>
          <w:rFonts w:ascii="Times New Roman" w:hAnsi="Times New Roman"/>
          <w:sz w:val="20"/>
        </w:rPr>
        <w:t xml:space="preserve"> by virtue of the fact that any Note is destroyed, lost or stolen shall constitute an additional contractual obligation of the Company and the REIT,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exchange, redemption or repurchase of mutilated, destroyed, lost or stolen Notes and shall preclude any and all other rights or remedies notwithstanding any law or statute existing or hereafter enacted to the contrary with respect to the replacement, payment, exchange, redemption or repurchase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b/>
          <w:i/>
          <w:sz w:val="20"/>
        </w:rPr>
        <w:t>Temporary Notes</w:t>
      </w:r>
      <w:r>
        <w:rPr>
          <w:rFonts w:ascii="Times New Roman" w:hAnsi="Times New Roman"/>
          <w:sz w:val="20"/>
        </w:rPr>
        <w:t xml:space="preserve">.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Times New Roman" w:hAnsi="Times New Roman"/>
          <w:sz w:val="20"/>
          <w:u w:val="single"/>
        </w:rPr>
        <w:t>Section 4.02</w:t>
      </w:r>
      <w:r>
        <w:rPr>
          <w:rFonts w:ascii="Times New Roman" w:hAnsi="Times New Roman"/>
          <w:sz w:val="20"/>
        </w:rPr>
        <w:t xml:space="preserve"> and the Trustee or such authenticating agent shall, upon receipt of a Company Order,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b/>
          <w:i/>
          <w:sz w:val="20"/>
        </w:rPr>
        <w:t>Cancellation of Notes Paid, Exchanged, Etc</w:t>
      </w:r>
      <w:r>
        <w:rPr>
          <w:rFonts w:ascii="Times New Roman" w:hAnsi="Times New Roman"/>
          <w:sz w:val="20"/>
        </w:rPr>
        <w:t xml:space="preserve">. The Company shall cause all Notes surrendered for the purpose of payment, repurchase, redemption, registration of transfer of Notes or exchange of Notes for other Notes or in accordance with </w:t>
      </w:r>
      <w:r>
        <w:rPr>
          <w:rFonts w:ascii="Times New Roman" w:hAnsi="Times New Roman"/>
          <w:sz w:val="20"/>
          <w:u w:val="single"/>
        </w:rPr>
        <w:t>Article 14</w:t>
      </w:r>
      <w:r>
        <w:rPr>
          <w:rFonts w:ascii="Times New Roman" w:hAnsi="Times New Roman"/>
          <w:sz w:val="20"/>
        </w:rPr>
        <w:t xml:space="preserve">, if surrendered to any Person other than the Trustee (including any of the Company’s or the REIT’s agents, Subsidiaries or Affiliates), to be surrendered to the Trustee for cancellation. All Notes delivered to the Trustee shall be cancelled promptly by it, and no Notes shall be authenticated in exchange thereof except as expressly permitted by any of the provisions of this Indenture. The Trustee shall dispose of cancelled Notes in accordance with its customary procedures and shall deliver a certificate of such disposition to the Company, at the Company’s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b/>
          <w:i/>
          <w:sz w:val="20"/>
        </w:rPr>
        <w:t>CUSIP Numbers</w:t>
      </w:r>
      <w:r>
        <w:rPr>
          <w:rFonts w:ascii="Times New Roman" w:hAnsi="Times New Roman"/>
          <w:sz w:val="20"/>
        </w:rPr>
        <w:t xml:space="preserve">.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and any such notices shall not be affected by any defect in or omission of such numbers. The Company shall promptly notify the Trustee in writing of any change in the “CUSIP”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b/>
          <w:i/>
          <w:sz w:val="20"/>
        </w:rPr>
        <w:t>Additional Notes; Repurchases</w:t>
      </w:r>
      <w:r>
        <w:rPr>
          <w:rFonts w:ascii="Times New Roman" w:hAnsi="Times New Roman"/>
          <w:sz w:val="20"/>
        </w:rPr>
        <w:t xml:space="preserve">. The Company may, without the consent of the Holders and notwithstanding </w:t>
      </w:r>
      <w:r>
        <w:rPr>
          <w:rFonts w:ascii="Times New Roman" w:hAnsi="Times New Roman"/>
          <w:sz w:val="20"/>
          <w:u w:val="single"/>
        </w:rPr>
        <w:t>Section 2.01</w:t>
      </w:r>
      <w:r>
        <w:rPr>
          <w:rFonts w:ascii="Times New Roman" w:hAnsi="Times New Roman"/>
          <w:sz w:val="20"/>
        </w:rPr>
        <w:t xml:space="preserve">, reopen this Indenture and issue additional Notes hereunder with the same terms as the Notes initially issued hereunder (other than differences in the issue price and interest accrued prior to the issue date of such additional Notes) in an unlimited aggregate principal amount; provided that such additional Notes must be part of the same issue (and part of the same series) as the Notes for U.S. federal income tax purposes.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Times New Roman" w:hAnsi="Times New Roman"/>
          <w:sz w:val="20"/>
          <w:u w:val="single"/>
        </w:rPr>
        <w:t>Section 17.05</w:t>
      </w:r>
      <w:r>
        <w:rPr>
          <w:rFonts w:ascii="Times New Roman" w:hAnsi="Times New Roman"/>
          <w:sz w:val="20"/>
        </w:rPr>
        <w:t xml:space="preserve">, that the additional Notes have been duly authorized by the Company and are enforceable against the Company in accordance with their terms, subject to customary exceptions, and such other items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pursuant to private agreements, including by cash-settled swaps or other cash-settled derivatives. The Company shall cause any Notes so repurchased (other than Notes repurchased pursuant to cash-settled swaps or other derivatives) to be surrendered to the Trustee for cancellation in accordance with </w:t>
      </w:r>
      <w:r>
        <w:rPr>
          <w:rFonts w:ascii="Times New Roman" w:hAnsi="Times New Roman"/>
          <w:sz w:val="20"/>
          <w:u w:val="single"/>
        </w:rPr>
        <w:t>Section 2.08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b/>
          <w:i/>
          <w:sz w:val="20"/>
        </w:rPr>
        <w:t>Ranking</w:t>
      </w:r>
      <w:r>
        <w:rPr>
          <w:rFonts w:ascii="Times New Roman" w:hAnsi="Times New Roman"/>
          <w:sz w:val="20"/>
        </w:rPr>
        <w:t xml:space="preserve">. The obligations of the Company arising under or in connection with this Indenture and every outstanding Note issued under this Indenture from time to time constitute and shall constitute a general unsecured senior obligation of the Company, ranking equally with existing and future senior unsecured indebtedness of the Company and ranking senior in right of payment to any existing and future indebtedness of the Company that is expressly made subordinate to the Notes by the terms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b/>
          <w:i/>
          <w:sz w:val="20"/>
        </w:rPr>
        <w:t>Satisfaction and Discharge of the Indenture</w:t>
      </w:r>
      <w:r>
        <w:rPr>
          <w:rFonts w:ascii="Times New Roman" w:hAnsi="Times New Roman"/>
          <w:sz w:val="20"/>
        </w:rPr>
        <w:t xml:space="preserve">. When (i) the Company shall deliver to the Trustee for cancellation all Notes theretofore authenticated (other than any Notes that have been destroyed, lost or stolen and in lieu of or in substitution for which other Notes shall have been authenticated and delivered or paid pursuant to </w:t>
      </w:r>
      <w:r>
        <w:rPr>
          <w:rFonts w:ascii="Times New Roman" w:hAnsi="Times New Roman"/>
          <w:sz w:val="20"/>
          <w:u w:val="single"/>
        </w:rPr>
        <w:t>Section 2.06</w:t>
      </w:r>
      <w:r>
        <w:rPr>
          <w:rFonts w:ascii="Times New Roman" w:hAnsi="Times New Roman"/>
          <w:sz w:val="20"/>
        </w:rPr>
        <w:t xml:space="preserve">) and not theretofore cancelled, or (ii) all such Notes not theretofore cancelled or delivered to the Trustee for cancellation shall have become due and payable (whether on the Maturity Date, on any Redemption Date, on any Fundamental Change Purchase Date, upon exchange or otherwise) and the Company shall deposit with the Trustee, in trust, or deliver to the Holders, as applicable, an amount of cash and (if applicable in the case of exchange) Common Shares sufficient to pay all amounts due on all of such Notes (other than any Notes that shall have been mutilated, destroyed, lost or stolen and in lieu of or in substitution for which other Notes shall have been authenticated and delivered or paid pursuant to </w:t>
      </w:r>
      <w:r>
        <w:rPr>
          <w:rFonts w:ascii="Times New Roman" w:hAnsi="Times New Roman"/>
          <w:sz w:val="20"/>
          <w:u w:val="single"/>
        </w:rPr>
        <w:t>Section 2.06</w:t>
      </w:r>
      <w:r>
        <w:rPr>
          <w:rFonts w:ascii="Times New Roman" w:hAnsi="Times New Roman"/>
          <w:sz w:val="20"/>
        </w:rPr>
        <w:t xml:space="preserve">) not theretofore cancelled or delivered to the Trustee for cancellation, including principal and interest due, and if the Company shall also pay or cause to be paid all other sums payable hereunder by the Company, then the Indenture shall cease to be of further effect with respect to the Notes (except as to (i) rights hereunder of Holders to receive all amounts owing upon the Notes and the other rights, duties and obligations of Holders, as beneficiaries hereof with respect to the amounts, if any, so deposited with the Trustee and (ii) the rights, obligations, indemnities and immunities of the Trustee under the Indenture), and the Trustee, on written demand of the Company accompanied by an Officer’s Certificate and an Opinion of Counsel, each stating that all conditions precedent herein provided for relating to the satisfaction and discharge of this Indenture and the entire indebtedness on the Notes have been complied with, and at the cost and expense of the Company, shall execute proper instruments acknowledging satisfaction and discharge of the Indenture with respect to the Notes; the Company, however, hereby agrees to reimburse the Trustee for any costs or expenses thereafter reasonably and properly incurred by the Trustee, including the fees and expenses of its counsel, and to compensate the Trustee for any services thereafter reasonably and properly rendered by the Trustee in connection with the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b/>
          <w:i/>
          <w:sz w:val="20"/>
        </w:rPr>
        <w:t>Deposited Monies to Be Held in Trust by Trustee</w:t>
      </w:r>
      <w:r>
        <w:rPr>
          <w:rFonts w:ascii="Times New Roman" w:hAnsi="Times New Roman"/>
          <w:sz w:val="20"/>
        </w:rPr>
        <w:t xml:space="preserve">. Subject to </w:t>
      </w:r>
      <w:r>
        <w:rPr>
          <w:rFonts w:ascii="Times New Roman" w:hAnsi="Times New Roman"/>
          <w:sz w:val="20"/>
          <w:u w:val="single"/>
        </w:rPr>
        <w:t>Section 4.04(d)</w:t>
      </w:r>
      <w:r>
        <w:rPr>
          <w:rFonts w:ascii="Times New Roman" w:hAnsi="Times New Roman"/>
          <w:sz w:val="20"/>
        </w:rPr>
        <w:t xml:space="preserve"> hereof, all monies, if any, deposited with the Trustee pursuant to </w:t>
      </w:r>
      <w:r>
        <w:rPr>
          <w:rFonts w:ascii="Times New Roman" w:hAnsi="Times New Roman"/>
          <w:sz w:val="20"/>
          <w:u w:val="single"/>
        </w:rPr>
        <w:t>Section 3.01</w:t>
      </w:r>
      <w:r>
        <w:rPr>
          <w:rFonts w:ascii="Times New Roman" w:hAnsi="Times New Roman"/>
          <w:sz w:val="20"/>
        </w:rPr>
        <w:t xml:space="preserve"> hereof shall be held in trust for the sole benefit of the Holders of the Notes, and such monies shall be applied by the Trustee to the payment, either directly or through any Paying Agent (including the Company if acting as its own Paying Agent), to the Holders of the particular Notes for the payment or settlement of which such monies have been deposited with the Trustee, of all sums or amounts due and to become due thereon for principal and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b/>
          <w:i/>
          <w:sz w:val="20"/>
        </w:rPr>
        <w:t>Paying Agent to Repay Monies Held</w:t>
      </w:r>
      <w:r>
        <w:rPr>
          <w:rFonts w:ascii="Times New Roman" w:hAnsi="Times New Roman"/>
          <w:sz w:val="20"/>
        </w:rPr>
        <w:t xml:space="preserve">. Upon the satisfaction and discharge of the Indenture with respect to the Notes, all monies and Common Shares, if any, then held by any Paying Agent (if other than the Trustee) with respect to the Notes shall, upon written request of the Company, be repaid to it or paid to the Trustee, and thereupon such Paying Agent shall be released from all further liability with respect to such monies.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b/>
          <w:i/>
          <w:sz w:val="20"/>
        </w:rPr>
        <w:t>Reinstatement</w:t>
      </w:r>
      <w:r>
        <w:rPr>
          <w:rFonts w:ascii="Times New Roman" w:hAnsi="Times New Roman"/>
          <w:sz w:val="20"/>
        </w:rPr>
        <w:t xml:space="preserve">. If the Trustee or the Paying Agent is unable to apply any money in accordance with </w:t>
      </w:r>
      <w:r>
        <w:rPr>
          <w:rFonts w:ascii="Times New Roman" w:hAnsi="Times New Roman"/>
          <w:sz w:val="20"/>
          <w:u w:val="single"/>
        </w:rPr>
        <w:t>Section 3.02</w:t>
      </w:r>
      <w:r>
        <w:rPr>
          <w:rFonts w:ascii="Times New Roman" w:hAnsi="Times New Roman"/>
          <w:sz w:val="20"/>
        </w:rPr>
        <w:t xml:space="preserve"> by reason of any order or judgment of any court or governmental authority enjoining, restraining or otherwise prohibiting such application, the Company’s obligations under the Indenture and the Notes shall be revived and reinstated as though no deposit had occurred pursuant to </w:t>
      </w:r>
      <w:r>
        <w:rPr>
          <w:rFonts w:ascii="Times New Roman" w:hAnsi="Times New Roman"/>
          <w:sz w:val="20"/>
          <w:u w:val="single"/>
        </w:rPr>
        <w:t>Section 3.01</w:t>
      </w:r>
      <w:r>
        <w:rPr>
          <w:rFonts w:ascii="Times New Roman" w:hAnsi="Times New Roman"/>
          <w:sz w:val="20"/>
        </w:rPr>
        <w:t xml:space="preserve"> until such time as the Trustee or the Paying Agent is permitted to apply all such money in accordance with </w:t>
      </w:r>
      <w:r>
        <w:rPr>
          <w:rFonts w:ascii="Times New Roman" w:hAnsi="Times New Roman"/>
          <w:sz w:val="20"/>
          <w:u w:val="single"/>
        </w:rPr>
        <w:t>Section 3.02</w:t>
      </w:r>
      <w:r>
        <w:rPr>
          <w:rFonts w:ascii="Times New Roman" w:hAnsi="Times New Roman"/>
          <w:sz w:val="20"/>
        </w:rPr>
        <w:t xml:space="preserve">; provided, however, that if the Company makes any payment of interest on, principal of or payment or delivery in respect of any Note following the reinstatement of its obligations, the Company shall be subrogated to the rights of the Holders of such Notes to receive such payment from the money, if any,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PARTICULAR COVENANTS OF THE COMPANY AND/OR THE REIT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b/>
          <w:i/>
          <w:sz w:val="20"/>
        </w:rPr>
        <w:t>Payment of Principal and Interest</w:t>
      </w:r>
      <w:r>
        <w:rPr>
          <w:rFonts w:ascii="Times New Roman" w:hAnsi="Times New Roman"/>
          <w:sz w:val="20"/>
        </w:rPr>
        <w:t xml:space="preserve">. The Company covenants and agrees that it will cause to be paid the principal (including the Fundamental Change Purchase Price, if applicable) of, and accrued and unpaid interest on, each of the Notes at the places, at the respective times and in the manner provided herein and in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b/>
          <w:i/>
          <w:sz w:val="20"/>
        </w:rPr>
        <w:t>Maintenance of Office or Agency</w:t>
      </w:r>
      <w:r>
        <w:rPr>
          <w:rFonts w:ascii="Times New Roman" w:hAnsi="Times New Roman"/>
          <w:sz w:val="20"/>
        </w:rPr>
        <w:t xml:space="preserve">. The Company will maintain in the continental United States an office or agency where the Notes may be surrendered for registration of transfer of Notes or exchange of Notes for other Notes or for presentation for payment or repurchase (“Paying Agent”) or for exchange in accordance with </w:t>
      </w:r>
      <w:r>
        <w:rPr>
          <w:rFonts w:ascii="Times New Roman" w:hAnsi="Times New Roman"/>
          <w:sz w:val="20"/>
          <w:u w:val="single"/>
        </w:rPr>
        <w:t>Article 14</w:t>
      </w:r>
      <w:r>
        <w:rPr>
          <w:rFonts w:ascii="Times New Roman" w:hAnsi="Times New Roman"/>
          <w:sz w:val="20"/>
        </w:rPr>
        <w:t xml:space="preserve"> (“Exchange Agent”) and where notices and demands to or upon the Company in respect of the Notes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provided that nothing herein shall be deemed to constitute the Trustee as an agent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“Paying Agent” and “Exchange Agent” include any such additional or other offices or agencies,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initially designates the Trustee as the Paying Agent, Note Registrar, Custodian and Exchange Agent and the Corporate Trust Office as the office or agency in the continental United States where Notes may be surrendered for registration of transfer of Notes or exchange of Notes for other Notes or for presentation for payment or repurchase or for exchange in accordance with </w:t>
      </w:r>
      <w:r>
        <w:rPr>
          <w:rFonts w:ascii="Times New Roman" w:hAnsi="Times New Roman"/>
          <w:sz w:val="20"/>
          <w:u w:val="single"/>
        </w:rPr>
        <w:t>Article 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b/>
          <w:i/>
          <w:sz w:val="20"/>
        </w:rPr>
        <w:t>Appointments to Fill Vacancies in Trustee</w:t>
      </w:r>
      <w:r>
        <w:rPr>
          <w:rFonts w:ascii="Times New Roman" w:hAnsi="Times New Roman"/>
          <w:sz w:val="20"/>
        </w:rPr>
        <w:t>’</w:t>
      </w:r>
      <w:r>
        <w:rPr>
          <w:rFonts w:ascii="Times New Roman" w:hAnsi="Times New Roman"/>
          <w:b/>
          <w:i/>
          <w:sz w:val="20"/>
        </w:rPr>
        <w:t>s Office</w:t>
      </w:r>
      <w:r>
        <w:rPr>
          <w:rFonts w:ascii="Times New Roman" w:hAnsi="Times New Roman"/>
          <w:sz w:val="20"/>
        </w:rPr>
        <w:t xml:space="preserve">. The Company, whenever necessary to avoid or fill a vacancy in the office of Trustee, will appoint, in the manner provided in </w:t>
      </w:r>
      <w:r>
        <w:rPr>
          <w:rFonts w:ascii="Times New Roman" w:hAnsi="Times New Roman"/>
          <w:sz w:val="20"/>
          <w:u w:val="single"/>
        </w:rPr>
        <w:t>Section 7.09</w:t>
      </w:r>
      <w:r>
        <w:rPr>
          <w:rFonts w:ascii="Times New Roman" w:hAnsi="Times New Roman"/>
          <w:sz w:val="20"/>
        </w:rPr>
        <w:t xml:space="preserve">,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b/>
          <w:i/>
          <w:sz w:val="20"/>
        </w:rPr>
        <w:t>Provisions as to Paying Agent</w:t>
      </w:r>
      <w:r>
        <w:rPr>
          <w:rFonts w:ascii="Times New Roman" w:hAnsi="Times New Roman"/>
          <w:sz w:val="20"/>
        </w:rPr>
        <w:t xml:space="preserve">. (a) If the Company shall appoint a Paying Agent other than the Trustee, the Company will cause such Paying Agent to execute and deliver to the Trustee an instrument in which such agent shall agree with the Trustee, subject to the provisions of this </w:t>
      </w:r>
      <w:r>
        <w:rPr>
          <w:rFonts w:ascii="Times New Roman" w:hAnsi="Times New Roman"/>
          <w:sz w:val="20"/>
          <w:u w:val="single"/>
        </w:rPr>
        <w:t>Section 4.04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(including the Redemption Price and the Fundamental Change Purchase Price, if applicable) of, and accrued and unpaid interest on, the Notes in trust for the benefit of the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(ii) that it will give the Trustee prompt notice of any failure by the Company to make any payment of the principal (including the Redemption Price and the Fundamental Change Purchase Price, if applicable) of, and accrued and unpaid interest on, the Notes when the same shall be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(iii) that at any time during the continuance of an Event of Default, upon request of the Trustee, it will forthwith pay to the Trustee all sums so held in trust.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on or before each due date of the principal (including the Redemption Price and the Fundamental Change Purchase Price, if applicable) of, or accrued and unpaid interest on, the Notes, deposit with the Paying Agent a sum sufficient to pay such principal (including the Redemption Price and the Fundamental Change Purchase Price, if applicable) or accrued and unpaid interest, and (unless such Paying Agent is the Trustee) the Company will promptly notify the Trustee of any failure to take such action; provided that if such deposit is made on the due date, such deposit must be received by the Paying Agent by 11:00 a.m., New York City time, on such date.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shall act as its own Paying Agent, it will, on or before each due date of the principal (including the Redemption Price and the Fundamental Change Purchase Price, if applicable) of, and accrued and unpaid interest on, the Notes, set aside, segregate and hold in trust for the benefit of the Holders of the Notes a sum sufficient to pay such principal (including the Redemption Price and the Fundamental Change 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Purchase Price, if applicable) of, or accrued and unpaid interest on, the Notes when the same shall become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(c) Anything in this </w:t>
      </w:r>
      <w:r>
        <w:rPr>
          <w:rFonts w:ascii="Times New Roman" w:hAnsi="Times New Roman"/>
          <w:sz w:val="20"/>
          <w:u w:val="single"/>
        </w:rPr>
        <w:t>Section 4.04</w:t>
      </w:r>
      <w:r>
        <w:rPr>
          <w:rFonts w:ascii="Times New Roman" w:hAnsi="Times New Roman"/>
          <w:sz w:val="20"/>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Times New Roman" w:hAnsi="Times New Roman"/>
          <w:sz w:val="20"/>
          <w:u w:val="single"/>
        </w:rPr>
        <w:t>Section 4.04</w:t>
      </w:r>
      <w:r>
        <w:rPr>
          <w:rFonts w:ascii="Times New Roman" w:hAnsi="Times New Roman"/>
          <w:sz w:val="20"/>
        </w:rPr>
        <w:t xml:space="preserve">,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money deposited with the Trustee or any Paying Agent, or then held by the Company, in trust for the payment of the principal (including the Redemption Price and the Fundamental Change Purchase Price, if applicable) of, accrued and unpaid interest on and the consideration due upon exchange of any Note and remaining unclaimed for two years after such principal (including the Redemption Price and the Fundamental Change Purchase Price, if applicable), interest or consideration due upon exchange has become due and payable shall, subject to applicable escheat laws,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Common Shares, and all liability of the Company as trustee thereof, shall thereupon cease; provided, however, that prior to the Trustee or such Paying Agent making any such repayment, the Company shall publish in a newspaper of general circulation in New York City or publish such information on the Company’s website or through such other public medium as the Company deems appropriate at that time, a notice that such money and Common Shares remain unclaimed and that, after a date specified therein, which shall not be less than 30 days from the date of such publication, any unclaimed balance of such money and Common Shares then remaining will be repaid or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b/>
          <w:i/>
          <w:sz w:val="20"/>
        </w:rPr>
        <w:t>Existence</w:t>
      </w:r>
      <w:r>
        <w:rPr>
          <w:rFonts w:ascii="Times New Roman" w:hAnsi="Times New Roman"/>
          <w:sz w:val="20"/>
        </w:rPr>
        <w:t xml:space="preserve">. Subject to </w:t>
      </w:r>
      <w:r>
        <w:rPr>
          <w:rFonts w:ascii="Times New Roman" w:hAnsi="Times New Roman"/>
          <w:sz w:val="20"/>
          <w:u w:val="single"/>
        </w:rPr>
        <w:t>Article 11</w:t>
      </w:r>
      <w:r>
        <w:rPr>
          <w:rFonts w:ascii="Times New Roman" w:hAnsi="Times New Roman"/>
          <w:sz w:val="20"/>
        </w:rPr>
        <w:t xml:space="preserve">, each of the Company and the REIT shall do or cause to be done all things necessary to preserve and keep in full force and effect its existence.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b/>
          <w:i/>
          <w:sz w:val="20"/>
        </w:rPr>
        <w:t>Rule 144A Information Requirement and Annual Reports</w:t>
      </w:r>
      <w:r>
        <w:rPr>
          <w:rFonts w:ascii="Times New Roman" w:hAnsi="Times New Roman"/>
          <w:sz w:val="20"/>
        </w:rPr>
        <w:t xml:space="preserve">. (a) At any time the REIT (or the Company in lieu of the REIT) is not subject to Section 13 or 15(d) of the Exchange Act, the Company and the REIT shall, so long as any of the Notes or any Common Shares issuable upon exchange thereof will, at such time, constitute “restricted securities” within the meaning of Rule 144(a)(3) under the Securities Act, promptly provide to the Trustee and furnish to the Holders, beneficial owners and prospective purchasers of the Notes and of any Common Shares delivered upon exchange of the Notes, upon their written request, the information required to be delivered pursuant to Rule 144A(d)(4) under the Securities Act to facilitate the resale of the Notes and such Common Shares pursuant to Rule 144A. The Company shall take such further action as any Holder or beneficial owner of such Notes may reasonably request to the extent from time to time required to enable such Holder or beneficial owner to sell such Notes or Common Shares in accordance with Rule 144A, as such rule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file with the Trustee, within 15 days after the same are required to be filed by the REIT with the Commission, copies of any documents or reports that the REIT is required to file with the Commission pursuant to Section 13 or 15(d) of the Exchange Act (giving effect to any grace period provided by Rule 12b-25 under the Exchange Act). Any such document or report that the REIT files with the Commission via the Commission’s EDGAR system (or any successor thereto) shall be deemed to be filed with the Trustee for purposes of this </w:t>
      </w:r>
      <w:r>
        <w:rPr>
          <w:rFonts w:ascii="Times New Roman" w:hAnsi="Times New Roman"/>
          <w:sz w:val="20"/>
          <w:u w:val="single"/>
        </w:rPr>
        <w:t>Section 4.06(b)</w:t>
      </w:r>
      <w:r>
        <w:rPr>
          <w:rFonts w:ascii="Times New Roman" w:hAnsi="Times New Roman"/>
          <w:sz w:val="20"/>
        </w:rPr>
        <w:t xml:space="preserve"> at the time such documents are filed via the EDGAR system (or such successor thereto); provided, however, that the Trustee shall have no responsibility whatsoever to determine if such filing has occurred. The “grace period” referred to in the preceding paragraph with respect to any report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 the maximum period afforded by Rule 12b-25 under the Exchange Act regardless of whether the REIT files, or indicates in the related Form 12b-25 that the REIT expects to or will file, such report before the expiration of such maximum period. For the avoidance of doubt, if the REIT fails to file with the Commission any report pursuant to Section 13 or 15(d) of the Exchange Act (other than Current Reports on Form 8-K) on or before the date that the REIT is required to file the same (after giving effect to any applicable grace period as described above), then such failure will not constitute a Default with respect to the covenant set forth in this Section 4.06(b) at any time before the lapsing of the 15 day period referred to in the first sentence of this Section 4.06(b).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have no duty to review or analyze reports delivered to it. Delivery of the reports and documents described in subsection (b) above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b/>
          <w:i/>
          <w:sz w:val="20"/>
        </w:rPr>
        <w:t>Stay, Extension and Usury Laws</w:t>
      </w:r>
      <w:r>
        <w:rPr>
          <w:rFonts w:ascii="Times New Roman" w:hAnsi="Times New Roman"/>
          <w:sz w:val="20"/>
        </w:rPr>
        <w:t xml:space="preserve">. Each of the Company and the REIT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each of the Company and the REIT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b/>
          <w:i/>
          <w:sz w:val="20"/>
        </w:rPr>
        <w:t>Compliance Certificate; Statements as to Defaults</w:t>
      </w:r>
      <w:r>
        <w:rPr>
          <w:rFonts w:ascii="Times New Roman" w:hAnsi="Times New Roman"/>
          <w:sz w:val="20"/>
        </w:rPr>
        <w:t xml:space="preserve">. The Company shall deliver to the Trustee within 120 days after the end of each fiscal year of the Company (beginning with the fiscal year ending on December 31, 2026) an Officer’s Certificate stating (1) that a review has been conducted of the activities of the Company, its Subsidiaries and of the REIT and their respective performance under this Indenture and (2) that the Company and the REIT have fulfilled all obligations under this Indenture (such compliance to be determined without regard to any period of grace or requirement of notice provided under this Indenture) or specifying any Event of Default and the nature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deliver to the Trustee within 30 days after an Officer of the Company becomes aware of the occurrence of any Default or Event of Default, an Officer’s Certificate setting forth the details of such Default or Event of Default, its status and the action that the Company is taking or proposing to take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4.09. </w:t>
      </w:r>
      <w:r>
        <w:rPr>
          <w:rFonts w:ascii="Times New Roman" w:hAnsi="Times New Roman"/>
          <w:b/>
          <w:i/>
          <w:sz w:val="20"/>
        </w:rPr>
        <w:t>Additional Interest Notice</w:t>
      </w:r>
      <w:r>
        <w:rPr>
          <w:rFonts w:ascii="Times New Roman" w:hAnsi="Times New Roman"/>
          <w:sz w:val="20"/>
        </w:rPr>
        <w:t xml:space="preserve">. If Additional Interest is payable by the Company pursuant to </w:t>
      </w:r>
      <w:r>
        <w:rPr>
          <w:rFonts w:ascii="Times New Roman" w:hAnsi="Times New Roman"/>
          <w:sz w:val="20"/>
          <w:u w:val="single"/>
        </w:rPr>
        <w:t>Section 6.03</w:t>
      </w:r>
      <w:r>
        <w:rPr>
          <w:rFonts w:ascii="Times New Roman" w:hAnsi="Times New Roman"/>
          <w:sz w:val="20"/>
        </w:rPr>
        <w:t xml:space="preserve"> or the Registration Rights Agreement, the Company shall deliver to the Trustee prior to the applicable payment date an Officer’s Certificate to that effect stating (a) the amount of such Additional Interest that is payable and (b) the date on which such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them, the Company shall deliver to the Trustee promptly following such payment an Officer’s Certificate setting forth the particulars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b/>
          <w:i/>
          <w:sz w:val="20"/>
        </w:rPr>
        <w:t>Covenant to Take Certain Actions</w:t>
      </w:r>
      <w:r>
        <w:rPr>
          <w:rFonts w:ascii="Times New Roman" w:hAnsi="Times New Roman"/>
          <w:sz w:val="20"/>
        </w:rPr>
        <w:t xml:space="preserve">. Before taking any action which would cause an adjustment to the Exchange Rate such that the Exchange Price per Common Share issuable upon exchange of the Notes would be less than the par value of the Common Shares, the REIT shall take all corporate actions that may, in the opinion of its counsel, be necessary so it may validly and legally issue Common Shares at such adjusted Exchange Rate.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LISTS OF HOLDERS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b/>
          <w:i/>
          <w:sz w:val="20"/>
        </w:rPr>
        <w:t>Lists of Holders</w:t>
      </w:r>
      <w:r>
        <w:rPr>
          <w:rFonts w:ascii="Times New Roman" w:hAnsi="Times New Roman"/>
          <w:sz w:val="20"/>
        </w:rPr>
        <w:t xml:space="preserve">. The Company and the REIT covenant and agree that they will furnish or cause to be furnished to the Trustee, semi-annually, not more than 10 days after each February 1 and August 1 in each year beginning with February 1, 2027,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b/>
          <w:i/>
          <w:sz w:val="20"/>
        </w:rPr>
        <w:t>Preservation and Disclosure of Lists</w:t>
      </w:r>
      <w:r>
        <w:rPr>
          <w:rFonts w:ascii="Times New Roman" w:hAnsi="Times New Roman"/>
          <w:sz w:val="20"/>
        </w:rPr>
        <w:t xml:space="preserve">. The Trustee shall preserve, in as current a form as is reasonably practicable, all information as to the names and addresses of the Holders contained in the most recent list furnished to it as provided in </w:t>
      </w:r>
      <w:r>
        <w:rPr>
          <w:rFonts w:ascii="Times New Roman" w:hAnsi="Times New Roman"/>
          <w:sz w:val="20"/>
          <w:u w:val="single"/>
        </w:rPr>
        <w:t>Section 5.01</w:t>
      </w:r>
      <w:r>
        <w:rPr>
          <w:rFonts w:ascii="Times New Roman" w:hAnsi="Times New Roman"/>
          <w:sz w:val="20"/>
        </w:rPr>
        <w:t xml:space="preserve"> or maintained by the Trustee in its capacity as Note Registrar, if so acting. The Trustee may destroy any list furnished to it as provided in </w:t>
      </w:r>
      <w:r>
        <w:rPr>
          <w:rFonts w:ascii="Times New Roman" w:hAnsi="Times New Roman"/>
          <w:sz w:val="20"/>
          <w:u w:val="single"/>
        </w:rPr>
        <w:t>Section 5.01</w:t>
      </w:r>
      <w:r>
        <w:rPr>
          <w:rFonts w:ascii="Times New Roman" w:hAnsi="Times New Roman"/>
          <w:sz w:val="20"/>
        </w:rPr>
        <w:t xml:space="preserve"> upon receipt of a new list so furnished.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b/>
          <w:i/>
          <w:sz w:val="20"/>
        </w:rPr>
        <w:t>Events of Default</w:t>
      </w:r>
      <w:r>
        <w:rPr>
          <w:rFonts w:ascii="Times New Roman" w:hAnsi="Times New Roman"/>
          <w:sz w:val="20"/>
        </w:rPr>
        <w:t xml:space="preserve">. Each of the following events shall be an “Event of Default”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(a) default in any payment of interest on any Note when due and payable, and the default continues for a period of 30 days;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the principal of any Note (including the Fundamental Change Purchase Price or the Redemption Price) when due and payable on the Maturity Date, upon redemption, upon required repurchase, upon declaration of acceleration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failure by the Company to comply with its obligation to exchange the Notes in accordance with the terms of this Indenture upon exercise of a Holder’s exchange right, and such failure continues for five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(d) failure by the Company to comply with its obligations under </w:t>
      </w:r>
      <w:r>
        <w:rPr>
          <w:rFonts w:ascii="Times New Roman" w:hAnsi="Times New Roman"/>
          <w:sz w:val="20"/>
          <w:u w:val="single"/>
        </w:rPr>
        <w:t>Article 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failure by the Company to issue a notice in accordance with the provisions of </w:t>
      </w:r>
      <w:r>
        <w:rPr>
          <w:rFonts w:ascii="Times New Roman" w:hAnsi="Times New Roman"/>
          <w:sz w:val="20"/>
          <w:u w:val="single"/>
        </w:rPr>
        <w:t>Section 15.02(b)</w:t>
      </w:r>
      <w:r>
        <w:rPr>
          <w:rFonts w:ascii="Times New Roman" w:hAnsi="Times New Roman"/>
          <w:sz w:val="20"/>
        </w:rPr>
        <w:t xml:space="preserve"> or notice of a specified corporate transaction in accordance with the provisions of </w:t>
      </w:r>
      <w:r>
        <w:rPr>
          <w:rFonts w:ascii="Times New Roman" w:hAnsi="Times New Roman"/>
          <w:sz w:val="20"/>
          <w:u w:val="single"/>
        </w:rPr>
        <w:t>Section 14.01(b)(4)</w:t>
      </w:r>
      <w:r>
        <w:rPr>
          <w:rFonts w:ascii="Times New Roman" w:hAnsi="Times New Roman"/>
          <w:sz w:val="20"/>
        </w:rPr>
        <w:t xml:space="preserve"> or </w:t>
      </w:r>
      <w:r>
        <w:rPr>
          <w:rFonts w:ascii="Times New Roman" w:hAnsi="Times New Roman"/>
          <w:sz w:val="20"/>
          <w:u w:val="single"/>
        </w:rPr>
        <w:t>Section 14.01(b)(5)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failure by the Company for 60 days after written notice from the Trustee or the Holders of at least 25% in principal amount of the Notes then outstanding (a copy of which notice, if given by Holders, must also be given to the Trustee) has been received by the Company to comply with any of its other agreements contained in the Notes or this Indenture (other than a covenant or warranty a default in whose performance or whose breach is elsewhere in this </w:t>
      </w:r>
      <w:r>
        <w:rPr>
          <w:rFonts w:ascii="Times New Roman" w:hAnsi="Times New Roman"/>
          <w:sz w:val="20"/>
          <w:u w:val="single"/>
        </w:rPr>
        <w:t>Section 6.01</w:t>
      </w:r>
      <w:r>
        <w:rPr>
          <w:rFonts w:ascii="Times New Roman" w:hAnsi="Times New Roman"/>
          <w:sz w:val="20"/>
        </w:rPr>
        <w:t xml:space="preserve"> specifically provided for or that is not applicable to the Notes), which notice shall state that it is a “</w:t>
      </w:r>
      <w:r>
        <w:rPr>
          <w:rFonts w:ascii="Times New Roman" w:hAnsi="Times New Roman"/>
          <w:b/>
          <w:sz w:val="20"/>
        </w:rPr>
        <w:t>Notice of Default</w:t>
      </w:r>
      <w:r>
        <w:rPr>
          <w:rFonts w:ascii="Times New Roman" w:hAnsi="Times New Roman"/>
          <w:sz w:val="20"/>
        </w:rPr>
        <w:t xml:space="preserve">” hereunder; </w:t>
      </w:r>
    </w:p>
    <w:p>
      <w:pPr>
        <w:pStyle w:val="TextBody"/>
        <w:bidi w:val="0"/>
        <w:spacing w:before="120" w:after="0"/>
        <w:jc w:val="left"/>
        <w:rPr>
          <w:rFonts w:ascii="Times New Roman" w:hAnsi="Times New Roman"/>
          <w:sz w:val="20"/>
        </w:rPr>
      </w:pPr>
      <w:r>
        <w:rPr>
          <w:rFonts w:ascii="Times New Roman" w:hAnsi="Times New Roman"/>
          <w:sz w:val="20"/>
        </w:rPr>
        <w:t xml:space="preserve">(g) failure by the REIT or the Company, to pay beyond any applicable grace period, or the acceleration of, indebtedness of the Company or any of the Company’s Significant Subsidiaries in an aggregate amount greater than $125,000,000 (or its foreign currency equivalent at the time); </w:t>
      </w:r>
    </w:p>
    <w:p>
      <w:pPr>
        <w:pStyle w:val="TextBody"/>
        <w:bidi w:val="0"/>
        <w:spacing w:before="120" w:after="0"/>
        <w:jc w:val="left"/>
        <w:rPr>
          <w:rFonts w:ascii="Times New Roman" w:hAnsi="Times New Roman"/>
          <w:sz w:val="20"/>
        </w:rPr>
      </w:pPr>
      <w:r>
        <w:rPr>
          <w:rFonts w:ascii="Times New Roman" w:hAnsi="Times New Roman"/>
          <w:sz w:val="20"/>
        </w:rPr>
        <w:t xml:space="preserve">(h) the Company, the REIT or any Significant Subsidiary of the REIT shall commence a voluntary case or other proceeding seeking the liquidation, reorganization or other relief with respect to the Company, the REIT or such Significant Subsidiary or its debts under any bankruptcy, insolvency or other similar law now or hereafter in effect or seeking the appointment of a trustee, receiver, liquidator, custodian or other similar official of the Company, the REIT or such Significant Subsidiary or any substantial part of the Company’s, the REIT’s or such Significant Subsidiary’s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(i) an involuntary case or other proceeding shall be commenced against the Company, the REIT or any Significant Subsidiary of the REIT seeking liquidation, reorganization or other relief with respect to the Company, the REIT or such Significant Subsidiary or its debts under any bankruptcy, insolvency or other similar law now or hereafter in effect or seeking the appointment of a trustee, receiver, liquidator, custodian or other similar official of the Company, the REIT or such Significant Subsidiary or any substantial part of its property, and such involuntary case or other proceeding shall remain undismissed and unstayed for a period of 30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b/>
          <w:i/>
          <w:sz w:val="20"/>
        </w:rPr>
        <w:t>Acceleration; Rescission and Annulment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Times New Roman" w:hAnsi="Times New Roman"/>
          <w:sz w:val="20"/>
          <w:u w:val="single"/>
        </w:rPr>
        <w:t>Section 6.01(h)</w:t>
      </w:r>
      <w:r>
        <w:rPr>
          <w:rFonts w:ascii="Times New Roman" w:hAnsi="Times New Roman"/>
          <w:sz w:val="20"/>
        </w:rPr>
        <w:t xml:space="preserve"> or </w:t>
      </w:r>
      <w:r>
        <w:rPr>
          <w:rFonts w:ascii="Times New Roman" w:hAnsi="Times New Roman"/>
          <w:sz w:val="20"/>
          <w:u w:val="single"/>
        </w:rPr>
        <w:t>Section 6.01(i)</w:t>
      </w:r>
      <w:r>
        <w:rPr>
          <w:rFonts w:ascii="Times New Roman" w:hAnsi="Times New Roman"/>
          <w:sz w:val="20"/>
        </w:rPr>
        <w:t xml:space="preserve">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the REIT (and not solely with respect to a Significant Subsidiary of the REIT), unless the principal of all of the Notes shall have already become due and payable, either the Trustee or the Holders of at least 25% in aggregate principal amount of the Notes then outstanding, by notice in writing to the Company (and to the Trustee if given by the Holders), may declare 100% of the principal of, and accrued and unpaid interest, if any, on all the Notes to be due and payable immediately. </w:t>
      </w:r>
    </w:p>
    <w:p>
      <w:pPr>
        <w:pStyle w:val="TextBody"/>
        <w:bidi w:val="0"/>
        <w:spacing w:before="120" w:after="0"/>
        <w:jc w:val="left"/>
        <w:rPr>
          <w:rFonts w:ascii="Times New Roman" w:hAnsi="Times New Roman"/>
          <w:sz w:val="20"/>
        </w:rPr>
      </w:pPr>
      <w:r>
        <w:rPr>
          <w:rFonts w:ascii="Times New Roman" w:hAnsi="Times New Roman"/>
          <w:sz w:val="20"/>
        </w:rPr>
        <w:t xml:space="preserve">(b) If an Event of Default specified in </w:t>
      </w:r>
      <w:r>
        <w:rPr>
          <w:rFonts w:ascii="Times New Roman" w:hAnsi="Times New Roman"/>
          <w:sz w:val="20"/>
          <w:u w:val="single"/>
        </w:rPr>
        <w:t>Section 6.01(h)</w:t>
      </w:r>
      <w:r>
        <w:rPr>
          <w:rFonts w:ascii="Times New Roman" w:hAnsi="Times New Roman"/>
          <w:sz w:val="20"/>
        </w:rPr>
        <w:t xml:space="preserve"> or </w:t>
      </w:r>
      <w:r>
        <w:rPr>
          <w:rFonts w:ascii="Times New Roman" w:hAnsi="Times New Roman"/>
          <w:sz w:val="20"/>
          <w:u w:val="single"/>
        </w:rPr>
        <w:t>Section 6.01(i)</w:t>
      </w:r>
      <w:r>
        <w:rPr>
          <w:rFonts w:ascii="Times New Roman" w:hAnsi="Times New Roman"/>
          <w:sz w:val="20"/>
        </w:rPr>
        <w:t xml:space="preserve"> with respect to the Company or the REIT (and not solely with respect to a Significant Subsidiary of the REIT) occurs and is continuing, the principal of, and accrued and unpaid interest, if any, on all Notes shall be immediately due and payable. </w:t>
      </w:r>
    </w:p>
    <w:p>
      <w:pPr>
        <w:pStyle w:val="TextBody"/>
        <w:bidi w:val="0"/>
        <w:spacing w:before="120" w:after="0"/>
        <w:jc w:val="left"/>
        <w:rPr>
          <w:rFonts w:ascii="Times New Roman" w:hAnsi="Times New Roman"/>
          <w:sz w:val="20"/>
        </w:rPr>
      </w:pPr>
      <w:r>
        <w:rPr>
          <w:rFonts w:ascii="Times New Roman" w:hAnsi="Times New Roman"/>
          <w:sz w:val="20"/>
        </w:rPr>
        <w:t>(c) 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hAnsi="Times New Roman"/>
          <w:i/>
          <w:sz w:val="20"/>
        </w:rPr>
        <w:t>provided</w:t>
      </w:r>
      <w:r>
        <w:rPr>
          <w:rFonts w:ascii="Times New Roman" w:hAnsi="Times New Roman"/>
          <w:sz w:val="20"/>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the Company’s breach of any covenant under this Indenture even if such breach is subsequently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b/>
          <w:i/>
          <w:sz w:val="20"/>
        </w:rPr>
        <w:t>Additional Interest</w:t>
      </w:r>
      <w:r>
        <w:rPr>
          <w:rFonts w:ascii="Times New Roman" w:hAnsi="Times New Roman"/>
          <w:sz w:val="20"/>
        </w:rPr>
        <w:t xml:space="preserve">. Notwithstanding anything in this Indenture or in the Notes to the contrary, to the extent the Company elects, the sole remedy for an Event of Default relating to the Company’s failure to comply with its obligations as set forth in </w:t>
      </w:r>
      <w:r>
        <w:rPr>
          <w:rFonts w:ascii="Times New Roman" w:hAnsi="Times New Roman"/>
          <w:sz w:val="20"/>
          <w:u w:val="single"/>
        </w:rPr>
        <w:t>Section 4.06(b)</w:t>
      </w:r>
      <w:r>
        <w:rPr>
          <w:rFonts w:ascii="Times New Roman" w:hAnsi="Times New Roman"/>
          <w:sz w:val="20"/>
        </w:rPr>
        <w:t xml:space="preserve"> (a “Reporting Event of Default”) shall, for the first 365 days after the occurrence of such an Event of Default, consist exclusively of the right to receive additional interest (the “Additional Interest”) on the Notes at a rate equal to (i) 0.25% per annum of the principal amount of the Notes outstanding for the first 180 days of the 365-day period on which such Event of Default is continuing beginning on, and including, the date on which such an Event of Default first occurs and (ii) 0.50% per annum of the Outstanding principal amount of the Notes for the remainder of such 365-day period as long as such Event of Default is continuing beginning on and including the 181st day after such Event of Default. If the Company so elects, such Additional Interest shall be payable in the same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on the same dates as the stated interest payable on the Notes and shall be in addition to, not in lieu of, any liquidated damages payable pursuant to the Registration Rights Agreement; provided that in no event shall Additional Interest pursuant to this </w:t>
      </w:r>
      <w:r>
        <w:rPr>
          <w:rFonts w:ascii="Times New Roman" w:hAnsi="Times New Roman"/>
          <w:sz w:val="20"/>
          <w:u w:val="single"/>
        </w:rPr>
        <w:t>Section 6.03</w:t>
      </w:r>
      <w:r>
        <w:rPr>
          <w:rFonts w:ascii="Times New Roman" w:hAnsi="Times New Roman"/>
          <w:sz w:val="20"/>
        </w:rPr>
        <w:t xml:space="preserve"> and liquidated damages pursuant to the Registration Rights Agreement accrue at a rate, in the aggregate, in excess of 0.50% per annum regardless of the number of events or circumstances giving rise to the requirement to pay such Additional Interest pursuant to this </w:t>
      </w:r>
      <w:r>
        <w:rPr>
          <w:rFonts w:ascii="Times New Roman" w:hAnsi="Times New Roman"/>
          <w:sz w:val="20"/>
          <w:u w:val="single"/>
        </w:rPr>
        <w:t>Section 6.03</w:t>
      </w:r>
      <w:r>
        <w:rPr>
          <w:rFonts w:ascii="Times New Roman" w:hAnsi="Times New Roman"/>
          <w:sz w:val="20"/>
        </w:rPr>
        <w:t xml:space="preserve"> and/or liquidated damages pursuant to the Registration Rights Agreement. On the 366th day after such Event of Default (if the Event of Default relating to the Company’s failure to comply with its obligations as set forth in </w:t>
      </w:r>
      <w:r>
        <w:rPr>
          <w:rFonts w:ascii="Times New Roman" w:hAnsi="Times New Roman"/>
          <w:sz w:val="20"/>
          <w:u w:val="single"/>
        </w:rPr>
        <w:t>Section 4.06(b)</w:t>
      </w:r>
      <w:r>
        <w:rPr>
          <w:rFonts w:ascii="Times New Roman" w:hAnsi="Times New Roman"/>
          <w:sz w:val="20"/>
        </w:rPr>
        <w:t xml:space="preserve"> is not cured or waived prior to such 366th day), the Notes shall be immediately subject to acceleration as provided in </w:t>
      </w:r>
      <w:r>
        <w:rPr>
          <w:rFonts w:ascii="Times New Roman" w:hAnsi="Times New Roman"/>
          <w:sz w:val="20"/>
          <w:u w:val="single"/>
        </w:rPr>
        <w:t>Section 6.02</w:t>
      </w:r>
      <w:r>
        <w:rPr>
          <w:rFonts w:ascii="Times New Roman" w:hAnsi="Times New Roman"/>
          <w:sz w:val="20"/>
        </w:rPr>
        <w:t xml:space="preserve">. In the event the Company does not elect to pay Additional Interest following an Event of Default in accordance with this </w:t>
      </w:r>
      <w:r>
        <w:rPr>
          <w:rFonts w:ascii="Times New Roman" w:hAnsi="Times New Roman"/>
          <w:sz w:val="20"/>
          <w:u w:val="single"/>
        </w:rPr>
        <w:t>Section 6.03</w:t>
      </w:r>
      <w:r>
        <w:rPr>
          <w:rFonts w:ascii="Times New Roman" w:hAnsi="Times New Roman"/>
          <w:sz w:val="20"/>
        </w:rPr>
        <w:t xml:space="preserve"> or the Company elects to make such payment but does not pay the Additional Interest when due, the Notes shall be immediately subject to acceleration as provided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elect to pay the Additional Interest as the sole remedy during the first 365 days after the occurrence of a Reporting Event of Default, the Company must notify all Holders of Notes, the Trustee and the Paying Agent of such election prior to the beginning of such 365-day period. Upon the Company’s failure to timely give such notice, the Notes will be immediately subject to acceleration as provided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b/>
          <w:i/>
          <w:sz w:val="20"/>
        </w:rPr>
        <w:t>Payments of Notes on Default; Suit Therefor</w:t>
      </w:r>
      <w:r>
        <w:rPr>
          <w:rFonts w:ascii="Times New Roman" w:hAnsi="Times New Roman"/>
          <w:sz w:val="20"/>
        </w:rPr>
        <w:t xml:space="preserve">. If an Event of Default described in clause (a) or (b) of </w:t>
      </w:r>
      <w:r>
        <w:rPr>
          <w:rFonts w:ascii="Times New Roman" w:hAnsi="Times New Roman"/>
          <w:sz w:val="20"/>
          <w:u w:val="single"/>
        </w:rPr>
        <w:t>Section 6.01</w:t>
      </w:r>
      <w:r>
        <w:rPr>
          <w:rFonts w:ascii="Times New Roman" w:hAnsi="Times New Roman"/>
          <w:sz w:val="20"/>
        </w:rPr>
        <w:t xml:space="preserve">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w:t>
      </w:r>
      <w:r>
        <w:rPr>
          <w:rFonts w:ascii="Times New Roman" w:hAnsi="Times New Roman"/>
          <w:sz w:val="20"/>
          <w:u w:val="single"/>
        </w:rPr>
        <w:t>Section 7.06</w:t>
      </w:r>
      <w:r>
        <w:rPr>
          <w:rFonts w:ascii="Times New Roman" w:hAnsi="Times New Roman"/>
          <w:sz w:val="20"/>
        </w:rPr>
        <w:t xml:space="preserve">.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Until such demand by the Trustee, the Company may pay the principal and interest, if any, on the Notes to the registered Holders, whether or not the Notes are overdue.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 w:hAnsi="Times New Roman"/>
          <w:sz w:val="20"/>
          <w:u w:val="single"/>
        </w:rPr>
        <w:t>Section 6.04</w:t>
      </w:r>
      <w:r>
        <w:rPr>
          <w:rFonts w:ascii="Times New Roman" w:hAnsi="Times New Roman"/>
          <w:sz w:val="20"/>
        </w:rPr>
        <w:t xml:space="preserve">, shall be entitled and empowered, by intervention in such proceedings or otherwise, to file and prove a claim or claims for the whole amount of principal and accrued and unpaid interest, if any, in respect of the Notes, and, in case of any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and its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Times New Roman" w:hAnsi="Times New Roman"/>
          <w:sz w:val="20"/>
          <w:u w:val="single"/>
        </w:rPr>
        <w:t>Section 7.06</w:t>
      </w:r>
      <w:r>
        <w:rPr>
          <w:rFonts w:ascii="Times New Roman" w:hAnsi="Times New Roman"/>
          <w:sz w:val="20"/>
        </w:rPr>
        <w:t xml:space="preserv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counsel fees, and including any other amounts due to the Trustee under </w:t>
      </w:r>
      <w:r>
        <w:rPr>
          <w:rFonts w:ascii="Times New Roman" w:hAnsi="Times New Roman"/>
          <w:sz w:val="20"/>
          <w:u w:val="single"/>
        </w:rPr>
        <w:t>Section 7.06</w:t>
      </w:r>
      <w:r>
        <w:rPr>
          <w:rFonts w:ascii="Times New Roman" w:hAnsi="Times New Roman"/>
          <w:sz w:val="20"/>
        </w:rPr>
        <w:t xml:space="preserve">,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and its counsel, be for the ratable benefit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any waiver pursuant to </w:t>
      </w:r>
      <w:r>
        <w:rPr>
          <w:rFonts w:ascii="Times New Roman" w:hAnsi="Times New Roman"/>
          <w:sz w:val="20"/>
          <w:u w:val="single"/>
        </w:rPr>
        <w:t>Section 6.09</w:t>
      </w:r>
      <w:r>
        <w:rPr>
          <w:rFonts w:ascii="Times New Roman" w:hAnsi="Times New Roman"/>
          <w:sz w:val="20"/>
        </w:rPr>
        <w:t xml:space="preserve"> or any rescission and annulment pursuant to </w:t>
      </w:r>
      <w:r>
        <w:rPr>
          <w:rFonts w:ascii="Times New Roman" w:hAnsi="Times New Roman"/>
          <w:sz w:val="20"/>
          <w:u w:val="single"/>
        </w:rPr>
        <w:t>Section 6.02</w:t>
      </w:r>
      <w:r>
        <w:rPr>
          <w:rFonts w:ascii="Times New Roman" w:hAnsi="Times New Roman"/>
          <w:sz w:val="20"/>
        </w:rPr>
        <w:t xml:space="preserve"> or for any other reason or shall have been determined adversely to the Trustee, then and in every such case the Company, the REIT, the Holders and the Trustee shall, subject to any determination in such proceeding, be restored respectively to their several positions and rights hereunder, and all rights, remedies and powers of the Company, the REIT, the Holders and the Trustee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b/>
          <w:i/>
          <w:sz w:val="20"/>
        </w:rPr>
        <w:t>Application of Monies Collected by Trustee</w:t>
      </w:r>
      <w:r>
        <w:rPr>
          <w:rFonts w:ascii="Times New Roman" w:hAnsi="Times New Roman"/>
          <w:sz w:val="20"/>
        </w:rPr>
        <w:t xml:space="preserve">. Any monies collected by the Trustee pursuant to this </w:t>
      </w:r>
      <w:r>
        <w:rPr>
          <w:rFonts w:ascii="Times New Roman" w:hAnsi="Times New Roman"/>
          <w:sz w:val="20"/>
          <w:u w:val="single"/>
        </w:rPr>
        <w:t>Article 6</w:t>
      </w:r>
      <w:r>
        <w:rPr>
          <w:rFonts w:ascii="Times New Roman" w:hAnsi="Times New Roman"/>
          <w:sz w:val="20"/>
        </w:rPr>
        <w:t xml:space="preserve"> shall be applied in the following order, at the date or dates fixed by the Trustee for the distribution of such monies, upon presentation of the several Notes, and stamping thereon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all amounts due the Trustee, the Paying Agent or the Exchange Agent under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in case the principal of the outstanding Notes shall not have become due and be unpaid, to the payment of interest on, and any cash due upon exchange of, the Notes in default in the order of the date due of the payments of such interest and cash due upon exchange, as the case may be, with interest (to the extent that such interest has been collected by the Trustee) upon such overdue payments at the rate borne by the Notes at such time, such payments to be made ratably to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in case the principal of the outstanding Notes shall have become due, by declaration or otherwise, and be unpaid to the payment of the whole amount (including, if applicable, the payment of the Redemption Price and the Fundamental Change Purchase Price and any cash due upon exchange)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Purchase Price and the cash due upon exchange)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Purchase Price and any cash due upon exchange) and accrued and unpaid interest; and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to the payment of the remainder, if any,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b/>
          <w:i/>
          <w:sz w:val="20"/>
        </w:rPr>
        <w:t>Proceedings by Holders</w:t>
      </w:r>
      <w:r>
        <w:rPr>
          <w:rFonts w:ascii="Times New Roman" w:hAnsi="Times New Roman"/>
          <w:sz w:val="20"/>
        </w:rPr>
        <w:t xml:space="preserve">. Except to enforce the right to receive payment of principal (including, if applicable, the Redemption Price and the Fundamental Change Purchase Price) or interest when due, or the right to receive payment or delivery of the consideration due upon exchange,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previously shall have given to the Trustee written notice of an Event of Default and of the continuance thereof, as herein provided; </w:t>
      </w:r>
    </w:p>
    <w:p>
      <w:pPr>
        <w:pStyle w:val="TextBody"/>
        <w:bidi w:val="0"/>
        <w:spacing w:before="120" w:after="0"/>
        <w:jc w:val="left"/>
        <w:rPr>
          <w:rFonts w:ascii="Times New Roman" w:hAnsi="Times New Roman"/>
          <w:sz w:val="20"/>
        </w:rPr>
      </w:pPr>
      <w:r>
        <w:rPr>
          <w:rFonts w:ascii="Times New Roman" w:hAnsi="Times New Roman"/>
          <w:sz w:val="20"/>
        </w:rPr>
        <w:t xml:space="preserve">(b) Holders of at least 25% in aggregate principal amount of the Notes then outstanding shall have made written request upon the Trustee to institute such action, suit or proceeding in its own name as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such Holder or Holders shall have offered to the Trustee such indemnity or security reasonably satisfactory to it against any loss, liabilities or expenses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shall have neglected or refused to institute any such action, suit or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during such 60-day period, no direction that is inconsistent with such written request shall have been given to the Trustee by the Holders of a majority of the aggregate principal amount of the Notes then outstanding pursuant to </w:t>
      </w:r>
      <w:r>
        <w:rPr>
          <w:rFonts w:ascii="Times New Roman" w:hAnsi="Times New Roman"/>
          <w:sz w:val="20"/>
          <w:u w:val="single"/>
        </w:rPr>
        <w:t>Section 6.09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does not have an affirmative duty to ascertain whether or not such actions or forbearances are unduly prejudicial to such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w:t>
      </w:r>
      <w:r>
        <w:rPr>
          <w:rFonts w:ascii="Times New Roman" w:hAnsi="Times New Roman"/>
          <w:sz w:val="20"/>
          <w:u w:val="single"/>
        </w:rPr>
        <w:t>Section 6.06</w:t>
      </w:r>
      <w:r>
        <w:rPr>
          <w:rFonts w:ascii="Times New Roman" w:hAnsi="Times New Roman"/>
          <w:sz w:val="20"/>
        </w:rPr>
        <w:t xml:space="preserve">,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the right of any Holder to receive payment or delivery, as the case may be, of (x) the principal (including the Fundamental Change Purchase Price, the Redemption Price, if applicable) of, (y) accrued and unpaid interest, if any, on, and (z) the consideration due upon exchange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b/>
          <w:i/>
          <w:sz w:val="20"/>
        </w:rPr>
        <w:t>Proceedings by Trustee</w:t>
      </w:r>
      <w:r>
        <w:rPr>
          <w:rFonts w:ascii="Times New Roman" w:hAnsi="Times New Roman"/>
          <w:sz w:val="20"/>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b/>
          <w:i/>
          <w:sz w:val="20"/>
        </w:rPr>
        <w:t>Remedies Cumulative and Continuing</w:t>
      </w:r>
      <w:r>
        <w:rPr>
          <w:rFonts w:ascii="Times New Roman" w:hAnsi="Times New Roman"/>
          <w:sz w:val="20"/>
        </w:rPr>
        <w:t xml:space="preserve">. Except as provided in the last paragraph of </w:t>
      </w:r>
      <w:r>
        <w:rPr>
          <w:rFonts w:ascii="Times New Roman" w:hAnsi="Times New Roman"/>
          <w:sz w:val="20"/>
          <w:u w:val="single"/>
        </w:rPr>
        <w:t>Section 2.06</w:t>
      </w:r>
      <w:r>
        <w:rPr>
          <w:rFonts w:ascii="Times New Roman" w:hAnsi="Times New Roman"/>
          <w:sz w:val="20"/>
        </w:rPr>
        <w:t xml:space="preserve">, all powers and remedies given by this </w:t>
      </w:r>
      <w:r>
        <w:rPr>
          <w:rFonts w:ascii="Times New Roman" w:hAnsi="Times New Roman"/>
          <w:sz w:val="20"/>
          <w:u w:val="single"/>
        </w:rPr>
        <w:t>Article 6</w:t>
      </w:r>
      <w:r>
        <w:rPr>
          <w:rFonts w:ascii="Times New Roman" w:hAnsi="Times New Roman"/>
          <w:sz w:val="20"/>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continuing Default or continuing Event of Default shall impair any such right or power, or shall be construed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 of any such Default or Event of Default or any acquiescence therein; and, subject to the provisions of </w:t>
      </w:r>
      <w:r>
        <w:rPr>
          <w:rFonts w:ascii="Times New Roman" w:hAnsi="Times New Roman"/>
          <w:sz w:val="20"/>
          <w:u w:val="single"/>
        </w:rPr>
        <w:t>Section 6.06</w:t>
      </w:r>
      <w:r>
        <w:rPr>
          <w:rFonts w:ascii="Times New Roman" w:hAnsi="Times New Roman"/>
          <w:sz w:val="20"/>
        </w:rPr>
        <w:t xml:space="preserve">, every power and remedy given by this </w:t>
      </w:r>
      <w:r>
        <w:rPr>
          <w:rFonts w:ascii="Times New Roman" w:hAnsi="Times New Roman"/>
          <w:sz w:val="20"/>
          <w:u w:val="single"/>
        </w:rPr>
        <w:t>Article 6</w:t>
      </w:r>
      <w:r>
        <w:rPr>
          <w:rFonts w:ascii="Times New Roman" w:hAnsi="Times New Roman"/>
          <w:sz w:val="20"/>
        </w:rPr>
        <w:t xml:space="preserve">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b/>
          <w:i/>
          <w:sz w:val="20"/>
        </w:rPr>
        <w:t>Direction of Proceedings and Waiver of Defaults by Majority of Holders</w:t>
      </w:r>
      <w:r>
        <w:rPr>
          <w:rFonts w:ascii="Times New Roman" w:hAnsi="Times New Roman"/>
          <w:sz w:val="20"/>
        </w:rPr>
        <w:t xml:space="preserve">. The Holders of a majority of the aggregate principal amount of the Notes at the time outstanding determined in accordance with </w:t>
      </w:r>
      <w:r>
        <w:rPr>
          <w:rFonts w:ascii="Times New Roman" w:hAnsi="Times New Roman"/>
          <w:sz w:val="20"/>
          <w:u w:val="single"/>
        </w:rPr>
        <w:t>Section 8.04</w:t>
      </w:r>
      <w:r>
        <w:rPr>
          <w:rFonts w:ascii="Times New Roman" w:hAnsi="Times New Roman"/>
          <w:sz w:val="20"/>
        </w:rPr>
        <w:t xml:space="preserve">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that is not inconsistent with such direction. The Trustee may refuse to follow any direction that it determines in good faith is unduly prejudicial to the rights of any other Holder or that would involve the Trustee in personal liability unless the Trustee is offered indemnity or security reasonably satisfactory to it against any loss, liability or expense to the Trustee that may result from the Trustee’s instituting such proceeding as the Trustee. The Holders of a majority in aggregate principal amount of the Notes at the time outstanding determined in accordance with </w:t>
      </w:r>
      <w:r>
        <w:rPr>
          <w:rFonts w:ascii="Times New Roman" w:hAnsi="Times New Roman"/>
          <w:sz w:val="20"/>
          <w:u w:val="single"/>
        </w:rPr>
        <w:t>Section 8.04</w:t>
      </w:r>
      <w:r>
        <w:rPr>
          <w:rFonts w:ascii="Times New Roman" w:hAnsi="Times New Roman"/>
          <w:sz w:val="20"/>
        </w:rPr>
        <w:t xml:space="preserve"> may on behalf of the Holders of all of the Notes waive any past Default or Event of Default hereunder and its consequences except (i) a default in the payment of accrued and unpaid interest, if any, on, or the principal (including the Redemption Price or the Fundamental Change Purchase Price) of, the Notes when due that has not been cured, (ii) a failure by the Company to pay or deliver, as the case may be, the consideration due upon exchange of the Notes or (iii) a default in respect of a covenant or provision hereof which under </w:t>
      </w:r>
      <w:r>
        <w:rPr>
          <w:rFonts w:ascii="Times New Roman" w:hAnsi="Times New Roman"/>
          <w:sz w:val="20"/>
          <w:u w:val="single"/>
        </w:rPr>
        <w:t>Article 10</w:t>
      </w:r>
      <w:r>
        <w:rPr>
          <w:rFonts w:ascii="Times New Roman" w:hAnsi="Times New Roman"/>
          <w:sz w:val="20"/>
        </w:rPr>
        <w:t xml:space="preserve">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 w:hAnsi="Times New Roman"/>
          <w:sz w:val="20"/>
          <w:u w:val="single"/>
        </w:rPr>
        <w:t>Section 6.09</w:t>
      </w:r>
      <w:r>
        <w:rPr>
          <w:rFonts w:ascii="Times New Roman" w:hAnsi="Times New Roman"/>
          <w:sz w:val="20"/>
        </w:rPr>
        <w:t xml:space="preserve">, said Default or Event of Default shall for all purposes of the Notes and this Indenture be deemed to have been cured and to be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b/>
          <w:i/>
          <w:sz w:val="20"/>
        </w:rPr>
        <w:t>Notice of Defaults</w:t>
      </w:r>
      <w:r>
        <w:rPr>
          <w:rFonts w:ascii="Times New Roman" w:hAnsi="Times New Roman"/>
          <w:sz w:val="20"/>
        </w:rPr>
        <w:t xml:space="preserve">. The Trustee shall, within 90 days after a Responsible Officer has received written notice of the occurrence and continuance of a Default, send to all Holders as the names and addresses of such Holders appear upon the Note Register, notice of all such Defaults actually known to a Responsible Officer, unless such Defaults shall have been cured or waived before the giving of such notice; provided that, except in the case of a Default in the payment of the principal of (including the Redemption Price and the Fundamental Change Purchase Price, if applicable), or accrued and unpaid interest on, any of the Notes or a Default in the payment or delivery of the consideration due upon exchange, the Trustee shall be protected in withholding such notice if and so long as a Responsible Officer of the Trustee in good faith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b/>
          <w:i/>
          <w:sz w:val="20"/>
        </w:rPr>
        <w:t>Undertaking to Pay Costs</w:t>
      </w:r>
      <w:r>
        <w:rPr>
          <w:rFonts w:ascii="Times New Roman" w:hAnsi="Times New Roman"/>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w:t>
      </w:r>
      <w:r>
        <w:rPr>
          <w:rFonts w:ascii="Times New Roman" w:hAnsi="Times New Roman"/>
          <w:sz w:val="20"/>
          <w:u w:val="single"/>
        </w:rPr>
        <w:t>Section 6.11</w:t>
      </w:r>
      <w:r>
        <w:rPr>
          <w:rFonts w:ascii="Times New Roman" w:hAnsi="Times New Roman"/>
          <w:sz w:val="20"/>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Times New Roman" w:hAnsi="Times New Roman"/>
          <w:sz w:val="20"/>
          <w:u w:val="single"/>
        </w:rPr>
        <w:t>Section 8.04</w:t>
      </w:r>
      <w:r>
        <w:rPr>
          <w:rFonts w:ascii="Times New Roman" w:hAnsi="Times New Roman"/>
          <w:sz w:val="20"/>
        </w:rPr>
        <w:t xml:space="preserve">, or to any suit instituted by any Holder for the enforcement of the payment of the principal of or accrued and unpaid interest, if any, on any Note (including, but not limited to, the Fundamental Change Purchase Price with respect to the Notes being repurchased as provided in this Indenture) on or after the due date expressed or provided for in such Note or to any suit for the enforcement of the right to exchange any Note in accordance with the provisions of </w:t>
      </w:r>
      <w:r>
        <w:rPr>
          <w:rFonts w:ascii="Times New Roman" w:hAnsi="Times New Roman"/>
          <w:sz w:val="20"/>
          <w:u w:val="single"/>
        </w:rPr>
        <w:t>Article 14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b/>
          <w:i/>
          <w:sz w:val="20"/>
        </w:rPr>
        <w:t>Duties and Responsibilities of Trustee</w:t>
      </w:r>
      <w:r>
        <w:rPr>
          <w:rFonts w:ascii="Times New Roman" w:hAnsi="Times New Roman"/>
          <w:sz w:val="20"/>
        </w:rPr>
        <w:t xml:space="preserve">. The Trustee, prior to the occurrence of an Event of Default and after the curing or waiver of all Events of Default that may have occurred, undertakes to perform such duties and only such duties as are specifically set forth in this Indenture, and no implied covenants or obligations shall be read into this Indenture against the Trustee.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 to the Trustee indemnity or security reasonably satisfactory to it against all losses, liabilities and expenses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grossly negligent action, its own grossly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Events of Default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Officers of the Trustee, unless it shall be proved that the Trustee was grossly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Times New Roman" w:hAnsi="Times New Roman"/>
          <w:sz w:val="20"/>
          <w:u w:val="single"/>
        </w:rPr>
        <w:t>Section 8.04</w:t>
      </w:r>
      <w:r>
        <w:rPr>
          <w:rFonts w:ascii="Times New Roman" w:hAnsi="Times New Roman"/>
          <w:sz w:val="20"/>
        </w:rPr>
        <w:t xml:space="preserve"> relating to the time, method and place of conducting any proceeding for any remedy available to the Trustee, or exercising any trust or power conferred upon the Trustee,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(d) whether or not therein provided, every provision of this Indenture relating to the conduct or affecting the liability of, or affording protection to, the Trustee shall be subject to the provisions of this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(f) in the absence of specific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specific written investment direction from the Company; </w:t>
      </w:r>
    </w:p>
    <w:p>
      <w:pPr>
        <w:pStyle w:val="TextBody"/>
        <w:bidi w:val="0"/>
        <w:spacing w:before="120" w:after="0"/>
        <w:jc w:val="left"/>
        <w:rPr>
          <w:rFonts w:ascii="Times New Roman" w:hAnsi="Times New Roman"/>
          <w:sz w:val="20"/>
        </w:rPr>
      </w:pPr>
      <w:r>
        <w:rPr>
          <w:rFonts w:ascii="Times New Roman" w:hAnsi="Times New Roman"/>
          <w:sz w:val="20"/>
        </w:rPr>
        <w:t xml:space="preserve">(g) in the event that the Trustee is also acting as Custodian, Note Registrar, Paying Agent, Exchange Agent or transfer agent hereunder, the rights, privileges, immunities, indemnities, benefits and protections afforded to the Trustee pursuant to this </w:t>
      </w:r>
      <w:r>
        <w:rPr>
          <w:rFonts w:ascii="Times New Roman" w:hAnsi="Times New Roman"/>
          <w:sz w:val="20"/>
          <w:u w:val="single"/>
        </w:rPr>
        <w:t>Article 7</w:t>
      </w:r>
      <w:r>
        <w:rPr>
          <w:rFonts w:ascii="Times New Roman" w:hAnsi="Times New Roman"/>
          <w:sz w:val="20"/>
        </w:rPr>
        <w:t xml:space="preserve"> shall also be afforded to such Custodian, Note Registrar, Paying Agent, Exchange Agent or transfer agent and in and during an Event of Default, only the Trustee, and not any of the Custodian, Note Registrar, Paying Agent, Exchange Agent or transfer agent shall be subject to the prudent person standard; </w:t>
      </w:r>
    </w:p>
    <w:p>
      <w:pPr>
        <w:pStyle w:val="TextBody"/>
        <w:bidi w:val="0"/>
        <w:spacing w:before="120" w:after="0"/>
        <w:jc w:val="left"/>
        <w:rPr>
          <w:rFonts w:ascii="Times New Roman" w:hAnsi="Times New Roman"/>
          <w:sz w:val="20"/>
        </w:rPr>
      </w:pPr>
      <w:r>
        <w:rPr>
          <w:rFonts w:ascii="Times New Roman" w:hAnsi="Times New Roman"/>
          <w:sz w:val="20"/>
        </w:rPr>
        <w:t xml:space="preserve">(h) None of the provisions contained in this Indenture shall require the Trustee to expend or risk its own funds or otherwise incur personal financial liability in the performance of any of its duties or in the exercise of any of its rights or powers;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not be required to give any bond or surety in respect of the performance of its powers and duties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Trustee shall not be liable for any action taken, suffered, or omitted to be taken by it in good faith and reasonably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(k)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reasonably satisfactory to the Trustee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(l) the Trustee makes no representation as to the validity or adequacy of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(m) the Trustee is not accountable for the Company’s use or application of the proceeds from the Notes or for any funds received and disbursed in accordance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(n) the Trustee shall not be liable for the obligations evidenced by the Notes; and </w:t>
      </w:r>
    </w:p>
    <w:p>
      <w:pPr>
        <w:pStyle w:val="TextBody"/>
        <w:bidi w:val="0"/>
        <w:spacing w:before="120" w:after="0"/>
        <w:jc w:val="left"/>
        <w:rPr>
          <w:rFonts w:ascii="Times New Roman" w:hAnsi="Times New Roman"/>
          <w:sz w:val="20"/>
        </w:rPr>
      </w:pPr>
      <w:r>
        <w:rPr>
          <w:rFonts w:ascii="Times New Roman" w:hAnsi="Times New Roman"/>
          <w:sz w:val="20"/>
        </w:rPr>
        <w:t xml:space="preserve">(o) the Trustee is not responsible for any statement in the Notes other than its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7.02. </w:t>
      </w:r>
      <w:r>
        <w:rPr>
          <w:rFonts w:ascii="Times New Roman" w:hAnsi="Times New Roman"/>
          <w:b/>
          <w:i/>
          <w:sz w:val="20"/>
        </w:rPr>
        <w:t>Reliance on Documents, Opinions, Etc</w:t>
      </w:r>
      <w:r>
        <w:rPr>
          <w:rFonts w:ascii="Times New Roman" w:hAnsi="Times New Roman"/>
          <w:sz w:val="20"/>
        </w:rPr>
        <w:t xml:space="preserve">. Except as otherwise provided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upon any resolution, certificate, statement, instrument, opinion, report, notice, request, consent, order, bond, note, coupon, other evidence of indebtedness or other paper or document believed by it in good faith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an Officer’s Certificate (unless other evidence in respect thereof be herein specifically prescribed); and any resolution of the Board of Trustees may be evidenced to the Trustee by a copy thereof certified by the Secretary or an Assistant Secretary of the REIT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consult with counsel of its selection and any advice or opinion of such counsel shall be full and complete authorization and protection in respect of any action taken or omitted by it hereunder in good faith and in accordance with such advice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bound to make any investigation into the facts or matters stated in any resolution, certificate, statement, instrument, opinion, report, notice, request, direction, consent, order, bond, debenture,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w:t>
      </w:r>
    </w:p>
    <w:p>
      <w:pPr>
        <w:pStyle w:val="TextBody"/>
        <w:bidi w:val="0"/>
        <w:spacing w:before="120" w:after="0"/>
        <w:jc w:val="left"/>
        <w:rPr>
          <w:rFonts w:ascii="Times New Roman" w:hAnsi="Times New Roman"/>
          <w:sz w:val="20"/>
        </w:rPr>
      </w:pPr>
      <w:r>
        <w:rPr>
          <w:rFonts w:ascii="Times New Roman" w:hAnsi="Times New Roman"/>
          <w:sz w:val="20"/>
        </w:rPr>
        <w:t xml:space="preserve">(f) the permissive rights of the Trustee enumerated herein shall not be construed as duties; </w:t>
      </w:r>
    </w:p>
    <w:p>
      <w:pPr>
        <w:pStyle w:val="TextBody"/>
        <w:bidi w:val="0"/>
        <w:spacing w:before="120" w:after="0"/>
        <w:jc w:val="left"/>
        <w:rPr>
          <w:rFonts w:ascii="Times New Roman" w:hAnsi="Times New Roman"/>
          <w:sz w:val="20"/>
        </w:rPr>
      </w:pPr>
      <w:r>
        <w:rPr>
          <w:rFonts w:ascii="Times New Roman" w:hAnsi="Times New Roman"/>
          <w:sz w:val="20"/>
        </w:rPr>
        <w:t xml:space="preserve">(g) in no event shall the Trustee be liable for any indirect, special, consequential or punitive loss or damage of any kind whatsoever (including but not limited to lost profits), even if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charged with knowledge of any Default, Event of Default or any other default with respect to the Notes, unless written notice from the Company or any Holder of the Notes of such Default or Event of Default shall have been received by a Responsible Officer of the Trustee and such notice references the Notes and this Indenture; and nothing herein shall require the Trustee to provide a notice to the Company in accordance with Section 6.01(f) (or analogous provision set forth in the terms of any Notes) absent a direction from Holders of a majority in principal amount of the Notes then outstanding (subject to the Trustee’s rights to be indemnified hereunder);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not be required to give any bond or surety in respect of the performance of its powers and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(j) the Trustee may request that the Company deliver a certificate setting forth the names of individuals and/or titles of officers authorized at such time to take specified actions pursuant to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(k) Unless a Responsible Officer of the Trustee has received an Officer’s Certificate with respect thereto, the Trustee may assume that no Additional Interest is owed on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b/>
          <w:i/>
          <w:sz w:val="20"/>
        </w:rPr>
        <w:t>No Responsibility for Recitals, Etc</w:t>
      </w:r>
      <w:r>
        <w:rPr>
          <w:rFonts w:ascii="Times New Roman" w:hAnsi="Times New Roman"/>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b/>
          <w:i/>
          <w:sz w:val="20"/>
        </w:rPr>
        <w:t>Trustee, Paying Agents, Exchange Agents or Note Registrar May Own Notes</w:t>
      </w:r>
      <w:r>
        <w:rPr>
          <w:rFonts w:ascii="Times New Roman" w:hAnsi="Times New Roman"/>
          <w:sz w:val="20"/>
        </w:rPr>
        <w:t xml:space="preserve">. The Trustee, any Paying Agent, any Exchange Agent or Note Registrar, in its individual or any other capacity, may become the owner or pledgee of Notes with the same rights it would have if it were not the Trustee, Paying Agent, Exchange Agent or Note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b/>
          <w:i/>
          <w:sz w:val="20"/>
        </w:rPr>
        <w:t>Monies and Common Shares to Be Held in Trust</w:t>
      </w:r>
      <w:r>
        <w:rPr>
          <w:rFonts w:ascii="Times New Roman" w:hAnsi="Times New Roman"/>
          <w:sz w:val="20"/>
        </w:rPr>
        <w:t xml:space="preserve">. All monies and Common Shares received by the Trustee shall, until used or applied as herein provided, be held in trust for the purposes for which they were received. Money and Common Shares held by the Trustee in trust hereunder need not be segregated from other funds except to the extent required by law. The Trustee shall be under no liability for interest on any money or Common Shares received by it hereunder except as may be agreed in writing from time to time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b/>
          <w:i/>
          <w:sz w:val="20"/>
        </w:rPr>
        <w:t>Compensation and Expenses of Trustee</w:t>
      </w:r>
      <w:r>
        <w:rPr>
          <w:rFonts w:ascii="Times New Roman" w:hAnsi="Times New Roman"/>
          <w:sz w:val="20"/>
        </w:rPr>
        <w:t xml:space="preserve">. The Company and the REIT, on a joint and several basis, covenant and agree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counsel and of all Persons not regularly in its employ) except any such expense, disbursement or advance as shall have been caused by its gross negligence, willful misconduct or bad faith. The Company and the REIT, on a joint and several basis, also covenant to indemnify the Trustee in any capacity under this Indenture (including as Custodian, Note Registrar or Exchange Agent) and any other document or transaction entered into in connection herewith and any authenticating agent for, and to hold them harmless against, any loss, charge, fee, claim, damage, liability or expense (including reasonable attorney’s fees and court costs), including taxes (other than taxes based upon, measured by or determined by the income of the Trustee) incurred without gross negligence, willful misconduct or bad faith on the part of the Trustee, its officers, directors or employees, or agents, as the case may be, and arising out of or in connection with the acceptance, administration or enforcement (including enforcement of this Section 7.06) of this Indenture or in any other capacity hereunder, including the reasonable costs and expenses of defending themselves against any claim of liability (whether asserted by the Company, any Holder or any other Person). The obligations of the Company under this </w:t>
      </w:r>
      <w:r>
        <w:rPr>
          <w:rFonts w:ascii="Times New Roman" w:hAnsi="Times New Roman"/>
          <w:sz w:val="20"/>
          <w:u w:val="single"/>
        </w:rPr>
        <w:t>Section 7.06</w:t>
      </w:r>
      <w:r>
        <w:rPr>
          <w:rFonts w:ascii="Times New Roman" w:hAnsi="Times New Roman"/>
          <w:sz w:val="20"/>
        </w:rPr>
        <w:t xml:space="preserve">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w:t>
      </w:r>
      <w:r>
        <w:rPr>
          <w:rFonts w:ascii="Times New Roman" w:hAnsi="Times New Roman"/>
          <w:sz w:val="20"/>
          <w:u w:val="single"/>
        </w:rPr>
        <w:t>Section 6.05</w:t>
      </w:r>
      <w:r>
        <w:rPr>
          <w:rFonts w:ascii="Times New Roman" w:hAnsi="Times New Roman"/>
          <w:sz w:val="20"/>
        </w:rPr>
        <w:t xml:space="preserve">, funds held in trust herewith for the benefit of the Holders of particular Notes. The Trustee’s right to receive payment of any amounts due under this </w:t>
      </w:r>
      <w:r>
        <w:rPr>
          <w:rFonts w:ascii="Times New Roman" w:hAnsi="Times New Roman"/>
          <w:sz w:val="20"/>
          <w:u w:val="single"/>
        </w:rPr>
        <w:t>Section 7.06</w:t>
      </w:r>
      <w:r>
        <w:rPr>
          <w:rFonts w:ascii="Times New Roman" w:hAnsi="Times New Roman"/>
          <w:sz w:val="20"/>
        </w:rPr>
        <w:t xml:space="preserve"> shall not be subordinate to any other liability or indebtedness of the Company. The obligation of the Company under this </w:t>
      </w:r>
      <w:r>
        <w:rPr>
          <w:rFonts w:ascii="Times New Roman" w:hAnsi="Times New Roman"/>
          <w:sz w:val="20"/>
          <w:u w:val="single"/>
        </w:rPr>
        <w:t>Section 7.06</w:t>
      </w:r>
      <w:r>
        <w:rPr>
          <w:rFonts w:ascii="Times New Roman" w:hAnsi="Times New Roman"/>
          <w:sz w:val="20"/>
        </w:rPr>
        <w:t xml:space="preserve"> shall survive the satisfaction and discharge of this Indenture and the earlier resignation or removal or the Trustee. The Company need not pay for any settlement made without its consent, which consent shall not be unreasonably withheld. The indemnification provided in this </w:t>
      </w:r>
      <w:r>
        <w:rPr>
          <w:rFonts w:ascii="Times New Roman" w:hAnsi="Times New Roman"/>
          <w:sz w:val="20"/>
          <w:u w:val="single"/>
        </w:rPr>
        <w:t>Section 7.06</w:t>
      </w:r>
      <w:r>
        <w:rPr>
          <w:rFonts w:ascii="Times New Roman" w:hAnsi="Times New Roman"/>
          <w:sz w:val="20"/>
        </w:rPr>
        <w:t xml:space="preserve"> shall extend to the officers, directors, agents and employees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Without prejudice to any other rights available to the Trustee under applicable law, when the Trustee and its agents, including any authenticating agent, incur expenses or render services after an Event of Default specified in </w:t>
      </w:r>
      <w:r>
        <w:rPr>
          <w:rFonts w:ascii="Times New Roman" w:hAnsi="Times New Roman"/>
          <w:sz w:val="20"/>
          <w:u w:val="single"/>
        </w:rPr>
        <w:t>Section 6.01(i)</w:t>
      </w:r>
      <w:r>
        <w:rPr>
          <w:rFonts w:ascii="Times New Roman" w:hAnsi="Times New Roman"/>
          <w:sz w:val="20"/>
        </w:rPr>
        <w:t xml:space="preserve"> or </w:t>
      </w:r>
      <w:r>
        <w:rPr>
          <w:rFonts w:ascii="Times New Roman" w:hAnsi="Times New Roman"/>
          <w:sz w:val="20"/>
          <w:u w:val="single"/>
        </w:rPr>
        <w:t>Section 6.01(j)</w:t>
      </w:r>
      <w:r>
        <w:rPr>
          <w:rFonts w:ascii="Times New Roman" w:hAnsi="Times New Roman"/>
          <w:sz w:val="20"/>
        </w:rPr>
        <w:t xml:space="preserve"> occurs, the expenses and the compensation for the services are intended to constitute expenses of administration under any bankruptcy, insolvency or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7.07. </w:t>
      </w:r>
      <w:r>
        <w:rPr>
          <w:rFonts w:ascii="Times New Roman" w:hAnsi="Times New Roman"/>
          <w:b/>
          <w:i/>
          <w:sz w:val="20"/>
        </w:rPr>
        <w:t>Officer</w:t>
      </w:r>
      <w:r>
        <w:rPr>
          <w:rFonts w:ascii="Times New Roman" w:hAnsi="Times New Roman"/>
          <w:sz w:val="20"/>
        </w:rPr>
        <w:t>’</w:t>
      </w:r>
      <w:r>
        <w:rPr>
          <w:rFonts w:ascii="Times New Roman" w:hAnsi="Times New Roman"/>
          <w:b/>
          <w:i/>
          <w:sz w:val="20"/>
        </w:rPr>
        <w:t>s Certificate as Evidence</w:t>
      </w:r>
      <w:r>
        <w:rPr>
          <w:rFonts w:ascii="Times New Roman" w:hAnsi="Times New Roman"/>
          <w:sz w:val="20"/>
        </w:rPr>
        <w:t xml:space="preserve">. Except as otherwise provided in </w:t>
      </w:r>
      <w:r>
        <w:rPr>
          <w:rFonts w:ascii="Times New Roman" w:hAnsi="Times New Roman"/>
          <w:sz w:val="20"/>
          <w:u w:val="single"/>
        </w:rPr>
        <w:t>Section 7.01</w:t>
      </w:r>
      <w:r>
        <w:rPr>
          <w:rFonts w:ascii="Times New Roman" w:hAnsi="Times New Roman"/>
          <w:sz w:val="20"/>
        </w:rPr>
        <w:t xml:space="preserve">,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willful misconduct or bad faith on the part of the Trustee, be deemed to be conclusively proved and established by an Officer’s Certificate delivered to the Trustee, and such Officer’s Certificate, in the absence of gross negligence, willful misconduct or bad faith on the part of the Trustee, shall be full warrant to the Trustee for any action taken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b/>
          <w:i/>
          <w:sz w:val="20"/>
        </w:rPr>
        <w:t>Eligibility of Trustee</w:t>
      </w:r>
      <w:r>
        <w:rPr>
          <w:rFonts w:ascii="Times New Roman" w:hAnsi="Times New Roman"/>
          <w:sz w:val="20"/>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w:t>
      </w:r>
      <w:r>
        <w:rPr>
          <w:rFonts w:ascii="Times New Roman" w:hAnsi="Times New Roman"/>
          <w:sz w:val="20"/>
          <w:u w:val="single"/>
        </w:rPr>
        <w:t>Section 7.08</w:t>
      </w:r>
      <w:r>
        <w:rPr>
          <w:rFonts w:ascii="Times New Roman" w:hAnsi="Times New Roman"/>
          <w:sz w:val="20"/>
        </w:rPr>
        <w:t xml:space="preserve">,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 w:hAnsi="Times New Roman"/>
          <w:sz w:val="20"/>
          <w:u w:val="single"/>
        </w:rPr>
        <w:t>Section 7.08</w:t>
      </w:r>
      <w:r>
        <w:rPr>
          <w:rFonts w:ascii="Times New Roman" w:hAnsi="Times New Roman"/>
          <w:sz w:val="20"/>
        </w:rPr>
        <w:t xml:space="preserve">, it shall resign immediately in the manner and with the effect hereinafter specified in this </w:t>
      </w:r>
      <w:r>
        <w:rPr>
          <w:rFonts w:ascii="Times New Roman" w:hAnsi="Times New Roman"/>
          <w:sz w:val="20"/>
          <w:u w:val="single"/>
        </w:rPr>
        <w:t>Article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b/>
          <w:i/>
          <w:sz w:val="20"/>
        </w:rPr>
        <w:t>Resignation or Removal of Trustee</w:t>
      </w:r>
      <w:r>
        <w:rPr>
          <w:rFonts w:ascii="Times New Roman" w:hAnsi="Times New Roman"/>
          <w:sz w:val="20"/>
        </w:rPr>
        <w:t xml:space="preserve">. (a) The Trustee may at any time resign by giving written notice of such resignation to the Company. Upon receiving such notice of resignation, the Company shall promptly appoint a successor trustee by written instrument, in duplicate, executed by order of the Board of Trustees, one copy of which instrument shall be delivered to the resigning Trustee and one copy to the successor trustee. If no successor trustee shall have been so appointed and have accepted appointment within 60 days, the resigning Trustee may, upon 10 Business Days’ notice to the Company, petition at the expense of the Company, any court of competent jurisdiction for the appointment of a successor trustee, or any Holder who has been a bona fide holder of a Note or Notes for at least six months may, subject to the provisions of </w:t>
      </w:r>
      <w:r>
        <w:rPr>
          <w:rFonts w:ascii="Times New Roman" w:hAnsi="Times New Roman"/>
          <w:sz w:val="20"/>
          <w:u w:val="single"/>
        </w:rPr>
        <w:t>Section 6.11</w:t>
      </w:r>
      <w:r>
        <w:rPr>
          <w:rFonts w:ascii="Times New Roman" w:hAnsi="Times New Roman"/>
          <w:sz w:val="20"/>
        </w:rPr>
        <w:t xml:space="preserve">, on behalf of himself or herself and all others similarly situated, petition any such court for the appointment of a successor trustee. Such court may thereupon, after such notice, if any, as it may deem proper and prescribe, appoint a successor trustee. At any time at which no Default or Event of Default has occurred and is continuing, the Company may, by a Board Resolution and upon 30 days’ notice to the Trustee, remove the Trustee and appoint a successor trustee by written instrument, in duplicate, executed by order of the Board of Trustees, one copy of which instrument shall be delivered to the Trustee so removed and one copy to the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cease to be eligible in accordance with the provisions of </w:t>
      </w:r>
      <w:r>
        <w:rPr>
          <w:rFonts w:ascii="Times New Roman" w:hAnsi="Times New Roman"/>
          <w:sz w:val="20"/>
          <w:u w:val="single"/>
        </w:rPr>
        <w:t>Section 7.08</w:t>
      </w:r>
      <w:r>
        <w:rPr>
          <w:rFonts w:ascii="Times New Roman" w:hAnsi="Times New Roman"/>
          <w:sz w:val="20"/>
        </w:rPr>
        <w:t xml:space="preserve"> and shall fail to resign after written request therefor by the Company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in either case, the Company may by a Board Resolution remove the Trustee and appoint a successor trustee by written instrument, in duplicate, executed by order of the Board of Trustees, one copy of which instrument shall be delivered to the Trustee so removed and one copy to the successor trustee, or, subject to the provisions of </w:t>
      </w:r>
      <w:r>
        <w:rPr>
          <w:rFonts w:ascii="Times New Roman" w:hAnsi="Times New Roman"/>
          <w:sz w:val="20"/>
          <w:u w:val="single"/>
        </w:rPr>
        <w:t>Section 6.11</w:t>
      </w:r>
      <w:r>
        <w:rPr>
          <w:rFonts w:ascii="Times New Roman" w:hAnsi="Times New Roman"/>
          <w:sz w:val="20"/>
        </w:rPr>
        <w:t xml:space="preserve">,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(c) The Holders of a majority in aggregate principal amount of the Notes at the time outstanding, as determined in accordance with </w:t>
      </w:r>
      <w:r>
        <w:rPr>
          <w:rFonts w:ascii="Times New Roman" w:hAnsi="Times New Roman"/>
          <w:sz w:val="20"/>
          <w:u w:val="single"/>
        </w:rPr>
        <w:t>Section 8.04</w:t>
      </w:r>
      <w:r>
        <w:rPr>
          <w:rFonts w:ascii="Times New Roman" w:hAnsi="Times New Roman"/>
          <w:sz w:val="20"/>
        </w:rPr>
        <w:t xml:space="preserve">, may at any time remove the Trustee and nominate a successor trustee that shall be deemed appointed as successor trustee unless within 10 days after notice to the Company of such nomination the Company objects thereto, in which case the Trustee so removed or any Holder, upon the terms and conditions and otherwise as in </w:t>
      </w:r>
      <w:r>
        <w:rPr>
          <w:rFonts w:ascii="Times New Roman" w:hAnsi="Times New Roman"/>
          <w:sz w:val="20"/>
          <w:u w:val="single"/>
        </w:rPr>
        <w:t>Section 7.09(a)</w:t>
      </w:r>
      <w:r>
        <w:rPr>
          <w:rFonts w:ascii="Times New Roman" w:hAnsi="Times New Roman"/>
          <w:sz w:val="20"/>
        </w:rPr>
        <w:t xml:space="preserve"> provided, may, at the expense of the Company, petition any court of competent jurisdiction for an appointment of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(d) Any resignation or removal of the Trustee and appointment of a successor trustee pursuant to any of the provisions of this </w:t>
      </w:r>
      <w:r>
        <w:rPr>
          <w:rFonts w:ascii="Times New Roman" w:hAnsi="Times New Roman"/>
          <w:sz w:val="20"/>
          <w:u w:val="single"/>
        </w:rPr>
        <w:t>Section 7.09</w:t>
      </w:r>
      <w:r>
        <w:rPr>
          <w:rFonts w:ascii="Times New Roman" w:hAnsi="Times New Roman"/>
          <w:sz w:val="20"/>
        </w:rPr>
        <w:t xml:space="preserve"> shall become effective upon acceptance of appointment by the successor trustee as provided in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b/>
          <w:i/>
          <w:sz w:val="20"/>
        </w:rPr>
        <w:t>Acceptance by Successor Trustee</w:t>
      </w:r>
      <w:r>
        <w:rPr>
          <w:rFonts w:ascii="Times New Roman" w:hAnsi="Times New Roman"/>
          <w:sz w:val="20"/>
        </w:rPr>
        <w:t xml:space="preserve">. Any successor trustee appointed as provided in </w:t>
      </w:r>
      <w:r>
        <w:rPr>
          <w:rFonts w:ascii="Times New Roman" w:hAnsi="Times New Roman"/>
          <w:sz w:val="20"/>
          <w:u w:val="single"/>
        </w:rPr>
        <w:t>Section 7.09</w:t>
      </w:r>
      <w:r>
        <w:rPr>
          <w:rFonts w:ascii="Times New Roman" w:hAnsi="Times New Roman"/>
          <w:sz w:val="20"/>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Times New Roman" w:hAnsi="Times New Roman"/>
          <w:sz w:val="20"/>
          <w:u w:val="single"/>
        </w:rPr>
        <w:t>Section 7.06</w:t>
      </w:r>
      <w:r>
        <w:rPr>
          <w:rFonts w:ascii="Times New Roman" w:hAnsi="Times New Roman"/>
          <w:sz w:val="20"/>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w:t>
      </w:r>
      <w:r>
        <w:rPr>
          <w:rFonts w:ascii="Times New Roman" w:hAnsi="Times New Roman"/>
          <w:sz w:val="20"/>
          <w:u w:val="single"/>
        </w:rPr>
        <w:t>Section 7.10</w:t>
      </w:r>
      <w:r>
        <w:rPr>
          <w:rFonts w:ascii="Times New Roman" w:hAnsi="Times New Roman"/>
          <w:sz w:val="20"/>
        </w:rPr>
        <w:t xml:space="preserve"> unless at the time of such acceptance such successor trustee shall be eligible under the provisions of </w:t>
      </w:r>
      <w:r>
        <w:rPr>
          <w:rFonts w:ascii="Times New Roman" w:hAnsi="Times New Roman"/>
          <w:sz w:val="20"/>
          <w:u w:val="single"/>
        </w:rPr>
        <w:t>Section 7.08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w:t>
      </w:r>
      <w:r>
        <w:rPr>
          <w:rFonts w:ascii="Times New Roman" w:hAnsi="Times New Roman"/>
          <w:sz w:val="20"/>
          <w:u w:val="single"/>
        </w:rPr>
        <w:t>Section 7.10</w:t>
      </w:r>
      <w:r>
        <w:rPr>
          <w:rFonts w:ascii="Times New Roman" w:hAnsi="Times New Roman"/>
          <w:sz w:val="20"/>
        </w:rPr>
        <w:t xml:space="preserve">,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10 days after acceptance of appointment by the successor trustee, the successor trustee shall cause such notice to be mailed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b/>
          <w:i/>
          <w:sz w:val="20"/>
        </w:rPr>
        <w:t>Succession by Merger, Etc</w:t>
      </w:r>
      <w:r>
        <w:rPr>
          <w:rFonts w:ascii="Times New Roman" w:hAnsi="Times New Roman"/>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w:t>
      </w:r>
      <w:r>
        <w:rPr>
          <w:rFonts w:ascii="Times New Roman" w:hAnsi="Times New Roman"/>
          <w:sz w:val="20"/>
          <w:u w:val="single"/>
        </w:rPr>
        <w:t>Section 7.08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 predecessor trustee shall apply only to its successor or successors by merger, conversion or consolidation.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b/>
          <w:i/>
          <w:sz w:val="20"/>
        </w:rPr>
        <w:t>Action by Holders</w:t>
      </w:r>
      <w:r>
        <w:rPr>
          <w:rFonts w:ascii="Times New Roman" w:hAnsi="Times New Roman"/>
          <w:sz w:val="20"/>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15 days prior to the date of commencement of solicitation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b/>
          <w:i/>
          <w:sz w:val="20"/>
        </w:rPr>
        <w:t>Proof of Execution by Holders</w:t>
      </w:r>
      <w:r>
        <w:rPr>
          <w:rFonts w:ascii="Times New Roman" w:hAnsi="Times New Roman"/>
          <w:sz w:val="20"/>
        </w:rPr>
        <w:t xml:space="preserve">. Subject to the provisions of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b/>
          <w:i/>
          <w:sz w:val="20"/>
        </w:rPr>
        <w:t>Who Are Deemed Absolute Owners</w:t>
      </w:r>
      <w:r>
        <w:rPr>
          <w:rFonts w:ascii="Times New Roman" w:hAnsi="Times New Roman"/>
          <w:sz w:val="20"/>
        </w:rPr>
        <w:t xml:space="preserve">. The Company, the Trustee, any authenticating agent, any Paying Agent, any Exchange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w:t>
      </w:r>
      <w:r>
        <w:rPr>
          <w:rFonts w:ascii="Times New Roman" w:hAnsi="Times New Roman"/>
          <w:sz w:val="20"/>
          <w:u w:val="single"/>
        </w:rPr>
        <w:t>Section 2.03</w:t>
      </w:r>
      <w:r>
        <w:rPr>
          <w:rFonts w:ascii="Times New Roman" w:hAnsi="Times New Roman"/>
          <w:sz w:val="20"/>
        </w:rPr>
        <w:t xml:space="preserve">) accrued and unpaid interest on such Note, for exchange of such Note and for all other purposes; and neither the Company nor the Trustee nor any Paying Agent nor any Exchange Agent nor any Note Registrar shall be affected by any notice to the contrary. All such payments or deliveries so made to any Holder for the time being, or upon its order, shall be valid, and, to the extent of the sums or Common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b/>
          <w:i/>
          <w:sz w:val="20"/>
        </w:rPr>
        <w:t>Company-Owned Notes Disregarded</w:t>
      </w:r>
      <w:r>
        <w:rPr>
          <w:rFonts w:ascii="Times New Roman" w:hAnsi="Times New Roman"/>
          <w:sz w:val="20"/>
        </w:rPr>
        <w:t xml:space="preserve">. In determining whether the Holders of the requisite aggregate principal amount of Notes have concurred in any direction, consent, waiver or other action under this Indenture, Notes that are owned by the Company, by the REIT, by any Subsidiary of the Company or the REIT or by any Person directly or indirectly controlling or controlled by or under direct or indirect common control with the Company, the REIT or any Subsidiary of the Company or the REIT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w:t>
      </w:r>
      <w:r>
        <w:rPr>
          <w:rFonts w:ascii="Times New Roman" w:hAnsi="Times New Roman"/>
          <w:sz w:val="20"/>
          <w:u w:val="single"/>
        </w:rPr>
        <w:t>Section 8.04</w:t>
      </w:r>
      <w:r>
        <w:rPr>
          <w:rFonts w:ascii="Times New Roman" w:hAnsi="Times New Roman"/>
          <w:sz w:val="20"/>
        </w:rPr>
        <w:t xml:space="preserve"> if the pledgee shall establish to the satisfaction of the Trustee the pledgee’s right to so act with respect to such Notes and that the pledgee is not the Company, the REIT, a Subsidiary of the Company or the REIT or a Person directly or indirectly controlling or controlled by or under direct or indirect common control with the Company, the REIT or any Subsidiary of the Company or the REIT.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or the REIT to be owned or held by or for the account of any of the above-described Persons; and, subject to </w:t>
      </w:r>
      <w:r>
        <w:rPr>
          <w:rFonts w:ascii="Times New Roman" w:hAnsi="Times New Roman"/>
          <w:sz w:val="20"/>
          <w:u w:val="single"/>
        </w:rPr>
        <w:t>Section 7.01</w:t>
      </w:r>
      <w:r>
        <w:rPr>
          <w:rFonts w:ascii="Times New Roman" w:hAnsi="Times New Roman"/>
          <w:sz w:val="20"/>
        </w:rPr>
        <w:t xml:space="preserve">, the Trustee shall be entitled to accept such Officer’s Certificate as conclusive evidence of the facts therein set forth and of the fact that all Notes not listed therein are outstanding for the purpose of any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b/>
          <w:i/>
          <w:sz w:val="20"/>
        </w:rPr>
        <w:t>Revocation of Consents; Future Holders Bound</w:t>
      </w:r>
      <w:r>
        <w:rPr>
          <w:rFonts w:ascii="Times New Roman" w:hAnsi="Times New Roman"/>
          <w:sz w:val="20"/>
        </w:rPr>
        <w:t xml:space="preserve">. At any time prior to (but not after) the evidencing to the Trustee, as provided in </w:t>
      </w:r>
      <w:r>
        <w:rPr>
          <w:rFonts w:ascii="Times New Roman" w:hAnsi="Times New Roman"/>
          <w:sz w:val="20"/>
          <w:u w:val="single"/>
        </w:rPr>
        <w:t>Section 8.01</w:t>
      </w:r>
      <w:r>
        <w:rPr>
          <w:rFonts w:ascii="Times New Roman" w:hAnsi="Times New Roman"/>
          <w:sz w:val="20"/>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Times New Roman" w:hAnsi="Times New Roman"/>
          <w:sz w:val="20"/>
          <w:u w:val="single"/>
        </w:rPr>
        <w:t>Section 8.02</w:t>
      </w:r>
      <w:r>
        <w:rPr>
          <w:rFonts w:ascii="Times New Roman" w:hAnsi="Times New Roman"/>
          <w:sz w:val="20"/>
        </w:rPr>
        <w:t xml:space="preserve">, revoke such action so far as concerns such Note. Except as aforesaid, any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b/>
          <w:i/>
          <w:sz w:val="20"/>
        </w:rPr>
        <w:t>Supplemental Indentures Without Consent of Holders</w:t>
      </w:r>
      <w:r>
        <w:rPr>
          <w:rFonts w:ascii="Times New Roman" w:hAnsi="Times New Roman"/>
          <w:sz w:val="20"/>
        </w:rPr>
        <w:t xml:space="preserve">. The Company, when authorized by a Board Resolution, and the Trustee, at the Company’s expense, may from time to time and at any time enter into an indenture or indentures supplemental hereto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conform the provisions of this Indenture or the Notes to the description thereof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(b) to evidence the succession by a Successor Entity and to provide for the assumption by a Successor Entity of the Company’s or the REIT’S obligations under the Indenture and the Notes,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(c) to add guarantees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(d) to secure the Notes; </w:t>
      </w:r>
    </w:p>
    <w:p>
      <w:pPr>
        <w:pStyle w:val="TextBody"/>
        <w:bidi w:val="0"/>
        <w:spacing w:before="120" w:after="0"/>
        <w:jc w:val="left"/>
        <w:rPr>
          <w:rFonts w:ascii="Times New Roman" w:hAnsi="Times New Roman"/>
          <w:sz w:val="20"/>
        </w:rPr>
      </w:pPr>
      <w:r>
        <w:rPr>
          <w:rFonts w:ascii="Times New Roman" w:hAnsi="Times New Roman"/>
          <w:sz w:val="20"/>
        </w:rPr>
        <w:t xml:space="preserve">(e) to add to the Company’s or the REIT’s covenants such further covenants, restrictions or conditions for the benefit of the Holders (or any other holders) or to surrender any right or power conferred upon the Company or the REIT by the Indenture; </w:t>
      </w:r>
    </w:p>
    <w:p>
      <w:pPr>
        <w:pStyle w:val="TextBody"/>
        <w:bidi w:val="0"/>
        <w:spacing w:before="120" w:after="0"/>
        <w:jc w:val="left"/>
        <w:rPr>
          <w:rFonts w:ascii="Times New Roman" w:hAnsi="Times New Roman"/>
          <w:sz w:val="20"/>
        </w:rPr>
      </w:pPr>
      <w:r>
        <w:rPr>
          <w:rFonts w:ascii="Times New Roman" w:hAnsi="Times New Roman"/>
          <w:sz w:val="20"/>
        </w:rPr>
        <w:t xml:space="preserve">(f) (i) to cure any ambiguity, omission, defect or inconsistency in the Indenture or the Notes, including to eliminate any conflict with the terms of the Trust Indenture Act, or (ii) to make any other change that does not adversely affect the rights of any Holder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(g) to provide for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(h) to comply with the Applicable Procedures of the Depositary; or </w:t>
      </w:r>
    </w:p>
    <w:p>
      <w:pPr>
        <w:pStyle w:val="TextBody"/>
        <w:bidi w:val="0"/>
        <w:spacing w:before="120" w:after="0"/>
        <w:jc w:val="left"/>
        <w:rPr>
          <w:rFonts w:ascii="Times New Roman" w:hAnsi="Times New Roman"/>
          <w:sz w:val="20"/>
        </w:rPr>
      </w:pPr>
      <w:r>
        <w:rPr>
          <w:rFonts w:ascii="Times New Roman" w:hAnsi="Times New Roman"/>
          <w:sz w:val="20"/>
        </w:rPr>
        <w:t xml:space="preserve">(i) to comply with any requirements of the Commission in connection with any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the Trustee is hereby authorized to join with the Company and the REIT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liabilities or immunities under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supplemental indenture authorized by the provisions of this </w:t>
      </w:r>
      <w:r>
        <w:rPr>
          <w:rFonts w:ascii="Times New Roman" w:hAnsi="Times New Roman"/>
          <w:sz w:val="20"/>
          <w:u w:val="single"/>
        </w:rPr>
        <w:t>Section 10.01</w:t>
      </w:r>
      <w:r>
        <w:rPr>
          <w:rFonts w:ascii="Times New Roman" w:hAnsi="Times New Roman"/>
          <w:sz w:val="20"/>
        </w:rPr>
        <w:t xml:space="preserve"> may be executed by the Company, the REIT and the Trustee without the consent of the Holders of any of the Notes at the time outstanding, notwithstanding any of the provisions of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b/>
          <w:i/>
          <w:sz w:val="20"/>
        </w:rPr>
        <w:t>Supplemental Indentures with Consent of Holders</w:t>
      </w:r>
      <w:r>
        <w:rPr>
          <w:rFonts w:ascii="Times New Roman" w:hAnsi="Times New Roman"/>
          <w:sz w:val="20"/>
        </w:rPr>
        <w:t xml:space="preserve">. With the consent (evidenced as provided in </w:t>
      </w:r>
      <w:r>
        <w:rPr>
          <w:rFonts w:ascii="Times New Roman" w:hAnsi="Times New Roman"/>
          <w:sz w:val="20"/>
          <w:u w:val="single"/>
        </w:rPr>
        <w:t>Article 8</w:t>
      </w:r>
      <w:r>
        <w:rPr>
          <w:rFonts w:ascii="Times New Roman" w:hAnsi="Times New Roman"/>
          <w:sz w:val="20"/>
        </w:rPr>
        <w:t xml:space="preserve">) of the Holders of at least a majority of the aggregate principal amount of the Notes then outstanding (determined in accordance with </w:t>
      </w:r>
      <w:r>
        <w:rPr>
          <w:rFonts w:ascii="Times New Roman" w:hAnsi="Times New Roman"/>
          <w:sz w:val="20"/>
          <w:u w:val="single"/>
        </w:rPr>
        <w:t>Article 8</w:t>
      </w:r>
      <w:r>
        <w:rPr>
          <w:rFonts w:ascii="Times New Roman" w:hAnsi="Times New Roman"/>
          <w:sz w:val="20"/>
        </w:rPr>
        <w:t xml:space="preserve"> and including, without limitation, consents obtained in connection with a repurchase of, or tender or exchange offer for, Notes), the Company and the REIT, when authorized by a Board Resolution,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provided, however, that, without the consent of each Holder of an outstanding Note affected, no such supplemental indenture shall: </w:t>
      </w:r>
    </w:p>
    <w:p>
      <w:pPr>
        <w:pStyle w:val="TextBody"/>
        <w:bidi w:val="0"/>
        <w:spacing w:before="120" w:after="0"/>
        <w:jc w:val="left"/>
        <w:rPr>
          <w:rFonts w:ascii="Times New Roman" w:hAnsi="Times New Roman"/>
          <w:sz w:val="20"/>
        </w:rPr>
      </w:pPr>
      <w:r>
        <w:rPr>
          <w:rFonts w:ascii="Times New Roman" w:hAnsi="Times New Roman"/>
          <w:sz w:val="20"/>
        </w:rPr>
        <w:t xml:space="preserve">(a) reduce the percentage in aggregate principal amount of Notes outstanding necessary to waive any past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interest on any Note or change the time for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of any Note or the amount payable upon redemption of any Note or change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(d) change the place or currency of payment on any Note; </w:t>
      </w:r>
    </w:p>
    <w:p>
      <w:pPr>
        <w:pStyle w:val="TextBody"/>
        <w:bidi w:val="0"/>
        <w:spacing w:before="120" w:after="0"/>
        <w:jc w:val="left"/>
        <w:rPr>
          <w:rFonts w:ascii="Times New Roman" w:hAnsi="Times New Roman"/>
          <w:sz w:val="20"/>
        </w:rPr>
      </w:pPr>
      <w:r>
        <w:rPr>
          <w:rFonts w:ascii="Times New Roman" w:hAnsi="Times New Roman"/>
          <w:sz w:val="20"/>
        </w:rPr>
        <w:t xml:space="preserve">(e) make any change that impairs or adversely affects the exchange rights of any Notes; </w:t>
      </w:r>
    </w:p>
    <w:p>
      <w:pPr>
        <w:pStyle w:val="TextBody"/>
        <w:bidi w:val="0"/>
        <w:spacing w:before="120" w:after="0"/>
        <w:jc w:val="left"/>
        <w:rPr>
          <w:rFonts w:ascii="Times New Roman" w:hAnsi="Times New Roman"/>
          <w:sz w:val="20"/>
        </w:rPr>
      </w:pPr>
      <w:r>
        <w:rPr>
          <w:rFonts w:ascii="Times New Roman" w:hAnsi="Times New Roman"/>
          <w:sz w:val="20"/>
        </w:rPr>
        <w:t xml:space="preserve">(f) reduce the Fundamental Change Purchase Price of any Note or amend or modify in any manner adverse to the rights of the Holders of the Notes the Company’s obligation to pay the Fundamental Change Purchase Price, whether through an amendment or waiver of provisions in the covenants, definitions related thereto or otherwise; </w:t>
      </w:r>
    </w:p>
    <w:p>
      <w:pPr>
        <w:pStyle w:val="TextBody"/>
        <w:bidi w:val="0"/>
        <w:spacing w:before="120" w:after="0"/>
        <w:jc w:val="left"/>
        <w:rPr>
          <w:rFonts w:ascii="Times New Roman" w:hAnsi="Times New Roman"/>
          <w:sz w:val="20"/>
        </w:rPr>
      </w:pPr>
      <w:r>
        <w:rPr>
          <w:rFonts w:ascii="Times New Roman" w:hAnsi="Times New Roman"/>
          <w:sz w:val="20"/>
        </w:rPr>
        <w:t xml:space="preserve">(g) impair the right of any Holder of Notes to receive payment of principal of, and interest, if any, on, its Notes, or the right to receive payment of cash and, if applicable, Common Shares or other consideration, together with cash in lieu thereof in respect of any fractional shares, due upon exchange of its Notes on or after the due dates therefor or to institute suit for the enforcement of any such payment or delivery, as the case may be, with respect to such Holder’s Notes; </w:t>
      </w:r>
    </w:p>
    <w:p>
      <w:pPr>
        <w:pStyle w:val="TextBody"/>
        <w:bidi w:val="0"/>
        <w:spacing w:before="120" w:after="0"/>
        <w:jc w:val="left"/>
        <w:rPr>
          <w:rFonts w:ascii="Times New Roman" w:hAnsi="Times New Roman"/>
          <w:sz w:val="20"/>
        </w:rPr>
      </w:pPr>
      <w:r>
        <w:rPr>
          <w:rFonts w:ascii="Times New Roman" w:hAnsi="Times New Roman"/>
          <w:sz w:val="20"/>
        </w:rPr>
        <w:t xml:space="preserve">(h) modify the ranking provisions of the Indenture in a manner that is adverse to the rights of the Holders of the Notes; or </w:t>
      </w:r>
    </w:p>
    <w:p>
      <w:pPr>
        <w:pStyle w:val="TextBody"/>
        <w:bidi w:val="0"/>
        <w:spacing w:before="120" w:after="0"/>
        <w:jc w:val="left"/>
        <w:rPr>
          <w:rFonts w:ascii="Times New Roman" w:hAnsi="Times New Roman"/>
          <w:sz w:val="20"/>
        </w:rPr>
      </w:pPr>
      <w:r>
        <w:rPr>
          <w:rFonts w:ascii="Times New Roman" w:hAnsi="Times New Roman"/>
          <w:sz w:val="20"/>
        </w:rPr>
        <w:t xml:space="preserve">(i) make any change to the provisions of this </w:t>
      </w:r>
      <w:r>
        <w:rPr>
          <w:rFonts w:ascii="Times New Roman" w:hAnsi="Times New Roman"/>
          <w:sz w:val="20"/>
          <w:u w:val="single"/>
        </w:rPr>
        <w:t>Article 10</w:t>
      </w:r>
      <w:r>
        <w:rPr>
          <w:rFonts w:ascii="Times New Roman" w:hAnsi="Times New Roman"/>
          <w:sz w:val="20"/>
        </w:rPr>
        <w:t xml:space="preserve"> that requires each Holder’s consent or in the waiver provisions in </w:t>
      </w:r>
      <w:r>
        <w:rPr>
          <w:rFonts w:ascii="Times New Roman" w:hAnsi="Times New Roman"/>
          <w:sz w:val="20"/>
          <w:u w:val="single"/>
        </w:rPr>
        <w:t>Section 6.09</w:t>
      </w:r>
      <w:r>
        <w:rPr>
          <w:rFonts w:ascii="Times New Roman" w:hAnsi="Times New Roman"/>
          <w:sz w:val="20"/>
        </w:rPr>
        <w:t xml:space="preserve"> if such change is adverse to the rights of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and upon the filing with the Trustee of evidence of the consent of Holders as aforesaid and subject to </w:t>
      </w:r>
      <w:r>
        <w:rPr>
          <w:rFonts w:ascii="Times New Roman" w:hAnsi="Times New Roman"/>
          <w:sz w:val="20"/>
          <w:u w:val="single"/>
        </w:rPr>
        <w:t>Section 10.05</w:t>
      </w:r>
      <w:r>
        <w:rPr>
          <w:rFonts w:ascii="Times New Roman" w:hAnsi="Times New Roman"/>
          <w:sz w:val="20"/>
        </w:rPr>
        <w:t xml:space="preserve">, the Trustee shall join with the Company and the REIT in the execution of such supplemental indenture unless such supplemental indenture affects the Trustee’s own rights, duties, liabilities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Holders do not need under this </w:t>
      </w:r>
      <w:r>
        <w:rPr>
          <w:rFonts w:ascii="Times New Roman" w:hAnsi="Times New Roman"/>
          <w:sz w:val="20"/>
          <w:u w:val="single"/>
        </w:rPr>
        <w:t>Section 10.02</w:t>
      </w:r>
      <w:r>
        <w:rPr>
          <w:rFonts w:ascii="Times New Roman" w:hAnsi="Times New Roman"/>
          <w:sz w:val="20"/>
        </w:rPr>
        <w:t xml:space="preserve">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b/>
          <w:i/>
          <w:sz w:val="20"/>
        </w:rPr>
        <w:t>Effect of Supplemental Indentures</w:t>
      </w:r>
      <w:r>
        <w:rPr>
          <w:rFonts w:ascii="Times New Roman" w:hAnsi="Times New Roman"/>
          <w:sz w:val="20"/>
        </w:rPr>
        <w:t xml:space="preserve">. Upon the execution of any supplemental indenture pursuant to the provisions of this </w:t>
      </w:r>
      <w:r>
        <w:rPr>
          <w:rFonts w:ascii="Times New Roman" w:hAnsi="Times New Roman"/>
          <w:sz w:val="20"/>
          <w:u w:val="single"/>
        </w:rPr>
        <w:t>Article 10</w:t>
      </w:r>
      <w:r>
        <w:rPr>
          <w:rFonts w:ascii="Times New Roman" w:hAnsi="Times New Roman"/>
          <w:sz w:val="20"/>
        </w:rPr>
        <w:t xml:space="preserve">, this Indenture shall be and be deemed to be modified and amended in accordance therewith and the respective rights, limitation of rights, obligations, duties and immunities under this Indenture of the Trustee, the Company, the REIT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b/>
          <w:i/>
          <w:sz w:val="20"/>
        </w:rPr>
        <w:t>Notation on Notes</w:t>
      </w:r>
      <w:r>
        <w:rPr>
          <w:rFonts w:ascii="Times New Roman" w:hAnsi="Times New Roman"/>
          <w:sz w:val="20"/>
        </w:rPr>
        <w:t xml:space="preserve">. Notes authenticated and delivered after the execution of any supplemental indenture pursuant to the provisions of this </w:t>
      </w:r>
      <w:r>
        <w:rPr>
          <w:rFonts w:ascii="Times New Roman" w:hAnsi="Times New Roman"/>
          <w:sz w:val="20"/>
          <w:u w:val="single"/>
        </w:rPr>
        <w:t>Article 10</w:t>
      </w:r>
      <w:r>
        <w:rPr>
          <w:rFonts w:ascii="Times New Roman" w:hAnsi="Times New Roman"/>
          <w:sz w:val="20"/>
        </w:rPr>
        <w:t xml:space="preserve"> may, at the Company’s expense, bear a notation in form approved by the Trustee as to any matter provided for in such supplemental indenture. If the Company or the Trustee shall so determine, new Notes so modified as to conform, in the opinion of the Trustee and the Board of Trustees,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w:t>
      </w:r>
      <w:r>
        <w:rPr>
          <w:rFonts w:ascii="Times New Roman" w:hAnsi="Times New Roman"/>
          <w:sz w:val="20"/>
          <w:u w:val="single"/>
        </w:rPr>
        <w:t>Section 17.10</w:t>
      </w:r>
      <w:r>
        <w:rPr>
          <w:rFonts w:ascii="Times New Roman" w:hAnsi="Times New Roman"/>
          <w:sz w:val="20"/>
        </w:rPr>
        <w:t xml:space="preserve">) and delivered in exchange for the Notes then outstanding, upon surrender of such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b/>
          <w:i/>
          <w:sz w:val="20"/>
        </w:rPr>
        <w:t>Trustee to Sign Amendments</w:t>
      </w:r>
      <w:r>
        <w:rPr>
          <w:rFonts w:ascii="Times New Roman" w:hAnsi="Times New Roman"/>
          <w:sz w:val="20"/>
        </w:rPr>
        <w:t xml:space="preserve">. The Trustee shall sign any amendment, supplement or waiver authorized pursuant hereto if the amendment or supplement does not adversely affect the rights, duties, liabilities or immunities of the Trustee; provided, that in executing any amendment, supplement or waiver, the Trustee shall receive and shall be 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protected in relying upon, in addition to the documents required by Section 17.05, an Officer’s Certificate and an Opinion of Counsel stating that the execution of such amended or supplemental indenture is authorized or permitted by this indenture and is the legal, valid and binding obligation of the Company and the REIT, enforceable against the Company and the REIT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CONVEYANCE AND LEASE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b/>
          <w:i/>
          <w:sz w:val="20"/>
        </w:rPr>
        <w:t>Company and REIT May Consolidate, Merge, etc., on Certain Terms</w:t>
      </w:r>
      <w:r>
        <w:rPr>
          <w:rFonts w:ascii="Times New Roman" w:hAnsi="Times New Roman"/>
          <w:sz w:val="20"/>
        </w:rPr>
        <w:t xml:space="preserve">. Subject to the provisions of </w:t>
      </w:r>
      <w:r>
        <w:rPr>
          <w:rFonts w:ascii="Times New Roman" w:hAnsi="Times New Roman"/>
          <w:sz w:val="20"/>
          <w:u w:val="single"/>
        </w:rPr>
        <w:t>Section 11.02</w:t>
      </w:r>
      <w:r>
        <w:rPr>
          <w:rFonts w:ascii="Times New Roman" w:hAnsi="Times New Roman"/>
          <w:sz w:val="20"/>
        </w:rPr>
        <w:t xml:space="preserve">, neither the Company nor the REIT shall consolidate with, merge with or into, or convey, transfer or lease all or substantially all of its properties and assets to another Person, unless: </w:t>
      </w:r>
    </w:p>
    <w:p>
      <w:pPr>
        <w:pStyle w:val="TextBody"/>
        <w:bidi w:val="0"/>
        <w:spacing w:before="120" w:after="0"/>
        <w:jc w:val="left"/>
        <w:rPr>
          <w:rFonts w:ascii="Times New Roman" w:hAnsi="Times New Roman"/>
          <w:sz w:val="20"/>
        </w:rPr>
      </w:pPr>
      <w:r>
        <w:rPr>
          <w:rFonts w:ascii="Times New Roman" w:hAnsi="Times New Roman"/>
          <w:sz w:val="20"/>
        </w:rPr>
        <w:t>(a) the Company or the REIT, as the case may be, shall be the surviving Person or the resulting, surviving or transferee Person (the “</w:t>
      </w:r>
      <w:r>
        <w:rPr>
          <w:rFonts w:ascii="Times New Roman" w:hAnsi="Times New Roman"/>
          <w:b/>
          <w:sz w:val="20"/>
        </w:rPr>
        <w:t>Successor Entity</w:t>
      </w:r>
      <w:r>
        <w:rPr>
          <w:rFonts w:ascii="Times New Roman" w:hAnsi="Times New Roman"/>
          <w:sz w:val="20"/>
        </w:rPr>
        <w:t xml:space="preserve">”) shall be an entity organized and existing under the laws of the United States of America, any State thereof or the District of Columbia, and such Successor Entity shall expressly assume, by supplemental indenture, executed and delivered to the Trustee, in form satisfactory to the Trustee, all of the obligations of the Company or the REIT, as the case may be, under the Notes and the Indenture as applicable to the Notes;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b/>
          <w:i/>
          <w:sz w:val="20"/>
        </w:rPr>
        <w:t>Successor Entity to Be Substituted</w:t>
      </w:r>
      <w:r>
        <w:rPr>
          <w:rFonts w:ascii="Times New Roman" w:hAnsi="Times New Roman"/>
          <w:sz w:val="20"/>
        </w:rPr>
        <w:t xml:space="preserve">. In case of any such consolidation, merger, conveyance, transfer or lease and upon the assumption by the Successor Entity, by supplemental indenture, executed and delivered to the Trustee and satisfactory in form to the Trustee, of the due and punctual payment of the principal of (including any Fundamental Change Purchase Price), the Redemption Price (if applicable) of, accrued and unpaid interest and accrued and unpaid Additional Interest, if any, on all of the Notes, the due and punctual delivery or payment, as the case may be, of any consideration due upon exchange of the Notes and the due and punctual performance of all of the covenants and conditions of this Indenture to be performed by the Company and the REIT, such Successor Entity (if not the Company or the REIT) shall succeed to and, shall be substituted for the Company or the REIT, as the case may be, and may exercise every right and power of, the Company or the REIT, as the case may be, under the Indenture, with the same effect as if it had been named herein as the party of the first part. Such Successor Entity, if a successor to the Company,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Indenture as though all of such Notes had been issued at the date of the execution hereof. In the event of any such amalgamation, consolidation, merger, conveyance or transfer (but not in the case of a lease), the Person named as the “Company” in the first paragraph of this Indenture (or any successor that shall thereafter have become such in the manner prescribed in this </w:t>
      </w:r>
      <w:r>
        <w:rPr>
          <w:rFonts w:ascii="Times New Roman" w:hAnsi="Times New Roman"/>
          <w:sz w:val="20"/>
          <w:u w:val="single"/>
        </w:rPr>
        <w:t>Article 11</w:t>
      </w:r>
      <w:r>
        <w:rPr>
          <w:rFonts w:ascii="Times New Roman" w:hAnsi="Times New Roman"/>
          <w:sz w:val="20"/>
        </w:rPr>
        <w:t xml:space="preserve">) may be dissolved, wound up and liquidated at any time thereafter and, except in the case of a lease, such Person shall be released from its liabilities as obligor and maker of the Notes and from its obligations under this Indenture, the Notes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In case of any such consolidation, merger, conveyance, transfer or lease, such changes in phraseology and form (but not in substance) may be made in the Notes thereafter to be issued as may be appropriate</w:t>
      </w:r>
      <w:r>
        <w:rPr>
          <w:rFonts w:ascii="Times New Roman" w:hAnsi="Times New Roman"/>
          <w:b/>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b/>
          <w:i/>
          <w:sz w:val="20"/>
        </w:rPr>
        <w:t>Opinion</w:t>
      </w:r>
      <w:r>
        <w:rPr>
          <w:rFonts w:ascii="Times New Roman" w:hAnsi="Times New Roman"/>
          <w:sz w:val="20"/>
        </w:rPr>
        <w:t xml:space="preserve"> </w:t>
      </w:r>
      <w:r>
        <w:rPr>
          <w:rFonts w:ascii="Times New Roman" w:hAnsi="Times New Roman"/>
          <w:b/>
          <w:i/>
          <w:sz w:val="20"/>
        </w:rPr>
        <w:t>of Counsel to Be Given to Trustee</w:t>
      </w:r>
      <w:r>
        <w:rPr>
          <w:rFonts w:ascii="Times New Roman" w:hAnsi="Times New Roman"/>
          <w:sz w:val="20"/>
        </w:rPr>
        <w:t xml:space="preserve">. In the case of any such amalgamation, merger, consolidation, conveyance, transfer or lease, the Trustee shall receive an Officer’s Certificate and an Opinion of Counsel stating that any such amalgamation, consolidation, merger, conveyance, transfer or lease and any such assumption and, if a supplemental indenture is required in connection with such transaction, such supplemental indenture, complies with the provisions of this </w:t>
      </w:r>
      <w:r>
        <w:rPr>
          <w:rFonts w:ascii="Times New Roman" w:hAnsi="Times New Roman"/>
          <w:sz w:val="20"/>
          <w:u w:val="single"/>
        </w:rPr>
        <w:t>Article 11</w:t>
      </w:r>
      <w:r>
        <w:rPr>
          <w:rFonts w:ascii="Times New Roman" w:hAnsi="Times New Roman"/>
          <w:sz w:val="20"/>
        </w:rPr>
        <w:t xml:space="preserve"> and is the legal, valid and binding obligation of such Successor Entity, enforceable against such Successor Entity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b/>
          <w:i/>
          <w:sz w:val="20"/>
        </w:rPr>
        <w:t>Indenture and Notes Solely Corporate Obligations</w:t>
      </w:r>
      <w:r>
        <w:rPr>
          <w:rFonts w:ascii="Times New Roman" w:hAnsi="Times New Roman"/>
          <w:sz w:val="20"/>
        </w:rPr>
        <w:t xml:space="preserve">. No recourse for the payment of the principal of or accrued and unpaid interest on any Note, nor for any claim based thereon or otherwise in respect thereof, and no recourse under or upon any obligation, covenant or agreement of the Company or the REIT in this Indenture or in any supplemental indenture or in any Note, nor because of the creation of any indebtedness represented thereby, shall be had against any incorporator, stockholder, partner, member, employee, agent, Officer or director or Subsidiary, as such, past, present or future, of the Company or the REIT or of any successor Person, either directly or through the Company or the REIT (as the case may be) or any successor Person, whether by virtue of any constitution, statute or rule of law, or by the enforcement of any assessment or penalty or otherwise; it being expressly understood that all such liability, including, without limitation, any such liability of the REIT for the obligations of the Company hereunder or under any Note, is hereby expressly waived and released as a condition of, and as a consideration for, the execution of this Indenture and the issue of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b/>
          <w:i/>
          <w:sz w:val="20"/>
        </w:rPr>
        <w:t>Right to Exchange</w:t>
      </w:r>
      <w:r>
        <w:rPr>
          <w:rFonts w:ascii="Times New Roman" w:hAnsi="Times New Roman"/>
          <w:sz w:val="20"/>
        </w:rPr>
        <w:t xml:space="preserve">. (a) Subject to and upon compliance with the provisions of this Article 14, each Holder of a Note shall have the right, at such Holder’s option, to exchange all or any portion (if the portion to be exchanged is $1,000 principal amount or an integral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of such Note (i) subject to satisfaction of the conditions described in Section 14.01(b), at any time prior to the Close of Business on the Business Day immediately preceding May 15, 2031 under the circumstances and during the periods set forth in Section 14.01(b), and (ii) regardless of the conditions described in Section 14.01(b), on or after May 15, 2031 and prior to the Close of Business on the second Scheduled Trading Day immediately preceding the Maturity Date, in each case, at an initial Exchange Rate of 7.2179 Common Shares (subject to adjustment as provided in this Article 14, the “Exchange Rate”) per $1,000 principal amount of Notes (subject to, and in accordance with, the settlement provisions of Section 14.03, the “Exchange Obligation”). </w:t>
      </w:r>
    </w:p>
    <w:p>
      <w:pPr>
        <w:pStyle w:val="TextBody"/>
        <w:bidi w:val="0"/>
        <w:spacing w:before="120" w:after="0"/>
        <w:jc w:val="left"/>
        <w:rPr>
          <w:rFonts w:ascii="Times New Roman" w:hAnsi="Times New Roman"/>
          <w:sz w:val="20"/>
        </w:rPr>
      </w:pPr>
      <w:r>
        <w:rPr>
          <w:rFonts w:ascii="Times New Roman" w:hAnsi="Times New Roman"/>
          <w:sz w:val="20"/>
        </w:rPr>
        <w:t xml:space="preserve">(b) (1) Prior to the Close of Business on the Business Day preceding May 15, 2031, a Holder may surrender all or any portion of its Notes for exchange at any time during any calendar quarter commencing after the calendar quarter ending on September 30, 2026 (and only during such calendar quarter), if the Last Reported Sale Price of the Common Shares for at least 20 Trading Days (whether or not consecutive) during the period of 30 consecutive Trading Days ending on the last Trading Day of the immediately preceding calendar quarter is greater than or equal to 130% of the applicable Exchange Price on each applicable Trading Day. </w:t>
      </w:r>
    </w:p>
    <w:p>
      <w:pPr>
        <w:pStyle w:val="TextBody"/>
        <w:bidi w:val="0"/>
        <w:spacing w:before="120" w:after="0"/>
        <w:jc w:val="left"/>
        <w:rPr>
          <w:rFonts w:ascii="Times New Roman" w:hAnsi="Times New Roman"/>
          <w:sz w:val="20"/>
        </w:rPr>
      </w:pPr>
      <w:r>
        <w:rPr>
          <w:rFonts w:ascii="Times New Roman" w:hAnsi="Times New Roman"/>
          <w:sz w:val="20"/>
        </w:rPr>
        <w:t>(2) Prior to the Close of Business on the Business Day immediately preceding May 15, 2031, a Holder may surrender all or any portion of its Notes for exchange at any time during the five Business Day period after any five consecutive Trading Day period (the “</w:t>
      </w:r>
      <w:r>
        <w:rPr>
          <w:rFonts w:ascii="Times New Roman" w:hAnsi="Times New Roman"/>
          <w:b/>
          <w:sz w:val="20"/>
        </w:rPr>
        <w:t>Measurement Period</w:t>
      </w:r>
      <w:r>
        <w:rPr>
          <w:rFonts w:ascii="Times New Roman" w:hAnsi="Times New Roman"/>
          <w:sz w:val="20"/>
        </w:rPr>
        <w:t xml:space="preserve">”) in which the Trading Price per $1,000 principal amount of Notes, as determined following a request by a Holder in accordance with the procedures set forth in this subsection (b)(2), for each Trading Day of the Measurement Period was less than 98% of the product of (x) the Last Reported Sale Price of the Common Shares and (y) the applicable Exchange Rate on each such Trading Day. The Trading Prices shall be determined by the Bid Solicitation Agent pursuant to this subsection (b)(2) and the definition of “Trading Price” set forth in this Indenture. The Company shall provide written notice to the Bid Solicitation Agent (if other than the Company) of the three independent nationally recognized securities dealers selected by the Company in accordance with the definition of Trading Price, along with the appropriate contact information for each.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the Bid Solicitation Agent, the Company shall have no obligation to determine the Trading Price of the Notes) unless a Holder of at least $3,000,000 aggregate principal amount of Notes provides the Company with reasonable evidence that the Trading Price per $1,000 principal amount of Notes would be less than 98% of the product of (x) the Last Reported Sale Price of the Common Shares on such Trading Day and (y) the applicable Exchange Rate on such Trading Day. At such time, the Company shall instruct the Bid Solicitation Agent (if other than the Company) to determine or, if the Company is the Bid Solicitation Agent, the Company shall determine the Trading Price per $1,000 principal amount of the Notes beginning on the next Trading Day and on each successive Trading Day until the Trading Price per $1,000 principal amount of Notes for a Trading Day is greater than or equal to 98% of the product of (x) the Last Reported Sale Price of the Common Shares on such Trading Day and (y) the applicable Exchange Rate on such Trading Day. Whenever the condition to exchange set forth in this subsection (b)(2) has been met, the Company will so notify the Holders, the Trustee and the Exchange Agent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the Trustee). If, at any time after the condition to exchange set forth in this subsection (b)(2) has been met, the Trading Price per $1,000 principal amount of Notes is greater than or equal to 98% of the product of (x) the Last Reported Sale Price of the Common Shares and (y) the applicable Exchange Rate for such date, the Company will so notify the Holders, the Trustee and the Exchange Agent (if other than the Trustee) promptly. The Company will initially act as Bid Solicitation Agent. </w:t>
      </w:r>
    </w:p>
    <w:p>
      <w:pPr>
        <w:pStyle w:val="TextBody"/>
        <w:bidi w:val="0"/>
        <w:spacing w:before="120" w:after="0"/>
        <w:jc w:val="left"/>
        <w:rPr>
          <w:rFonts w:ascii="Times New Roman" w:hAnsi="Times New Roman"/>
          <w:sz w:val="20"/>
        </w:rPr>
      </w:pPr>
      <w:r>
        <w:rPr>
          <w:rFonts w:ascii="Times New Roman" w:hAnsi="Times New Roman"/>
          <w:sz w:val="20"/>
        </w:rPr>
        <w:t xml:space="preserve">(3) If the Company calls any or all Notes for Redemption pursuant to </w:t>
      </w:r>
      <w:r>
        <w:rPr>
          <w:rFonts w:ascii="Times New Roman" w:hAnsi="Times New Roman"/>
          <w:sz w:val="20"/>
          <w:u w:val="single"/>
        </w:rPr>
        <w:t>Article 16</w:t>
      </w:r>
      <w:r>
        <w:rPr>
          <w:rFonts w:ascii="Times New Roman" w:hAnsi="Times New Roman"/>
          <w:sz w:val="20"/>
        </w:rPr>
        <w:t xml:space="preserve"> hereof prior to the Close of Business on the Business Day immediately preceding May 15, 2031, then a Holder may surrender all or any portion of its Notes for exchange at any time prior to the Close of Business on the Business Day prior to the relevant Redemption Date, even if the Notes are not otherwise exchangeable at such time. After that time, the right to exchange on account of the Company’s delivery of a Redemption Notice shall expire, unless the Company defaults in the payment of the Redemption Price, in which case a Holder of Notes may exchange its Notes until the Redemption Price has been paid or duly provided for. </w:t>
      </w:r>
    </w:p>
    <w:p>
      <w:pPr>
        <w:pStyle w:val="TextBody"/>
        <w:bidi w:val="0"/>
        <w:spacing w:before="120" w:after="0"/>
        <w:jc w:val="left"/>
        <w:rPr>
          <w:rFonts w:ascii="Times New Roman" w:hAnsi="Times New Roman"/>
          <w:sz w:val="20"/>
        </w:rPr>
      </w:pPr>
      <w:r>
        <w:rPr>
          <w:rFonts w:ascii="Times New Roman" w:hAnsi="Times New Roman"/>
          <w:sz w:val="20"/>
        </w:rPr>
        <w:t xml:space="preserve">(4) If, prior to the Close of Business on the Business Day immediately preceding May 15, 2031, the REIT elects to: </w:t>
      </w:r>
    </w:p>
    <w:p>
      <w:pPr>
        <w:pStyle w:val="TextBody"/>
        <w:bidi w:val="0"/>
        <w:spacing w:before="120" w:after="0"/>
        <w:jc w:val="left"/>
        <w:rPr>
          <w:rFonts w:ascii="Times New Roman" w:hAnsi="Times New Roman"/>
          <w:sz w:val="20"/>
        </w:rPr>
      </w:pPr>
      <w:r>
        <w:rPr>
          <w:rFonts w:ascii="Times New Roman" w:hAnsi="Times New Roman"/>
          <w:sz w:val="20"/>
        </w:rPr>
        <w:t xml:space="preserve">(A) issue to all or substantially all holders of the Common Shares any rights, options or warrants (other than rights issued pursuant to a stockholder rights plan, so long as such rights have not separated from the Common Shares and are not exercisable until the occurrence of a Trigger Event, except that such rights will be deemed to be distributed for purposes of this clause (4)(A) upon their separation from the Common Shares or upon the occurrence of such Trigger Event) entitling them for a period of not more than 45 calendar days after the date of such issuance, to subscribe for or purchase Common Shares at a price per share that is less than the average of the Last Reported Sale Prices of the Common Shares for the 10 consecutive Trading Day period ending on the Trading Day immediately preceding the date of announcement of such issuance (taking into account any consideration received by the Company as described in </w:t>
      </w:r>
      <w:r>
        <w:rPr>
          <w:rFonts w:ascii="Times New Roman" w:hAnsi="Times New Roman"/>
          <w:sz w:val="20"/>
          <w:u w:val="single"/>
        </w:rPr>
        <w:t>Section 14.04(b)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distribute to all or substantially all holders of the Common Shares the REIT’s assets, debt securities or rights to purchase the REIT’s securities, which distribution has a per share value, as reasonably determined by the Board of Trustees, exceeding 10% of the Last Reported Sale Price of the Common Shares on the Trading Day immediately preceding the date of announcement for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then, in either case, the Company must notify the Trustee, the Exchange Agent (if other than the Trustee) and the Holders at least 50 Scheduled Trading Days prior to the Ex-Dividend Date for such issuance or distribution (or, if later in the case of any such separation of rights issued pursuant to a stockholder rights plan or the occurrence of any such Trigger Event under a stockholder rights plan, as soon as reasonably practicable after the Company becomes aware that such separation or Trigger Event has occurred or will occur). Holders may surrender all or any portion of their Notes for exchange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period beginning on the 45th Scheduled Trading Day immediately prior to the Ex-Dividend Date for such issuance or distribution and ending on the earlier of (i) 5:00 p.m., New York City time, on the Business Day immediately preceding the Ex-Dividend Date for such issuance or distribution and (ii) the Company’s announcement that such issuance or distribution will not take place, even if the Notes are not otherwise exchangeable at such time. Holders of the Notes will not, however, have the right to exchange pursuant to this subsection (b)(4) if they participate, at the same time and upon the same terms, as holders of Common Shares in any of the transactions described above without having to exchange their Notes as if they held a number of Common Shares equal to the applicable Exchange Rate in effect immediately prior to the Open of Business on the Ex-Dividend Date for such issuance or distribution multiplied by the principal amount (expressed in thousands) of Notes held by such holder on the Ex-Dividend Date for such issuance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(5) If prior to the Close of Business on the Business Day immediately preceding May 15, 2031 (A) a Make-Whole Fundamental Change occurs, or (B) the REIT is a party to (i) a consolidation, merger or binding share exchange pursuant to which the Common Shares would be converted into cash, securities or assets or (ii) a sale, conveyance, transfer or lease of all or substantially all of its assets, all or any portion of a Holder’s Notes may be surrendered for exchange at any time from or after the date which is 25 Scheduled Trading Days prior to the anticipated effective date of the transaction (or, if later, the Business Day after the Company gives notice of such transaction) until the Close of Business (a) if such transaction or event is a Fundamental Change, on the Business Day immediately preceding the related Fundamental Change Purchase Date, and (b) otherwise on the 35th Business Day immediately following the effective date of such transaction or event. The Company will notify the Holders, the Trustee and the Exchange Agent (if other than the Trustee) of such a transaction: (I) as promptly as practicable following the date on which the REIT publicly announces such transaction but in no event less than 35 Scheduled Trading Days prior to the anticipated effective date of such transaction or (II) if the Company does not have knowledge of such transaction at least 35 Scheduled Trading Days prior to the anticipated effective date of such transaction, within one Business Day of the date upon which the Company receives notice, or otherwise becomes aware, of such transaction, but in no event later than the actual effective date of such transaction or event.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of the Notes, no Holders of Notes shall be entitled to exchange such Notes for Common Shares to the extent that receipt of such shares would cause such Holder (or any other Person) to exceed the ownership limit contained in Article VII of the Amended and Restated Declaration of Trust of the REIT effective as of January 1, 2022, as amended to the date hereof and as may be amended, supplemented or restated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(d) If any delivery of Common Shares owed to a Holder upon exchange of Notes is not made, in whole or in part, as a result of the limitations set forth in </w:t>
      </w:r>
      <w:r>
        <w:rPr>
          <w:rFonts w:ascii="Times New Roman" w:hAnsi="Times New Roman"/>
          <w:sz w:val="20"/>
          <w:u w:val="single"/>
        </w:rPr>
        <w:t>Section 14.01(c)</w:t>
      </w:r>
      <w:r>
        <w:rPr>
          <w:rFonts w:ascii="Times New Roman" w:hAnsi="Times New Roman"/>
          <w:sz w:val="20"/>
        </w:rPr>
        <w:t xml:space="preserve">, the REIT’s obligation to make such delivery shall not be extinguished and the Company shall deliver such shares as promptly as practicable after any such exchanging Holder gives notice to the Company that such delivery would not result in a violation of the ownership limit contained in the REIT’s Amended and Restated Declaration of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Trustee nor the Exchange Agent shall be responsible for monitoring compliance with </w:t>
      </w:r>
      <w:r>
        <w:rPr>
          <w:rFonts w:ascii="Times New Roman" w:hAnsi="Times New Roman"/>
          <w:sz w:val="20"/>
          <w:u w:val="single"/>
        </w:rPr>
        <w:t>Section 14.01(c)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and, absent written direction from the Company to the contrary, may assume that any exchange complies with the limitations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b/>
          <w:i/>
          <w:sz w:val="20"/>
        </w:rPr>
        <w:t>Exchange Procedure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Settlement of Accrued Interest and Deemed Payment of Principal</w:t>
      </w:r>
      <w:r>
        <w:rPr>
          <w:rFonts w:ascii="Times New Roman" w:hAnsi="Times New Roman"/>
          <w:sz w:val="20"/>
        </w:rPr>
        <w:t xml:space="preserve">. If a Holder exchanges a Note, the Company will not adjust the Exchange Rate to account for any accrued and unpaid interest on such Note and the Company’s delivery of cash and the number of Common Shares into which a Note is exchangeable, together with any cash payment for any fractional Common Share, will be deemed to satisfy and discharge in full the Company’s obligation to pay the principal of, and accrued and unpaid interest, if any, on, such Note to, but excluding, the Exchange Date; provided, however, that if a Holder exchanges a Note after the Close of Business on a Regular Record Date and prior to the Open of Business on the corresponding Interest Payment Date, the Company will still be obligated to pay the interest due on such Interest Payment Date to the Holder of such Note on such Regular Record Date (provided the Holder makes the interest payment upon exchange if so required by </w:t>
      </w:r>
      <w:r>
        <w:rPr>
          <w:rFonts w:ascii="Times New Roman" w:hAnsi="Times New Roman"/>
          <w:sz w:val="20"/>
          <w:u w:val="single"/>
        </w:rPr>
        <w:t>Section 14.02(h)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result, except as otherwise provided in the proviso to the immediately preceding sentence, any accrued and unpaid interest with respect to an exchanged Note will be deemed to be paid in full rather than cancelled, extinguished or forfeited. Upon an exchange of Notes into into cash, and, if applicable, Common Shares, accrued and unpaid interest will be deemed to be paid first out of the cash paid upon such exchange.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Notices</w:t>
      </w:r>
      <w:r>
        <w:rPr>
          <w:rFonts w:ascii="Times New Roman" w:hAnsi="Times New Roman"/>
          <w:sz w:val="20"/>
        </w:rPr>
        <w:t xml:space="preserve">. Upon receipt of a Notice of Exchange (as contemplated below), the Exchange Agent shall promptly notify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Settlement Location</w:t>
      </w:r>
      <w:r>
        <w:rPr>
          <w:rFonts w:ascii="Times New Roman" w:hAnsi="Times New Roman"/>
          <w:sz w:val="20"/>
        </w:rPr>
        <w:t xml:space="preserve">. Each Note shall be exchangeable at the office of the Exchange Agent and, if applicable, in accordance with the Applicable Procedures.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w:t>
      </w:r>
      <w:r>
        <w:rPr>
          <w:rFonts w:ascii="Times New Roman" w:hAnsi="Times New Roman"/>
          <w:sz w:val="20"/>
        </w:rPr>
        <w:t xml:space="preserve">. To exercise the exchange privilege with respect to a beneficial interest in a Global Note, the Holder must complete the appropriate instruction form for exchange pursuant to the Depositary’s book-entry exchange program, furnish appropriate endorsements and transfer documents if required by the Company or the Exchange Agent , and pay the funds, if any, required by </w:t>
      </w:r>
      <w:r>
        <w:rPr>
          <w:rFonts w:ascii="Times New Roman" w:hAnsi="Times New Roman"/>
          <w:sz w:val="20"/>
          <w:u w:val="single"/>
        </w:rPr>
        <w:t>Section 14.02(h)</w:t>
      </w:r>
      <w:r>
        <w:rPr>
          <w:rFonts w:ascii="Times New Roman" w:hAnsi="Times New Roman"/>
          <w:sz w:val="20"/>
        </w:rPr>
        <w:t xml:space="preserve"> and any taxes or duties if required pursuant to </w:t>
      </w:r>
      <w:r>
        <w:rPr>
          <w:rFonts w:ascii="Times New Roman" w:hAnsi="Times New Roman"/>
          <w:sz w:val="20"/>
          <w:u w:val="single"/>
        </w:rPr>
        <w:t>Section 14.02(i)</w:t>
      </w:r>
      <w:r>
        <w:rPr>
          <w:rFonts w:ascii="Times New Roman" w:hAnsi="Times New Roman"/>
          <w:sz w:val="20"/>
        </w:rPr>
        <w:t xml:space="preserve">, and the Exchange Agent must be informed of the exchange in accordance with the customary practice of the Depositary (at which time such exchange will become irrevocable unless the Company, in its sole and absolute discretion agrees to permit the owner of the beneficial interest to withdraw such exchange and such withdrawal is reasonably feasible pursuant to the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To exercise the exchange privilege with respect to any Physical Notes, the Holder of such Physical Notes shall: </w:t>
      </w:r>
    </w:p>
    <w:p>
      <w:pPr>
        <w:pStyle w:val="TextBody"/>
        <w:bidi w:val="0"/>
        <w:spacing w:before="120" w:after="0"/>
        <w:jc w:val="left"/>
        <w:rPr>
          <w:rFonts w:ascii="Times New Roman" w:hAnsi="Times New Roman"/>
          <w:sz w:val="20"/>
        </w:rPr>
      </w:pPr>
      <w:r>
        <w:rPr>
          <w:rFonts w:ascii="Times New Roman" w:hAnsi="Times New Roman"/>
          <w:sz w:val="20"/>
        </w:rPr>
        <w:t>(1) complete and manually sign an exchange notice in the form set forth in the Form of Notice of Exchange (the “</w:t>
      </w:r>
      <w:r>
        <w:rPr>
          <w:rFonts w:ascii="Times New Roman" w:hAnsi="Times New Roman"/>
          <w:b/>
          <w:sz w:val="20"/>
        </w:rPr>
        <w:t>Notice of Exchange</w:t>
      </w:r>
      <w:r>
        <w:rPr>
          <w:rFonts w:ascii="Times New Roman" w:hAnsi="Times New Roman"/>
          <w:sz w:val="20"/>
        </w:rPr>
        <w:t xml:space="preserve">”) or a facsimile of the Notice of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deliver the Notice of Exchange which is irrevocable (unless the Company, in its sole and absolute discretion agrees to permit the Holder to withdraw such Notice of Exchange), and the Note to the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(3) if required, furnish appropriate endorsements and transfer documents; </w:t>
      </w:r>
    </w:p>
    <w:p>
      <w:pPr>
        <w:pStyle w:val="TextBody"/>
        <w:bidi w:val="0"/>
        <w:spacing w:before="120" w:after="0"/>
        <w:jc w:val="left"/>
        <w:rPr>
          <w:rFonts w:ascii="Times New Roman" w:hAnsi="Times New Roman"/>
          <w:sz w:val="20"/>
        </w:rPr>
      </w:pPr>
      <w:r>
        <w:rPr>
          <w:rFonts w:ascii="Times New Roman" w:hAnsi="Times New Roman"/>
          <w:sz w:val="20"/>
        </w:rPr>
        <w:t xml:space="preserve">(4) if required, make any payment required under </w:t>
      </w:r>
      <w:r>
        <w:rPr>
          <w:rFonts w:ascii="Times New Roman" w:hAnsi="Times New Roman"/>
          <w:sz w:val="20"/>
          <w:u w:val="single"/>
        </w:rPr>
        <w:t>Section 14.02(h)</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(5) if required, pay all transfer or similar taxes as set forth in </w:t>
      </w:r>
      <w:r>
        <w:rPr>
          <w:rFonts w:ascii="Times New Roman" w:hAnsi="Times New Roman"/>
          <w:sz w:val="20"/>
          <w:u w:val="single"/>
        </w:rPr>
        <w:t>Section 14.02(i)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upon exchange of a Note, any Common Shares are to be issued to a person other than the Holder of such Note, the related Notice of Exchange shall include such other person’s name and address. </w:t>
      </w:r>
    </w:p>
    <w:p>
      <w:pPr>
        <w:pStyle w:val="TextBody"/>
        <w:bidi w:val="0"/>
        <w:spacing w:before="240" w:after="0"/>
        <w:jc w:val="left"/>
        <w:rPr>
          <w:rFonts w:ascii="Times New Roman" w:hAnsi="Times New Roman"/>
          <w:sz w:val="20"/>
        </w:rPr>
      </w:pPr>
      <w:r>
        <w:rPr>
          <w:rFonts w:ascii="Times New Roman" w:hAnsi="Times New Roman"/>
          <w:sz w:val="20"/>
        </w:rPr>
        <w:t xml:space="preserve">If a Note or portion thereof is subject to a Fundamental Change Purchase Notice, such Note or portion thereof may not be exchanged unless such Fundamental Change Purchase Notice is withdrawn in accordance with </w:t>
      </w:r>
      <w:r>
        <w:rPr>
          <w:rFonts w:ascii="Times New Roman" w:hAnsi="Times New Roman"/>
          <w:sz w:val="20"/>
          <w:u w:val="single"/>
        </w:rPr>
        <w:t>Section 15.04</w:t>
      </w:r>
      <w:r>
        <w:rPr>
          <w:rFonts w:ascii="Times New Roman" w:hAnsi="Times New Roman"/>
          <w:sz w:val="20"/>
        </w:rPr>
        <w:t xml:space="preserve"> prior to the relevant Fundamental Change Expiration Time. </w:t>
      </w:r>
    </w:p>
    <w:p>
      <w:pPr>
        <w:pStyle w:val="TextBody"/>
        <w:bidi w:val="0"/>
        <w:spacing w:before="240" w:after="0"/>
        <w:jc w:val="left"/>
        <w:rPr>
          <w:rFonts w:ascii="Times New Roman" w:hAnsi="Times New Roman"/>
          <w:sz w:val="20"/>
        </w:rPr>
      </w:pPr>
      <w:r>
        <w:rPr>
          <w:rFonts w:ascii="Times New Roman" w:hAnsi="Times New Roman"/>
          <w:sz w:val="20"/>
        </w:rPr>
        <w:t>For any Note, the first Business Day on which the Holder of such Note satisfies all of the applicable requirements set forth above with respect to such Note and on which exchange of such Note is not otherwise prohibited under this Indenture shall be the “</w:t>
      </w:r>
      <w:r>
        <w:rPr>
          <w:rFonts w:ascii="Times New Roman" w:hAnsi="Times New Roman"/>
          <w:b/>
          <w:sz w:val="20"/>
        </w:rPr>
        <w:t>Exchange Date</w:t>
      </w:r>
      <w:r>
        <w:rPr>
          <w:rFonts w:ascii="Times New Roman" w:hAnsi="Times New Roman"/>
          <w:sz w:val="20"/>
        </w:rPr>
        <w:t xml:space="preserve">” with respect to such Note. </w:t>
      </w:r>
    </w:p>
    <w:p>
      <w:pPr>
        <w:pStyle w:val="TextBody"/>
        <w:bidi w:val="0"/>
        <w:spacing w:before="240" w:after="0"/>
        <w:jc w:val="left"/>
        <w:rPr>
          <w:rFonts w:ascii="Times New Roman" w:hAnsi="Times New Roman"/>
          <w:sz w:val="20"/>
        </w:rPr>
      </w:pPr>
      <w:r>
        <w:rPr>
          <w:rFonts w:ascii="Times New Roman" w:hAnsi="Times New Roman"/>
          <w:sz w:val="20"/>
        </w:rPr>
        <w:t xml:space="preserve">Each exchange shall be deemed to have been effected as to any such Notes (or portion thereof) surrendered for exchange at the Close of Business on the applicable Exchange Date, and the Person in whose name the certificate for any Common Shares delivered upon exchange is registered shall be treated as a stockholder of record as of the Close of Business on the last Trading Day of the relevant Cash Settlement Averaging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or deliver, as the case may be, the Settlement Amount due in respect of its exchange obligation no later than the second Trading Day immediately following the last Trading Day of the relevant Cash Settlement Averaging Period; provided that if prior to the Exchange Date for any exchanged Notes the Common Shares have been replaced by Reference Property consisting solely of cash pursuant to the provisions of Section 14.07, the Company shall deliver the Settlement Amount due in respect of such exchange on the Second Trading Day immediately following the relevant Exchange Date. </w:t>
      </w:r>
    </w:p>
    <w:p>
      <w:pPr>
        <w:pStyle w:val="TextBody"/>
        <w:bidi w:val="0"/>
        <w:spacing w:before="240" w:after="0"/>
        <w:jc w:val="left"/>
        <w:rPr>
          <w:rFonts w:ascii="Times New Roman" w:hAnsi="Times New Roman"/>
          <w:sz w:val="20"/>
        </w:rPr>
      </w:pPr>
      <w:r>
        <w:rPr>
          <w:rFonts w:ascii="Times New Roman" w:hAnsi="Times New Roman"/>
          <w:sz w:val="20"/>
        </w:rPr>
        <w:t xml:space="preserve">If any Common Shares are due to exchanging Holders, the REIT shall issue or cause to be issued, and the Company shall deliver to such Holder, or such Holder’s nominee or nominees, certificates or a book-entry transfer through the Depositary, as the case may be, for the full number of Common Shares to which such Holder shall be entitled in satisfaction of the Company’s exchange obligation.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Endorsement</w:t>
      </w:r>
      <w:r>
        <w:rPr>
          <w:rFonts w:ascii="Times New Roman" w:hAnsi="Times New Roman"/>
          <w:sz w:val="20"/>
        </w:rPr>
        <w:t xml:space="preserve">. Any Notes surrendered for exchange shall, unless the Common Shares issuable on exchange are to be issued in the same name as the registration of such Notes, be duly endorsed by, or be accompanied by instruments of transfer in form satisfactory to the Company duly executed by, the Holder or its duly authorized attorney.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Physical Notes</w:t>
      </w:r>
      <w:r>
        <w:rPr>
          <w:rFonts w:ascii="Times New Roman" w:hAnsi="Times New Roman"/>
          <w:sz w:val="20"/>
        </w:rPr>
        <w:t xml:space="preserve">. If any Notes in a denomination greater than $1,000 shall be surrendered for partial exchange, the Company shall execute and the Trustee shall authenticate and deliver to the Holder of the Notes so surrendered, without charge, new Notes in authorized denominations in an aggregate principal amount equal to the unexchanged portion of the surrendered Notes.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Global Notes</w:t>
      </w:r>
      <w:r>
        <w:rPr>
          <w:rFonts w:ascii="Times New Roman" w:hAnsi="Times New Roman"/>
          <w:sz w:val="20"/>
        </w:rPr>
        <w:t xml:space="preserve">. Upon the exchange of a beneficial interest in Global Notes, the Exchange Agent shall make a notation in its records as to the reduction in the principal amount represented thereby. The Company shall notify the Trustee in writing of any exchanges of Notes effected through any Exchange Agent other than the Trustee.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Interest Due Upon Exchange</w:t>
      </w:r>
      <w:r>
        <w:rPr>
          <w:rFonts w:ascii="Times New Roman" w:hAnsi="Times New Roman"/>
          <w:sz w:val="20"/>
        </w:rPr>
        <w:t xml:space="preserve">. If a Holder exchanges a Note after the Close of Business on a Regular Record Date but prior to the Open of Business on the Interest Payment Date corresponding to such Regular Record Date, such Holder must accompany such Note with an amount of cash equal to the amount of interest that will be payable on such Note on the corresponding Interest Payment Date (regardless of whether the exchanging Holder was the Holder of record on the corresponding Regular Record Date); provided, however, that a Holder need not make such payment (1) if the Exchange Date follows the Regular Record Date immediately preceding the Maturity Date; (2) if the Company has specified a Redemption Date that is after a Regular Record Date and on or prior to the corresponding Interest Payment Date; (3) if the Company has specified a Fundamental Change Purchase Date that is after a Regular Record Date and on or prior to the corresponding Interest Payment Date; or (4) to the extent of any overdue interest, if any overdue interest exists at the time of exchange with respect to such Note. Therefore, for the avoidance of doubt, all record Holders of Notes on the Regular Record Date immediately preceding the Maturity Date, and any Redemption Date or Fundamental Change Purchase Date described in the preceding sentence will receive the full interest payment due on the Maturity Date or other applicable Interest Payment Date regardless of whether their Notes have been exchanged following such Regular Record Date.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Taxes Due upon Exchange</w:t>
      </w:r>
      <w:r>
        <w:rPr>
          <w:rFonts w:ascii="Times New Roman" w:hAnsi="Times New Roman"/>
          <w:sz w:val="20"/>
        </w:rPr>
        <w:t xml:space="preserve">. If a Holder exchanges a Note, the Company will pay any documentary, stamp or similar issue or transfer tax due on the issue of any Common Shares upon the exchange, unless the tax is due because the Holder requests that any shares be issued in a name other than the Holder’s name, in which case the Holder will pay that tax. </w:t>
      </w:r>
    </w:p>
    <w:p>
      <w:pPr>
        <w:pStyle w:val="TextBody"/>
        <w:bidi w:val="0"/>
        <w:spacing w:before="120" w:after="0"/>
        <w:jc w:val="left"/>
        <w:rPr>
          <w:rFonts w:ascii="Times New Roman" w:hAnsi="Times New Roman"/>
          <w:sz w:val="20"/>
        </w:rPr>
      </w:pPr>
      <w:r>
        <w:rPr>
          <w:rFonts w:ascii="Times New Roman" w:hAnsi="Times New Roman"/>
          <w:sz w:val="20"/>
        </w:rPr>
        <w:t xml:space="preserve">Section 14.03. </w:t>
      </w:r>
      <w:r>
        <w:rPr>
          <w:rFonts w:ascii="Times New Roman" w:hAnsi="Times New Roman"/>
          <w:b/>
          <w:i/>
          <w:sz w:val="20"/>
        </w:rPr>
        <w:t>Settlement Upon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this </w:t>
      </w:r>
      <w:r>
        <w:rPr>
          <w:rFonts w:ascii="Times New Roman" w:hAnsi="Times New Roman"/>
          <w:sz w:val="20"/>
          <w:u w:val="single"/>
        </w:rPr>
        <w:t>Section 14.03</w:t>
      </w:r>
      <w:r>
        <w:rPr>
          <w:rFonts w:ascii="Times New Roman" w:hAnsi="Times New Roman"/>
          <w:sz w:val="20"/>
        </w:rPr>
        <w:t xml:space="preserve">, </w:t>
      </w:r>
      <w:r>
        <w:rPr>
          <w:rFonts w:ascii="Times New Roman" w:hAnsi="Times New Roman"/>
          <w:sz w:val="20"/>
          <w:u w:val="single"/>
        </w:rPr>
        <w:t>Section 14.06(b)</w:t>
      </w:r>
      <w:r>
        <w:rPr>
          <w:rFonts w:ascii="Times New Roman" w:hAnsi="Times New Roman"/>
          <w:sz w:val="20"/>
        </w:rPr>
        <w:t xml:space="preserve"> and </w:t>
      </w:r>
      <w:r>
        <w:rPr>
          <w:rFonts w:ascii="Times New Roman" w:hAnsi="Times New Roman"/>
          <w:sz w:val="20"/>
          <w:u w:val="single"/>
        </w:rPr>
        <w:t>Section 14.07(a)</w:t>
      </w:r>
      <w:r>
        <w:rPr>
          <w:rFonts w:ascii="Times New Roman" w:hAnsi="Times New Roman"/>
          <w:sz w:val="20"/>
        </w:rPr>
        <w:t>, upon exchange of any Note, on the second Trading Day immediately following the last Trading Day of the relevant Cash Settlement Averaging Period, the Company shall satisfy its Exchange Obligation by paying or delivering, as the case may be, to the exchanging Holder, in respect of each $1,000 principal amount of Notes being exchanged, a “</w:t>
      </w:r>
      <w:r>
        <w:rPr>
          <w:rFonts w:ascii="Times New Roman" w:hAnsi="Times New Roman"/>
          <w:b/>
          <w:sz w:val="20"/>
        </w:rPr>
        <w:t>Settlement Amount</w:t>
      </w:r>
      <w:r>
        <w:rPr>
          <w:rFonts w:ascii="Times New Roman" w:hAnsi="Times New Roman"/>
          <w:sz w:val="20"/>
        </w:rPr>
        <w:t xml:space="preserve">” equal to the sum of the Daily Settlement Amounts for each of the 40 consecutive Trading Days during the relevant Cash Settlement Averaging Period for such Note, together with cash, if applicable, in lieu of delivering any fractional Common Share in accordance with subsection (b) of this Section 14.03. </w:t>
      </w:r>
    </w:p>
    <w:p>
      <w:pPr>
        <w:pStyle w:val="TextBody"/>
        <w:bidi w:val="0"/>
        <w:spacing w:before="120" w:after="0"/>
        <w:jc w:val="left"/>
        <w:rPr>
          <w:rFonts w:ascii="Times New Roman" w:hAnsi="Times New Roman"/>
          <w:sz w:val="20"/>
        </w:rPr>
      </w:pPr>
      <w:r>
        <w:rPr>
          <w:rFonts w:ascii="Times New Roman" w:hAnsi="Times New Roman"/>
          <w:sz w:val="20"/>
        </w:rPr>
        <w:t xml:space="preserve">(1) All exchanges for which the relevant Exchange Date occurs after the issuance by the Company of a Redemption Notice but prior to the related Redemption Date, and all exchanges on or after May 15, 2031 shall be settled using the same forms and amounts of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Except for any exchanges for which the relevant Exchange Date occurs after the issuance by the Company of a Redemption Notice but prior to the related Redemption Date or which occurs on or after May 15, 2031, the Company shall use the same forms and amounts of consideration for all exchanges with the same Exchange Date, but the Company shall not have any obligation to use the same forms and amounts of consideration with respect to exchanges with different Exchange Dates. </w:t>
      </w:r>
    </w:p>
    <w:p>
      <w:pPr>
        <w:pStyle w:val="TextBody"/>
        <w:bidi w:val="0"/>
        <w:spacing w:before="120" w:after="0"/>
        <w:jc w:val="left"/>
        <w:rPr>
          <w:rFonts w:ascii="Times New Roman" w:hAnsi="Times New Roman"/>
          <w:sz w:val="20"/>
        </w:rPr>
      </w:pPr>
      <w:r>
        <w:rPr>
          <w:rFonts w:ascii="Times New Roman" w:hAnsi="Times New Roman"/>
          <w:sz w:val="20"/>
        </w:rPr>
        <w:t>(3) If, in respect of any Exchange Date (or any exchanges for which the relevant Exchange Date occurs after the issuance by the Company of a Redemption Notice but prior to the related Redemption Date or which occurs on or after May 15, 2031), the Company elects to settle all or a portion of its Exchange Obligation in excess of the principal portion of the Notes being exchanged in cash in respect of such Exchange Date (or such period, as the case may be), the Company shall inform exchanging Holders through (and upon a written request to) the Trustee of such election (the “</w:t>
      </w:r>
      <w:r>
        <w:rPr>
          <w:rFonts w:ascii="Times New Roman" w:hAnsi="Times New Roman"/>
          <w:b/>
          <w:sz w:val="20"/>
        </w:rPr>
        <w:t>Settlement Notice</w:t>
      </w:r>
      <w:r>
        <w:rPr>
          <w:rFonts w:ascii="Times New Roman" w:hAnsi="Times New Roman"/>
          <w:sz w:val="20"/>
        </w:rPr>
        <w:t>”) no later than the close of business on the Trading Day immediately following the relevant Exchange Date (or, in the case of (A) any exchanges of Notes for which the relevant Exchange Date occurs after the issuance by the Company of a Redemption Notice but prior to the related Redemption Date, in the related Redemption Notice or (B) in the case of any exchanges of Notes for which the relevant Exchange Date occurs on or after May 15, 2031, no later than May 15, 2031) and the Company shall indicate in such Settlement Notice the percentage of the Exchange Obligation in excess of the principal portion of the Notes being exchanged that shall be paid in cash (the “</w:t>
      </w:r>
      <w:r>
        <w:rPr>
          <w:rFonts w:ascii="Times New Roman" w:hAnsi="Times New Roman"/>
          <w:b/>
          <w:sz w:val="20"/>
        </w:rPr>
        <w:t>Cash Percentage</w:t>
      </w:r>
      <w:r>
        <w:rPr>
          <w:rFonts w:ascii="Times New Roman" w:hAnsi="Times New Roman"/>
          <w:sz w:val="20"/>
        </w:rPr>
        <w:t xml:space="preserve">”). If the Company does not elect a Cash Percentage prior to the deadline set forth in the immediately preceding sentence, the Company shall no longer have the right to elect a Cash Percentage with respect to any exchange on such Exchange Date or during such period, and the Company shall be deemed to have elected a Cash Percentage of 0% with respect to such exchange. In no event shall the Company’s failure to make a timely election of the Cash Percentage constitute a Default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(4) The Daily Settlement Amounts, the Daily Net Settlement Amounts (if applicable) and the Daily Exchange Values shall be determined by the Company promptly following the last day of the Cash Settlement Averaging Period. Promptly after such determination of the Daily Settlement Amounts, the Daily Net Settlement Amounts (if applicable) and the Daily Exchange Values and the amount of cash payable in lieu of delivering any fractional Common Share, the Company shall notify the Trustee and the Exchange Agent (if other than the Trustee) in writing of the Daily Settlement Amounts, the Daily Net Settlement Amounts (if applicable) and the Daily Exchange Values and the amount of cash payable in lieu of delivering any fractional Common Shares. The Trustee and the Exchange Agent (if other than the Trustee) shall have no responsibility for any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Fractional Shares</w:t>
      </w:r>
      <w:r>
        <w:rPr>
          <w:rFonts w:ascii="Times New Roman" w:hAnsi="Times New Roman"/>
          <w:sz w:val="20"/>
        </w:rPr>
        <w:t xml:space="preserve">. The Company shall not issue any fractional Common Share upon exchange of the Notes and shall instead pay cash in lieu of any fractional Common Share issuable upon exchange in an amount based on the Daily VWAP on the last Trading Day of the relevant Cash Settlement Averaging Period. For each Note surrendered for exchange, if the Company has elected (or is deemed to elect) to deliver Common Shares in respect of some or all of the Net Shares, the full number of shares that shall be issued upon exchange thereof shall be computed on the basis of the aggregate Daily Settlement Amounts for the relevant Cash Settlement Averaging Period and, if applicable, any fractional share remaining after such computation shall be paid in cash.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Notices</w:t>
      </w:r>
      <w:r>
        <w:rPr>
          <w:rFonts w:ascii="Times New Roman" w:hAnsi="Times New Roman"/>
          <w:sz w:val="20"/>
        </w:rPr>
        <w:t xml:space="preserve">. Whenever an Exchange Date occurs with respect to a Note, the Exchange Agent will, as promptly as possible, and in no event later than the Business Day immediately following such Exchange Date, deliver to the Company and the Trustee, if it is not then the Exchange Agent, notice that an Exchange Date has occurred, which notice will state such Exchange Date, the principal amount of Notes exchanged on such Exchange Date and the names of the Holders that exchanged Notes on such Exchange Date.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b/>
          <w:i/>
          <w:sz w:val="20"/>
        </w:rPr>
        <w:t>Adjustment of Exchange Rate</w:t>
      </w:r>
      <w:r>
        <w:rPr>
          <w:rFonts w:ascii="Times New Roman" w:hAnsi="Times New Roman"/>
          <w:sz w:val="20"/>
        </w:rPr>
        <w:t xml:space="preserve">. The Exchange Rate will be adjusted as described in this </w:t>
      </w:r>
      <w:r>
        <w:rPr>
          <w:rFonts w:ascii="Times New Roman" w:hAnsi="Times New Roman"/>
          <w:sz w:val="20"/>
          <w:u w:val="single"/>
        </w:rPr>
        <w:t>Section 14.04</w:t>
      </w:r>
      <w:r>
        <w:rPr>
          <w:rFonts w:ascii="Times New Roman" w:hAnsi="Times New Roman"/>
          <w:sz w:val="20"/>
        </w:rPr>
        <w:t xml:space="preserve">, except that the Company shall not make any adjustment to the Exchange Rate if Holders participate (other than in the case of a share split or share combination), at the same time and upon the same terms as holders of the Common Shares and as a result of holding the Notes, in any of the transactions described below without having to exchange their Notes, as if they held a number of Common Shares equal to the applicable Exchange Rate, multiplied by the principal amount (expressed in thousands) of Notes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(a) If the REIT exclusively issues Common Shares as a dividend or distribution on all or substantially all Common Shares, or if the REIT effects a share split or share combination, the Exchange Rate will be adjusted based on the following formula: </w:t>
      </w:r>
    </w:p>
    <w:p>
      <w:pPr>
        <w:pStyle w:val="TextBody"/>
        <w:bidi w:val="0"/>
        <w:spacing w:before="0" w:after="0"/>
        <w:jc w:val="left"/>
        <w:rPr/>
      </w:pPr>
      <w:r>
        <w:rPr/>
        <w:t> </w:t>
      </w:r>
    </w:p>
    <w:tbl>
      <w:tblPr>
        <w:tblW w:w="1840" w:type="dxa"/>
        <w:jc w:val="center"/>
        <w:tblInd w:w="0" w:type="dxa"/>
        <w:tblLayout w:type="fixed"/>
        <w:tblCellMar>
          <w:top w:w="0" w:type="dxa"/>
          <w:left w:w="0" w:type="dxa"/>
          <w:bottom w:w="0" w:type="dxa"/>
          <w:right w:w="0" w:type="dxa"/>
        </w:tblCellMar>
      </w:tblPr>
      <w:tblGrid>
        <w:gridCol w:w="1325"/>
        <w:gridCol w:w="60"/>
        <w:gridCol w:w="45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tcPr>
          <w:p>
            <w:pPr>
              <w:pStyle w:val="TableContents"/>
              <w:bidi w:val="0"/>
              <w:spacing w:before="0" w:after="283"/>
              <w:jc w:val="left"/>
              <w:rPr/>
            </w:pPr>
            <w:r>
              <w:rPr/>
              <w:t>ER1 = ER0 x</w:t>
            </w:r>
          </w:p>
        </w:tc>
        <w:tc>
          <w:tcPr>
            <w:tcW w:w="60" w:type="dxa"/>
            <w:tcBorders/>
            <w:vAlign w:val="bottom"/>
          </w:tcPr>
          <w:p>
            <w:pPr>
              <w:pStyle w:val="TableContents"/>
              <w:bidi w:val="0"/>
              <w:spacing w:before="0" w:after="283"/>
              <w:jc w:val="left"/>
              <w:rPr/>
            </w:pPr>
            <w:r>
              <w:rPr/>
              <w:t> </w:t>
            </w:r>
          </w:p>
        </w:tc>
        <w:tc>
          <w:tcPr>
            <w:tcW w:w="455" w:type="dxa"/>
            <w:tcBorders/>
          </w:tcPr>
          <w:p>
            <w:pPr>
              <w:pStyle w:val="TableContents"/>
              <w:bidi w:val="0"/>
              <w:spacing w:before="0" w:after="283"/>
              <w:jc w:val="center"/>
              <w:rPr/>
            </w:pPr>
            <w:r>
              <w:rPr/>
              <w:t>OS1</w:t>
            </w:r>
          </w:p>
        </w:tc>
      </w:tr>
      <w:tr>
        <w:trPr/>
        <w:tc>
          <w:tcPr>
            <w:tcW w:w="13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r>
      <w:tr>
        <w:trPr/>
        <w:tc>
          <w:tcPr>
            <w:tcW w:w="13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5" w:type="dxa"/>
            <w:tcBorders/>
          </w:tcPr>
          <w:p>
            <w:pPr>
              <w:pStyle w:val="TableContents"/>
              <w:bidi w:val="0"/>
              <w:spacing w:before="0" w:after="283"/>
              <w:jc w:val="center"/>
              <w:rPr/>
            </w:pPr>
            <w:r>
              <w:rPr/>
              <w:t>OS0</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
        <w:gridCol w:w="143"/>
        <w:gridCol w:w="158"/>
        <w:gridCol w:w="143"/>
        <w:gridCol w:w="9291"/>
      </w:tblGrid>
      <w:tr>
        <w:trPr/>
        <w:tc>
          <w:tcPr>
            <w:tcW w:w="47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91" w:type="dxa"/>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ER0</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Exchange Rate in effect immediately prior to the Open of Business on the Ex-Dividend Date of such dividend or distribution, or immediately prior to the Open of Business on the effective date of such share split or combination, as applicable;</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ER1</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Exchange Rate in effect immediately after the Open of Business on such Ex-Dividend Date or such effective date, as applicable;</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OS0</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number of Common Shares outstanding immediately prior to the Open of Business on such Ex-Dividend Date or such effective date, as applicable, before giving effect to such dividend, distribution, share split or share combination, as applicable; and</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OS1</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number of Common Shares outstanding immediately after giving effect to such dividend, distribution, share split or share combination, as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adjustment made under this </w:t>
      </w:r>
      <w:r>
        <w:rPr>
          <w:rFonts w:ascii="Times New Roman" w:hAnsi="Times New Roman"/>
          <w:sz w:val="20"/>
          <w:u w:val="single"/>
        </w:rPr>
        <w:t>Section 14.04(a)</w:t>
      </w:r>
      <w:r>
        <w:rPr>
          <w:rFonts w:ascii="Times New Roman" w:hAnsi="Times New Roman"/>
          <w:sz w:val="20"/>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 w:hAnsi="Times New Roman"/>
          <w:sz w:val="20"/>
          <w:u w:val="single"/>
        </w:rPr>
        <w:t>Section 14.04(a)</w:t>
      </w:r>
      <w:r>
        <w:rPr>
          <w:rFonts w:ascii="Times New Roman" w:hAnsi="Times New Roman"/>
          <w:sz w:val="20"/>
        </w:rPr>
        <w:t xml:space="preserve"> is declared but not so paid or made, the Exchange Rate shall be immediately readjusted, effective as of the date the Board of Trustees determines not to pay such dividend or distribution to the Exchange Rate that would then be in effect if such dividend or distribution had not been declared. </w:t>
      </w:r>
    </w:p>
    <w:p>
      <w:pPr>
        <w:pStyle w:val="TextBody"/>
        <w:bidi w:val="0"/>
        <w:spacing w:before="120" w:after="0"/>
        <w:jc w:val="left"/>
        <w:rPr>
          <w:rFonts w:ascii="Times New Roman" w:hAnsi="Times New Roman"/>
          <w:sz w:val="20"/>
        </w:rPr>
      </w:pPr>
      <w:r>
        <w:rPr>
          <w:rFonts w:ascii="Times New Roman" w:hAnsi="Times New Roman"/>
          <w:sz w:val="20"/>
        </w:rPr>
        <w:t>(b) If the REIT issues to all or substantially all holders of the Common Shares any rights, options or warrants (other than rights issued or otherwise distributed pursuant to a stockholder rights plan, as to which the provisions set forth in Section </w:t>
      </w:r>
      <w:r>
        <w:rPr>
          <w:rFonts w:ascii="Times New Roman" w:hAnsi="Times New Roman"/>
          <w:sz w:val="20"/>
          <w:u w:val="single"/>
        </w:rPr>
        <w:t>14.04(c)</w:t>
      </w:r>
      <w:r>
        <w:rPr>
          <w:rFonts w:ascii="Times New Roman" w:hAnsi="Times New Roman"/>
          <w:sz w:val="20"/>
        </w:rPr>
        <w:t xml:space="preserve"> shall apply) entitling them, for a period of not more than 45 calendar days after the date of such issuance, to subscribe for or purchase Common Shares, at a price per share that is less than the average of the Last Reported Sale Prices of the Common Shares for the 10 consecutive Trading Day-period ending on, and including, the Trading Day immediately preceding the date of announcement of such issuance, the Exchange Rate will be increased based on the following formula: </w:t>
      </w:r>
    </w:p>
    <w:p>
      <w:pPr>
        <w:pStyle w:val="TextBody"/>
        <w:bidi w:val="0"/>
        <w:spacing w:before="0" w:after="0"/>
        <w:jc w:val="left"/>
        <w:rPr/>
      </w:pPr>
      <w:r>
        <w:rPr/>
        <w:t> </w:t>
      </w:r>
    </w:p>
    <w:tbl>
      <w:tblPr>
        <w:tblW w:w="2335" w:type="dxa"/>
        <w:jc w:val="center"/>
        <w:tblInd w:w="0" w:type="dxa"/>
        <w:tblLayout w:type="fixed"/>
        <w:tblCellMar>
          <w:top w:w="0" w:type="dxa"/>
          <w:left w:w="0" w:type="dxa"/>
          <w:bottom w:w="0" w:type="dxa"/>
          <w:right w:w="0" w:type="dxa"/>
        </w:tblCellMar>
      </w:tblPr>
      <w:tblGrid>
        <w:gridCol w:w="1325"/>
        <w:gridCol w:w="120"/>
        <w:gridCol w:w="890"/>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tcPr>
          <w:p>
            <w:pPr>
              <w:pStyle w:val="TableContents"/>
              <w:bidi w:val="0"/>
              <w:spacing w:before="0" w:after="283"/>
              <w:jc w:val="left"/>
              <w:rPr/>
            </w:pPr>
            <w:r>
              <w:rPr/>
              <w:t>ER1 = ER0 x</w:t>
            </w:r>
          </w:p>
        </w:tc>
        <w:tc>
          <w:tcPr>
            <w:tcW w:w="120" w:type="dxa"/>
            <w:tcBorders/>
            <w:vAlign w:val="bottom"/>
          </w:tcPr>
          <w:p>
            <w:pPr>
              <w:pStyle w:val="TableContents"/>
              <w:bidi w:val="0"/>
              <w:spacing w:before="0" w:after="283"/>
              <w:jc w:val="left"/>
              <w:rPr/>
            </w:pPr>
            <w:r>
              <w:rPr/>
              <w:t>  </w:t>
            </w:r>
          </w:p>
        </w:tc>
        <w:tc>
          <w:tcPr>
            <w:tcW w:w="8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OS0 + X</w:t>
            </w:r>
          </w:p>
        </w:tc>
      </w:tr>
      <w:tr>
        <w:trPr/>
        <w:tc>
          <w:tcPr>
            <w:tcW w:w="1325"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center"/>
              <w:rPr/>
            </w:pPr>
            <w:r>
              <w:rPr/>
              <w:t>OS0 + Y</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
        <w:gridCol w:w="143"/>
        <w:gridCol w:w="157"/>
        <w:gridCol w:w="143"/>
        <w:gridCol w:w="9293"/>
      </w:tblGrid>
      <w:tr>
        <w:trPr/>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ER0</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Exchange Rate in effect immediately prior to the Open of Business on the Ex-Dividend Date for such issuance;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ER1</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Exchange Rate in effect immediately after the Open of Business on such Ex-Dividend Date;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OS0</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number of Common Shares outstanding immediately prior to the Open of Business on such Ex-Dividend Date;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X</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total number of Common Shares issuable pursuant to such rights, options or warrants; and</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Y</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number of Common Shares equal to the aggregate price payable to exercise such rights, options or warrants divided by the average of the Last Reported Sale Prices of the Common Shares over the 10 consecutive Trading Day-period ending on, and including, the Trading Day immediately preceding the date of announcement of the issuance of such rights, options or warrants.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this </w:t>
      </w:r>
      <w:r>
        <w:rPr>
          <w:rFonts w:ascii="Times New Roman" w:hAnsi="Times New Roman"/>
          <w:sz w:val="20"/>
          <w:u w:val="single"/>
        </w:rPr>
        <w:t>Section 14.04(b)</w:t>
      </w:r>
      <w:r>
        <w:rPr>
          <w:rFonts w:ascii="Times New Roman" w:hAnsi="Times New Roman"/>
          <w:sz w:val="20"/>
        </w:rPr>
        <w:t xml:space="preserve"> will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Common Shares are not delivered upon the expiration of such rights, options or warrants, the Exchange Rate shall be readjusted to the Exchange Rate that would then be in effect had the increase with respect to the issuance of such rights, options or warrants been made on the basis of delivery of only the number of Common Shares actually delivered. If such rights, options or warrants are not so issued, or if such rights, options or warrants are not exercised prior to their expiration, the Exchange Rate shall be decreased to be the Exchange Rate that would then be in effect if such Record Date for such issuance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14.04(b)</w:t>
      </w:r>
      <w:r>
        <w:rPr>
          <w:rFonts w:ascii="Times New Roman" w:hAnsi="Times New Roman"/>
          <w:sz w:val="20"/>
        </w:rPr>
        <w:t xml:space="preserve"> and </w:t>
      </w:r>
      <w:r>
        <w:rPr>
          <w:rFonts w:ascii="Times New Roman" w:hAnsi="Times New Roman"/>
          <w:sz w:val="20"/>
          <w:u w:val="single"/>
        </w:rPr>
        <w:t>Section 14.01(b)(4)(A)</w:t>
      </w:r>
      <w:r>
        <w:rPr>
          <w:rFonts w:ascii="Times New Roman" w:hAnsi="Times New Roman"/>
          <w:sz w:val="20"/>
        </w:rPr>
        <w:t xml:space="preserve">, in determining whether any rights, options or warrants entitle the holders of the Common Shares to subscribe for or purchase Common Shares at a price per share less than such average of the Last Reported Sale Prices of the Common Shares for the 10 consecutive Trading Day-period ending on the Trading Day immediately preceding the date of announcement for such issuance, and in determining the aggregate offering price of such Common Shares, there shall be taken into account any consideration received by the REIT for such rights, options or warrants and any amount payable on exercise or conversion thereof, the value of such consideration, if other than cash, to be determined by the Board of Trustees. </w:t>
      </w:r>
    </w:p>
    <w:p>
      <w:pPr>
        <w:pStyle w:val="TextBody"/>
        <w:bidi w:val="0"/>
        <w:spacing w:before="120" w:after="0"/>
        <w:jc w:val="left"/>
        <w:rPr>
          <w:rFonts w:ascii="Times New Roman" w:hAnsi="Times New Roman"/>
          <w:sz w:val="20"/>
        </w:rPr>
      </w:pPr>
      <w:r>
        <w:rPr>
          <w:rFonts w:ascii="Times New Roman" w:hAnsi="Times New Roman"/>
          <w:sz w:val="20"/>
        </w:rPr>
        <w:t xml:space="preserve">(c) If the REIT distributes shares of its Capital Stock, evidences of its indebtedness, other assets or property of the REIT or rights, options or warrants to acquire its Capital Stock or other securities, to all or substantially all holders of the Common Shares, excluding: (1) dividends or distributions, rights, options or warrants as to which an adjustment was effected pursuant to </w:t>
      </w:r>
      <w:r>
        <w:rPr>
          <w:rFonts w:ascii="Times New Roman" w:hAnsi="Times New Roman"/>
          <w:sz w:val="20"/>
          <w:u w:val="single"/>
        </w:rPr>
        <w:t>Section 14.04(a)</w:t>
      </w:r>
      <w:r>
        <w:rPr>
          <w:rFonts w:ascii="Times New Roman" w:hAnsi="Times New Roman"/>
          <w:sz w:val="20"/>
        </w:rPr>
        <w:t xml:space="preserve"> or </w:t>
      </w:r>
      <w:r>
        <w:rPr>
          <w:rFonts w:ascii="Times New Roman" w:hAnsi="Times New Roman"/>
          <w:sz w:val="20"/>
          <w:u w:val="single"/>
        </w:rPr>
        <w:t>Section 14.04(b)</w:t>
      </w:r>
      <w:r>
        <w:rPr>
          <w:rFonts w:ascii="Times New Roman" w:hAnsi="Times New Roman"/>
          <w:sz w:val="20"/>
        </w:rPr>
        <w:t xml:space="preserve">; (2) dividends or distributions paid exclusively in cash as to which an adjustment was effected pursuant to </w:t>
      </w:r>
      <w:r>
        <w:rPr>
          <w:rFonts w:ascii="Times New Roman" w:hAnsi="Times New Roman"/>
          <w:sz w:val="20"/>
          <w:u w:val="single"/>
        </w:rPr>
        <w:t>Section 14.04(d)</w:t>
      </w:r>
      <w:r>
        <w:rPr>
          <w:rFonts w:ascii="Times New Roman" w:hAnsi="Times New Roman"/>
          <w:sz w:val="20"/>
        </w:rPr>
        <w:t xml:space="preserve">; (3) Spin-Offs as to which the provisions set forth below in this </w:t>
      </w:r>
      <w:r>
        <w:rPr>
          <w:rFonts w:ascii="Times New Roman" w:hAnsi="Times New Roman"/>
          <w:sz w:val="20"/>
          <w:u w:val="single"/>
        </w:rPr>
        <w:t>Section 14.04(c)</w:t>
      </w:r>
      <w:r>
        <w:rPr>
          <w:rFonts w:ascii="Times New Roman" w:hAnsi="Times New Roman"/>
          <w:sz w:val="20"/>
        </w:rPr>
        <w:t xml:space="preserve"> shall apply; (4) rights issued or otherwise distributed pursuant to a stockholder rights plan, except to the extent provided in </w:t>
      </w:r>
      <w:r>
        <w:rPr>
          <w:rFonts w:ascii="Times New Roman" w:hAnsi="Times New Roman"/>
          <w:sz w:val="20"/>
          <w:u w:val="single"/>
        </w:rPr>
        <w:t>Section 14.10</w:t>
      </w:r>
      <w:r>
        <w:rPr>
          <w:rFonts w:ascii="Times New Roman" w:hAnsi="Times New Roman"/>
          <w:sz w:val="20"/>
        </w:rPr>
        <w:t>; (5) a distribution solely pursuant to a tender offer or exchange offer for Common Shares, as to which the provisions of Section </w:t>
      </w:r>
      <w:r>
        <w:rPr>
          <w:rFonts w:ascii="Times New Roman" w:hAnsi="Times New Roman"/>
          <w:sz w:val="20"/>
          <w:u w:val="single"/>
        </w:rPr>
        <w:t>14.04(e)</w:t>
      </w:r>
      <w:r>
        <w:rPr>
          <w:rFonts w:ascii="Times New Roman" w:hAnsi="Times New Roman"/>
          <w:sz w:val="20"/>
        </w:rPr>
        <w:t xml:space="preserve"> will apply; and (6) a distribution solely pursuant to a Merger Event, as to which the provisions of </w:t>
      </w:r>
      <w:r>
        <w:rPr>
          <w:rFonts w:ascii="Times New Roman" w:hAnsi="Times New Roman"/>
          <w:sz w:val="20"/>
          <w:u w:val="single"/>
        </w:rPr>
        <w:t>Section 14.07</w:t>
      </w:r>
      <w:r>
        <w:rPr>
          <w:rFonts w:ascii="Times New Roman" w:hAnsi="Times New Roman"/>
          <w:sz w:val="20"/>
        </w:rPr>
        <w:t xml:space="preserve"> will apply, then the Exchange Rate shall be increased based on the following formula: </w:t>
      </w:r>
    </w:p>
    <w:p>
      <w:pPr>
        <w:pStyle w:val="TextBody"/>
        <w:bidi w:val="0"/>
        <w:spacing w:before="0" w:after="0"/>
        <w:jc w:val="left"/>
        <w:rPr/>
      </w:pPr>
      <w:r>
        <w:rPr/>
        <w:t> </w:t>
      </w:r>
    </w:p>
    <w:tbl>
      <w:tblPr>
        <w:tblW w:w="2620" w:type="dxa"/>
        <w:jc w:val="center"/>
        <w:tblInd w:w="0" w:type="dxa"/>
        <w:tblLayout w:type="fixed"/>
        <w:tblCellMar>
          <w:top w:w="0" w:type="dxa"/>
          <w:left w:w="0" w:type="dxa"/>
          <w:bottom w:w="0" w:type="dxa"/>
          <w:right w:w="0" w:type="dxa"/>
        </w:tblCellMar>
      </w:tblPr>
      <w:tblGrid>
        <w:gridCol w:w="1325"/>
        <w:gridCol w:w="120"/>
        <w:gridCol w:w="11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vAlign w:val="bottom"/>
          </w:tcPr>
          <w:p>
            <w:pPr>
              <w:pStyle w:val="TableContents"/>
              <w:bidi w:val="0"/>
              <w:spacing w:before="0" w:after="283"/>
              <w:jc w:val="center"/>
              <w:rPr/>
            </w:pPr>
            <w:r>
              <w:rPr/>
              <w:t>ER1 = ER0 x</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SP0</w:t>
            </w:r>
          </w:p>
        </w:tc>
      </w:tr>
      <w:tr>
        <w:trPr/>
        <w:tc>
          <w:tcPr>
            <w:tcW w:w="132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SP0 – FMV</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8"/>
        <w:gridCol w:w="142"/>
        <w:gridCol w:w="157"/>
        <w:gridCol w:w="142"/>
        <w:gridCol w:w="9166"/>
      </w:tblGrid>
      <w:tr>
        <w:trPr/>
        <w:tc>
          <w:tcPr>
            <w:tcW w:w="59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ER0</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166" w:type="dxa"/>
            <w:tcBorders/>
          </w:tcPr>
          <w:p>
            <w:pPr>
              <w:pStyle w:val="TableContents"/>
              <w:bidi w:val="0"/>
              <w:spacing w:before="0" w:after="283"/>
              <w:jc w:val="left"/>
              <w:rPr/>
            </w:pPr>
            <w:r>
              <w:rPr/>
              <w:t>the Exchange Rate in effect immediately prior to the Open of Business on the Ex-Dividend Date for such distribution;</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930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ER1</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166" w:type="dxa"/>
            <w:tcBorders/>
          </w:tcPr>
          <w:p>
            <w:pPr>
              <w:pStyle w:val="TableContents"/>
              <w:bidi w:val="0"/>
              <w:spacing w:before="0" w:after="283"/>
              <w:jc w:val="left"/>
              <w:rPr/>
            </w:pPr>
            <w:r>
              <w:rPr/>
              <w:t>the Exchange Rate in effect immediately after the Open of Business on such Ex-Dividend Date;</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930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SP0</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166" w:type="dxa"/>
            <w:tcBorders/>
          </w:tcPr>
          <w:p>
            <w:pPr>
              <w:pStyle w:val="TableContents"/>
              <w:bidi w:val="0"/>
              <w:spacing w:before="0" w:after="283"/>
              <w:jc w:val="left"/>
              <w:rPr/>
            </w:pPr>
            <w:r>
              <w:rPr/>
              <w:t>the average of the Last Reported Sale Prices of the Common Share over the 10 consecutive Trading Day-period ending on, and including, the Trading Day immediately preceding the Ex-Dividend Date for such distribution; and</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930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FMV</w:t>
            </w:r>
          </w:p>
        </w:tc>
        <w:tc>
          <w:tcPr>
            <w:tcW w:w="142"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9166" w:type="dxa"/>
            <w:tcBorders/>
          </w:tcPr>
          <w:p>
            <w:pPr>
              <w:pStyle w:val="TableContents"/>
              <w:bidi w:val="0"/>
              <w:spacing w:before="0" w:after="283"/>
              <w:jc w:val="left"/>
              <w:rPr/>
            </w:pPr>
            <w:r>
              <w:rPr/>
              <w:t>the fair market value (as determined by the Board of Trustees in good faith) of the shares of the REIT’s Capital Stock, evidences of the REIT’s indebtedness, other assets, or property of the REIT or rights, options or warrants to acquire the REIT’s Capital Stock or other securities distributed with respect to each outstanding Common Share on the Ex-Dividend Date for such distribution.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“FMV” (as defined above) is equal to or greater than the “SP0” (as defined above), in lieu of the foregoing increase, each Holder of Notes shall receive, in respect of each $1,000 principal amount of Notes it holds, at the same time and upon the same terms as holders of the Common Shares, the amount and kind of the REIT’s Capital Stock, evidences of the REIT’s indebtedness, other assets or property of the REIT or rights, options or warrants to acquire the REIT’s Capital Stock or other securities that such Holder would have received as if such Holder owned a number of Common Shares equal to the Exchange Rate in effect on the Ex-Dividend Date for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the portion of this </w:t>
      </w:r>
      <w:r>
        <w:rPr>
          <w:rFonts w:ascii="Times New Roman" w:hAnsi="Times New Roman"/>
          <w:sz w:val="20"/>
          <w:u w:val="single"/>
        </w:rPr>
        <w:t>Section 14.04(c)</w:t>
      </w:r>
      <w:r>
        <w:rPr>
          <w:rFonts w:ascii="Times New Roman" w:hAnsi="Times New Roman"/>
          <w:sz w:val="20"/>
        </w:rPr>
        <w:t xml:space="preserve"> above will become effective immediately after the Open of Business on the Ex-Dividend Date for such distribution. If such distribution is not so paid or made, the Exchange Rate shall be decreased to be the Exchange Rate that would then be in effect if such dividend or distribution had not been declared.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 adjustment pursuant to this </w:t>
      </w:r>
      <w:r>
        <w:rPr>
          <w:rFonts w:ascii="Times New Roman" w:hAnsi="Times New Roman"/>
          <w:sz w:val="20"/>
          <w:u w:val="single"/>
        </w:rPr>
        <w:t>Section 14.04(c)</w:t>
      </w:r>
      <w:r>
        <w:rPr>
          <w:rFonts w:ascii="Times New Roman" w:hAnsi="Times New Roman"/>
          <w:sz w:val="20"/>
        </w:rPr>
        <w:t> where there has been a payment of a dividend or other distribution on the Common Shares of shares of Capital Stock of any class or series, or similar equity interest, of or relating to a Subsidiary of the REIT or other business unit of the REIT, and such Capital Stock or similar equity interest is listed or quoted (or will be listed or quoted upon the consummation of the distribution) on a United States national securities exchange (a “</w:t>
      </w:r>
      <w:r>
        <w:rPr>
          <w:rFonts w:ascii="Times New Roman" w:hAnsi="Times New Roman"/>
          <w:b/>
          <w:sz w:val="20"/>
        </w:rPr>
        <w:t>Spin-Off</w:t>
      </w:r>
      <w:r>
        <w:rPr>
          <w:rFonts w:ascii="Times New Roman" w:hAnsi="Times New Roman"/>
          <w:sz w:val="20"/>
        </w:rPr>
        <w:t xml:space="preserve">”), the Exchange Rate will be increased based on the following formula: </w:t>
      </w:r>
    </w:p>
    <w:p>
      <w:pPr>
        <w:pStyle w:val="TextBody"/>
        <w:bidi w:val="0"/>
        <w:spacing w:before="0" w:after="0"/>
        <w:jc w:val="left"/>
        <w:rPr/>
      </w:pPr>
      <w:r>
        <w:rPr/>
        <w:t> </w:t>
      </w:r>
    </w:p>
    <w:tbl>
      <w:tblPr>
        <w:tblW w:w="2830" w:type="dxa"/>
        <w:jc w:val="center"/>
        <w:tblInd w:w="0" w:type="dxa"/>
        <w:tblLayout w:type="fixed"/>
        <w:tblCellMar>
          <w:top w:w="0" w:type="dxa"/>
          <w:left w:w="0" w:type="dxa"/>
          <w:bottom w:w="0" w:type="dxa"/>
          <w:right w:w="0" w:type="dxa"/>
        </w:tblCellMar>
      </w:tblPr>
      <w:tblGrid>
        <w:gridCol w:w="1325"/>
        <w:gridCol w:w="120"/>
        <w:gridCol w:w="138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vAlign w:val="bottom"/>
          </w:tcPr>
          <w:p>
            <w:pPr>
              <w:pStyle w:val="TableContents"/>
              <w:bidi w:val="0"/>
              <w:spacing w:before="0" w:after="283"/>
              <w:jc w:val="center"/>
              <w:rPr/>
            </w:pPr>
            <w:r>
              <w:rPr/>
              <w:t>ER1 = ER0 x</w:t>
            </w:r>
          </w:p>
        </w:tc>
        <w:tc>
          <w:tcPr>
            <w:tcW w:w="1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FMV0 + MP0</w:t>
            </w:r>
          </w:p>
        </w:tc>
      </w:tr>
      <w:tr>
        <w:trPr/>
        <w:tc>
          <w:tcPr>
            <w:tcW w:w="132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MP0</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3"/>
        <w:gridCol w:w="145"/>
        <w:gridCol w:w="160"/>
        <w:gridCol w:w="145"/>
        <w:gridCol w:w="9002"/>
      </w:tblGrid>
      <w:tr>
        <w:trPr/>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002" w:type="dxa"/>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ER0</w:t>
            </w:r>
          </w:p>
        </w:tc>
        <w:tc>
          <w:tcPr>
            <w:tcW w:w="14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5"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the Exchange Rate in effect immediately prior to the Open of Business on the Ex-Dividend Date for such Spin-Off;</w:t>
            </w:r>
          </w:p>
        </w:tc>
      </w:tr>
      <w:tr>
        <w:trPr>
          <w:trHeight w:val="120" w:hRule="atLeast"/>
        </w:trPr>
        <w:tc>
          <w:tcPr>
            <w:tcW w:w="753" w:type="dxa"/>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c>
          <w:tcPr>
            <w:tcW w:w="9147"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ER1</w:t>
            </w:r>
          </w:p>
        </w:tc>
        <w:tc>
          <w:tcPr>
            <w:tcW w:w="14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5"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the Exchange Rate in effect immediately after the Open of Business on the Ex-Dividend Date for such Spin-Off;</w:t>
            </w:r>
          </w:p>
        </w:tc>
      </w:tr>
      <w:tr>
        <w:trPr>
          <w:trHeight w:val="120" w:hRule="atLeast"/>
        </w:trPr>
        <w:tc>
          <w:tcPr>
            <w:tcW w:w="753" w:type="dxa"/>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c>
          <w:tcPr>
            <w:tcW w:w="9147"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FMV0</w:t>
            </w:r>
          </w:p>
        </w:tc>
        <w:tc>
          <w:tcPr>
            <w:tcW w:w="14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5"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the average of the Last Reported Sale Prices of the Capital Stock or similar equity interest distributed to holders of Common Shares applicable to one Common Share over the first 10 consecutive Trading Day-period after, and including, the Ex-Dividend Date of the Spin-Off (the “</w:t>
            </w:r>
            <w:r>
              <w:rPr>
                <w:b/>
              </w:rPr>
              <w:t>Valuation Period</w:t>
            </w:r>
            <w:r>
              <w:rPr/>
              <w:t>”); and</w:t>
            </w:r>
          </w:p>
        </w:tc>
      </w:tr>
      <w:tr>
        <w:trPr>
          <w:trHeight w:val="120" w:hRule="atLeast"/>
        </w:trPr>
        <w:tc>
          <w:tcPr>
            <w:tcW w:w="753" w:type="dxa"/>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c>
          <w:tcPr>
            <w:tcW w:w="9147"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MP0</w:t>
            </w:r>
          </w:p>
        </w:tc>
        <w:tc>
          <w:tcPr>
            <w:tcW w:w="14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5"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the average of the Last Reported Sale Prices of the Common Shares over the Valuation Period.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adjustment in the Exchange Rate made under the preceding paragraph of this </w:t>
      </w:r>
      <w:r>
        <w:rPr>
          <w:rFonts w:ascii="Times New Roman" w:hAnsi="Times New Roman"/>
          <w:sz w:val="20"/>
          <w:u w:val="single"/>
        </w:rPr>
        <w:t>Section 14.04(c)</w:t>
      </w:r>
      <w:r>
        <w:rPr>
          <w:rFonts w:ascii="Times New Roman" w:hAnsi="Times New Roman"/>
          <w:sz w:val="20"/>
        </w:rPr>
        <w:t> will be made immediately after the Open of Business on the day after the last day of the Valuation Period, but will be given effect as of the Open of Business on the Ex-Dividend Date of the Spin-Off. If the Ex-Dividend Date for the Spin-Off is less than 10 Trading Days prior to, and including, the end of the Cash Settlement Averaging Period in respect of any exchange, references within this </w:t>
      </w:r>
      <w:r>
        <w:rPr>
          <w:rFonts w:ascii="Times New Roman" w:hAnsi="Times New Roman"/>
          <w:sz w:val="20"/>
          <w:u w:val="single"/>
        </w:rPr>
        <w:t>Section 14.04(c)</w:t>
      </w:r>
      <w:r>
        <w:rPr>
          <w:rFonts w:ascii="Times New Roman" w:hAnsi="Times New Roman"/>
          <w:sz w:val="20"/>
        </w:rPr>
        <w:t xml:space="preserve"> to 10 Trading Days shall be deemed replaced, for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calculating the affected Daily Exchange Values in respect of that exchange, with such lesser number of Trading Days as have elapsed from, and including, the Ex-Dividend Date for the Spin-Off to, and including, the last Trading Day of such Cash Settlement Averaging Period. For purposes of determining the applicable Exchange Rate, in respect of any exchange during the 10 Trading Days commencing on the Ex-Dividend Date for any Spin-Off, references within the portion of this </w:t>
      </w:r>
      <w:r>
        <w:rPr>
          <w:rFonts w:ascii="Times New Roman" w:hAnsi="Times New Roman"/>
          <w:sz w:val="20"/>
          <w:u w:val="single"/>
        </w:rPr>
        <w:t>Section 14.04(c)</w:t>
      </w:r>
      <w:r>
        <w:rPr>
          <w:rFonts w:ascii="Times New Roman" w:hAnsi="Times New Roman"/>
          <w:sz w:val="20"/>
        </w:rPr>
        <w:t xml:space="preserve"> related to “Spin-Offs” to 10 Trading Days shall be deemed replaced with such lesser number of Trading Days as have elapsed from, and including, the Ex-Dividend Date for such Spin-Off to, and including, the relevant Exchange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14.10</w:t>
      </w:r>
      <w:r>
        <w:rPr>
          <w:rFonts w:ascii="Times New Roman" w:hAnsi="Times New Roman"/>
          <w:sz w:val="20"/>
        </w:rPr>
        <w:t xml:space="preserve">, for the purposes of this </w:t>
      </w:r>
      <w:r>
        <w:rPr>
          <w:rFonts w:ascii="Times New Roman" w:hAnsi="Times New Roman"/>
          <w:sz w:val="20"/>
          <w:u w:val="single"/>
        </w:rPr>
        <w:t>Section 14.04(c)</w:t>
      </w:r>
      <w:r>
        <w:rPr>
          <w:rFonts w:ascii="Times New Roman" w:hAnsi="Times New Roman"/>
          <w:sz w:val="20"/>
        </w:rPr>
        <w:t>, rights, options or warrants distributed by the REIT to all holders of Common Shares entitling them to subscribe for or purchase shares of the REIT’s Capital Stock (either initially or under certain circumstances), which rights, options or warrants, until the occurrence of a specified event or events (a “</w:t>
      </w:r>
      <w:r>
        <w:rPr>
          <w:rFonts w:ascii="Times New Roman" w:hAnsi="Times New Roman"/>
          <w:b/>
          <w:sz w:val="20"/>
        </w:rPr>
        <w:t>Trigger Event</w:t>
      </w:r>
      <w:r>
        <w:rPr>
          <w:rFonts w:ascii="Times New Roman" w:hAnsi="Times New Roman"/>
          <w:sz w:val="20"/>
        </w:rPr>
        <w:t xml:space="preserve">”): (1) are deemed to be transferred with such Common Shares; (2) are not exercisable; and (3) are also issued in respect of future issuances of Common Shares, shall be deemed not to have been distributed for purposes of this </w:t>
      </w:r>
      <w:r>
        <w:rPr>
          <w:rFonts w:ascii="Times New Roman" w:hAnsi="Times New Roman"/>
          <w:sz w:val="20"/>
          <w:u w:val="single"/>
        </w:rPr>
        <w:t>Section 14.04(c)</w:t>
      </w:r>
      <w:r>
        <w:rPr>
          <w:rFonts w:ascii="Times New Roman" w:hAnsi="Times New Roman"/>
          <w:sz w:val="20"/>
        </w:rPr>
        <w:t xml:space="preserve">, (and no adjustment to the Exchange Rate under this </w:t>
      </w:r>
      <w:r>
        <w:rPr>
          <w:rFonts w:ascii="Times New Roman" w:hAnsi="Times New Roman"/>
          <w:sz w:val="20"/>
          <w:u w:val="single"/>
        </w:rPr>
        <w:t>Section 14.04(c)</w:t>
      </w:r>
      <w:r>
        <w:rPr>
          <w:rFonts w:ascii="Times New Roman" w:hAnsi="Times New Roman"/>
          <w:sz w:val="20"/>
        </w:rPr>
        <w:t xml:space="preserve"> will be required) until the occurrence of the earliest Trigger Event, whereupon such rights, options or warrants shall be deemed to have been distributed and an appropriate adjustment (if any is required) to the Exchange Rate shall be made under this </w:t>
      </w:r>
      <w:r>
        <w:rPr>
          <w:rFonts w:ascii="Times New Roman" w:hAnsi="Times New Roman"/>
          <w:sz w:val="20"/>
          <w:u w:val="single"/>
        </w:rPr>
        <w:t>Section 14.04(c)</w:t>
      </w:r>
      <w:r>
        <w:rPr>
          <w:rFonts w:ascii="Times New Roman" w:hAnsi="Times New Roman"/>
          <w:sz w:val="20"/>
        </w:rPr>
        <w:t xml:space="preserve">. If any such right, option or warrant, distributed prior to the Issue Date is subject to events, upon the occurrence of which such right, option or warrant becomes exercisable to purchase different securities, evidences of indebtedness or other assets, then the date of the occurrence of any and each such event shall be deemed to be the date of distribution and Ex-Dividend Date of such deemed distribution (in which case the original right, option or warrant shall be deemed to terminate and expire on such date without exercise by any of the holders).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Exchange Rate under this </w:t>
      </w:r>
      <w:r>
        <w:rPr>
          <w:rFonts w:ascii="Times New Roman" w:hAnsi="Times New Roman"/>
          <w:sz w:val="20"/>
          <w:u w:val="single"/>
        </w:rPr>
        <w:t>Section 14.04(c)</w:t>
      </w:r>
      <w:r>
        <w:rPr>
          <w:rFonts w:ascii="Times New Roman" w:hAnsi="Times New Roman"/>
          <w:sz w:val="20"/>
        </w:rPr>
        <w:t xml:space="preserve"> was made, (1) in the case of any such rights, options or warrants which shall all have been redeemed or purchased without exercise by any holders thereof, upon such final redemption or purchase (x) the Exchange Rate shall be readjusted as if such rights, options or warrants had not been issued and (y) the Exchange Rate shall then again be readjusted to give effect to such distribution, deemed distribution or Trigger Event, as the case may be, as though it were a cash distribution, equal to the per share redemption or purchase price received by holders of Common Shares with respect to such rights, options or warrants (assuming each such holder had retained such rights, options or warrants), made to all holders of Common Shares as of the date of such redemption or purchase, and (2) in the case of such rights, options or warrants which shall have expired or been terminated without exercise by any holders thereof, the Exchange Rate shall be readjusted as if such rights and warrants had not been issued.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14.04(a)</w:t>
      </w:r>
      <w:r>
        <w:rPr>
          <w:rFonts w:ascii="Times New Roman" w:hAnsi="Times New Roman"/>
          <w:sz w:val="20"/>
        </w:rPr>
        <w:t xml:space="preserve">, </w:t>
      </w:r>
      <w:r>
        <w:rPr>
          <w:rFonts w:ascii="Times New Roman" w:hAnsi="Times New Roman"/>
          <w:sz w:val="20"/>
          <w:u w:val="single"/>
        </w:rPr>
        <w:t>Section 14.04(b)</w:t>
      </w:r>
      <w:r>
        <w:rPr>
          <w:rFonts w:ascii="Times New Roman" w:hAnsi="Times New Roman"/>
          <w:sz w:val="20"/>
        </w:rPr>
        <w:t xml:space="preserve"> and this </w:t>
      </w:r>
      <w:r>
        <w:rPr>
          <w:rFonts w:ascii="Times New Roman" w:hAnsi="Times New Roman"/>
          <w:sz w:val="20"/>
          <w:u w:val="single"/>
        </w:rPr>
        <w:t>Section 14.04(c)</w:t>
      </w:r>
      <w:r>
        <w:rPr>
          <w:rFonts w:ascii="Times New Roman" w:hAnsi="Times New Roman"/>
          <w:sz w:val="20"/>
        </w:rPr>
        <w:t xml:space="preserve">, if any dividend or distribution to which this </w:t>
      </w:r>
      <w:r>
        <w:rPr>
          <w:rFonts w:ascii="Times New Roman" w:hAnsi="Times New Roman"/>
          <w:sz w:val="20"/>
          <w:u w:val="single"/>
        </w:rPr>
        <w:t>Section 14.04(c)</w:t>
      </w:r>
      <w:r>
        <w:rPr>
          <w:rFonts w:ascii="Times New Roman" w:hAnsi="Times New Roman"/>
          <w:sz w:val="20"/>
        </w:rPr>
        <w:t xml:space="preserve"> applies includes one or both of: </w:t>
      </w:r>
    </w:p>
    <w:p>
      <w:pPr>
        <w:pStyle w:val="TextBody"/>
        <w:bidi w:val="0"/>
        <w:spacing w:before="120" w:after="0"/>
        <w:jc w:val="left"/>
        <w:rPr>
          <w:rFonts w:ascii="Times New Roman" w:hAnsi="Times New Roman"/>
          <w:sz w:val="20"/>
        </w:rPr>
      </w:pPr>
      <w:r>
        <w:rPr>
          <w:rFonts w:ascii="Times New Roman" w:hAnsi="Times New Roman"/>
          <w:sz w:val="20"/>
        </w:rPr>
        <w:t xml:space="preserve">(A) a dividend or distribution of Common Shares to which </w:t>
      </w:r>
      <w:r>
        <w:rPr>
          <w:rFonts w:ascii="Times New Roman" w:hAnsi="Times New Roman"/>
          <w:sz w:val="20"/>
          <w:u w:val="single"/>
        </w:rPr>
        <w:t>Section 14.04(a)</w:t>
      </w:r>
      <w:r>
        <w:rPr>
          <w:rFonts w:ascii="Times New Roman" w:hAnsi="Times New Roman"/>
          <w:sz w:val="20"/>
        </w:rPr>
        <w:t xml:space="preserve"> also applies (the “</w:t>
      </w:r>
      <w:r>
        <w:rPr>
          <w:rFonts w:ascii="Times New Roman" w:hAnsi="Times New Roman"/>
          <w:b/>
          <w:sz w:val="20"/>
        </w:rPr>
        <w:t>Clause A Distribution</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dividend or distribution of rights, options or warrants to which </w:t>
      </w:r>
      <w:r>
        <w:rPr>
          <w:rFonts w:ascii="Times New Roman" w:hAnsi="Times New Roman"/>
          <w:sz w:val="20"/>
          <w:u w:val="single"/>
        </w:rPr>
        <w:t>Section 14.04(b)</w:t>
      </w:r>
      <w:r>
        <w:rPr>
          <w:rFonts w:ascii="Times New Roman" w:hAnsi="Times New Roman"/>
          <w:sz w:val="20"/>
        </w:rPr>
        <w:t xml:space="preserve"> also applies (the “</w:t>
      </w:r>
      <w:r>
        <w:rPr>
          <w:rFonts w:ascii="Times New Roman" w:hAnsi="Times New Roman"/>
          <w:b/>
          <w:sz w:val="20"/>
        </w:rPr>
        <w:t>Clause B Distribution</w:t>
      </w:r>
      <w:r>
        <w:rPr>
          <w:rFonts w:ascii="Times New Roman" w:hAnsi="Times New Roman"/>
          <w:sz w:val="20"/>
        </w:rPr>
        <w:t xml:space="preserve">”), then (i) such dividend or distribution, other than the Clause A Distribution and the Clause B Distribution, shall be deemed to be a dividend or distribution to which this </w:t>
      </w:r>
      <w:r>
        <w:rPr>
          <w:rFonts w:ascii="Times New Roman" w:hAnsi="Times New Roman"/>
          <w:sz w:val="20"/>
          <w:u w:val="single"/>
        </w:rPr>
        <w:t>Section 14.04(c)</w:t>
      </w:r>
      <w:r>
        <w:rPr>
          <w:rFonts w:ascii="Times New Roman" w:hAnsi="Times New Roman"/>
          <w:sz w:val="20"/>
        </w:rPr>
        <w:t> applies (the “</w:t>
      </w:r>
      <w:r>
        <w:rPr>
          <w:rFonts w:ascii="Times New Roman" w:hAnsi="Times New Roman"/>
          <w:b/>
          <w:sz w:val="20"/>
        </w:rPr>
        <w:t>Clause C Distribution</w:t>
      </w:r>
      <w:r>
        <w:rPr>
          <w:rFonts w:ascii="Times New Roman" w:hAnsi="Times New Roman"/>
          <w:sz w:val="20"/>
        </w:rPr>
        <w:t xml:space="preserve">”) and any Exchange Rate adjustment required to be made under this </w:t>
      </w:r>
      <w:r>
        <w:rPr>
          <w:rFonts w:ascii="Times New Roman" w:hAnsi="Times New Roman"/>
          <w:sz w:val="20"/>
          <w:u w:val="single"/>
        </w:rPr>
        <w:t>Section 14.04(c)</w:t>
      </w:r>
      <w:r>
        <w:rPr>
          <w:rFonts w:ascii="Times New Roman" w:hAnsi="Times New Roman"/>
          <w:sz w:val="20"/>
        </w:rPr>
        <w:t xml:space="preserve"> with respect to such Clause C Distribution shall be made, (ii) the Clause B Distribution, if any, shall be deemed to immediately follow the Clause C Distribution and any Exchange Rate adjustment required by </w:t>
      </w:r>
      <w:r>
        <w:rPr>
          <w:rFonts w:ascii="Times New Roman" w:hAnsi="Times New Roman"/>
          <w:sz w:val="20"/>
          <w:u w:val="single"/>
        </w:rPr>
        <w:t>Section 14.04(b)</w:t>
      </w:r>
      <w:r>
        <w:rPr>
          <w:rFonts w:ascii="Times New Roman" w:hAnsi="Times New Roman"/>
          <w:sz w:val="20"/>
        </w:rPr>
        <w:t xml:space="preserve"> with respect thereto shall then be made, except that, if determined by the Company, (A) the “Ex-Dividend Date” of the Clause B Distribution and the Clause A Distribution, if any, shall be deemed to be the Ex-Dividend Date of the Clause C Distribution and (B) any Common Shares included in the Clause A Distribution or the Clause B Distribution shall not be deemed to be “outstanding immediately prior to the Open of Business on such Ex-Dividend Date” within the meaning of </w:t>
      </w:r>
      <w:r>
        <w:rPr>
          <w:rFonts w:ascii="Times New Roman" w:hAnsi="Times New Roman"/>
          <w:sz w:val="20"/>
          <w:u w:val="single"/>
        </w:rPr>
        <w:t>Section 14.04(b)</w:t>
      </w:r>
      <w:r>
        <w:rPr>
          <w:rFonts w:ascii="Times New Roman" w:hAnsi="Times New Roman"/>
          <w:sz w:val="20"/>
        </w:rPr>
        <w:t xml:space="preserve">, and (iii) the Clause A Distribution, if any, shall be deemed to immediately follow the Clause C Distribution or the Clause B Distribution, as the case may be, except that, if determined by the Company, (A) the “Ex-Dividend Date” of the Clause A Distribution and the Clause B Distribution, if any, shall be deemed to be the Ex-Dividend Date of the Clause C Distribution, and (B) any Common Shares included in the Clause A distribution shall not be deemed to be “outstanding immediately prior to the Open of Business on such Ex-Dividend Date or such effective date” within the meaning of </w:t>
      </w:r>
      <w:r>
        <w:rPr>
          <w:rFonts w:ascii="Times New Roman" w:hAnsi="Times New Roman"/>
          <w:sz w:val="20"/>
          <w:u w:val="single"/>
        </w:rPr>
        <w:t>Section 14.04(a)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If any cash dividend or distribution is made to all or substantially all holders of the Common Shares, other than a regular, quarterly cash dividend that does not exceed $1.16 per share (the “</w:t>
      </w:r>
      <w:r>
        <w:rPr>
          <w:rFonts w:ascii="Times New Roman" w:hAnsi="Times New Roman"/>
          <w:b/>
          <w:sz w:val="20"/>
        </w:rPr>
        <w:t>Initial Dividend Threshold</w:t>
      </w:r>
      <w:r>
        <w:rPr>
          <w:rFonts w:ascii="Times New Roman" w:hAnsi="Times New Roman"/>
          <w:sz w:val="20"/>
        </w:rPr>
        <w:t xml:space="preserve">”), the Exchange Rate shall be adjusted based on the following formula: </w:t>
      </w:r>
    </w:p>
    <w:p>
      <w:pPr>
        <w:pStyle w:val="TextBody"/>
        <w:bidi w:val="0"/>
        <w:spacing w:before="0" w:after="0"/>
        <w:jc w:val="left"/>
        <w:rPr/>
      </w:pPr>
      <w:r>
        <w:rPr/>
        <w:t> </w:t>
      </w:r>
    </w:p>
    <w:tbl>
      <w:tblPr>
        <w:tblW w:w="2260" w:type="dxa"/>
        <w:jc w:val="center"/>
        <w:tblInd w:w="0" w:type="dxa"/>
        <w:tblLayout w:type="fixed"/>
        <w:tblCellMar>
          <w:top w:w="0" w:type="dxa"/>
          <w:left w:w="0" w:type="dxa"/>
          <w:bottom w:w="0" w:type="dxa"/>
          <w:right w:w="0" w:type="dxa"/>
        </w:tblCellMar>
      </w:tblPr>
      <w:tblGrid>
        <w:gridCol w:w="1325"/>
        <w:gridCol w:w="120"/>
        <w:gridCol w:w="81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tcPr>
          <w:p>
            <w:pPr>
              <w:pStyle w:val="TableContents"/>
              <w:bidi w:val="0"/>
              <w:spacing w:before="0" w:after="283"/>
              <w:jc w:val="left"/>
              <w:rPr/>
            </w:pPr>
            <w:r>
              <w:rPr/>
              <w:t>ER1 = ER0 x</w:t>
            </w:r>
          </w:p>
        </w:tc>
        <w:tc>
          <w:tcPr>
            <w:tcW w:w="120" w:type="dxa"/>
            <w:tcBorders/>
            <w:vAlign w:val="bottom"/>
          </w:tcPr>
          <w:p>
            <w:pPr>
              <w:pStyle w:val="TableContents"/>
              <w:bidi w:val="0"/>
              <w:spacing w:before="0" w:after="283"/>
              <w:jc w:val="left"/>
              <w:rPr/>
            </w:pPr>
            <w:r>
              <w:rPr/>
              <w:t>  </w:t>
            </w:r>
          </w:p>
        </w:tc>
        <w:tc>
          <w:tcPr>
            <w:tcW w:w="8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SP0 – T</w:t>
            </w:r>
          </w:p>
        </w:tc>
      </w:tr>
      <w:tr>
        <w:trPr/>
        <w:tc>
          <w:tcPr>
            <w:tcW w:w="1325"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SP0 – C</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
        <w:gridCol w:w="143"/>
        <w:gridCol w:w="158"/>
        <w:gridCol w:w="143"/>
        <w:gridCol w:w="9291"/>
      </w:tblGrid>
      <w:tr>
        <w:trPr/>
        <w:tc>
          <w:tcPr>
            <w:tcW w:w="47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91" w:type="dxa"/>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ER0</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Exchange Rate in effect immediately prior to the Open of Business on the Ex-Dividend Date for such dividend or distribution;</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ER1</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Exchange Rate in effect immediately after the Open of Business on the Ex-Dividend Date for such dividend or distribution;</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SP0</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Last Reported Sale Price of the Common Shares on the Trading Day immediately preceding the Ex-Dividend Date for such dividend or distribution;</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T</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Initial Dividend Threshold; provided that if the dividend or distribution is not a regular quarterly cash dividend, the Initial Dividend Threshold will be deemed to be zero; and</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1" w:type="dxa"/>
            <w:gridSpan w:val="2"/>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C</w:t>
            </w:r>
          </w:p>
        </w:tc>
        <w:tc>
          <w:tcPr>
            <w:tcW w:w="143"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the amount in cash per share that the REIT distributes to holders of the Common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“C” (as defined above) is equal to or greater than “SP0” (as defined above), in lieu of the foregoing increase, each Holder shall receive, for each $1,000 principal amount of Notes it holds, at the same time and upon the same terms as holders of the Common Shares, the amount of cash that such Holder would have received if such Holder had owned a number of Common Shares of equal to the Exchange Rate in effect on the Ex-Dividend Date for such cash dividend or distribution. </w:t>
      </w:r>
    </w:p>
    <w:p>
      <w:pPr>
        <w:pStyle w:val="TextBody"/>
        <w:bidi w:val="0"/>
        <w:spacing w:before="240" w:after="0"/>
        <w:jc w:val="left"/>
        <w:rPr>
          <w:rFonts w:ascii="Times New Roman" w:hAnsi="Times New Roman"/>
          <w:sz w:val="20"/>
        </w:rPr>
      </w:pPr>
      <w:r>
        <w:rPr>
          <w:rFonts w:ascii="Times New Roman" w:hAnsi="Times New Roman"/>
          <w:sz w:val="20"/>
        </w:rPr>
        <w:t>The Initial Dividend Threshold shall be subject to adjustment in a manner inversely proportional to adjustments to the Exchange Rate; provided that no adjustment shall be made to the Initial Dividend Threshold for any adjustment to the Exchange Rate pursuant to this Section </w:t>
      </w:r>
      <w:r>
        <w:rPr>
          <w:rFonts w:ascii="Times New Roman" w:hAnsi="Times New Roman"/>
          <w:sz w:val="20"/>
          <w:u w:val="single"/>
        </w:rPr>
        <w:t>14.04(d)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increase made pursuant to this </w:t>
      </w:r>
      <w:r>
        <w:rPr>
          <w:rFonts w:ascii="Times New Roman" w:hAnsi="Times New Roman"/>
          <w:sz w:val="20"/>
          <w:u w:val="single"/>
        </w:rPr>
        <w:t>Section 14.04(d)</w:t>
      </w:r>
      <w:r>
        <w:rPr>
          <w:rFonts w:ascii="Times New Roman" w:hAnsi="Times New Roman"/>
          <w:sz w:val="20"/>
        </w:rPr>
        <w:t xml:space="preserve"> shall become effective immediately after the Open of Business on the Ex-Dividend Date for such dividend or distribution. If such dividend or distribution is not so paid, the Exchange Rate shall be decreased, effective as of the date the Board of Trustees determines not to make or pay such dividend or distribution, to the Exchange Rate that would then be in effect if such dividend or distribution had not been declared. </w:t>
      </w:r>
    </w:p>
    <w:p>
      <w:pPr>
        <w:pStyle w:val="TextBody"/>
        <w:bidi w:val="0"/>
        <w:spacing w:before="120" w:after="0"/>
        <w:jc w:val="left"/>
        <w:rPr>
          <w:rFonts w:ascii="Times New Roman" w:hAnsi="Times New Roman"/>
          <w:sz w:val="20"/>
        </w:rPr>
      </w:pPr>
      <w:r>
        <w:rPr>
          <w:rFonts w:ascii="Times New Roman" w:hAnsi="Times New Roman"/>
          <w:sz w:val="20"/>
        </w:rPr>
        <w:t>(e) If the REIT or any of its Subsidiaries makes a payment in respect of a tender offer or exchange offer for the Common Shares that is subject to the then-applicable tender offer rules under the Exchange Act (other than an odd-lot tender offer that satisfies the requirements of Rule 13e-4(h)(5) under the Exchange Act, or any successor rule), to the extent that the cash and value of any other consideration included in the payment per Common Share (as determined by the Board of Trustees) exceeds the Last Reported Sale Price of the Common Shares on the Trading Day next succeeding the last date on which tenders or exchanges may be made pursuant to such tender or exchange offer (the “</w:t>
      </w:r>
      <w:r>
        <w:rPr>
          <w:rFonts w:ascii="Times New Roman" w:hAnsi="Times New Roman"/>
          <w:b/>
          <w:sz w:val="20"/>
        </w:rPr>
        <w:t>Offer Expiration Date</w:t>
      </w:r>
      <w:r>
        <w:rPr>
          <w:rFonts w:ascii="Times New Roman" w:hAnsi="Times New Roman"/>
          <w:sz w:val="20"/>
        </w:rPr>
        <w:t xml:space="preserve">”), the Exchange Rate shall be adjusted based on the following formula: </w:t>
      </w:r>
    </w:p>
    <w:p>
      <w:pPr>
        <w:pStyle w:val="TextBody"/>
        <w:bidi w:val="0"/>
        <w:spacing w:before="0" w:after="0"/>
        <w:jc w:val="left"/>
        <w:rPr/>
      </w:pPr>
      <w:r>
        <w:rPr/>
        <w:t> </w:t>
      </w:r>
    </w:p>
    <w:tbl>
      <w:tblPr>
        <w:tblW w:w="2845" w:type="dxa"/>
        <w:jc w:val="center"/>
        <w:tblInd w:w="0" w:type="dxa"/>
        <w:tblLayout w:type="fixed"/>
        <w:tblCellMar>
          <w:top w:w="0" w:type="dxa"/>
          <w:left w:w="0" w:type="dxa"/>
          <w:bottom w:w="0" w:type="dxa"/>
          <w:right w:w="0" w:type="dxa"/>
        </w:tblCellMar>
      </w:tblPr>
      <w:tblGrid>
        <w:gridCol w:w="1325"/>
        <w:gridCol w:w="120"/>
        <w:gridCol w:w="1400"/>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325" w:type="dxa"/>
            <w:vMerge w:val="restart"/>
            <w:tcBorders/>
          </w:tcPr>
          <w:p>
            <w:pPr>
              <w:pStyle w:val="TableContents"/>
              <w:bidi w:val="0"/>
              <w:spacing w:before="0" w:after="283"/>
              <w:jc w:val="left"/>
              <w:rPr/>
            </w:pPr>
            <w:r>
              <w:rPr/>
              <w:t>ER1 = ER0 x</w:t>
            </w:r>
          </w:p>
        </w:tc>
        <w:tc>
          <w:tcPr>
            <w:tcW w:w="120" w:type="dxa"/>
            <w:tcBorders/>
            <w:vAlign w:val="bottom"/>
          </w:tcPr>
          <w:p>
            <w:pPr>
              <w:pStyle w:val="TableContents"/>
              <w:bidi w:val="0"/>
              <w:spacing w:before="0" w:after="283"/>
              <w:jc w:val="left"/>
              <w:rPr/>
            </w:pPr>
            <w:r>
              <w:rPr/>
              <w:t>  </w:t>
            </w:r>
          </w:p>
        </w:tc>
        <w:tc>
          <w:tcPr>
            <w:tcW w:w="14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AC + (SP1 x OS1)</w:t>
            </w:r>
          </w:p>
        </w:tc>
      </w:tr>
      <w:tr>
        <w:trPr/>
        <w:tc>
          <w:tcPr>
            <w:tcW w:w="1325"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left"/>
              <w:rPr/>
            </w:pPr>
            <w:r>
              <w:rPr/>
              <w:t>OS0 x SP1</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
        <w:gridCol w:w="144"/>
        <w:gridCol w:w="159"/>
        <w:gridCol w:w="144"/>
        <w:gridCol w:w="9284"/>
      </w:tblGrid>
      <w:tr>
        <w:trPr/>
        <w:tc>
          <w:tcPr>
            <w:tcW w:w="47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284" w:type="dxa"/>
            <w:tcBorders/>
            <w:vAlign w:val="center"/>
          </w:tcPr>
          <w:p>
            <w:pPr>
              <w:pStyle w:val="TableContents"/>
              <w:bidi w:val="0"/>
              <w:spacing w:before="0" w:after="283"/>
              <w:jc w:val="left"/>
              <w:rPr>
                <w:sz w:val="4"/>
                <w:szCs w:val="4"/>
              </w:rPr>
            </w:pPr>
            <w:r>
              <w:rPr>
                <w:sz w:val="4"/>
                <w:szCs w:val="4"/>
              </w:rPr>
            </w:r>
          </w:p>
        </w:tc>
      </w:tr>
      <w:tr>
        <w:trPr/>
        <w:tc>
          <w:tcPr>
            <w:tcW w:w="474" w:type="dxa"/>
            <w:tcBorders/>
          </w:tcPr>
          <w:p>
            <w:pPr>
              <w:pStyle w:val="TableContents"/>
              <w:bidi w:val="0"/>
              <w:spacing w:before="0" w:after="283"/>
              <w:jc w:val="left"/>
              <w:rPr/>
            </w:pPr>
            <w:r>
              <w:rPr/>
              <w:t>ER0</w:t>
            </w:r>
          </w:p>
        </w:tc>
        <w:tc>
          <w:tcPr>
            <w:tcW w:w="144"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284" w:type="dxa"/>
            <w:tcBorders/>
          </w:tcPr>
          <w:p>
            <w:pPr>
              <w:pStyle w:val="TableContents"/>
              <w:bidi w:val="0"/>
              <w:spacing w:before="0" w:after="283"/>
              <w:jc w:val="left"/>
              <w:rPr/>
            </w:pPr>
            <w:r>
              <w:rPr/>
              <w:t>the Exchange Rate in effect immediately prior to the Close of Business on the Offer Expiration Date;</w:t>
            </w:r>
          </w:p>
        </w:tc>
      </w:tr>
      <w:tr>
        <w:trPr>
          <w:trHeight w:val="120" w:hRule="atLeast"/>
        </w:trPr>
        <w:tc>
          <w:tcPr>
            <w:tcW w:w="474" w:type="dxa"/>
            <w:tcBorders/>
            <w:vAlign w:val="center"/>
          </w:tcPr>
          <w:p>
            <w:pPr>
              <w:pStyle w:val="TableContents"/>
              <w:bidi w:val="0"/>
              <w:spacing w:before="0" w:after="283"/>
              <w:jc w:val="left"/>
              <w:rPr>
                <w:sz w:val="4"/>
                <w:szCs w:val="4"/>
              </w:rPr>
            </w:pPr>
            <w:r>
              <w:rPr>
                <w:sz w:val="4"/>
                <w:szCs w:val="4"/>
              </w:rPr>
            </w:r>
          </w:p>
        </w:tc>
        <w:tc>
          <w:tcPr>
            <w:tcW w:w="303" w:type="dxa"/>
            <w:gridSpan w:val="2"/>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474" w:type="dxa"/>
            <w:tcBorders/>
          </w:tcPr>
          <w:p>
            <w:pPr>
              <w:pStyle w:val="TableContents"/>
              <w:bidi w:val="0"/>
              <w:spacing w:before="0" w:after="283"/>
              <w:jc w:val="left"/>
              <w:rPr/>
            </w:pPr>
            <w:r>
              <w:rPr/>
              <w:t>ER1</w:t>
            </w:r>
          </w:p>
        </w:tc>
        <w:tc>
          <w:tcPr>
            <w:tcW w:w="144"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284" w:type="dxa"/>
            <w:tcBorders/>
          </w:tcPr>
          <w:p>
            <w:pPr>
              <w:pStyle w:val="TableContents"/>
              <w:bidi w:val="0"/>
              <w:spacing w:before="0" w:after="283"/>
              <w:jc w:val="left"/>
              <w:rPr/>
            </w:pPr>
            <w:r>
              <w:rPr/>
              <w:t>the Exchange Rate in effect immediately after the Close of Business on the Offer Expiration Date;</w:t>
            </w:r>
          </w:p>
        </w:tc>
      </w:tr>
      <w:tr>
        <w:trPr>
          <w:trHeight w:val="120" w:hRule="atLeast"/>
        </w:trPr>
        <w:tc>
          <w:tcPr>
            <w:tcW w:w="474" w:type="dxa"/>
            <w:tcBorders/>
            <w:vAlign w:val="center"/>
          </w:tcPr>
          <w:p>
            <w:pPr>
              <w:pStyle w:val="TableContents"/>
              <w:bidi w:val="0"/>
              <w:spacing w:before="0" w:after="283"/>
              <w:jc w:val="left"/>
              <w:rPr>
                <w:sz w:val="4"/>
                <w:szCs w:val="4"/>
              </w:rPr>
            </w:pPr>
            <w:r>
              <w:rPr>
                <w:sz w:val="4"/>
                <w:szCs w:val="4"/>
              </w:rPr>
            </w:r>
          </w:p>
        </w:tc>
        <w:tc>
          <w:tcPr>
            <w:tcW w:w="303" w:type="dxa"/>
            <w:gridSpan w:val="2"/>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474" w:type="dxa"/>
            <w:tcBorders/>
          </w:tcPr>
          <w:p>
            <w:pPr>
              <w:pStyle w:val="TableContents"/>
              <w:bidi w:val="0"/>
              <w:spacing w:before="0" w:after="283"/>
              <w:jc w:val="left"/>
              <w:rPr/>
            </w:pPr>
            <w:r>
              <w:rPr/>
              <w:t>AC</w:t>
            </w:r>
          </w:p>
        </w:tc>
        <w:tc>
          <w:tcPr>
            <w:tcW w:w="144"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284" w:type="dxa"/>
            <w:tcBorders/>
          </w:tcPr>
          <w:p>
            <w:pPr>
              <w:pStyle w:val="TableContents"/>
              <w:bidi w:val="0"/>
              <w:spacing w:before="0" w:after="283"/>
              <w:jc w:val="left"/>
              <w:rPr/>
            </w:pPr>
            <w:r>
              <w:rPr/>
              <w:t>the aggregate value of all cash and any other consideration (as determined by the Board of Trustees) paid or payable for Common Shares purchased in such tender offer or exchange offer;</w:t>
            </w:r>
          </w:p>
        </w:tc>
      </w:tr>
      <w:tr>
        <w:trPr>
          <w:trHeight w:val="120" w:hRule="atLeast"/>
        </w:trPr>
        <w:tc>
          <w:tcPr>
            <w:tcW w:w="474" w:type="dxa"/>
            <w:tcBorders/>
            <w:vAlign w:val="center"/>
          </w:tcPr>
          <w:p>
            <w:pPr>
              <w:pStyle w:val="TableContents"/>
              <w:bidi w:val="0"/>
              <w:spacing w:before="0" w:after="283"/>
              <w:jc w:val="left"/>
              <w:rPr>
                <w:sz w:val="4"/>
                <w:szCs w:val="4"/>
              </w:rPr>
            </w:pPr>
            <w:r>
              <w:rPr>
                <w:sz w:val="4"/>
                <w:szCs w:val="4"/>
              </w:rPr>
            </w:r>
          </w:p>
        </w:tc>
        <w:tc>
          <w:tcPr>
            <w:tcW w:w="303" w:type="dxa"/>
            <w:gridSpan w:val="2"/>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474" w:type="dxa"/>
            <w:tcBorders/>
          </w:tcPr>
          <w:p>
            <w:pPr>
              <w:pStyle w:val="TableContents"/>
              <w:bidi w:val="0"/>
              <w:spacing w:before="0" w:after="283"/>
              <w:jc w:val="left"/>
              <w:rPr/>
            </w:pPr>
            <w:r>
              <w:rPr/>
              <w:t>OS0</w:t>
            </w:r>
          </w:p>
        </w:tc>
        <w:tc>
          <w:tcPr>
            <w:tcW w:w="144"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284" w:type="dxa"/>
            <w:tcBorders/>
          </w:tcPr>
          <w:p>
            <w:pPr>
              <w:pStyle w:val="TableContents"/>
              <w:bidi w:val="0"/>
              <w:spacing w:before="0" w:after="283"/>
              <w:jc w:val="left"/>
              <w:rPr/>
            </w:pPr>
            <w:r>
              <w:rPr/>
              <w:t>the number of Common Shares outstanding immediately prior to the expiration time of the tender or exchange offer on the Offer Expiration Date (prior to giving effect to the purchase of all shares accepted for purchase or exchange in such tender offer or exchange offer);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69"/>
        <w:gridCol w:w="143"/>
        <w:gridCol w:w="157"/>
        <w:gridCol w:w="143"/>
        <w:gridCol w:w="9293"/>
      </w:tblGrid>
      <w:tr>
        <w:trPr/>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OS1</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number of Common Shares outstanding immediately after the expiration time of the tender or exchange offer on the Offer Expiration Date (after giving effect to the purchase of all shares accepted for purchase or exchange in such tender or exchange offer); and</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t>SP1</w:t>
            </w:r>
          </w:p>
        </w:tc>
        <w:tc>
          <w:tcPr>
            <w:tcW w:w="143"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the average of the Last Reported Sale Prices of the Common Shares over the 10 consecutive Trading Day-period commencing on, and including, the Trading Day next succeeding the Offer Expiration Date.</w:t>
            </w:r>
          </w:p>
        </w:tc>
      </w:tr>
    </w:tbl>
    <w:p>
      <w:pPr>
        <w:pStyle w:val="TextBody"/>
        <w:bidi w:val="0"/>
        <w:spacing w:before="240" w:after="0"/>
        <w:jc w:val="left"/>
        <w:rPr>
          <w:rFonts w:ascii="Times New Roman" w:hAnsi="Times New Roman"/>
          <w:sz w:val="20"/>
        </w:rPr>
      </w:pPr>
      <w:r>
        <w:rPr>
          <w:rFonts w:ascii="Times New Roman" w:hAnsi="Times New Roman"/>
          <w:sz w:val="20"/>
        </w:rPr>
        <w:t>The adjustment to the applicable Exchange Rate under the preceding paragraph of this </w:t>
      </w:r>
      <w:r>
        <w:rPr>
          <w:rFonts w:ascii="Times New Roman" w:hAnsi="Times New Roman"/>
          <w:sz w:val="20"/>
          <w:u w:val="single"/>
        </w:rPr>
        <w:t>Section 14.04(e)</w:t>
      </w:r>
      <w:r>
        <w:rPr>
          <w:rFonts w:ascii="Times New Roman" w:hAnsi="Times New Roman"/>
          <w:sz w:val="20"/>
        </w:rPr>
        <w:t> will be given effect at the Open of Business on the Trading Day next succeeding the Offer Expiration Date. If the Trading Day next succeeding the Offer Expiration Date is less than 10 Trading Days prior to, and including, the end of the Cash Settlement Averaging Period in respect of any exchange, references within this </w:t>
      </w:r>
      <w:r>
        <w:rPr>
          <w:rFonts w:ascii="Times New Roman" w:hAnsi="Times New Roman"/>
          <w:sz w:val="20"/>
          <w:u w:val="single"/>
        </w:rPr>
        <w:t>Section 14.04(e)</w:t>
      </w:r>
      <w:r>
        <w:rPr>
          <w:rFonts w:ascii="Times New Roman" w:hAnsi="Times New Roman"/>
          <w:sz w:val="20"/>
        </w:rPr>
        <w:t xml:space="preserve"> to 10 Trading Days shall be deemed replaced, for purposes of calculating the affected Daily Exchange Values in respect of that exchange, with such lesser number of Trading Days as have elapsed from, and including, the Trading Day next succeeding the Offer Expiration Date to, and including, the last Trading Day of such Cash Settlement Averaging Period. For purposes of determining the applicable Exchange Rate, in respect of any exchange during the 10 Trading Days commencing on the Trading Day next succeeding the Offer Expiration Date, references within this </w:t>
      </w:r>
      <w:r>
        <w:rPr>
          <w:rFonts w:ascii="Times New Roman" w:hAnsi="Times New Roman"/>
          <w:sz w:val="20"/>
          <w:u w:val="single"/>
        </w:rPr>
        <w:t>Section 14.04(e)</w:t>
      </w:r>
      <w:r>
        <w:rPr>
          <w:rFonts w:ascii="Times New Roman" w:hAnsi="Times New Roman"/>
          <w:sz w:val="20"/>
        </w:rPr>
        <w:t xml:space="preserve"> to 10 Trading Days shall be deemed replaced with such lesser number of Trading Days as have elapsed from, and including, the Trading Day next succeeding the Offer Expiration Date to, and including, the relevant Exchange Date. </w:t>
      </w:r>
    </w:p>
    <w:p>
      <w:pPr>
        <w:pStyle w:val="TextBody"/>
        <w:bidi w:val="0"/>
        <w:spacing w:before="120" w:after="0"/>
        <w:jc w:val="left"/>
        <w:rPr>
          <w:rFonts w:ascii="Times New Roman" w:hAnsi="Times New Roman"/>
          <w:sz w:val="20"/>
        </w:rPr>
      </w:pPr>
      <w:r>
        <w:rPr>
          <w:rFonts w:ascii="Times New Roman" w:hAnsi="Times New Roman"/>
          <w:sz w:val="20"/>
        </w:rPr>
        <w:t xml:space="preserve">(f) Except as stated herein, the Company shall not adjust the Exchange Rate for the issuance of Common Shares or any securities convertible into or exchangeable for Common Shares or the right to purchase Common Shares or such convertible or exchangeable securities. If, however, the application of the foregoing formulas would result in a decrease in the Exchange Rate, except to the extent of any readjustment to the Exchange Rate, no adjustment to the Exchange Rate shall be made (other than as a result of a reverse share split, share combination or readjustment). Notwithstanding anything to the contrary in this </w:t>
      </w:r>
      <w:r>
        <w:rPr>
          <w:rFonts w:ascii="Times New Roman" w:hAnsi="Times New Roman"/>
          <w:sz w:val="20"/>
          <w:u w:val="single"/>
        </w:rPr>
        <w:t>Article 14</w:t>
      </w:r>
      <w:r>
        <w:rPr>
          <w:rFonts w:ascii="Times New Roman" w:hAnsi="Times New Roman"/>
          <w:sz w:val="20"/>
        </w:rPr>
        <w:t xml:space="preserve">, the Exchange Rate shall not be adjusted: </w:t>
      </w:r>
    </w:p>
    <w:p>
      <w:pPr>
        <w:pStyle w:val="TextBody"/>
        <w:bidi w:val="0"/>
        <w:spacing w:before="120" w:after="0"/>
        <w:jc w:val="left"/>
        <w:rPr>
          <w:rFonts w:ascii="Times New Roman" w:hAnsi="Times New Roman"/>
          <w:sz w:val="20"/>
        </w:rPr>
      </w:pPr>
      <w:r>
        <w:rPr>
          <w:rFonts w:ascii="Times New Roman" w:hAnsi="Times New Roman"/>
          <w:sz w:val="20"/>
        </w:rPr>
        <w:t xml:space="preserve">(i) on account of stock repurchases that are not tender offers referred to in </w:t>
      </w:r>
      <w:r>
        <w:rPr>
          <w:rFonts w:ascii="Times New Roman" w:hAnsi="Times New Roman"/>
          <w:sz w:val="20"/>
          <w:u w:val="single"/>
        </w:rPr>
        <w:t>Section 14.04(e)</w:t>
      </w:r>
      <w:r>
        <w:rPr>
          <w:rFonts w:ascii="Times New Roman" w:hAnsi="Times New Roman"/>
          <w:sz w:val="20"/>
        </w:rPr>
        <w:t xml:space="preserve">, including structured or derivative transactions, or transactions pursuant to a stock repurchase program approved by the Board of Trustees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 for a third party tender offer by any party other than a tender offer by the REIT or one or more of its Subsidiaries as described in paragraph (5) above; </w:t>
      </w:r>
    </w:p>
    <w:p>
      <w:pPr>
        <w:pStyle w:val="TextBody"/>
        <w:bidi w:val="0"/>
        <w:spacing w:before="120" w:after="0"/>
        <w:jc w:val="left"/>
        <w:rPr>
          <w:rFonts w:ascii="Times New Roman" w:hAnsi="Times New Roman"/>
          <w:sz w:val="20"/>
        </w:rPr>
      </w:pPr>
      <w:r>
        <w:rPr>
          <w:rFonts w:ascii="Times New Roman" w:hAnsi="Times New Roman"/>
          <w:sz w:val="20"/>
        </w:rPr>
        <w:t xml:space="preserve">(iii) upon the issuance of any Common Shares pursuant to any present or future plan providing for the reinvestment of dividends or interest payable on the REIT’s securities and the investment of additional optional amounts in Common Shares under any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upon the issuance of any Common Shares or options or rights to purchase those shares pursuant to any present or future employee, director or consultant benefit plan, program or agreement of or assumed by the REIT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 upon the issuance of any Common Shares pursuant to any option, warrant, right or exercisable, exchangeable or convertible security not described in the preceding clause (iii) and outstanding as of the date the Notes were first issued; </w:t>
      </w:r>
    </w:p>
    <w:p>
      <w:pPr>
        <w:pStyle w:val="TextBody"/>
        <w:bidi w:val="0"/>
        <w:spacing w:before="120" w:after="0"/>
        <w:jc w:val="left"/>
        <w:rPr>
          <w:rFonts w:ascii="Times New Roman" w:hAnsi="Times New Roman"/>
          <w:sz w:val="20"/>
        </w:rPr>
      </w:pPr>
      <w:r>
        <w:rPr>
          <w:rFonts w:ascii="Times New Roman" w:hAnsi="Times New Roman"/>
          <w:sz w:val="20"/>
        </w:rPr>
        <w:t xml:space="preserve">(vi) for a change in the par value of the Common Shares; </w:t>
      </w:r>
    </w:p>
    <w:p>
      <w:pPr>
        <w:pStyle w:val="TextBody"/>
        <w:bidi w:val="0"/>
        <w:spacing w:before="120" w:after="0"/>
        <w:jc w:val="left"/>
        <w:rPr>
          <w:rFonts w:ascii="Times New Roman" w:hAnsi="Times New Roman"/>
          <w:sz w:val="20"/>
        </w:rPr>
      </w:pPr>
      <w:r>
        <w:rPr>
          <w:rFonts w:ascii="Times New Roman" w:hAnsi="Times New Roman"/>
          <w:sz w:val="20"/>
        </w:rPr>
        <w:t xml:space="preserve">(vii) for accrued and unpaid interest on the Notes, if any; or </w:t>
      </w:r>
    </w:p>
    <w:p>
      <w:pPr>
        <w:pStyle w:val="TextBody"/>
        <w:bidi w:val="0"/>
        <w:spacing w:before="120" w:after="0"/>
        <w:jc w:val="left"/>
        <w:rPr>
          <w:rFonts w:ascii="Times New Roman" w:hAnsi="Times New Roman"/>
          <w:sz w:val="20"/>
        </w:rPr>
      </w:pPr>
      <w:r>
        <w:rPr>
          <w:rFonts w:ascii="Times New Roman" w:hAnsi="Times New Roman"/>
          <w:sz w:val="20"/>
        </w:rPr>
        <w:t xml:space="preserve">(viii) for an event otherwise requiring an adjustment under this Indenture if such event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(g) All calculations and other determinations under this </w:t>
      </w:r>
      <w:r>
        <w:rPr>
          <w:rFonts w:ascii="Times New Roman" w:hAnsi="Times New Roman"/>
          <w:sz w:val="20"/>
          <w:u w:val="single"/>
        </w:rPr>
        <w:t>Article 14</w:t>
      </w:r>
      <w:r>
        <w:rPr>
          <w:rFonts w:ascii="Times New Roman" w:hAnsi="Times New Roman"/>
          <w:sz w:val="20"/>
        </w:rPr>
        <w:t xml:space="preserve"> shall be made by the Company and shall be made to the nearest one-ten thousandth (1/10,000th) of a share. </w:t>
      </w:r>
    </w:p>
    <w:p>
      <w:pPr>
        <w:pStyle w:val="TextBody"/>
        <w:bidi w:val="0"/>
        <w:spacing w:before="120" w:after="0"/>
        <w:jc w:val="left"/>
        <w:rPr>
          <w:rFonts w:ascii="Times New Roman" w:hAnsi="Times New Roman"/>
          <w:sz w:val="20"/>
        </w:rPr>
      </w:pPr>
      <w:r>
        <w:rPr>
          <w:rFonts w:ascii="Times New Roman" w:hAnsi="Times New Roman"/>
          <w:sz w:val="20"/>
        </w:rPr>
        <w:t xml:space="preserve">(h) For purposes of this </w:t>
      </w:r>
      <w:r>
        <w:rPr>
          <w:rFonts w:ascii="Times New Roman" w:hAnsi="Times New Roman"/>
          <w:sz w:val="20"/>
          <w:u w:val="single"/>
        </w:rPr>
        <w:t>Section 14.04</w:t>
      </w:r>
      <w:r>
        <w:rPr>
          <w:rFonts w:ascii="Times New Roman" w:hAnsi="Times New Roman"/>
          <w:sz w:val="20"/>
        </w:rPr>
        <w:t xml:space="preserve">, the number of Common Shares at any time outstanding shall not include Common Shares held in the treasury of the REIT or the Company so long as the REIT or the Company, as the case may be, does not pay any dividend or make any distribution on the Common Shares held in the treasury of the REIT or the Company, as the case may be, but shall include Common Shares issuable in respect of scrip certificates issued in lieu of fractions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Exchange Rate is adjusted as herein provided, the Company shall promptly file with the Trustee (and the Exchange Agent if not the Trustee) an Officer’s Certificate setting forth the Exchange Rate after such adjustment and setting forth a brief statement of the facts requiring such adjustment. Unless and until a Responsible Officer of the Trustee (and the Exchange Agent if not the Trustee) shall have received such Officer’s Certificate, the Trustee (and the Exchange Agent if not the Trustee) shall not be deemed to have knowledge of any adjustment of the Exchange Rate and may assume without inquiry that the last Exchange Rate of which it has knowledge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b/>
          <w:i/>
          <w:sz w:val="20"/>
        </w:rPr>
        <w:t>Discretionary and Voluntary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Discretionary Adjustments</w:t>
      </w:r>
      <w:r>
        <w:rPr>
          <w:rFonts w:ascii="Times New Roman" w:hAnsi="Times New Roman"/>
          <w:sz w:val="20"/>
        </w:rPr>
        <w:t xml:space="preserve">. Whenever any provision of this Indenture requires the Company to calculate the Last Reported Sale Prices or the Daily VWAPs or any function thereof over a span of multiple days (including during a Cash Settlement Averaging Period), the Company will make appropriate adjustments to each to account for any adjustment to the Exchange Rate that becomes effective, or any event requiring an adjustment to the Exchange Rate where the effective date, ex-dividend date or expiration date of the event occurs, at any time during the period when the Last Reported Sale Prices or the Daily VWAPs or functions thereof are to be calculated.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Voluntary Adjustments</w:t>
      </w:r>
      <w:r>
        <w:rPr>
          <w:rFonts w:ascii="Times New Roman" w:hAnsi="Times New Roman"/>
          <w:sz w:val="20"/>
        </w:rPr>
        <w:t xml:space="preserve">. To the extent permitted by applicable law and subject to the listing standards of The New York Stock Exchange (if the REIT is then listed on The New York Stock Exchange), the Company is permitted to increase the Exchange Rate of the Notes by any amount for a period of at least 20 Business Days if the Board of Trustees determines that such increase would be in the Company’s best interest. Subject to the listing standards of The New York Stock Exchange (if the REIT is then listed on The New York Stock Exchange), the Company may also (but is not required to) increase the Exchange Rate to avoid or diminish income tax to holders of Common Shares or rights to purchase Common Shares in connection with a dividend or distribution of shares (or rights to acquire shares) or similar event.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b/>
          <w:i/>
          <w:sz w:val="20"/>
        </w:rPr>
        <w:t>Increased Exchange Rate Applicable to Certain Notes Surrendered in Connection with Make-Whole Fundamental Changes or Notices of Redemption</w:t>
      </w:r>
      <w:r>
        <w:rPr>
          <w:rFonts w:ascii="Times New Roman" w:hAnsi="Times New Roman"/>
          <w:sz w:val="20"/>
        </w:rPr>
        <w:t>. (a) If (1) an event occurs that (i) is a Fundamental Change (determined after giving effect to any exceptions or exclusions to such definition) or (ii) would be a Fundamental Change, but for the proviso set forth in clause (2) of the definition thereof (any such event, a “</w:t>
      </w:r>
      <w:r>
        <w:rPr>
          <w:rFonts w:ascii="Times New Roman" w:hAnsi="Times New Roman"/>
          <w:b/>
          <w:sz w:val="20"/>
        </w:rPr>
        <w:t>Make-Whole Fundamental Change</w:t>
      </w:r>
      <w:r>
        <w:rPr>
          <w:rFonts w:ascii="Times New Roman" w:hAnsi="Times New Roman"/>
          <w:sz w:val="20"/>
        </w:rPr>
        <w:t xml:space="preserve">”) or (2) the Company gives a Redemption Notice with respect to any or all of the Notes as provided for in </w:t>
      </w:r>
      <w:r>
        <w:rPr>
          <w:rFonts w:ascii="Times New Roman" w:hAnsi="Times New Roman"/>
          <w:sz w:val="20"/>
          <w:u w:val="single"/>
        </w:rPr>
        <w:t>Article 16</w:t>
      </w:r>
      <w:r>
        <w:rPr>
          <w:rFonts w:ascii="Times New Roman" w:hAnsi="Times New Roman"/>
          <w:sz w:val="20"/>
        </w:rPr>
        <w:t xml:space="preserve"> and, in each case, a Holder elects to exchange its Notes in connection with such Make-Whole Fundamental Change or Redemption Notice, as the case may be, the Company shall, under certain circumstances, increase the Exchange Rate for the Notes so surrendered for exchange by a number of additional Common Shares (the “</w:t>
      </w:r>
      <w:r>
        <w:rPr>
          <w:rFonts w:ascii="Times New Roman" w:hAnsi="Times New Roman"/>
          <w:b/>
          <w:sz w:val="20"/>
        </w:rPr>
        <w:t>Additional Shares</w:t>
      </w:r>
      <w:r>
        <w:rPr>
          <w:rFonts w:ascii="Times New Roman" w:hAnsi="Times New Roman"/>
          <w:sz w:val="20"/>
        </w:rPr>
        <w:t xml:space="preserve">”), as set forth in this </w:t>
      </w:r>
      <w:r>
        <w:rPr>
          <w:rFonts w:ascii="Times New Roman" w:hAnsi="Times New Roman"/>
          <w:sz w:val="20"/>
          <w:u w:val="single"/>
        </w:rPr>
        <w:t>Section 14.06</w:t>
      </w:r>
      <w:r>
        <w:rPr>
          <w:rFonts w:ascii="Times New Roman" w:hAnsi="Times New Roman"/>
          <w:sz w:val="20"/>
        </w:rPr>
        <w:t>. An exchange of Notes shall be deemed for these purposes to be “in connection with” a Make-Whole Fundamental Change if the relevant Exchange Date occurs during the period from, and including, the Effective Date of the Make-Whole Fundamental Change up to, and including, the Close of Business on the Business Day immediately prior to the related Fundamental Change Purchase Date or, if such Make-Whole Fundamental Change is not also a Fundamental Change, the 35th Business Day immediately following the Effective Date of such Make-Whole Fundamental Change (such period, the “</w:t>
      </w:r>
      <w:r>
        <w:rPr>
          <w:rFonts w:ascii="Times New Roman" w:hAnsi="Times New Roman"/>
          <w:b/>
          <w:sz w:val="20"/>
        </w:rPr>
        <w:t>Make-Whole Fundamental Change Period</w:t>
      </w:r>
      <w:r>
        <w:rPr>
          <w:rFonts w:ascii="Times New Roman" w:hAnsi="Times New Roman"/>
          <w:sz w:val="20"/>
        </w:rPr>
        <w:t xml:space="preserve">”). An exchange of Notes will be deemed for these purposes to be “in connection with” a Redemption Notice if the relevant Exchange Date occurs from, and including, the date of the Redemption Notice until the Close of Business on the Scheduled Trading Day immediately preceding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Upon surrender of Notes for exchange in connection with a Make-Whole Fundamental Change or a Redemption Notice, the Company shall fulfill its Exchange Obligation in accordance with </w:t>
      </w:r>
      <w:r>
        <w:rPr>
          <w:rFonts w:ascii="Times New Roman" w:hAnsi="Times New Roman"/>
          <w:sz w:val="20"/>
          <w:u w:val="single"/>
        </w:rPr>
        <w:t>Section 14.02</w:t>
      </w:r>
      <w:r>
        <w:rPr>
          <w:rFonts w:ascii="Times New Roman" w:hAnsi="Times New Roman"/>
          <w:sz w:val="20"/>
        </w:rPr>
        <w:t>; provided, however, that if, at the effective time of a Make-Whole Fundamental Change described in clause (2) of the definition of Fundamental Change, the Reference Property following such Make-Whole Fundamental Change is composed entirely of cash, for any exchange of Notes following the Effective Date of such Make-Whole Fundamental Change, the Settlement Amount shall be calculated based solely on the Share Price for the transaction and shall be deemed to be an amount of cash per $1,000 principal amount of exchanged Notes equal to the Exchange Rate (including any adjustment for Additional Shares), </w:t>
      </w:r>
      <w:r>
        <w:rPr>
          <w:rFonts w:ascii="Times New Roman" w:hAnsi="Times New Roman"/>
          <w:i/>
          <w:sz w:val="20"/>
        </w:rPr>
        <w:t>multiplied by</w:t>
      </w:r>
      <w:r>
        <w:rPr>
          <w:rFonts w:ascii="Times New Roman" w:hAnsi="Times New Roman"/>
          <w:sz w:val="20"/>
        </w:rPr>
        <w:t xml:space="preserve"> such Share Price. In such event, the Exchange Obligation shall be paid to Holders in cash on the second Trading Day following the Exchange Date. The Company shall notify the Holders of Notes of the Effective Date of any Make-Whole Fundamental Change and issue a press release announcing such Effective Date no later than five Business Days after such Effective Date. </w:t>
      </w:r>
    </w:p>
    <w:p>
      <w:pPr>
        <w:pStyle w:val="TextBody"/>
        <w:bidi w:val="0"/>
        <w:spacing w:before="120" w:after="0"/>
        <w:jc w:val="left"/>
        <w:rPr>
          <w:rFonts w:ascii="Times New Roman" w:hAnsi="Times New Roman"/>
          <w:sz w:val="20"/>
        </w:rPr>
      </w:pPr>
      <w:r>
        <w:rPr>
          <w:rFonts w:ascii="Times New Roman" w:hAnsi="Times New Roman"/>
          <w:sz w:val="20"/>
        </w:rPr>
        <w:t>(c) The number of Additional Shares, if any, by which the Exchange Rate will be increased for a Holder that exchanges its Notes in connection with a Make-Whole Fundamental Change or a Redemption Notice shall be determined by reference to the table below, based on the date on which the Make-Whole Fundamental Change occurs or becomes effective or the date of the Redemption Notice (in each case, the “</w:t>
      </w:r>
      <w:r>
        <w:rPr>
          <w:rFonts w:ascii="Times New Roman" w:hAnsi="Times New Roman"/>
          <w:b/>
          <w:sz w:val="20"/>
        </w:rPr>
        <w:t>Effective Date</w:t>
      </w:r>
      <w:r>
        <w:rPr>
          <w:rFonts w:ascii="Times New Roman" w:hAnsi="Times New Roman"/>
          <w:sz w:val="20"/>
        </w:rPr>
        <w:t>”) and the price (the “</w:t>
      </w:r>
      <w:r>
        <w:rPr>
          <w:rFonts w:ascii="Times New Roman" w:hAnsi="Times New Roman"/>
          <w:b/>
          <w:sz w:val="20"/>
        </w:rPr>
        <w:t>Share Price</w:t>
      </w:r>
      <w:r>
        <w:rPr>
          <w:rFonts w:ascii="Times New Roman" w:hAnsi="Times New Roman"/>
          <w:sz w:val="20"/>
        </w:rPr>
        <w:t xml:space="preserv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deemed to be paid) per Common Share in the Make-Whole Fundamental Change or determined with respect to the Redemption Notice, as the case may be. If the holders of the Common Shares receive in exchange for their Common Shares only cash in a Make-Whole Fundamental Change described in clause (2) of the definition of Fundamental Change, the Share Price will be the cash amount paid per Common Share. Otherwise, the Share Price will be the average of the Last Reported Sale Prices of the Common Shares over the ten consecutive Trading Day-period ending on, and including, the Trading Day immediately preceding the Effective Date of the Make-Whole Fundamental Change or the Redemption Notice, as the case may be. In the event an exchange in connection with a Redemption Notice would also be deemed to be in connection with a Make-Whole Fundamental Change, a Holder of the Notes to be exchanged shall be entitled to a single increase to the Exchange Rate with respect to the first to occur of (i) the applicable date of the Redemption Notice or (ii) the Effective Date of the applicable Make-Whole Fundamental Change, and the later event will be deemed not to have occurred for purposes of such exchanged Notes. </w:t>
      </w:r>
    </w:p>
    <w:p>
      <w:pPr>
        <w:pStyle w:val="TextBody"/>
        <w:bidi w:val="0"/>
        <w:spacing w:before="120" w:after="0"/>
        <w:jc w:val="left"/>
        <w:rPr>
          <w:rFonts w:ascii="Times New Roman" w:hAnsi="Times New Roman"/>
          <w:sz w:val="20"/>
        </w:rPr>
      </w:pPr>
      <w:r>
        <w:rPr>
          <w:rFonts w:ascii="Times New Roman" w:hAnsi="Times New Roman"/>
          <w:sz w:val="20"/>
        </w:rPr>
        <w:t xml:space="preserve">(d) The Share Prices set forth in the column headings of the table below shall be adjusted as of any date on which the Exchange Rate of the Notes is otherwise required to be adjusted. The adjusted Share Prices shall equal the Share Prices applicable immediately prior to such adjustment, </w:t>
      </w:r>
      <w:r>
        <w:rPr>
          <w:rFonts w:ascii="Times New Roman" w:hAnsi="Times New Roman"/>
          <w:i/>
          <w:sz w:val="20"/>
        </w:rPr>
        <w:t>multiplied</w:t>
      </w:r>
      <w:r>
        <w:rPr>
          <w:rFonts w:ascii="Times New Roman" w:hAnsi="Times New Roman"/>
          <w:sz w:val="20"/>
        </w:rPr>
        <w:t xml:space="preserve"> by a fraction, the numerator of which is the Exchange Rate immediately prior to such adjustment giving rise to the Share Price adjustment and the denominator of which is the Exchange Rate as so adjusted. The number of Additional Shares set forth in such table shall be adjusted in the same manner and at the same time as the Exchange Rate is required to be adjusted as set forth in </w:t>
      </w:r>
      <w:r>
        <w:rPr>
          <w:rFonts w:ascii="Times New Roman" w:hAnsi="Times New Roman"/>
          <w:sz w:val="20"/>
          <w:u w:val="single"/>
        </w:rPr>
        <w:t>Section 14.04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following table sets forth the number of Additional Shares by which the Exchange Rate shall be increased per $1,000 principal amount of Notes pursuant to this </w:t>
      </w:r>
      <w:r>
        <w:rPr>
          <w:rFonts w:ascii="Times New Roman" w:hAnsi="Times New Roman"/>
          <w:sz w:val="20"/>
          <w:u w:val="single"/>
        </w:rPr>
        <w:t>Section 14.06</w:t>
      </w:r>
      <w:r>
        <w:rPr>
          <w:rFonts w:ascii="Times New Roman" w:hAnsi="Times New Roman"/>
          <w:sz w:val="20"/>
        </w:rPr>
        <w:t xml:space="preserve"> for each Share Price and Effective Date set forth below: </w:t>
      </w:r>
    </w:p>
    <w:p>
      <w:pPr>
        <w:pStyle w:val="TextBody"/>
        <w:bidi w:val="0"/>
        <w:spacing w:before="0" w:after="0"/>
        <w:jc w:val="left"/>
        <w:rPr/>
      </w:pPr>
      <w:r>
        <w:rPr/>
        <w:t> </w:t>
      </w:r>
    </w:p>
    <w:tbl>
      <w:tblPr>
        <w:tblW w:w="11905" w:type="dxa"/>
        <w:jc w:val="center"/>
        <w:tblInd w:w="0" w:type="dxa"/>
        <w:tblLayout w:type="fixed"/>
        <w:tblCellMar>
          <w:top w:w="0" w:type="dxa"/>
          <w:left w:w="0" w:type="dxa"/>
          <w:bottom w:w="0" w:type="dxa"/>
          <w:right w:w="0" w:type="dxa"/>
        </w:tblCellMar>
      </w:tblPr>
      <w:tblGrid>
        <w:gridCol w:w="905"/>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gridCol w:w="120"/>
        <w:gridCol w:w="140"/>
        <w:gridCol w:w="680"/>
        <w:gridCol w:w="60"/>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20" w:type="dxa"/>
            <w:gridSpan w:val="42"/>
            <w:tcBorders>
              <w:bottom w:val="single" w:sz="8" w:space="0" w:color="000000"/>
            </w:tcBorders>
            <w:tcMar>
              <w:bottom w:w="28" w:type="dxa"/>
            </w:tcMar>
            <w:vAlign w:val="bottom"/>
          </w:tcPr>
          <w:p>
            <w:pPr>
              <w:pStyle w:val="TableContents"/>
              <w:bidi w:val="0"/>
              <w:spacing w:before="0" w:after="283"/>
              <w:jc w:val="center"/>
              <w:rPr>
                <w:b/>
              </w:rPr>
            </w:pPr>
            <w:r>
              <w:rPr>
                <w:b/>
              </w:rPr>
              <w:t>Share price</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Effective date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117.91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138.54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180.11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195.00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20"/>
              </w:rPr>
            </w:pPr>
            <w:r>
              <w:rPr>
                <w:rFonts w:ascii="Times New Roman" w:hAnsi="Times New Roman"/>
                <w:sz w:val="20"/>
              </w:rPr>
              <w:t>August 11, 2026</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1.2631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0.9718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0.8027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0.5715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0.2203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0.0717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0.0346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1.2631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0.9610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0.7858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0.5480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0.1968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0.0576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0.0255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0.0151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1.2631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0.9441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0.7603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0.5141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0.1652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0.0399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0.0145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1.2631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0.9070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0.7116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0.1184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0.0188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1.2631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0.8429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0.6252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0.3512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0.0531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1.2631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0.7821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0.4744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exact Share Prices and Effective Dates may not be set forth in the table above, in which case: </w:t>
      </w:r>
    </w:p>
    <w:p>
      <w:pPr>
        <w:pStyle w:val="TextBody"/>
        <w:bidi w:val="0"/>
        <w:spacing w:before="120" w:after="0"/>
        <w:jc w:val="left"/>
        <w:rPr>
          <w:rFonts w:ascii="Times New Roman" w:hAnsi="Times New Roman"/>
          <w:sz w:val="20"/>
        </w:rPr>
      </w:pPr>
      <w:r>
        <w:rPr>
          <w:rFonts w:ascii="Times New Roman" w:hAnsi="Times New Roman"/>
          <w:sz w:val="20"/>
        </w:rPr>
        <w:t xml:space="preserve">(i) If the Share Price is between two Share Prices in the table or the Effective Date is between two Effective Dates in the table, the number of Additional Shares by which the Exchange Rate will be increased shall be determined by a straight-line interpolation between the number of Additional Shares set forth for the next higher and next lower Share Prices and the earlier and later Effective Dates, as applicable, based on a 365-day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Share Price is greater than $225.00 per share (subject to adjustment in the same manner as the Share Prices set forth in the column headings of the table above pursuant to </w:t>
      </w:r>
      <w:r>
        <w:rPr>
          <w:rFonts w:ascii="Times New Roman" w:hAnsi="Times New Roman"/>
          <w:sz w:val="20"/>
          <w:u w:val="single"/>
        </w:rPr>
        <w:t>Section 14.06(d)</w:t>
      </w:r>
      <w:r>
        <w:rPr>
          <w:rFonts w:ascii="Times New Roman" w:hAnsi="Times New Roman"/>
          <w:sz w:val="20"/>
        </w:rPr>
        <w:t xml:space="preserve"> hereof), no Additional Shares shall be added to the Exchange Rate. </w:t>
      </w:r>
    </w:p>
    <w:p>
      <w:pPr>
        <w:pStyle w:val="TextBody"/>
        <w:bidi w:val="0"/>
        <w:spacing w:before="120" w:after="0"/>
        <w:jc w:val="left"/>
        <w:rPr>
          <w:rFonts w:ascii="Times New Roman" w:hAnsi="Times New Roman"/>
          <w:sz w:val="20"/>
        </w:rPr>
      </w:pPr>
      <w:r>
        <w:rPr>
          <w:rFonts w:ascii="Times New Roman" w:hAnsi="Times New Roman"/>
          <w:sz w:val="20"/>
        </w:rPr>
        <w:t xml:space="preserve">(iii) If the Share Price is less than $117.91 per share (subject to adjustments in the same manner as the Share Prices set forth in the column headings of the table above pursuant to </w:t>
      </w:r>
      <w:r>
        <w:rPr>
          <w:rFonts w:ascii="Times New Roman" w:hAnsi="Times New Roman"/>
          <w:sz w:val="20"/>
          <w:u w:val="single"/>
        </w:rPr>
        <w:t>Section 14.06(d)</w:t>
      </w:r>
      <w:r>
        <w:rPr>
          <w:rFonts w:ascii="Times New Roman" w:hAnsi="Times New Roman"/>
          <w:sz w:val="20"/>
        </w:rPr>
        <w:t xml:space="preserve"> hereof), no Additional Shares shall be added to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will the Exchange Rate exceed 8.4810 Common Shares per $1,000 principal amount of Notes, subject to adjustments in the same manner as the Exchange Rate is required to be adjusted as set forth in </w:t>
      </w:r>
      <w:r>
        <w:rPr>
          <w:rFonts w:ascii="Times New Roman" w:hAnsi="Times New Roman"/>
          <w:sz w:val="20"/>
          <w:u w:val="single"/>
        </w:rPr>
        <w:t>Section 14.04</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14.07. </w:t>
      </w:r>
      <w:r>
        <w:rPr>
          <w:rFonts w:ascii="Times New Roman" w:hAnsi="Times New Roman"/>
          <w:b/>
          <w:i/>
          <w:sz w:val="20"/>
        </w:rPr>
        <w:t>Effect of Recapitalizations, Reclassifications and Changes of the Common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w:t>
      </w:r>
    </w:p>
    <w:p>
      <w:pPr>
        <w:pStyle w:val="TextBody"/>
        <w:bidi w:val="0"/>
        <w:spacing w:before="120" w:after="0"/>
        <w:jc w:val="left"/>
        <w:rPr>
          <w:rFonts w:ascii="Times New Roman" w:hAnsi="Times New Roman"/>
          <w:sz w:val="20"/>
        </w:rPr>
      </w:pPr>
      <w:r>
        <w:rPr>
          <w:rFonts w:ascii="Times New Roman" w:hAnsi="Times New Roman"/>
          <w:sz w:val="20"/>
        </w:rPr>
        <w:t xml:space="preserve">(i) any recapitalization, reclassification or change of the Common Shares (other than a change in par value, or from par value to no par value, or from no par value to par value, or as a result of a split, subdivision or combination for which an adjustment was made pursuant to </w:t>
      </w:r>
      <w:r>
        <w:rPr>
          <w:rFonts w:ascii="Times New Roman" w:hAnsi="Times New Roman"/>
          <w:sz w:val="20"/>
          <w:u w:val="single"/>
        </w:rPr>
        <w:t>Section 14.04(a)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consolidation, merger or combination involving the Company or the REIT; </w:t>
      </w:r>
    </w:p>
    <w:p>
      <w:pPr>
        <w:pStyle w:val="TextBody"/>
        <w:bidi w:val="0"/>
        <w:spacing w:before="120" w:after="0"/>
        <w:jc w:val="left"/>
        <w:rPr>
          <w:rFonts w:ascii="Times New Roman" w:hAnsi="Times New Roman"/>
          <w:sz w:val="20"/>
        </w:rPr>
      </w:pPr>
      <w:r>
        <w:rPr>
          <w:rFonts w:ascii="Times New Roman" w:hAnsi="Times New Roman"/>
          <w:sz w:val="20"/>
        </w:rPr>
        <w:t xml:space="preserve">(iii) any sale, lease or other transfer to a third party of the consolidated assets of the Company or the REIT and its Subsidiaries substantially as an entirety; or </w:t>
      </w:r>
    </w:p>
    <w:p>
      <w:pPr>
        <w:pStyle w:val="TextBody"/>
        <w:bidi w:val="0"/>
        <w:spacing w:before="120" w:after="0"/>
        <w:jc w:val="left"/>
        <w:rPr>
          <w:rFonts w:ascii="Times New Roman" w:hAnsi="Times New Roman"/>
          <w:sz w:val="20"/>
        </w:rPr>
      </w:pPr>
      <w:r>
        <w:rPr>
          <w:rFonts w:ascii="Times New Roman" w:hAnsi="Times New Roman"/>
          <w:sz w:val="20"/>
        </w:rPr>
        <w:t xml:space="preserve">(iv) any statutory share exchange; </w:t>
      </w:r>
    </w:p>
    <w:p>
      <w:pPr>
        <w:pStyle w:val="TextBody"/>
        <w:bidi w:val="0"/>
        <w:spacing w:before="240" w:after="0"/>
        <w:jc w:val="left"/>
        <w:rPr>
          <w:rFonts w:ascii="Times New Roman" w:hAnsi="Times New Roman"/>
          <w:sz w:val="20"/>
        </w:rPr>
      </w:pPr>
      <w:r>
        <w:rPr>
          <w:rFonts w:ascii="Times New Roman" w:hAnsi="Times New Roman"/>
          <w:sz w:val="20"/>
        </w:rPr>
        <w:t>in each case, as a result of which the Common Shares would be converted into, or exchanged for, stock, other securities, other property or assets (including cash or any combination thereof) (any such event, a “</w:t>
      </w:r>
      <w:r>
        <w:rPr>
          <w:rFonts w:ascii="Times New Roman" w:hAnsi="Times New Roman"/>
          <w:b/>
          <w:sz w:val="20"/>
        </w:rPr>
        <w:t>Merger Event</w:t>
      </w:r>
      <w:r>
        <w:rPr>
          <w:rFonts w:ascii="Times New Roman" w:hAnsi="Times New Roman"/>
          <w:sz w:val="20"/>
        </w:rPr>
        <w:t>” and any such stock, other securities, other property or assets (including cash or any combination thereof), “</w:t>
      </w:r>
      <w:r>
        <w:rPr>
          <w:rFonts w:ascii="Times New Roman" w:hAnsi="Times New Roman"/>
          <w:b/>
          <w:sz w:val="20"/>
        </w:rPr>
        <w:t>Reference Property</w:t>
      </w:r>
      <w:r>
        <w:rPr>
          <w:rFonts w:ascii="Times New Roman" w:hAnsi="Times New Roman"/>
          <w:sz w:val="20"/>
        </w:rPr>
        <w:t>” with each “</w:t>
      </w:r>
      <w:r>
        <w:rPr>
          <w:rFonts w:ascii="Times New Roman" w:hAnsi="Times New Roman"/>
          <w:b/>
          <w:sz w:val="20"/>
        </w:rPr>
        <w:t>Unit of Reference Property</w:t>
      </w:r>
      <w:r>
        <w:rPr>
          <w:rFonts w:ascii="Times New Roman" w:hAnsi="Times New Roman"/>
          <w:sz w:val="20"/>
        </w:rPr>
        <w:t xml:space="preserve">” meaning the kind and amount of Reference Property that a holder of one Common Share is entitled to receive) then at and after the effective time of such Merger Event, the right to exchange each $1,000 principal amount of Notes based on a number of Common Shares equal to the applicable Exchange Rate will, without the consent of the Holders, be changed into a right to exchange each $1,000 principal amount of Notes based on a number of Units of Reference Property equal to the applicable Exchange Rate and, prior to or at the effective time of such Merger Event, the Company, the REIT or the successor or purchasing person, as the case may be, shall execute with the Trustee a supplemental indenture providing for such change in the right to exchange each $1,000 principal amount of Notes. However, at and after the effective time of such Merger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 any amount payable in cash upon exchange of the Notes in accordance with </w:t>
      </w:r>
      <w:r>
        <w:rPr>
          <w:rFonts w:ascii="Times New Roman" w:hAnsi="Times New Roman"/>
          <w:sz w:val="20"/>
          <w:u w:val="single"/>
        </w:rPr>
        <w:t>Section 14.03</w:t>
      </w:r>
      <w:r>
        <w:rPr>
          <w:rFonts w:ascii="Times New Roman" w:hAnsi="Times New Roman"/>
          <w:sz w:val="20"/>
        </w:rPr>
        <w:t xml:space="preserve"> shall continue to be payable in cash, (ii) any Common Shares that the Company would have been required to deliver upon exchange of the Notes in accordance with </w:t>
      </w:r>
      <w:r>
        <w:rPr>
          <w:rFonts w:ascii="Times New Roman" w:hAnsi="Times New Roman"/>
          <w:sz w:val="20"/>
          <w:u w:val="single"/>
        </w:rPr>
        <w:t>Section 14.03</w:t>
      </w:r>
      <w:r>
        <w:rPr>
          <w:rFonts w:ascii="Times New Roman" w:hAnsi="Times New Roman"/>
          <w:sz w:val="20"/>
        </w:rPr>
        <w:t xml:space="preserve"> shall instead be deliverable in the type and amount of Reference Property that a holder of that number of Common Shares would have received in such Merger Event and (iii) the Daily VWAP shall be calculated based on the value of a Unit of Reference Property that a holder of one Common Share would have received in such Merger Event; provided, however, that if the holders of Common Shares receive only cash in such Merger Event, then for all exchanges that occur after the effective date of such Merger Event (x) the consideration due upon exchange of each $1,000 principal aggregate amount of Notes shall be solely cash in an amount equal to the Exchange Rate in effect on the Exchange Date (as may be increased by any Additional Shares pursuant to Section 14.06), multiplied by the Share Price in such Merger Event and (y) settlement will occur on the second Trading Day immediately following the Exchange Date; and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continue to have the right to determine the form of consideration to be paid and, if applicable, delivered, in respect of its Exchange Obligation upon exchange of Notes in accordance with </w:t>
      </w:r>
      <w:r>
        <w:rPr>
          <w:rFonts w:ascii="Times New Roman" w:hAnsi="Times New Roman"/>
          <w:sz w:val="20"/>
          <w:u w:val="single"/>
        </w:rPr>
        <w:t>Section 14.03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Event causes the Common Shares to be converted into, or exchanged for, the right to receive more than a single type of consideration (determined based in part upon any form of shareholder election), the amount and type of Reference Property that a holder of Common Shares would have been entitled to receive in such Merger Event (and for which the Notes will be exchangeable) will be deemed to be the weighted average of the types and amounts of consideration actually received by the holders of the Common Shares. The Company shall notify, in writing, the Holders, the Trustee and the Exchange Agent (if other than the Trustee) of the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become a party to any Merger Event unless its terms are consistent with this </w:t>
      </w:r>
      <w:r>
        <w:rPr>
          <w:rFonts w:ascii="Times New Roman" w:hAnsi="Times New Roman"/>
          <w:sz w:val="20"/>
          <w:u w:val="single"/>
        </w:rPr>
        <w:t>Section 14.07</w:t>
      </w:r>
      <w:r>
        <w:rPr>
          <w:rFonts w:ascii="Times New Roman" w:hAnsi="Times New Roman"/>
          <w:sz w:val="20"/>
        </w:rPr>
        <w:t xml:space="preserve">. Such supplemental indenture described in the second immediately preceding paragraph shall provide for adjustments which shall be as nearly equivalent to the adjustments provided for in this </w:t>
      </w:r>
      <w:r>
        <w:rPr>
          <w:rFonts w:ascii="Times New Roman" w:hAnsi="Times New Roman"/>
          <w:sz w:val="20"/>
          <w:u w:val="single"/>
        </w:rPr>
        <w:t>Article 14</w:t>
      </w:r>
      <w:r>
        <w:rPr>
          <w:rFonts w:ascii="Times New Roman" w:hAnsi="Times New Roman"/>
          <w:sz w:val="20"/>
        </w:rPr>
        <w:t xml:space="preserve"> in the judgment of the Board of Trustees or the board of directors of the successor person. If, in the case of any such Merger Event, the Reference Property receivable thereupon by a holder of Common Shares includes shares of stock, securities or other property or assets (including cash or any combination thereof) of a person other than the successor or purchasing person, as the case may be, in such Merger Event, then such supplemental indenture shall also be executed by such other person.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cause notice of the execution of such supplemental indenture to be mailed to each Holder, at the address of such Holder as it appears on the register of the Notes maintained by the Note Registrar, within 20 days after execution thereof. Failure to deliver such notice shall not affect the legality or validity of such supplemental indenture. The above provisions of this </w:t>
      </w:r>
      <w:r>
        <w:rPr>
          <w:rFonts w:ascii="Times New Roman" w:hAnsi="Times New Roman"/>
          <w:sz w:val="20"/>
          <w:u w:val="single"/>
        </w:rPr>
        <w:t>Section 14.07</w:t>
      </w:r>
      <w:r>
        <w:rPr>
          <w:rFonts w:ascii="Times New Roman" w:hAnsi="Times New Roman"/>
          <w:sz w:val="20"/>
        </w:rPr>
        <w:t xml:space="preserve"> shall similarly apply to successive Merger Events. </w:t>
      </w:r>
    </w:p>
    <w:p>
      <w:pPr>
        <w:pStyle w:val="TextBody"/>
        <w:bidi w:val="0"/>
        <w:spacing w:before="120" w:after="0"/>
        <w:jc w:val="left"/>
        <w:rPr>
          <w:rFonts w:ascii="Times New Roman" w:hAnsi="Times New Roman"/>
          <w:sz w:val="20"/>
        </w:rPr>
      </w:pPr>
      <w:r>
        <w:rPr>
          <w:rFonts w:ascii="Times New Roman" w:hAnsi="Times New Roman"/>
          <w:sz w:val="20"/>
        </w:rPr>
        <w:t xml:space="preserve">(c) If the Notes become exchangeable into Reference Property, the Company shall notify the Trustee and issue a press release containing the relevant information, disclose the relevant information in a Current Report on Form 8-K or post such information on the Company’s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connection with any Merger Event, the Initial Dividend Threshold will subject to adjustment as described in clause (1), clause (2) or clause (3) below, as the case may be. </w:t>
      </w:r>
    </w:p>
    <w:p>
      <w:pPr>
        <w:pStyle w:val="TextBody"/>
        <w:bidi w:val="0"/>
        <w:spacing w:before="120" w:after="0"/>
        <w:jc w:val="left"/>
        <w:rPr>
          <w:rFonts w:ascii="Times New Roman" w:hAnsi="Times New Roman"/>
          <w:sz w:val="20"/>
        </w:rPr>
      </w:pPr>
      <w:r>
        <w:rPr>
          <w:rFonts w:ascii="Times New Roman" w:hAnsi="Times New Roman"/>
          <w:sz w:val="20"/>
        </w:rPr>
        <w:t>(1) In the case of a Merger Event in which the Reference Property is composed entirely of shares of common stock (the “</w:t>
      </w:r>
      <w:r>
        <w:rPr>
          <w:rFonts w:ascii="Times New Roman" w:hAnsi="Times New Roman"/>
          <w:b/>
          <w:sz w:val="20"/>
        </w:rPr>
        <w:t>Merger Event Common Stock</w:t>
      </w:r>
      <w:r>
        <w:rPr>
          <w:rFonts w:ascii="Times New Roman" w:hAnsi="Times New Roman"/>
          <w:sz w:val="20"/>
        </w:rPr>
        <w:t xml:space="preserve">”), the Initial Dividend Threshold at and after the effective time of such Merger Event will be equal to (x) the Initial Dividend Threshold immediately prior to the effective time of such Merger Event, divided by (y) the number of shares of Merger Event Common Stock that a holder of one Common Share would receive in such Merger Event (such quotient rounded down to nearest cent).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 Merger Event in which the Reference Property is composed in part of shares of Merger Event Common Stock, the Initial Dividend Threshold at and after the effective time of such Merger Event will be equal to (x) the Initial Dividend Threshold immediately prior to the effective time of such Merger Event, multiplied by (y) the Valuation Percentage for such Merger Event (such quotient rounded down to the nearest cent).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Merger Event in which the Reference Property is composed entirely of consideration other than shares of common stock, the Initial Dividend Threshold at and after the effective time of such Merger Event will be equal to zero.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subsection (d) of this Section 14.07,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 The “</w:t>
      </w:r>
      <w:r>
        <w:rPr>
          <w:rFonts w:ascii="Times New Roman" w:hAnsi="Times New Roman"/>
          <w:b/>
          <w:sz w:val="20"/>
        </w:rPr>
        <w:t>Valuation Percentage</w:t>
      </w:r>
      <w:r>
        <w:rPr>
          <w:rFonts w:ascii="Times New Roman" w:hAnsi="Times New Roman"/>
          <w:sz w:val="20"/>
        </w:rPr>
        <w:t xml:space="preserve">” for any Merger Event shall be equal to (x) the arithmetic average of the Last Reported Sale Prices of one share of such Merger Event Common Stock over the relevant Merger Event Valuation Period (determined as if references to “Common Shares” in the definition of “Last Reported Sale Price” were references to the “Merger Event Common Stock” for such Merger Event), divided by (y) the arithmetic average of the Last Reported Sale Prices of one Common Share over the relevant Merger Event Valuation Period. </w:t>
      </w:r>
    </w:p>
    <w:p>
      <w:pPr>
        <w:pStyle w:val="TextBody"/>
        <w:bidi w:val="0"/>
        <w:spacing w:before="120" w:after="0"/>
        <w:jc w:val="left"/>
        <w:rPr>
          <w:rFonts w:ascii="Times New Roman" w:hAnsi="Times New Roman"/>
          <w:sz w:val="20"/>
        </w:rPr>
      </w:pPr>
      <w:r>
        <w:rPr>
          <w:rFonts w:ascii="Times New Roman" w:hAnsi="Times New Roman"/>
          <w:sz w:val="20"/>
        </w:rPr>
        <w:t>(2) The “</w:t>
      </w:r>
      <w:r>
        <w:rPr>
          <w:rFonts w:ascii="Times New Roman" w:hAnsi="Times New Roman"/>
          <w:b/>
          <w:sz w:val="20"/>
        </w:rPr>
        <w:t>Merger Event Valuation Period</w:t>
      </w:r>
      <w:r>
        <w:rPr>
          <w:rFonts w:ascii="Times New Roman" w:hAnsi="Times New Roman"/>
          <w:sz w:val="20"/>
        </w:rPr>
        <w:t xml:space="preserve">” for any Merger Event means the five consecutive Trading Day period immediately preceding, but excluding, the effective date for such Merger Event. </w:t>
      </w:r>
    </w:p>
    <w:p>
      <w:pPr>
        <w:pStyle w:val="TextBody"/>
        <w:bidi w:val="0"/>
        <w:spacing w:before="240" w:after="0"/>
        <w:jc w:val="left"/>
        <w:rPr>
          <w:rFonts w:ascii="Times New Roman" w:hAnsi="Times New Roman"/>
          <w:sz w:val="20"/>
        </w:rPr>
      </w:pPr>
      <w:r>
        <w:rPr>
          <w:rFonts w:ascii="Times New Roman" w:hAnsi="Times New Roman"/>
          <w:sz w:val="20"/>
        </w:rPr>
        <w:t xml:space="preserve">Section 14.08. </w:t>
      </w:r>
      <w:r>
        <w:rPr>
          <w:rFonts w:ascii="Times New Roman" w:hAnsi="Times New Roman"/>
          <w:b/>
          <w:i/>
          <w:sz w:val="20"/>
        </w:rPr>
        <w:t>Certain Covenants</w:t>
      </w:r>
      <w:r>
        <w:rPr>
          <w:rFonts w:ascii="Times New Roman" w:hAnsi="Times New Roman"/>
          <w:sz w:val="20"/>
        </w:rPr>
        <w:t xml:space="preserve">. (a) The REIT covenants that all Common Shares that may be issued upon exchange of Notes shall be newly issued shares or treasury shares, shall be duly authorized, validly issued, fully paid and non-assessable and shall be free from preemptive rights and free from any tax, lien or charge (other than those created by the Holder or due to a change in registered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REIT covenants that, if any Common Shares to be provided for the purpose of exchange of Notes hereunder require registration with or approval of any governmental authority under any federal or state law before such Common Shares may be validly issued upon exchange, the REIT will, to the extent then permitted by the rules and interpretations of the Commission, secure such registration or approval,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The REIT further covenants that it shall list or cause to have quoted any Common Shares to be issued upon exchange of the Notes on each national securities exchange or over-the-counter or other domestic market on which the Common Shares are then listed or quoted.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necessary to satisfy its obligations under this Indenture, the REIT will reserve out of its authorized but unissued Common Shares a sufficient number of Common Shares to permit the exchange of the Notes. </w:t>
      </w:r>
    </w:p>
    <w:p>
      <w:pPr>
        <w:pStyle w:val="TextBody"/>
        <w:bidi w:val="0"/>
        <w:spacing w:before="120" w:after="0"/>
        <w:jc w:val="left"/>
        <w:rPr>
          <w:rFonts w:ascii="Times New Roman" w:hAnsi="Times New Roman"/>
          <w:sz w:val="20"/>
        </w:rPr>
      </w:pPr>
      <w:r>
        <w:rPr>
          <w:rFonts w:ascii="Times New Roman" w:hAnsi="Times New Roman"/>
          <w:sz w:val="20"/>
        </w:rPr>
        <w:t xml:space="preserve">(e) The REIT shall provide, free from preemptive rights, out of its authorized but unissued shares or shares held in treasury, sufficient Common Shares to provide for exchange of the Notes from time to time as such Notes are presented for exchange (assuming that at the time of computation of such number of shares, all such Notes would be exchanged by a single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b/>
          <w:i/>
          <w:sz w:val="20"/>
        </w:rPr>
        <w:t>Responsibility of Trustee</w:t>
      </w:r>
      <w:r>
        <w:rPr>
          <w:rFonts w:ascii="Times New Roman" w:hAnsi="Times New Roman"/>
          <w:sz w:val="20"/>
        </w:rPr>
        <w:t xml:space="preserve">. The Trustee and any Exchange Agent shall not at any time be under any duty or responsibility to any Holder of Notes to determine or calculate the Exchange Rate, to determine whether any facts exist which may require any adjustment of the Exchange Rate, to confirm the accuracy of any such adjustment when made or the appropriateness of the method employed, or herein or in any supplemental indenture provided to be employed, in making the same or to make any determinations with respect to the ownership limit in the REIT’s Amended and Restated Bylaws. The Trustee and any other Exchange Agent shall not be accountable with respect to the validity or value (or the kind or amount) of any Common Shares (including monitoring the stock trading price) or of any other securities or property that may at any time be issued or delivered upon the exchange of any Notes; and the Trustee and the Exchange Agent make no representations with respect thereto. Neither the Trustee nor any Exchange Agent shall be responsible for any failure of the Company to issue, transfer or deliver any Common Shares or share certificates or other securities or property or cash upon the surrender of any Notes for the purpose of exchange or to comply with any of the duties, responsibilities or covenants of the Company contained in this </w:t>
      </w:r>
      <w:r>
        <w:rPr>
          <w:rFonts w:ascii="Times New Roman" w:hAnsi="Times New Roman"/>
          <w:sz w:val="20"/>
          <w:u w:val="single"/>
        </w:rPr>
        <w:t>Article 14</w:t>
      </w:r>
      <w:r>
        <w:rPr>
          <w:rFonts w:ascii="Times New Roman" w:hAnsi="Times New Roman"/>
          <w:sz w:val="20"/>
        </w:rPr>
        <w:t xml:space="preserve">. Without limiting the generality of the foregoing, neither the Trustee nor any Exchange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exchange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deliver with the Trustee prior to the execution of any such supplemental indenture) with respect thereto. Neither the Trustee nor the Exchange Agent shall be responsible for determining whether any event contemplated by Section 14.01(b) has occurred that makes the Notes eligible for exchange or no longer eligible therefor until the Company has delivered to the Trustee and the Exchange Agent any notices required pursuant to Section 14.01(b) with respect to the commencement or termination of such exchange rights, on which notices the Trustee and the Exchange Agent may conclusively rely. The rights, privileges, protections, immunities and benefits given to the Trustee, including without limitation its right to be compensated, reimbursed, and indemnified, are extended to, and shall be enforceable by, the Trustee in each of its capacities hereunder, including its capacity as Exchange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14.10. </w:t>
      </w:r>
      <w:r>
        <w:rPr>
          <w:rFonts w:ascii="Times New Roman" w:hAnsi="Times New Roman"/>
          <w:b/>
          <w:i/>
          <w:sz w:val="20"/>
        </w:rPr>
        <w:t>Stockholder Rights Plan</w:t>
      </w:r>
      <w:r>
        <w:rPr>
          <w:rFonts w:ascii="Times New Roman" w:hAnsi="Times New Roman"/>
          <w:sz w:val="20"/>
        </w:rPr>
        <w:t xml:space="preserve">. Whenever a Holder exchanges a Note, to the extent that the REIT has a rights plan in effect, the Holder exchanging such Note will receive, in addition to any Common Shares otherwise received in connection with such exchange, the rights under the rights plan unless the rights have separated from the Common Shares, in which case, and only in such case, the Exchange Rate will be adjusted at the time of separation as if the REIT distributed to all holders of the Common Shares, shares of Capital Stock, evidences of indebtedness, assets, property, rights, options or warrants as described in </w:t>
      </w:r>
      <w:r>
        <w:rPr>
          <w:rFonts w:ascii="Times New Roman" w:hAnsi="Times New Roman"/>
          <w:sz w:val="20"/>
          <w:u w:val="single"/>
        </w:rPr>
        <w:t>Section 14.04(c)</w:t>
      </w:r>
      <w:r>
        <w:rPr>
          <w:rFonts w:ascii="Times New Roman" w:hAnsi="Times New Roman"/>
          <w:sz w:val="20"/>
        </w:rPr>
        <w:t xml:space="preserve">, subject to readjustment in the event of the expiration, termination or redemption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b/>
          <w:i/>
          <w:sz w:val="20"/>
        </w:rPr>
        <w:t>Deferral of Adjustments</w:t>
      </w:r>
      <w:r>
        <w:rPr>
          <w:rFonts w:ascii="Times New Roman" w:hAnsi="Times New Roman"/>
          <w:sz w:val="20"/>
        </w:rPr>
        <w:t xml:space="preserve">. Notwithstanding anything to the contrary herein, except on and after the first trading day of any Cash Settlement Averaging Period with respect to a Note and on or prior to the last Trading Day of such Cash Settlement Averaging Period, the Company will not be required to adjust the Exchange Rate unless such adjustment would require an increase or decrease of at least one percent; provided, however, that any such minor adjustments that are not required to be made will be carried forward and taken into account in any subsequent adjustment, and provided, further, that any such adjustment of less than one percent that has not been made shall be made upon the occurrence of (i) the Effective Date for any Make-Whole Fundamental Change; (ii) the Company’s giving of a Redemption Notice pursuant to </w:t>
      </w:r>
      <w:r>
        <w:rPr>
          <w:rFonts w:ascii="Times New Roman" w:hAnsi="Times New Roman"/>
          <w:sz w:val="20"/>
          <w:u w:val="single"/>
        </w:rPr>
        <w:t>Article 16</w:t>
      </w:r>
      <w:r>
        <w:rPr>
          <w:rFonts w:ascii="Times New Roman" w:hAnsi="Times New Roman"/>
          <w:sz w:val="20"/>
        </w:rPr>
        <w:t xml:space="preserve">; and (iii) each Trading Day of the Cash Settlement Averaging Period for any Notes that are exchanged. </w:t>
      </w:r>
    </w:p>
    <w:p>
      <w:pPr>
        <w:pStyle w:val="TextBody"/>
        <w:bidi w:val="0"/>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b/>
          <w:i/>
          <w:sz w:val="20"/>
        </w:rPr>
        <w:t>Notice to Holders</w:t>
      </w:r>
      <w:r>
        <w:rPr>
          <w:rFonts w:ascii="Times New Roman" w:hAnsi="Times New Roman"/>
          <w:sz w:val="20"/>
        </w:rPr>
        <w:t xml:space="preserve">. The Company shall deliver notices of the events specified below at the times specified below and containing the information specified below unless, in each case, (i) pursuant to the Indenture, the Company is already required to deliver notice of such event containing at least the information specified below at an earlier time or, (ii) the Company, at the time it is required to deliver a notice, does not have knowledge of all of the information required to be included in such notice, in which case, the Company shall (A) deliver notice at such time containing only the information that it has knowledge of at such time (if it has knowledge of any such information at such time), and (B) promptly upon obtaining knowledge of any such information not already included in a notice delivered by the Company, deliver notice to each Holder containing such information. In each case, the failure by the Company to give such notice, or any defect therein, shall not affect the legality or validity of such event.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Issuances, Distributions, and Dividends and Distributions</w:t>
      </w:r>
      <w:r>
        <w:rPr>
          <w:rFonts w:ascii="Times New Roman" w:hAnsi="Times New Roman"/>
          <w:sz w:val="20"/>
        </w:rPr>
        <w:t xml:space="preserve">. If the Company or the REIT: (A) announces any issuance of any rights, options or warrants that would require an adjustment in the Exchange Rate pursuant to </w:t>
      </w:r>
      <w:r>
        <w:rPr>
          <w:rFonts w:ascii="Times New Roman" w:hAnsi="Times New Roman"/>
          <w:sz w:val="20"/>
          <w:u w:val="single"/>
        </w:rPr>
        <w:t>Section 14.04(b)</w:t>
      </w:r>
      <w:r>
        <w:rPr>
          <w:rFonts w:ascii="Times New Roman" w:hAnsi="Times New Roman"/>
          <w:sz w:val="20"/>
        </w:rPr>
        <w:t xml:space="preserve">; (B) authorizes any distribution that would require an adjustment in the Exchange Rate pursuant to </w:t>
      </w:r>
      <w:r>
        <w:rPr>
          <w:rFonts w:ascii="Times New Roman" w:hAnsi="Times New Roman"/>
          <w:sz w:val="20"/>
          <w:u w:val="single"/>
        </w:rPr>
        <w:t>Section 14.04(c)</w:t>
      </w:r>
      <w:r>
        <w:rPr>
          <w:rFonts w:ascii="Times New Roman" w:hAnsi="Times New Roman"/>
          <w:sz w:val="20"/>
        </w:rPr>
        <w:t xml:space="preserve"> hereof (including any separation of rights from the Common Shares described in </w:t>
      </w:r>
      <w:r>
        <w:rPr>
          <w:rFonts w:ascii="Times New Roman" w:hAnsi="Times New Roman"/>
          <w:sz w:val="20"/>
          <w:u w:val="single"/>
        </w:rPr>
        <w:t>Section 14.10</w:t>
      </w:r>
      <w:r>
        <w:rPr>
          <w:rFonts w:ascii="Times New Roman" w:hAnsi="Times New Roman"/>
          <w:sz w:val="20"/>
        </w:rPr>
        <w:t xml:space="preserve">); or (C) announces any dividend or distribution that would require an adjustment in the Exchange Rate pursuant to </w:t>
      </w:r>
      <w:r>
        <w:rPr>
          <w:rFonts w:ascii="Times New Roman" w:hAnsi="Times New Roman"/>
          <w:sz w:val="20"/>
          <w:u w:val="single"/>
        </w:rPr>
        <w:t>Section 14.04(d)</w:t>
      </w:r>
      <w:r>
        <w:rPr>
          <w:rFonts w:ascii="Times New Roman" w:hAnsi="Times New Roman"/>
          <w:sz w:val="20"/>
        </w:rPr>
        <w:t xml:space="preserve">, then the Company shall deliver to the Holders, as promptly as possible, but in any event at least 15 calendar days prior to the applicable Ex-Dividend Date, notice describing such issuance, distribution, dividend or distribution, as the case may be, and stating the expected Ex-Dividend Date and Record Date for such issuance, distribution, dividend or distribution, as the case may be. In addition, the Company shall deliver to the Holders notice if the consideration included in such issuance, distribution, dividend or distribution, or the Ex-Dividend Date or Record Date of such issuance, distribution, dividend or distribution, as the case may be,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Voluntary Increases</w:t>
      </w:r>
      <w:r>
        <w:rPr>
          <w:rFonts w:ascii="Times New Roman" w:hAnsi="Times New Roman"/>
          <w:sz w:val="20"/>
        </w:rPr>
        <w:t xml:space="preserve">. If the Company increases the Exchange Rate pursuant to Section 14.05(b), the Company shall deliver notice to the Holders at least 15 calendar days prior to the date on which such increase will become effective, which notice shall state the date on which such increased will become effective and the amount by which the Exchange Rate will be increased.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Dissolutions, Liquidations and Winding-Ups</w:t>
      </w:r>
      <w:r>
        <w:rPr>
          <w:rFonts w:ascii="Times New Roman" w:hAnsi="Times New Roman"/>
          <w:sz w:val="20"/>
        </w:rPr>
        <w:t xml:space="preserve">. If there is a voluntary or involuntary dissolution, liquidation or winding-up of the Company or the REIT, the Company shall deliver notice to the Holders as promptly as possible, but in any event at least 15 calendar days prior to the earlier of (i) the date on which such dissolution, liquidation or winding-up, as the case may be, is expected to become effective or occur, and (ii) the date as of which it is expected that holders of Common Shares of record shall be entitled to exchange their Common Shares for securities or other property deliverable upon such dissolution, liquidation or winding-up, as the case may be, which notice shall state the expected effective date and Record Date for such event, as applicable, and the amount and kind of property that a holder of one Common Share is expected to be entitled, or may elect, to receive in such event. The Company shall deliver an additional notice to holders, as promptly as practicable, whenever the expected effective date or Record Date, as applicable, or the amount and kind of property that a holder of one Common Share is expected to be entitled to receive in such event, changes.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Notices After Certain Actions and Events</w:t>
      </w:r>
      <w:r>
        <w:rPr>
          <w:rFonts w:ascii="Times New Roman" w:hAnsi="Times New Roman"/>
          <w:sz w:val="20"/>
        </w:rPr>
        <w:t xml:space="preserve">. Whenever an adjustment to the Exchange Rate becomes effective pursuant to </w:t>
      </w:r>
      <w:r>
        <w:rPr>
          <w:rFonts w:ascii="Times New Roman" w:hAnsi="Times New Roman"/>
          <w:sz w:val="20"/>
          <w:u w:val="single"/>
        </w:rPr>
        <w:t>Section 14.04</w:t>
      </w:r>
      <w:r>
        <w:rPr>
          <w:rFonts w:ascii="Times New Roman" w:hAnsi="Times New Roman"/>
          <w:sz w:val="20"/>
        </w:rPr>
        <w:t xml:space="preserve">, </w:t>
      </w:r>
      <w:r>
        <w:rPr>
          <w:rFonts w:ascii="Times New Roman" w:hAnsi="Times New Roman"/>
          <w:sz w:val="20"/>
          <w:u w:val="single"/>
        </w:rPr>
        <w:t>14.05</w:t>
      </w:r>
      <w:r>
        <w:rPr>
          <w:rFonts w:ascii="Times New Roman" w:hAnsi="Times New Roman"/>
          <w:sz w:val="20"/>
        </w:rPr>
        <w:t xml:space="preserve"> or </w:t>
      </w:r>
      <w:r>
        <w:rPr>
          <w:rFonts w:ascii="Times New Roman" w:hAnsi="Times New Roman"/>
          <w:sz w:val="20"/>
          <w:u w:val="single"/>
        </w:rPr>
        <w:t>14.06</w:t>
      </w:r>
      <w:r>
        <w:rPr>
          <w:rFonts w:ascii="Times New Roman" w:hAnsi="Times New Roman"/>
          <w:sz w:val="20"/>
        </w:rPr>
        <w:t xml:space="preserve"> hereof, the Company will (i) file with the Trustee an Officer’s Certificate stating that such adjustment has become effective, the Exchange Rate, and the manner in which the adjustment was computed and (ii) deliver notice to the Holders stating that such adjustment has become effective and the Exchange Rate or exchange privilege as adjusted. Failure to give any such notice, or any defect therein, shall not affect the validity of any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Section 14.13. Exchange in Lieu of Exchange. </w:t>
      </w:r>
    </w:p>
    <w:p>
      <w:pPr>
        <w:pStyle w:val="TextBody"/>
        <w:bidi w:val="0"/>
        <w:spacing w:before="120" w:after="0"/>
        <w:jc w:val="left"/>
        <w:rPr>
          <w:rFonts w:ascii="Times New Roman" w:hAnsi="Times New Roman"/>
          <w:sz w:val="20"/>
        </w:rPr>
      </w:pPr>
      <w:r>
        <w:rPr>
          <w:rFonts w:ascii="Times New Roman" w:hAnsi="Times New Roman"/>
          <w:sz w:val="20"/>
        </w:rPr>
        <w:t>(a) When a Holder surrenders its Notes for exchange, the Company may, at its election (an “</w:t>
      </w:r>
      <w:r>
        <w:rPr>
          <w:rFonts w:ascii="Times New Roman" w:hAnsi="Times New Roman"/>
          <w:b/>
          <w:sz w:val="20"/>
        </w:rPr>
        <w:t>Exchange Election</w:t>
      </w:r>
      <w:r>
        <w:rPr>
          <w:rFonts w:ascii="Times New Roman" w:hAnsi="Times New Roman"/>
          <w:sz w:val="20"/>
        </w:rPr>
        <w:t>”), direct the Exchange Agent to deliver, on or prior to the Trading Day immediately following the Exchange Date, such Notes to one or more financial institutions designated by the Company (each, a “</w:t>
      </w:r>
      <w:r>
        <w:rPr>
          <w:rFonts w:ascii="Times New Roman" w:hAnsi="Times New Roman"/>
          <w:b/>
          <w:sz w:val="20"/>
        </w:rPr>
        <w:t>Designated Financial Institution</w:t>
      </w:r>
      <w:r>
        <w:rPr>
          <w:rFonts w:ascii="Times New Roman" w:hAnsi="Times New Roman"/>
          <w:sz w:val="20"/>
        </w:rPr>
        <w:t>”) for exchange in lieu of exchange. In order to accept any Notes surrendered for exchange, the Designated Financial Institution(s) must agree to timely pay and deliver, as the case may be, in exchange for such Notes, cash up to the aggregate principal amount of such Notes and cash, Common Shares or combination thereof, at the Company’s election, in respect of the remainder, if any, of the Exchange Obligation in excess of the aggregate principal amount of such Notes that would otherwise be due upon exchange pursuant to Section 14.03 or such other amount agreed to by the Holder and the Designated Financial Institution(s) (the “</w:t>
      </w:r>
      <w:r>
        <w:rPr>
          <w:rFonts w:ascii="Times New Roman" w:hAnsi="Times New Roman"/>
          <w:b/>
          <w:sz w:val="20"/>
        </w:rPr>
        <w:t>Exchange Consideration</w:t>
      </w:r>
      <w:r>
        <w:rPr>
          <w:rFonts w:ascii="Times New Roman" w:hAnsi="Times New Roman"/>
          <w:sz w:val="20"/>
        </w:rPr>
        <w:t xml:space="preserve">”). If the Company makes an Exchange Election, the Company shall, by the close of business on the Trading Day following the relevant Exchange Date, notify in writing the Trustee, the Exchange Agent (if other than the Trustee) and the Holder surrendering Notes for exchange that the Company has made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Election, and the Company shall promptly notify the Designated Financial Institution(s) of the relevant deadline for delivery of the Exchange Consideration and the applicable Cash Percentage. The Company, the Holder surrendering the Notes for exchange, the Designated Financial Institution(s) and the Exchange Agent shall reasonably cooperate to cause such Notes to be delivered to the Designated Financial Institution(s), and the Exchange Agent shall be entitled to conclusively rely upon the Company’s instruction in connection with effecting any Exchange Election and shall have no liability for any failure to effect such Exchange Election due to acts or omissions outside its control. </w:t>
      </w:r>
    </w:p>
    <w:p>
      <w:pPr>
        <w:pStyle w:val="TextBody"/>
        <w:bidi w:val="0"/>
        <w:spacing w:before="120" w:after="0"/>
        <w:jc w:val="left"/>
        <w:rPr>
          <w:rFonts w:ascii="Times New Roman" w:hAnsi="Times New Roman"/>
          <w:sz w:val="20"/>
        </w:rPr>
      </w:pPr>
      <w:r>
        <w:rPr>
          <w:rFonts w:ascii="Times New Roman" w:hAnsi="Times New Roman"/>
          <w:sz w:val="20"/>
        </w:rPr>
        <w:t xml:space="preserve">(b) Any Notes delivered to the Designated Financial Institution(s) shall remain outstanding, subject to the applicable procedures of the Depositary. If the Designated Financial Institution(s) agree(s) to accept any Notes for exchange but does not timely pay and deliver, as the case may be, the related Exchange Consideration, or if such Designated Financial Institution(s) does not accept the Notes for exchange, the Company shall pay and deliver, as the case may be, the relevant Exchange Consideration, as, and at the time, required pursuant to this Indenture as if the Company had not made the Exchange Election. </w:t>
      </w:r>
    </w:p>
    <w:p>
      <w:pPr>
        <w:pStyle w:val="TextBody"/>
        <w:bidi w:val="0"/>
        <w:spacing w:before="120" w:after="0"/>
        <w:jc w:val="left"/>
        <w:rPr>
          <w:rFonts w:ascii="Times New Roman" w:hAnsi="Times New Roman"/>
          <w:sz w:val="20"/>
        </w:rPr>
      </w:pPr>
      <w:r>
        <w:rPr>
          <w:rFonts w:ascii="Times New Roman" w:hAnsi="Times New Roman"/>
          <w:sz w:val="20"/>
        </w:rPr>
        <w:t xml:space="preserve">(c) The Company’s designation of any Designated Financial Institution(s) to which the Notes may be submitted for exchange does not require such Designated Financial Institution(s) to accept any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REPURCHASE OF NOTES AT OPTION OF HOLDERS </w:t>
      </w:r>
    </w:p>
    <w:p>
      <w:pPr>
        <w:pStyle w:val="TextBody"/>
        <w:bidi w:val="0"/>
        <w:spacing w:before="240" w:after="0"/>
        <w:jc w:val="left"/>
        <w:rPr>
          <w:rFonts w:ascii="Times New Roman" w:hAnsi="Times New Roman"/>
          <w:sz w:val="20"/>
        </w:rPr>
      </w:pPr>
      <w:r>
        <w:rPr>
          <w:rFonts w:ascii="Times New Roman" w:hAnsi="Times New Roman"/>
          <w:sz w:val="20"/>
        </w:rPr>
        <w:t>Section 15.01. [</w:t>
      </w:r>
      <w:r>
        <w:rPr>
          <w:rFonts w:ascii="Times New Roman" w:hAnsi="Times New Roman"/>
          <w:b/>
          <w:i/>
          <w:sz w:val="20"/>
        </w:rPr>
        <w:t>Reserved</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b/>
          <w:i/>
          <w:sz w:val="20"/>
        </w:rPr>
        <w:t>Purchase at Option of Holders Upon a Fundamental Change</w:t>
      </w:r>
      <w:r>
        <w:rPr>
          <w:rFonts w:ascii="Times New Roman" w:hAnsi="Times New Roman"/>
          <w:sz w:val="20"/>
        </w:rPr>
        <w:t xml:space="preserve">. (a) If a Fundamental Change occurs at any time, then each Holder shall have the right, at such Holder’s option, to require the Company to purchase for cash all of such Holder’s Notes, or any portion thereof such that the remaining principal amount of each Note that is not purchased in full equals $1,000 or an integral multiple of $1,000 in excess thereof, on a date (the “Fundamental Change Purchase Date”) specified by the Company that is not less than 20 calendar days or more than 35 calendar days following the date on which the Company delivers the Fundamental Change Company Notice, at a cash purchase price equal to 100% of the principal amount thereof, plus accrued and unpaid interest thereon, if any, to, but excluding, the Fundamental Change Purchase Date (the “Fundamental Change Purchase Price”); provided, however, that if the Company purchases a Note on a Fundamental Change Purchase Date that is after a Regular Record Date and on or prior to the Interest Payment Date corresponding to such Regular Record Date, the Company shall instead pay such accrued and unpaid interest on such Note on the Interest Payment Date to the Holder of record of such Note as of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this </w:t>
      </w:r>
      <w:r>
        <w:rPr>
          <w:rFonts w:ascii="Times New Roman" w:hAnsi="Times New Roman"/>
          <w:sz w:val="20"/>
          <w:u w:val="single"/>
        </w:rPr>
        <w:t>Section 15.02</w:t>
      </w:r>
      <w:r>
        <w:rPr>
          <w:rFonts w:ascii="Times New Roman" w:hAnsi="Times New Roman"/>
          <w:sz w:val="20"/>
        </w:rPr>
        <w:t xml:space="preserve"> shall be made, at the option of the Holder thereof, upon: </w:t>
      </w:r>
    </w:p>
    <w:p>
      <w:pPr>
        <w:pStyle w:val="TextBody"/>
        <w:bidi w:val="0"/>
        <w:spacing w:before="120" w:after="0"/>
        <w:jc w:val="left"/>
        <w:rPr>
          <w:rFonts w:ascii="Times New Roman" w:hAnsi="Times New Roman"/>
          <w:sz w:val="20"/>
        </w:rPr>
      </w:pPr>
      <w:r>
        <w:rPr>
          <w:rFonts w:ascii="Times New Roman" w:hAnsi="Times New Roman"/>
          <w:sz w:val="20"/>
        </w:rPr>
        <w:t>(i) if the Notes to be purchased are Physical Notes, delivery to the Paying Agent by the Holder of a duly completed notice (the “</w:t>
      </w:r>
      <w:r>
        <w:rPr>
          <w:rFonts w:ascii="Times New Roman" w:hAnsi="Times New Roman"/>
          <w:b/>
          <w:sz w:val="20"/>
        </w:rPr>
        <w:t>Fundamental Change Purchase Notice</w:t>
      </w:r>
      <w:r>
        <w:rPr>
          <w:rFonts w:ascii="Times New Roman" w:hAnsi="Times New Roman"/>
          <w:sz w:val="20"/>
        </w:rPr>
        <w:t xml:space="preserve">”) in the form set forth in Attachment 2 to the Form of Note attached hereto as </w:t>
      </w:r>
      <w:r>
        <w:rPr>
          <w:rFonts w:ascii="Times New Roman" w:hAnsi="Times New Roman"/>
          <w:sz w:val="20"/>
          <w:u w:val="single"/>
        </w:rPr>
        <w:t>Exhibit A</w:t>
      </w:r>
      <w:r>
        <w:rPr>
          <w:rFonts w:ascii="Times New Roman" w:hAnsi="Times New Roman"/>
          <w:sz w:val="20"/>
        </w:rPr>
        <w:t xml:space="preserve"> and of the Notes, duly endorsed for transfer, on or before the Close of Business on the Business Day immediately preceding the Fundamental Change Purchase Date, subject to extensions to comply with applicable law (the “</w:t>
      </w:r>
      <w:r>
        <w:rPr>
          <w:rFonts w:ascii="Times New Roman" w:hAnsi="Times New Roman"/>
          <w:b/>
          <w:sz w:val="20"/>
        </w:rPr>
        <w:t>Fundamental Change Expiration Time</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Notes to be purchased are Global Notes, delivery of the Notes, by book-entry transfer, in compliance with the Applicable Procedures and the satisfaction of any other requirements of the Depositary in connection with tendering beneficial interests in a Global Note for purchase, by the Fundamental Change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Change Purchase Notice in respect of any Notes to be purchased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if certificated, the certificate numbers of such Notes; </w:t>
      </w:r>
    </w:p>
    <w:p>
      <w:pPr>
        <w:pStyle w:val="TextBody"/>
        <w:bidi w:val="0"/>
        <w:spacing w:before="120" w:after="0"/>
        <w:jc w:val="left"/>
        <w:rPr>
          <w:rFonts w:ascii="Times New Roman" w:hAnsi="Times New Roman"/>
          <w:sz w:val="20"/>
        </w:rPr>
      </w:pPr>
      <w:r>
        <w:rPr>
          <w:rFonts w:ascii="Times New Roman" w:hAnsi="Times New Roman"/>
          <w:sz w:val="20"/>
        </w:rPr>
        <w:t xml:space="preserve">(ii) the portion of the principal amount of such Notes, which must be such that the principal amount that is not to be purchased of each Note that is not to be purchased in full equals $1,000 or an integral multiple of $1,000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that such Notes are to be purchased by the Company pursuant to the applicable provisions of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Holder delivering to the Paying Agent the Fundamental Change Purchase Notice contemplated by this </w:t>
      </w:r>
      <w:r>
        <w:rPr>
          <w:rFonts w:ascii="Times New Roman" w:hAnsi="Times New Roman"/>
          <w:sz w:val="20"/>
          <w:u w:val="single"/>
        </w:rPr>
        <w:t>Section 15.02</w:t>
      </w:r>
      <w:r>
        <w:rPr>
          <w:rFonts w:ascii="Times New Roman" w:hAnsi="Times New Roman"/>
          <w:sz w:val="20"/>
        </w:rPr>
        <w:t xml:space="preserve"> shall have the right to withdraw, in whole or in part, such Fundamental Change Purchase Notice at any time prior to the Fundamental Change Expiration Time by delivery of a written notice of withdrawal to the Paying Agent in accordance with </w:t>
      </w:r>
      <w:r>
        <w:rPr>
          <w:rFonts w:ascii="Times New Roman" w:hAnsi="Times New Roman"/>
          <w:sz w:val="20"/>
          <w:u w:val="single"/>
        </w:rPr>
        <w:t>Section 15.04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promptly notify the Company of the receipt by it of any Fundamental Change Purchase Notice or written notice of withdrawal thereof. </w:t>
      </w:r>
    </w:p>
    <w:p>
      <w:pPr>
        <w:pStyle w:val="TextBody"/>
        <w:bidi w:val="0"/>
        <w:spacing w:before="120" w:after="0"/>
        <w:jc w:val="left"/>
        <w:rPr>
          <w:rFonts w:ascii="Times New Roman" w:hAnsi="Times New Roman"/>
          <w:sz w:val="20"/>
        </w:rPr>
      </w:pPr>
      <w:r>
        <w:rPr>
          <w:rFonts w:ascii="Times New Roman" w:hAnsi="Times New Roman"/>
          <w:sz w:val="20"/>
        </w:rPr>
        <w:t>(b) On or before the 20th calendar day after the occurrence of a Fundamental Change, the Company shall provide to all Holders of the Notes, the Trustee, the Exchange Agent and the Paying Agent (in the case of any Exchange Agent or Paying Agent other than the Trustee) a notice (the “</w:t>
      </w:r>
      <w:r>
        <w:rPr>
          <w:rFonts w:ascii="Times New Roman" w:hAnsi="Times New Roman"/>
          <w:b/>
          <w:sz w:val="20"/>
        </w:rPr>
        <w:t>Fundamental Change Company Notice</w:t>
      </w:r>
      <w:r>
        <w:rPr>
          <w:rFonts w:ascii="Times New Roman" w:hAnsi="Times New Roman"/>
          <w:sz w:val="20"/>
        </w:rPr>
        <w:t xml:space="preserve">”) of the occurrence of such Fundamental Change and of the purchase right at the option of the Holders arising as a result thereof. Such notice shall be sent by first class mail or, in the case of any Global Notes, in accordance with the procedures of the Depositary for providing notices. Simultaneously with providing such Fundamental Change Company Notice, the Company shall publish a press release containing this information or publish this information on the Company’s website or through such other public medium as the Company may use at that time. </w:t>
      </w:r>
    </w:p>
    <w:p>
      <w:pPr>
        <w:pStyle w:val="TextBody"/>
        <w:bidi w:val="0"/>
        <w:spacing w:before="240" w:after="0"/>
        <w:jc w:val="left"/>
        <w:rPr>
          <w:rFonts w:ascii="Times New Roman" w:hAnsi="Times New Roman"/>
          <w:sz w:val="20"/>
        </w:rPr>
      </w:pPr>
      <w:r>
        <w:rPr>
          <w:rFonts w:ascii="Times New Roman" w:hAnsi="Times New Roman"/>
          <w:sz w:val="20"/>
        </w:rPr>
        <w:t xml:space="preserve">Each Fundamental Change Company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events causing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date of the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last date on which a Holder of Notes may exercise the purchase right pursuant to this </w:t>
      </w:r>
      <w:r>
        <w:rPr>
          <w:rFonts w:ascii="Times New Roman" w:hAnsi="Times New Roman"/>
          <w:sz w:val="20"/>
          <w:u w:val="single"/>
        </w:rPr>
        <w:t>Article 15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(v) the Fundamental Change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Exchange Agent,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the applicable Exchange Rate and any adjustments to the applicable Exchange Rate; </w:t>
      </w:r>
    </w:p>
    <w:p>
      <w:pPr>
        <w:pStyle w:val="TextBody"/>
        <w:bidi w:val="0"/>
        <w:spacing w:before="120" w:after="0"/>
        <w:jc w:val="left"/>
        <w:rPr>
          <w:rFonts w:ascii="Times New Roman" w:hAnsi="Times New Roman"/>
          <w:sz w:val="20"/>
        </w:rPr>
      </w:pPr>
      <w:r>
        <w:rPr>
          <w:rFonts w:ascii="Times New Roman" w:hAnsi="Times New Roman"/>
          <w:sz w:val="20"/>
        </w:rPr>
        <w:t xml:space="preserve">(viii) that the Notes with respect to which a Fundamental Change Purchase Notice has been delivered by a Holder may be exchanged only if the Holder withdraws the Fundamental Change Purchase Notice in accordance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(ix) that the Holder shall have the right to withdraw any Notes surrendered for purchase prior to the Fundamental Change Expiration Time; and </w:t>
      </w:r>
    </w:p>
    <w:p>
      <w:pPr>
        <w:pStyle w:val="TextBody"/>
        <w:bidi w:val="0"/>
        <w:spacing w:before="120" w:after="0"/>
        <w:jc w:val="left"/>
        <w:rPr>
          <w:rFonts w:ascii="Times New Roman" w:hAnsi="Times New Roman"/>
          <w:sz w:val="20"/>
        </w:rPr>
      </w:pPr>
      <w:r>
        <w:rPr>
          <w:rFonts w:ascii="Times New Roman" w:hAnsi="Times New Roman"/>
          <w:sz w:val="20"/>
        </w:rPr>
        <w:t xml:space="preserve">(x) the procedures that Holders must follow to require the Company to purchase their Notes. </w:t>
      </w:r>
    </w:p>
    <w:p>
      <w:pPr>
        <w:pStyle w:val="TextBody"/>
        <w:bidi w:val="0"/>
        <w:spacing w:before="240" w:after="0"/>
        <w:jc w:val="left"/>
        <w:rPr>
          <w:rFonts w:ascii="Times New Roman" w:hAnsi="Times New Roman"/>
          <w:sz w:val="20"/>
        </w:rPr>
      </w:pPr>
      <w:r>
        <w:rPr>
          <w:rFonts w:ascii="Times New Roman" w:hAnsi="Times New Roman"/>
          <w:sz w:val="20"/>
        </w:rPr>
        <w:t xml:space="preserve">No failure of the Company to give the foregoing notices and no defect therein shall limit the purchase rights of the Holders of Notes or affect the validity of the proceedings for the purchase of the Notes pursuant to this </w:t>
      </w:r>
      <w:r>
        <w:rPr>
          <w:rFonts w:ascii="Times New Roman" w:hAnsi="Times New Roman"/>
          <w:sz w:val="20"/>
          <w:u w:val="single"/>
        </w:rPr>
        <w:t>Section 15.02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Company shall not be required to deliver a Fundamental Change Company Notice or to purchase any Notes upon the occurrence of a Fundamental Change if the Company has delivered a Redemption Notice for all of the Notes in accordance with </w:t>
      </w:r>
      <w:r>
        <w:rPr>
          <w:rFonts w:ascii="Times New Roman" w:hAnsi="Times New Roman"/>
          <w:sz w:val="20"/>
          <w:u w:val="single"/>
        </w:rPr>
        <w:t>Section 16.02</w:t>
      </w:r>
      <w:r>
        <w:rPr>
          <w:rFonts w:ascii="Times New Roman" w:hAnsi="Times New Roman"/>
          <w:sz w:val="20"/>
        </w:rPr>
        <w:t xml:space="preserve">, unless and until there is a default in the payment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there shall be no purchase of any Notes pursuant to this </w:t>
      </w:r>
      <w:r>
        <w:rPr>
          <w:rFonts w:ascii="Times New Roman" w:hAnsi="Times New Roman"/>
          <w:sz w:val="20"/>
          <w:u w:val="single"/>
        </w:rPr>
        <w:t>Section 15.02</w:t>
      </w:r>
      <w:r>
        <w:rPr>
          <w:rFonts w:ascii="Times New Roman" w:hAnsi="Times New Roman"/>
          <w:sz w:val="20"/>
        </w:rPr>
        <w:t xml:space="preserve"> if the principal amount of the Notes has been accelerated, and such acceleration has not been rescinded, on or prior to the Fundamental Change Purchase Date (except in the case of an acceleration resulting from a Default by the Company in the payment of the Fundamental Change 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Purchase Price with respect to such Notes) and shall deem to be cancelled any instructions for book-entry transfer of the Notes in compliance with the procedures of the Depositary, in which case, upon such return or cancellation, as the case may be, the Fundamental Change Purchase Notice with respect thereto shall be deemed to have been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b/>
          <w:i/>
          <w:sz w:val="20"/>
        </w:rPr>
        <w:t>Effect of Fundamental Change Purchase Notice</w:t>
      </w:r>
      <w:r>
        <w:rPr>
          <w:rFonts w:ascii="Times New Roman" w:hAnsi="Times New Roman"/>
          <w:sz w:val="20"/>
        </w:rPr>
        <w:t xml:space="preserve">. Upon receipt by the Paying Agent of a Fundamental Change Purchase Notice specified in </w:t>
      </w:r>
      <w:r>
        <w:rPr>
          <w:rFonts w:ascii="Times New Roman" w:hAnsi="Times New Roman"/>
          <w:sz w:val="20"/>
          <w:u w:val="single"/>
        </w:rPr>
        <w:t>Section 15.02</w:t>
      </w:r>
      <w:r>
        <w:rPr>
          <w:rFonts w:ascii="Times New Roman" w:hAnsi="Times New Roman"/>
          <w:sz w:val="20"/>
        </w:rPr>
        <w:t xml:space="preserve">, the Holder of the Note in respect of which such Fundamental Change Purchase Notice was given shall (unless such Fundamental Change Purchase Notice is withdrawn in accordance with </w:t>
      </w:r>
      <w:r>
        <w:rPr>
          <w:rFonts w:ascii="Times New Roman" w:hAnsi="Times New Roman"/>
          <w:sz w:val="20"/>
          <w:u w:val="single"/>
        </w:rPr>
        <w:t>Section 15.04</w:t>
      </w:r>
      <w:r>
        <w:rPr>
          <w:rFonts w:ascii="Times New Roman" w:hAnsi="Times New Roman"/>
          <w:sz w:val="20"/>
        </w:rPr>
        <w:t xml:space="preserve">) thereafter be entitled to receive solely the Fundamental Change Purchase Price in cash with respect to such Note (and any previously accrued and unpaid interest on such Note). Such Fundamental Change Purchase Price shall be paid to such Holder, subject to receipt of funds by the Paying Agent, on the later of (x) the applicable Fundamental Change Purchase Date (provided the conditions in </w:t>
      </w:r>
      <w:r>
        <w:rPr>
          <w:rFonts w:ascii="Times New Roman" w:hAnsi="Times New Roman"/>
          <w:sz w:val="20"/>
          <w:u w:val="single"/>
        </w:rPr>
        <w:t>Section 15.02</w:t>
      </w:r>
      <w:r>
        <w:rPr>
          <w:rFonts w:ascii="Times New Roman" w:hAnsi="Times New Roman"/>
          <w:sz w:val="20"/>
        </w:rPr>
        <w:t xml:space="preserve"> have been satisfied) and (y) the time of delivery or book-entry transfer of such Note to the Paying Agent by the Holder thereof in the manner required by </w:t>
      </w:r>
      <w:r>
        <w:rPr>
          <w:rFonts w:ascii="Times New Roman" w:hAnsi="Times New Roman"/>
          <w:sz w:val="20"/>
          <w:u w:val="single"/>
        </w:rPr>
        <w:t>Section 15.02</w:t>
      </w:r>
      <w:r>
        <w:rPr>
          <w:rFonts w:ascii="Times New Roman" w:hAnsi="Times New Roman"/>
          <w:sz w:val="20"/>
        </w:rPr>
        <w:t xml:space="preserve">, subject in each case to extensions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b/>
          <w:i/>
          <w:sz w:val="20"/>
        </w:rPr>
        <w:t>Withdrawal of Fundamental Change Purchase Notice</w:t>
      </w:r>
      <w:r>
        <w:rPr>
          <w:rFonts w:ascii="Times New Roman" w:hAnsi="Times New Roman"/>
          <w:sz w:val="20"/>
        </w:rPr>
        <w:t xml:space="preserve">. A Fundamental Change Purchase Notice may be withdrawn (in whole or in part) by means of a written notice of withdrawal delivered to the Paying Agent in accordance with the Fundamental Change Company Notice at any time prior to the Fundamental Change Expiration Time, specifying: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amount of the Notes with respect to which such notice of withdrawal is being submitted; </w:t>
      </w:r>
    </w:p>
    <w:p>
      <w:pPr>
        <w:pStyle w:val="TextBody"/>
        <w:bidi w:val="0"/>
        <w:spacing w:before="120" w:after="0"/>
        <w:jc w:val="left"/>
        <w:rPr>
          <w:rFonts w:ascii="Times New Roman" w:hAnsi="Times New Roman"/>
          <w:sz w:val="20"/>
        </w:rPr>
      </w:pPr>
      <w:r>
        <w:rPr>
          <w:rFonts w:ascii="Times New Roman" w:hAnsi="Times New Roman"/>
          <w:sz w:val="20"/>
        </w:rPr>
        <w:t xml:space="preserve">(2) if Physical Notes have been issued, the certificate numbers of the withdrawn Notes; and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if any, of each Note that remains subject to the Fundamental Change Purchase Notice, which must be such that the principal amount not to be purchased equals $1,000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if the Notes are Global Notes, the notice must comply with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return to the respective Holders thereof any Physical Notes with respect to which a Fundamental Change Purchase Notice has been withdrawn in compliance with the provisions of this </w:t>
      </w:r>
      <w:r>
        <w:rPr>
          <w:rFonts w:ascii="Times New Roman" w:hAnsi="Times New Roman"/>
          <w:sz w:val="20"/>
          <w:u w:val="single"/>
        </w:rPr>
        <w:t>Section 15.04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b/>
          <w:i/>
          <w:sz w:val="20"/>
        </w:rPr>
        <w:t>Deposit of Fundamental Change Purchase Price</w:t>
      </w:r>
      <w:r>
        <w:rPr>
          <w:rFonts w:ascii="Times New Roman" w:hAnsi="Times New Roman"/>
          <w:sz w:val="20"/>
        </w:rPr>
        <w:t xml:space="preserve">. Prior to 11:00 a.m., New York City time, on the Fundamental Change Purchase Date, the Company shall deposit with the Paying Agent (or, if the Company or a Subsidiary or an Affiliate of either of them is acting as the Paying Agent, shall segregate and hold in trust as provided herein) an amount of money (in immediately available funds if deposited on such Business Day) sufficient to pay the Fundamental Change Purchase Price of all the Notes or portions thereof that are to be purchased as of the Fundamental Change Purchase Date. If the Paying Agent holds cash sufficient to pay the Fundamental Change Purchase Price of the Notes that have been properly surrendered for purchase and not validly withdrawn and for which a Fundamental Change Purchase Notice has been tendered and not withdrawn in accordance with this Indenture on the Fundamental Change Purchase Date, then as of such Fundamental Change Purchase Date, (a) such Notes will cease to be outstanding and interest will cease to accrue thereon (whether or not book-entry transfer of such Notes is made or whether or not such Notes have been delivered to the Paying Agent) and (b) all other rights of the Holders in respect thereof will terminate (other than the right to receive the Fundamental Change Purchase Price and previously accrued and unpaid interest thereon upon delivery or book-entry transfer of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15.06. </w:t>
      </w:r>
      <w:r>
        <w:rPr>
          <w:rFonts w:ascii="Times New Roman" w:hAnsi="Times New Roman"/>
          <w:b/>
          <w:i/>
          <w:sz w:val="20"/>
        </w:rPr>
        <w:t>Notes Purchased in Whole or in Part</w:t>
      </w:r>
      <w:r>
        <w:rPr>
          <w:rFonts w:ascii="Times New Roman" w:hAnsi="Times New Roman"/>
          <w:sz w:val="20"/>
        </w:rPr>
        <w:t xml:space="preserve">. Any Note that is to be purchased, whether in whole or in part, shall be surrendered at the office of the Paying Agent (with, if the Company or the Trustee so requires in the case of Physical Notes,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portion of the principal amount of the Note so surrendered that is not purchased.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b/>
          <w:i/>
          <w:sz w:val="20"/>
        </w:rPr>
        <w:t>Covenant to Comply with Applicable Laws Upon Purchase of Notes</w:t>
      </w:r>
      <w:r>
        <w:rPr>
          <w:rFonts w:ascii="Times New Roman" w:hAnsi="Times New Roman"/>
          <w:sz w:val="20"/>
        </w:rPr>
        <w:t xml:space="preserve">. In connection with any offer to purchase Notes under </w:t>
      </w:r>
      <w:r>
        <w:rPr>
          <w:rFonts w:ascii="Times New Roman" w:hAnsi="Times New Roman"/>
          <w:sz w:val="20"/>
          <w:u w:val="single"/>
        </w:rPr>
        <w:t>Section 15.02</w:t>
      </w:r>
      <w:r>
        <w:rPr>
          <w:rFonts w:ascii="Times New Roman" w:hAnsi="Times New Roman"/>
          <w:sz w:val="20"/>
        </w:rPr>
        <w:t xml:space="preserve">, the Company shall, in each case if required by law, (i) comply with Rule 13e-4, Rule 14e-1 and any other tender offer and other applicable rules under the Exchange Act that may then be applicable, (ii) file a Schedule TO or any other required schedule under the Exchange Act and (iii) otherwise comply with all U.S. federal and state securities laws applicable to the Company in connection with such purchase offer, in each case, so as to permit the rights and obligations under </w:t>
      </w:r>
      <w:r>
        <w:rPr>
          <w:rFonts w:ascii="Times New Roman" w:hAnsi="Times New Roman"/>
          <w:sz w:val="20"/>
          <w:u w:val="single"/>
        </w:rPr>
        <w:t>Section 15.02</w:t>
      </w:r>
      <w:r>
        <w:rPr>
          <w:rFonts w:ascii="Times New Roman" w:hAnsi="Times New Roman"/>
          <w:sz w:val="20"/>
        </w:rPr>
        <w:t xml:space="preserve"> to be exercised in the time and in the manner specified in </w:t>
      </w:r>
      <w:r>
        <w:rPr>
          <w:rFonts w:ascii="Times New Roman" w:hAnsi="Times New Roman"/>
          <w:sz w:val="20"/>
          <w:u w:val="single"/>
        </w:rPr>
        <w:t>Section 15.02</w:t>
      </w:r>
      <w:r>
        <w:rPr>
          <w:rFonts w:ascii="Times New Roman" w:hAnsi="Times New Roman"/>
          <w:sz w:val="20"/>
        </w:rPr>
        <w:t xml:space="preserve">. To the extent that the provisions of any securities laws or regulations enacted or adopted after the date on which the Notes are first issued conflict with the provisions of this Indenture relating to the obligations of the Company to purchase the Notes upon a Fundamental Change, the Company will comply with the applicable securities laws and regulations and will not be deemed to have breached its obligations under such provisions of this Indenture by virtue of such conflict. In such event, the Company shall deliver to the Trustee an Opinion of Counsel to the effect that the purchase of the Notes complies with applicable securities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b/>
          <w:i/>
          <w:sz w:val="20"/>
        </w:rPr>
        <w:t>Repayment to the Company</w:t>
      </w:r>
      <w:r>
        <w:rPr>
          <w:rFonts w:ascii="Times New Roman" w:hAnsi="Times New Roman"/>
          <w:sz w:val="20"/>
        </w:rPr>
        <w:t xml:space="preserve">. To the extent that the aggregate amount of cash deposited by the Company pursuant to </w:t>
      </w:r>
      <w:r>
        <w:rPr>
          <w:rFonts w:ascii="Times New Roman" w:hAnsi="Times New Roman"/>
          <w:sz w:val="20"/>
          <w:u w:val="single"/>
        </w:rPr>
        <w:t>Section 15.05</w:t>
      </w:r>
      <w:r>
        <w:rPr>
          <w:rFonts w:ascii="Times New Roman" w:hAnsi="Times New Roman"/>
          <w:sz w:val="20"/>
        </w:rPr>
        <w:t xml:space="preserve"> exceeds the aggregate Fundamental Change Purchase Price of the Notes or portions thereof that the Company is obligated to purchase as of the Fundamental Change Purchase Date, then, following the Fundamental Change Purchase Date, the Paying Agent shall promptly return any such excess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15.09. </w:t>
      </w:r>
      <w:r>
        <w:rPr>
          <w:rFonts w:ascii="Times New Roman" w:hAnsi="Times New Roman"/>
          <w:b/>
          <w:i/>
          <w:sz w:val="20"/>
        </w:rPr>
        <w:t>Purchase by Third Party</w:t>
      </w:r>
      <w:r>
        <w:rPr>
          <w:rFonts w:ascii="Times New Roman" w:hAnsi="Times New Roman"/>
          <w:sz w:val="20"/>
        </w:rPr>
        <w:t xml:space="preserve">. Notwithstanding anything to the contrary, we will be deemed to satisfy our obligations to repurchase notes pursuant to the provisions set forth in this Article 15 if (i) one or more third parties conduct the repurchase offer and repurchase tendered notes in a manner that would have satisfied the obligations of the Company to do the same if conducted directly by the Company and otherwise in the manner set forth in this Article 15; and (ii) a Holder or an owner of a beneficial interest in the Notes would not receive a lesser amount (as a result of taxes, additional expenses or for any other reason) than such Holder or beneficial owner would have received had the Company repurchased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15.10. </w:t>
      </w:r>
      <w:r>
        <w:rPr>
          <w:rFonts w:ascii="Times New Roman" w:hAnsi="Times New Roman"/>
          <w:b/>
          <w:i/>
          <w:sz w:val="20"/>
        </w:rPr>
        <w:t>Exempted Fundamental Change</w:t>
      </w:r>
      <w:r>
        <w:rPr>
          <w:rFonts w:ascii="Times New Roman" w:hAnsi="Times New Roman"/>
          <w:sz w:val="20"/>
        </w:rPr>
        <w:t xml:space="preserve">. Notwithstanding anything to the contrary in this Article 15 or otherwise, the Company shall not be required to provide a Fundamental Change Company Notice, or offer to repurchase or repurchase any Notes in accordance with the provisions of this Article 15 in connection with a Merger Event that constitutes a Fundamental Change pursuant to clause (2) of the definition thereof (regardless of whether such Merger Event also constitutes a Fundamental Change pursuant to any other clause of such definition),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Reference Property for such Merger Event is composed solely of cash in U.S. dollars;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such Fundamental Change, the Notes have become exchangeable (in accordance with the provisions of </w:t>
      </w:r>
      <w:r>
        <w:rPr>
          <w:rFonts w:ascii="Times New Roman" w:hAnsi="Times New Roman"/>
          <w:sz w:val="20"/>
          <w:u w:val="single"/>
        </w:rPr>
        <w:t>Sections 14.06</w:t>
      </w:r>
      <w:r>
        <w:rPr>
          <w:rFonts w:ascii="Times New Roman" w:hAnsi="Times New Roman"/>
          <w:sz w:val="20"/>
        </w:rPr>
        <w:t xml:space="preserve"> and </w:t>
      </w:r>
      <w:r>
        <w:rPr>
          <w:rFonts w:ascii="Times New Roman" w:hAnsi="Times New Roman"/>
          <w:sz w:val="20"/>
          <w:u w:val="single"/>
        </w:rPr>
        <w:t>14.07</w:t>
      </w:r>
      <w:r>
        <w:rPr>
          <w:rFonts w:ascii="Times New Roman" w:hAnsi="Times New Roman"/>
          <w:sz w:val="20"/>
        </w:rPr>
        <w:t xml:space="preserve"> and, if prior to May 15, 2031, </w:t>
      </w:r>
      <w:r>
        <w:rPr>
          <w:rFonts w:ascii="Times New Roman" w:hAnsi="Times New Roman"/>
          <w:sz w:val="20"/>
          <w:u w:val="single"/>
        </w:rPr>
        <w:t>Section 14.01(b)(5</w:t>
      </w:r>
      <w:r>
        <w:rPr>
          <w:rFonts w:ascii="Times New Roman" w:hAnsi="Times New Roman"/>
          <w:sz w:val="20"/>
        </w:rPr>
        <w:t xml:space="preserve">)) into consideration that is composed solely of U.S. dollars in an amount per $1,000 principal amount of notes that equals or exceeds the Fundamental Change Purchase Price per $1,000 principal amount of notes (calculated assuming that such Fundamental Change Purchase Price includes accrued and unpaid interest to, but excluding, the latest possible Fundamental Change Purchase Date for such Fundamental Change);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provides notice to Holders relating to such Fundamental Change in accordance with the provisions set forth in </w:t>
      </w:r>
      <w:r>
        <w:rPr>
          <w:rFonts w:ascii="Times New Roman" w:hAnsi="Times New Roman"/>
          <w:sz w:val="20"/>
          <w:u w:val="single"/>
        </w:rPr>
        <w:t>Section 14.01(b)(5)</w:t>
      </w:r>
      <w:r>
        <w:rPr>
          <w:rFonts w:ascii="Times New Roman" w:hAnsi="Times New Roman"/>
          <w:sz w:val="20"/>
        </w:rPr>
        <w:t xml:space="preserve"> and </w:t>
      </w:r>
      <w:r>
        <w:rPr>
          <w:rFonts w:ascii="Times New Roman" w:hAnsi="Times New Roman"/>
          <w:sz w:val="20"/>
          <w:u w:val="single"/>
        </w:rPr>
        <w:t>Section 14.06</w:t>
      </w:r>
      <w:r>
        <w:rPr>
          <w:rFonts w:ascii="Times New Roman" w:hAnsi="Times New Roman"/>
          <w:sz w:val="20"/>
        </w:rPr>
        <w:t xml:space="preserve"> and includes in such notice the amount of the cash consideration due to a Holder upon an exchange of $1,000 principal amount of Notes and a statement that it will not offer to repurchase the Notes in accordance with the provisions of Article 15 of the Indenture because such Fundamental Change is an “Exempted Fundamental Change” in accordance with the provisions of this Section 15.10. </w:t>
      </w:r>
    </w:p>
    <w:p>
      <w:pPr>
        <w:pStyle w:val="TextBody"/>
        <w:bidi w:val="0"/>
        <w:spacing w:before="240" w:after="0"/>
        <w:jc w:val="left"/>
        <w:rPr>
          <w:rFonts w:ascii="Times New Roman" w:hAnsi="Times New Roman"/>
          <w:sz w:val="20"/>
        </w:rPr>
      </w:pPr>
      <w:r>
        <w:rPr>
          <w:rFonts w:ascii="Times New Roman" w:hAnsi="Times New Roman"/>
          <w:sz w:val="20"/>
        </w:rPr>
        <w:t>For purposes of the foregoing, an “</w:t>
      </w:r>
      <w:r>
        <w:rPr>
          <w:rFonts w:ascii="Times New Roman" w:hAnsi="Times New Roman"/>
          <w:b/>
          <w:sz w:val="20"/>
        </w:rPr>
        <w:t>Exempted Fundamental Change</w:t>
      </w:r>
      <w:r>
        <w:rPr>
          <w:rFonts w:ascii="Times New Roman" w:hAnsi="Times New Roman"/>
          <w:sz w:val="20"/>
        </w:rPr>
        <w:t xml:space="preserve">” is any Fundamental Change that meets the requirements of this Section 15.10 and, in respect of which the Company is otherwise exempt from the provisions of this Article 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16.01. </w:t>
      </w:r>
      <w:r>
        <w:rPr>
          <w:rFonts w:ascii="Times New Roman" w:hAnsi="Times New Roman"/>
          <w:b/>
          <w:i/>
          <w:sz w:val="20"/>
        </w:rPr>
        <w:t>Provisional Redemption</w:t>
      </w:r>
      <w:r>
        <w:rPr>
          <w:rFonts w:ascii="Times New Roman" w:hAnsi="Times New Roman"/>
          <w:sz w:val="20"/>
        </w:rPr>
        <w:t xml:space="preserve">. Other than as set forth in Section 16.01(b) and (c), the Notes shall not be redeemable by the Company prior to August 20, 2029. </w:t>
      </w:r>
    </w:p>
    <w:p>
      <w:pPr>
        <w:pStyle w:val="TextBody"/>
        <w:bidi w:val="0"/>
        <w:spacing w:before="120" w:after="0"/>
        <w:jc w:val="left"/>
        <w:rPr>
          <w:rFonts w:ascii="Times New Roman" w:hAnsi="Times New Roman"/>
          <w:sz w:val="20"/>
        </w:rPr>
      </w:pPr>
      <w:r>
        <w:rPr>
          <w:rFonts w:ascii="Times New Roman" w:hAnsi="Times New Roman"/>
          <w:sz w:val="20"/>
        </w:rPr>
        <w:t>(a) On or after August 20, 2029, the Company may redeem (a “</w:t>
      </w:r>
      <w:r>
        <w:rPr>
          <w:rFonts w:ascii="Times New Roman" w:hAnsi="Times New Roman"/>
          <w:b/>
          <w:sz w:val="20"/>
        </w:rPr>
        <w:t>Provisional Redemption</w:t>
      </w:r>
      <w:r>
        <w:rPr>
          <w:rFonts w:ascii="Times New Roman" w:hAnsi="Times New Roman"/>
          <w:sz w:val="20"/>
        </w:rPr>
        <w:t xml:space="preserve">”) for cash all or a portion of the Notes, at the Redemption Price, if the Last Reported Sale Price of the Common Shares has been at least 130% of the Exchange Price then in effect for at least 20 Trading Days (whether or not consecutive) during any 30 consecutive Trading Day-period (including the last Trading Day of such period) ending on, and including, the Trading Day immediately preceding the date on which the Company provides the Redemption Notice in accordance with </w:t>
      </w:r>
      <w:r>
        <w:rPr>
          <w:rFonts w:ascii="Times New Roman" w:hAnsi="Times New Roman"/>
          <w:sz w:val="20"/>
          <w:u w:val="single"/>
        </w:rPr>
        <w:t>Section 16.02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Without limiting the right of the Company to redeem any Notes pursuant to Section 16.01(a), the Company shall have the right, at its election, to redeem (a “</w:t>
      </w:r>
      <w:r>
        <w:rPr>
          <w:rFonts w:ascii="Times New Roman" w:hAnsi="Times New Roman"/>
          <w:b/>
          <w:sz w:val="20"/>
        </w:rPr>
        <w:t>REIT Preservation Redemption</w:t>
      </w:r>
      <w:r>
        <w:rPr>
          <w:rFonts w:ascii="Times New Roman" w:hAnsi="Times New Roman"/>
          <w:sz w:val="20"/>
        </w:rPr>
        <w:t xml:space="preserve">”) all or any portion of the Notes at any time and from time to time at the Redemption Price, to the extent necessary to preserve the REIT’s status as a real estate investment trust for U.S. federal income tax purposes, as reasonably determined by the REIT’s Board of Trustees.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Company shall also have the right to redeem (a “</w:t>
      </w:r>
      <w:r>
        <w:rPr>
          <w:rFonts w:ascii="Times New Roman" w:hAnsi="Times New Roman"/>
          <w:b/>
          <w:sz w:val="20"/>
        </w:rPr>
        <w:t>Clean Up Redemption</w:t>
      </w:r>
      <w:r>
        <w:rPr>
          <w:rFonts w:ascii="Times New Roman" w:hAnsi="Times New Roman"/>
          <w:sz w:val="20"/>
        </w:rPr>
        <w:t xml:space="preserve">”) the Notes, in whole but not in part, at any time at the Redemption Price if the aggregate principal amount of Notes that remains outstanding on the date on which the Company provides the Redemption Notice in accordance with Section 16.02 is less than 10% of the aggregate principal amount of the Notes initially issued hereunder in accordance with Section 2.01. </w:t>
      </w:r>
    </w:p>
    <w:p>
      <w:pPr>
        <w:pStyle w:val="TextBody"/>
        <w:bidi w:val="0"/>
        <w:spacing w:before="240" w:after="0"/>
        <w:jc w:val="left"/>
        <w:rPr>
          <w:rFonts w:ascii="Times New Roman" w:hAnsi="Times New Roman"/>
          <w:sz w:val="20"/>
        </w:rPr>
      </w:pPr>
      <w:r>
        <w:rPr>
          <w:rFonts w:ascii="Times New Roman" w:hAnsi="Times New Roman"/>
          <w:sz w:val="20"/>
        </w:rPr>
        <w:t xml:space="preserve">Section 16.02. </w:t>
      </w:r>
      <w:r>
        <w:rPr>
          <w:rFonts w:ascii="Times New Roman" w:hAnsi="Times New Roman"/>
          <w:b/>
          <w:i/>
          <w:sz w:val="20"/>
        </w:rPr>
        <w:t>Notice of Redemption; Selection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case the Company exercises its Redemption right to redeem all or, as the case may be, any part of the Notes pursuant to </w:t>
      </w:r>
      <w:r>
        <w:rPr>
          <w:rFonts w:ascii="Times New Roman" w:hAnsi="Times New Roman"/>
          <w:sz w:val="20"/>
          <w:u w:val="single"/>
        </w:rPr>
        <w:t>Section 16.01</w:t>
      </w:r>
      <w:r>
        <w:rPr>
          <w:rFonts w:ascii="Times New Roman" w:hAnsi="Times New Roman"/>
          <w:sz w:val="20"/>
        </w:rPr>
        <w:t>, it shall fix a date for redemption (each, a “</w:t>
      </w:r>
      <w:r>
        <w:rPr>
          <w:rFonts w:ascii="Times New Roman" w:hAnsi="Times New Roman"/>
          <w:b/>
          <w:sz w:val="20"/>
        </w:rPr>
        <w:t>Redemption Date</w:t>
      </w:r>
      <w:r>
        <w:rPr>
          <w:rFonts w:ascii="Times New Roman" w:hAnsi="Times New Roman"/>
          <w:sz w:val="20"/>
        </w:rPr>
        <w:t>”) and it or, at its written request received by the Trustee not less than 50 Scheduled Trading Days prior to the Redemption Date (or such shorter period of time as may be acceptable to the Trustee), the Trustee, in the name of and at the expense of the Company, shall give or cause to be given a written notice of such Redemption (a “</w:t>
      </w:r>
      <w:r>
        <w:rPr>
          <w:rFonts w:ascii="Times New Roman" w:hAnsi="Times New Roman"/>
          <w:b/>
          <w:sz w:val="20"/>
        </w:rPr>
        <w:t>Redemption Notice</w:t>
      </w:r>
      <w:r>
        <w:rPr>
          <w:rFonts w:ascii="Times New Roman" w:hAnsi="Times New Roman"/>
          <w:sz w:val="20"/>
        </w:rPr>
        <w:t xml:space="preserve">”) not less than 45 nor more than 60 Scheduled Trading Days prior to the Redemption Date mailed by first class mail, postage prepaid or, in the case of any Global Notes, in accordance with the procedures of the Depositary for providing notices, to each Holder of Notes so to be redeemed as a whole or in part at its last address as the same appears on the Note Register; provided, however, that, if the Company shall give such notice, it shall also give written notice of the Redemption Date to the Trustee. Simultaneously with providing such notice, the Company shall publish, or cause to be published, a notice containing this information on its website or through such other public medium as the Company may use at that time. The Redemption Date must be a Business Day and may not fall on or after the date that is the 41st Scheduled Trading Day immediately preceding the Maturity Date. At the Company’s request, a Redemption Notice shall be given by the Trustee, in the name and at the expense of the Company, with the notice information required under </w:t>
      </w:r>
      <w:r>
        <w:rPr>
          <w:rFonts w:ascii="Times New Roman" w:hAnsi="Times New Roman"/>
          <w:sz w:val="20"/>
          <w:u w:val="single"/>
        </w:rPr>
        <w:t>Section 16.02(c)</w:t>
      </w:r>
      <w:r>
        <w:rPr>
          <w:rFonts w:ascii="Times New Roman" w:hAnsi="Times New Roman"/>
          <w:sz w:val="20"/>
        </w:rPr>
        <w:t xml:space="preserve"> delivered to the Trustee at least two Business Days before such notice is to be given to the Holders (unless a shorter period shall be acceptable to the Trustee). The election of the Company to redeem any Notes pursuant to </w:t>
      </w:r>
      <w:r>
        <w:rPr>
          <w:rFonts w:ascii="Times New Roman" w:hAnsi="Times New Roman"/>
          <w:sz w:val="20"/>
          <w:u w:val="single"/>
        </w:rPr>
        <w:t>Section 16.01</w:t>
      </w:r>
      <w:r>
        <w:rPr>
          <w:rFonts w:ascii="Times New Roman" w:hAnsi="Times New Roman"/>
          <w:sz w:val="20"/>
        </w:rPr>
        <w:t xml:space="preserve"> shall be evidenced by a Board Resolution. The Company shall not less than 45 days prior to the Redemption Date fixed by the Company (unless a shorter notice period shall be satisfactory to the Trustee), notify the Trustee in writing of such Redemption Date and of the principal amount of Notes to be redeemed. The Company shall furnish the Trustee with an Officer’s Certificate evidencing compliance with the conditions to such redemption no later than the date the Redemption Notice is given pursuant to this </w:t>
      </w:r>
      <w:r>
        <w:rPr>
          <w:rFonts w:ascii="Times New Roman" w:hAnsi="Times New Roman"/>
          <w:sz w:val="20"/>
          <w:u w:val="single"/>
        </w:rPr>
        <w:t>Section 16.02</w:t>
      </w:r>
      <w:r>
        <w:rPr>
          <w:rFonts w:ascii="Times New Roman" w:hAnsi="Times New Roman"/>
          <w:sz w:val="20"/>
        </w:rPr>
        <w:t xml:space="preserve">. A Redemption Notice shall be irrevocable and may not be conditional.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Notice, if mailed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 </w:t>
      </w:r>
    </w:p>
    <w:p>
      <w:pPr>
        <w:pStyle w:val="TextBody"/>
        <w:bidi w:val="0"/>
        <w:spacing w:before="120" w:after="0"/>
        <w:jc w:val="left"/>
        <w:rPr>
          <w:rFonts w:ascii="Times New Roman" w:hAnsi="Times New Roman"/>
          <w:sz w:val="20"/>
        </w:rPr>
      </w:pPr>
      <w:r>
        <w:rPr>
          <w:rFonts w:ascii="Times New Roman" w:hAnsi="Times New Roman"/>
          <w:sz w:val="20"/>
        </w:rPr>
        <w:t xml:space="preserve">(c) Each Redemption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that on the Redemption Date, the Redemption Price will become due and payable upon each Note to be redeemed, and that interest thereon, if any, shall cease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(iv) the place or places where such Notes are to be surrendered for payment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(v) that Holders may surrender their Notes for exchange at any time prior to 5:00 p.m., New York City time, on the Business Day immediately preceding the Redemption Date unless the Company fails to pay the Redemption Price (in which case a Holder may exchange such Notes until the Redemption Price has been duly paid or duly provided for); </w:t>
      </w:r>
    </w:p>
    <w:p>
      <w:pPr>
        <w:pStyle w:val="TextBody"/>
        <w:bidi w:val="0"/>
        <w:spacing w:before="120" w:after="0"/>
        <w:jc w:val="left"/>
        <w:rPr>
          <w:rFonts w:ascii="Times New Roman" w:hAnsi="Times New Roman"/>
          <w:sz w:val="20"/>
        </w:rPr>
      </w:pPr>
      <w:r>
        <w:rPr>
          <w:rFonts w:ascii="Times New Roman" w:hAnsi="Times New Roman"/>
          <w:sz w:val="20"/>
        </w:rPr>
        <w:t xml:space="preserve">(vi) the procedures an exchanging Holder must follow to exchange its Notes; </w:t>
      </w:r>
    </w:p>
    <w:p>
      <w:pPr>
        <w:pStyle w:val="TextBody"/>
        <w:bidi w:val="0"/>
        <w:spacing w:before="120" w:after="0"/>
        <w:jc w:val="left"/>
        <w:rPr>
          <w:rFonts w:ascii="Times New Roman" w:hAnsi="Times New Roman"/>
          <w:sz w:val="20"/>
        </w:rPr>
      </w:pPr>
      <w:r>
        <w:rPr>
          <w:rFonts w:ascii="Times New Roman" w:hAnsi="Times New Roman"/>
          <w:sz w:val="20"/>
        </w:rPr>
        <w:t xml:space="preserve">(vii) the Exchange Rate and, if applicable, the number of Additional Shares added to the Exchange Rate in accordance with </w:t>
      </w:r>
      <w:r>
        <w:rPr>
          <w:rFonts w:ascii="Times New Roman" w:hAnsi="Times New Roman"/>
          <w:sz w:val="20"/>
          <w:u w:val="single"/>
        </w:rPr>
        <w:t>Section 14.06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whether the Company elects to settle all or a portion of its Exchange Obligation in excess of the principal portion of the Notes to be exchanged in connection with the related Redemption Notice in cash, and, if applicable, the related Cash Percentage; </w:t>
      </w:r>
    </w:p>
    <w:p>
      <w:pPr>
        <w:pStyle w:val="TextBody"/>
        <w:bidi w:val="0"/>
        <w:spacing w:before="120" w:after="0"/>
        <w:jc w:val="left"/>
        <w:rPr>
          <w:rFonts w:ascii="Times New Roman" w:hAnsi="Times New Roman"/>
          <w:sz w:val="20"/>
        </w:rPr>
      </w:pPr>
      <w:r>
        <w:rPr>
          <w:rFonts w:ascii="Times New Roman" w:hAnsi="Times New Roman"/>
          <w:sz w:val="20"/>
        </w:rPr>
        <w:t xml:space="preserve">(ix) the CUSIP, ISIN or other similar numbers, if any, assigned to such Notes; and </w:t>
      </w:r>
    </w:p>
    <w:p>
      <w:pPr>
        <w:pStyle w:val="TextBody"/>
        <w:bidi w:val="0"/>
        <w:spacing w:before="120" w:after="0"/>
        <w:jc w:val="left"/>
        <w:rPr>
          <w:rFonts w:ascii="Times New Roman" w:hAnsi="Times New Roman"/>
          <w:sz w:val="20"/>
        </w:rPr>
      </w:pPr>
      <w:r>
        <w:rPr>
          <w:rFonts w:ascii="Times New Roman" w:hAnsi="Times New Roman"/>
          <w:sz w:val="20"/>
        </w:rPr>
        <w:t xml:space="preserve">(x) in case any Note is to be redeemed in part only, the portion of the principal amount thereof to be redeemed and on and after the Redemption Date, upon surrender of such Note, a new Note in principal amount equal to the unredeemed portion thereof shall be issued.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redeems fewer than all of the outstanding Notes, the Notes to be redeemed shall be selected (in principal amounts of $1,000 or integral multiples of $1,000 in excess thereof) in accordance with Applicable Procedures, or, in the case of Physical Notes, on a pro rata basis. If any Note selected for partial redemption is submitted for exchange in part after such selection, the portion of the Note submitted for exchange shall be deemed (so far as may be possible) to be the portion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16.03. </w:t>
      </w:r>
      <w:r>
        <w:rPr>
          <w:rFonts w:ascii="Times New Roman" w:hAnsi="Times New Roman"/>
          <w:b/>
          <w:i/>
          <w:sz w:val="20"/>
        </w:rPr>
        <w:t>Payment of Notes Called for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Redemption Notice has been given in respect of the Notes in accordance with </w:t>
      </w:r>
      <w:r>
        <w:rPr>
          <w:rFonts w:ascii="Times New Roman" w:hAnsi="Times New Roman"/>
          <w:sz w:val="20"/>
          <w:u w:val="single"/>
        </w:rPr>
        <w:t>Section 16.02</w:t>
      </w:r>
      <w:r>
        <w:rPr>
          <w:rFonts w:ascii="Times New Roman" w:hAnsi="Times New Roman"/>
          <w:sz w:val="20"/>
        </w:rPr>
        <w:t xml:space="preserve">,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 The Trustee shall not be responsible for calculating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(b) Prior to 11:00 a.m., New York City time, on the Redemption Date, the Company shall deposit with the Paying Agent or, if the Company or a Subsidiary of the Company is acting as the Paying Agent, shall segregate and hold in trust as provided in </w:t>
      </w:r>
      <w:r>
        <w:rPr>
          <w:rFonts w:ascii="Times New Roman" w:hAnsi="Times New Roman"/>
          <w:sz w:val="20"/>
          <w:u w:val="single"/>
        </w:rPr>
        <w:t>Section 4.04</w:t>
      </w:r>
      <w:r>
        <w:rPr>
          <w:rFonts w:ascii="Times New Roman" w:hAnsi="Times New Roman"/>
          <w:sz w:val="20"/>
        </w:rPr>
        <w:t xml:space="preserve">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promptly after the later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Redemption Date for such Notes; and </w:t>
      </w:r>
    </w:p>
    <w:p>
      <w:pPr>
        <w:pStyle w:val="TextBody"/>
        <w:bidi w:val="0"/>
        <w:spacing w:before="120" w:after="0"/>
        <w:jc w:val="left"/>
        <w:rPr>
          <w:rFonts w:ascii="Times New Roman" w:hAnsi="Times New Roman"/>
          <w:sz w:val="20"/>
        </w:rPr>
      </w:pPr>
      <w:r>
        <w:rPr>
          <w:rFonts w:ascii="Times New Roman" w:hAnsi="Times New Roman"/>
          <w:sz w:val="20"/>
        </w:rPr>
        <w:t xml:space="preserve">(ii) the time of presentation of such Note to the Trustee (or other Paying Agent appointed by the Company) by the Holder thereof in the manner required by this </w:t>
      </w:r>
      <w:r>
        <w:rPr>
          <w:rFonts w:ascii="Times New Roman" w:hAnsi="Times New Roman"/>
          <w:sz w:val="20"/>
          <w:u w:val="single"/>
        </w:rPr>
        <w:t>Section 16.03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Upon surrender of a Note that is to be redeemed in part only pursuant to </w:t>
      </w:r>
      <w:r>
        <w:rPr>
          <w:rFonts w:ascii="Times New Roman" w:hAnsi="Times New Roman"/>
          <w:sz w:val="20"/>
          <w:u w:val="single"/>
        </w:rPr>
        <w:t>Section 16.01</w:t>
      </w:r>
      <w:r>
        <w:rPr>
          <w:rFonts w:ascii="Times New Roman" w:hAnsi="Times New Roman"/>
          <w:sz w:val="20"/>
        </w:rPr>
        <w:t xml:space="preserve">, the Company shall execute and the Trustee shall authenticate and deliver to the Holder a new Note in an authorized denomination equal in principal amount to the unredeemed portion of the Note surrendered, without payment of any service 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16.04. </w:t>
      </w:r>
      <w:r>
        <w:rPr>
          <w:rFonts w:ascii="Times New Roman" w:hAnsi="Times New Roman"/>
          <w:b/>
          <w:i/>
          <w:sz w:val="20"/>
        </w:rPr>
        <w:t>Restrictions on Redemption</w:t>
      </w:r>
      <w:r>
        <w:rPr>
          <w:rFonts w:ascii="Times New Roman" w:hAnsi="Times New Roman"/>
          <w:sz w:val="20"/>
        </w:rPr>
        <w:t xml:space="preserve">.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16.05. </w:t>
      </w:r>
      <w:r>
        <w:rPr>
          <w:rFonts w:ascii="Times New Roman" w:hAnsi="Times New Roman"/>
          <w:b/>
          <w:i/>
          <w:sz w:val="20"/>
        </w:rPr>
        <w:t>No Sinking Fund</w:t>
      </w:r>
      <w:r>
        <w:rPr>
          <w:rFonts w:ascii="Times New Roman" w:hAnsi="Times New Roman"/>
          <w:sz w:val="20"/>
        </w:rPr>
        <w:t xml:space="preserve">. The Notes will not have the benefit of a sinking fund.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17.01. </w:t>
      </w:r>
      <w:r>
        <w:rPr>
          <w:rFonts w:ascii="Times New Roman" w:hAnsi="Times New Roman"/>
          <w:b/>
          <w:i/>
          <w:sz w:val="20"/>
        </w:rPr>
        <w:t>Provisions Binding on the Company</w:t>
      </w:r>
      <w:r>
        <w:rPr>
          <w:rFonts w:ascii="Times New Roman" w:hAnsi="Times New Roman"/>
          <w:sz w:val="20"/>
        </w:rPr>
        <w:t>’</w:t>
      </w:r>
      <w:r>
        <w:rPr>
          <w:rFonts w:ascii="Times New Roman" w:hAnsi="Times New Roman"/>
          <w:b/>
          <w:i/>
          <w:sz w:val="20"/>
        </w:rPr>
        <w:t>s and the REIT</w:t>
      </w:r>
      <w:r>
        <w:rPr>
          <w:rFonts w:ascii="Times New Roman" w:hAnsi="Times New Roman"/>
          <w:sz w:val="20"/>
        </w:rPr>
        <w:t>’</w:t>
      </w:r>
      <w:r>
        <w:rPr>
          <w:rFonts w:ascii="Times New Roman" w:hAnsi="Times New Roman"/>
          <w:b/>
          <w:i/>
          <w:sz w:val="20"/>
        </w:rPr>
        <w:t>s Successors</w:t>
      </w:r>
      <w:r>
        <w:rPr>
          <w:rFonts w:ascii="Times New Roman" w:hAnsi="Times New Roman"/>
          <w:sz w:val="20"/>
        </w:rPr>
        <w:t xml:space="preserve">. All the covenants, stipulations, promises and agreements of the Company and the REIT contained in this Indenture shall bind their respective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17.02. </w:t>
      </w:r>
      <w:r>
        <w:rPr>
          <w:rFonts w:ascii="Times New Roman" w:hAnsi="Times New Roman"/>
          <w:b/>
          <w:i/>
          <w:sz w:val="20"/>
        </w:rPr>
        <w:t>Official Acts by Successor Entity</w:t>
      </w:r>
      <w:r>
        <w:rPr>
          <w:rFonts w:ascii="Times New Roman" w:hAnsi="Times New Roman"/>
          <w:sz w:val="20"/>
        </w:rPr>
        <w:t xml:space="preserve">. Any act or proceeding by any provision of this Indenture authorized or required to be done or performed by any board, committee or Officer of the Company or REIT shall and may be done and performed with like force and effect by the like board, committee or officer of any corporation or other entity that shall at the time be the lawful sole successor of the Company or the REIT. </w:t>
      </w:r>
    </w:p>
    <w:p>
      <w:pPr>
        <w:pStyle w:val="TextBody"/>
        <w:bidi w:val="0"/>
        <w:spacing w:before="240" w:after="0"/>
        <w:jc w:val="left"/>
        <w:rPr>
          <w:rFonts w:ascii="Times New Roman" w:hAnsi="Times New Roman"/>
          <w:sz w:val="20"/>
        </w:rPr>
      </w:pPr>
      <w:r>
        <w:rPr>
          <w:rFonts w:ascii="Times New Roman" w:hAnsi="Times New Roman"/>
          <w:sz w:val="20"/>
        </w:rPr>
        <w:t xml:space="preserve">Section 17.03. </w:t>
      </w:r>
      <w:r>
        <w:rPr>
          <w:rFonts w:ascii="Times New Roman" w:hAnsi="Times New Roman"/>
          <w:b/>
          <w:i/>
          <w:sz w:val="20"/>
        </w:rPr>
        <w:t>Addresses for Notices, Demands, etc</w:t>
      </w:r>
      <w:r>
        <w:rPr>
          <w:rFonts w:ascii="Times New Roman" w:hAnsi="Times New Roman"/>
          <w:sz w:val="20"/>
        </w:rPr>
        <w:t xml:space="preserve">. Any notice or demand that by any provision of this Indenture is required or permitted to be given or served by the Trustee or by the Holders on the Company shall be in writing and shall be deemed to have been sufficiently given or made, for all purposes if given or served by facsimile, electronic transmission or by being deposited postage prepaid by registered or certified mail in a post office letter box or by overnight courier addressed (until another address is filed by the Company with the Trustee), to c/o Federal Realty Investment Trust, 909 Ross Avenue, Suite 200, North Bethesda, Maryland 20852, Attention: Legal Department. Any notice, direction, request or demand hereunder to or upon the Trustee shall be deemed to have been sufficiently given or made, for all purposes, if given or served by being deposited postage prepaid by registered or certified mail in a post office letter box or by overnight courier addressed to the Corporate Trust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by notice to the Company,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sent to a Holder shall be mailed to it by first class mail, postage prepaid, overnight courier or, in the case of a securities depositary, by electronic transmission, at its address as it appears on the Note Register and shall be sufficiently given to it if so mailed within the time prescribed.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Holder or any defect in it shall not affect its sufficiency with respect to other Holders. If a notice or communication is mailed in the manner provided above,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The Trustee shall have the right to accept and act upon instructions, including funds transfer instructions (“</w:t>
      </w:r>
      <w:r>
        <w:rPr>
          <w:rFonts w:ascii="Times New Roman" w:hAnsi="Times New Roman"/>
          <w:b/>
          <w:sz w:val="20"/>
        </w:rPr>
        <w:t>Instructions</w:t>
      </w:r>
      <w:r>
        <w:rPr>
          <w:rFonts w:ascii="Times New Roman" w:hAnsi="Times New Roman"/>
          <w:sz w:val="20"/>
        </w:rPr>
        <w:t>”) given pursuant to this Indenture delivered using Electronic Means; provided, however, that the Company and/or the REIT, as applicable, shall provide to the Trustee an incumbency certificate listing officers with the authority to provide such Instructions (“</w:t>
      </w:r>
      <w:r>
        <w:rPr>
          <w:rFonts w:ascii="Times New Roman" w:hAnsi="Times New Roman"/>
          <w:b/>
          <w:sz w:val="20"/>
        </w:rPr>
        <w:t>Authorized Officers</w:t>
      </w:r>
      <w:r>
        <w:rPr>
          <w:rFonts w:ascii="Times New Roman" w:hAnsi="Times New Roman"/>
          <w:sz w:val="20"/>
        </w:rPr>
        <w:t xml:space="preserve">”) and containing specimen signatures of such Authorized Officers, which incumbency certificate shall be amended by the Company and/or the REIT, as applicable, whenever a person is to be added or deleted from the listing. If the Company and/or the REIT, as applicable, elects to give the Trustee e-Instructions using Electronic Means and the Trustee in its discretion elects to act upon such Instructions, the Trustee’s understanding of such Instructions shall be deemed controlling. The Company and the REIT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the REIT shall be responsible for ensuring that only Authorized Officers transmit such Instructions to the Trustee and that the Company, the REIT and all Authorized Officers are solely responsible to safeguard the use and confidentiality of applicable user and authorization codes, passwords and/or authentication keys upon receipt by the Company and/or the REIT,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the REIT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the REIT,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17.04. </w:t>
      </w:r>
      <w:r>
        <w:rPr>
          <w:rFonts w:ascii="Times New Roman" w:hAnsi="Times New Roman"/>
          <w:b/>
          <w:i/>
          <w:sz w:val="20"/>
        </w:rPr>
        <w:t>Governing Law; Jurisdiction</w:t>
      </w:r>
      <w:r>
        <w:rPr>
          <w:rFonts w:ascii="Times New Roman" w:hAnsi="Times New Roman"/>
          <w:sz w:val="20"/>
        </w:rPr>
        <w:t xml:space="preserve">. THIS INDENTURE AND EACH NOTE, AND ANY CLAIM, CONTROVERSY OR DISPUTE ARISING UNDER OR RELATED TO THIS INDENTURE OR EACH NOTE, SHALL BE GOVERNED BY, AND CONSTRUED IN ACCORDANCE WITH, THE INTERNAL LAWS OF THE STATE OF NEW YORK (WITHOUT REGARD TO THE CONFLICTS OF LAWS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and unconditionally waives, to the fullest extent permitted by law, any objection which it may now or hereafter have to the laying of venue of any of the aforesaid actions, suits or proceedings arising out of or in connection with this Indenture or the Notes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17.05. </w:t>
      </w:r>
      <w:r>
        <w:rPr>
          <w:rFonts w:ascii="Times New Roman" w:hAnsi="Times New Roman"/>
          <w:b/>
          <w:i/>
          <w:sz w:val="20"/>
        </w:rPr>
        <w:t>Evidence of Compliance with Conditions Precedent; Certificates and Opinions of Counsel to Trustee</w:t>
      </w:r>
      <w:r>
        <w:rPr>
          <w:rFonts w:ascii="Times New Roman" w:hAnsi="Times New Roman"/>
          <w:sz w:val="20"/>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and that all conditions precedent provided for in this Indenture relating to the proposed action have been complied with; provided, however, that such Opinion of Counsel shall not be required in connection with the initial issuance of the Notes hereunder. </w:t>
      </w:r>
    </w:p>
    <w:p>
      <w:pPr>
        <w:pStyle w:val="TextBody"/>
        <w:bidi w:val="0"/>
        <w:spacing w:before="240" w:after="0"/>
        <w:jc w:val="left"/>
        <w:rPr>
          <w:rFonts w:ascii="Times New Roman" w:hAnsi="Times New Roman"/>
          <w:sz w:val="20"/>
        </w:rPr>
      </w:pPr>
      <w:r>
        <w:rPr>
          <w:rFonts w:ascii="Times New Roman" w:hAnsi="Times New Roman"/>
          <w:sz w:val="20"/>
        </w:rPr>
        <w:t xml:space="preserve">Each Officer’s Certificate provided for, by or on behalf of the Company in this Indenture and delivered to the Trustee with respect to compliance with this Indenture (other than the Officer’s Certificates provided for in </w:t>
      </w:r>
      <w:r>
        <w:rPr>
          <w:rFonts w:ascii="Times New Roman" w:hAnsi="Times New Roman"/>
          <w:sz w:val="20"/>
          <w:u w:val="single"/>
        </w:rPr>
        <w:t>Section 4.08</w:t>
      </w:r>
      <w:r>
        <w:rPr>
          <w:rFonts w:ascii="Times New Roman" w:hAnsi="Times New Roman"/>
          <w:sz w:val="20"/>
        </w:rPr>
        <w:t xml:space="preserve">) shall include: (a) a statement that the person signing such certificate is familiar with the requested action and this Indenture and has read such condition or covenant herein relating thereto;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whether or not such condition or covenant has been complied with; and (d) a statement as to whether or not, in the judgment of such person, such action is permitted by this Indenture and such condition or covenant has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17.05</w:t>
      </w:r>
      <w:r>
        <w:rPr>
          <w:rFonts w:ascii="Times New Roman" w:hAnsi="Times New Roman"/>
          <w:sz w:val="20"/>
        </w:rPr>
        <w:t xml:space="preserve">, if any provision in this Indenture specifically provides that the Trustee shall or may receive an Opinion of Counsel in connection with any action to be taken by the Trustee or the Company hereunder, the Trustee shall be entitled to, or entitled to request, such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17.06. </w:t>
      </w:r>
      <w:r>
        <w:rPr>
          <w:rFonts w:ascii="Times New Roman" w:hAnsi="Times New Roman"/>
          <w:b/>
          <w:i/>
          <w:sz w:val="20"/>
        </w:rPr>
        <w:t>Legal Holidays</w:t>
      </w:r>
      <w:r>
        <w:rPr>
          <w:rFonts w:ascii="Times New Roman" w:hAnsi="Times New Roman"/>
          <w:sz w:val="20"/>
        </w:rPr>
        <w:t xml:space="preserve">. In any case where any Interest Payment Date, Fundamental Change Purchase Date or Maturity Date is not a Business Day, then any action to be taken on such date need not be taken on such date, but may be taken on the following Business Day with the same force and effect as if taken on such date, and no interest shall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 xml:space="preserve">Section 17.07. </w:t>
      </w:r>
      <w:r>
        <w:rPr>
          <w:rFonts w:ascii="Times New Roman" w:hAnsi="Times New Roman"/>
          <w:b/>
          <w:i/>
          <w:sz w:val="20"/>
        </w:rPr>
        <w:t>No Security Interest Created</w:t>
      </w:r>
      <w:r>
        <w:rPr>
          <w:rFonts w:ascii="Times New Roman" w:hAnsi="Times New Roman"/>
          <w:sz w:val="20"/>
        </w:rPr>
        <w:t xml:space="preserve">. Nothing in this Indenture or in the Notes, expressed or implied, shall be construed to constitute a security interest under the Uniform Commercial Code or similar legislation, as now or hereafter enacted and in effect,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17.08. </w:t>
      </w:r>
      <w:r>
        <w:rPr>
          <w:rFonts w:ascii="Times New Roman" w:hAnsi="Times New Roman"/>
          <w:b/>
          <w:i/>
          <w:sz w:val="20"/>
        </w:rPr>
        <w:t>Benefits of Indenture</w:t>
      </w:r>
      <w:r>
        <w:rPr>
          <w:rFonts w:ascii="Times New Roman" w:hAnsi="Times New Roman"/>
          <w:sz w:val="20"/>
        </w:rPr>
        <w:t xml:space="preserve">. Nothing in this Indenture or in the Notes, expressed or implied, shall give to any Person, other than the Holders, the parties hereto, any Paying Agent, any Exchange Agent, any authenticating agent, any Note Registrar and their successors hereunder,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17.09. </w:t>
      </w:r>
      <w:r>
        <w:rPr>
          <w:rFonts w:ascii="Times New Roman" w:hAnsi="Times New Roman"/>
          <w:b/>
          <w:i/>
          <w:sz w:val="20"/>
        </w:rPr>
        <w:t>Table of Contents, Headings, Etc</w:t>
      </w:r>
      <w:r>
        <w:rPr>
          <w:rFonts w:ascii="Times New Roman" w:hAnsi="Times New Roman"/>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17.10. </w:t>
      </w:r>
      <w:r>
        <w:rPr>
          <w:rFonts w:ascii="Times New Roman" w:hAnsi="Times New Roman"/>
          <w:b/>
          <w:i/>
          <w:sz w:val="20"/>
        </w:rPr>
        <w:t>Authenticating Agent</w:t>
      </w:r>
      <w:r>
        <w:rPr>
          <w:rFonts w:ascii="Times New Roman" w:hAnsi="Times New Roman"/>
          <w:sz w:val="20"/>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Times New Roman" w:hAnsi="Times New Roman"/>
          <w:sz w:val="20"/>
          <w:u w:val="single"/>
        </w:rPr>
        <w:t>Section 2.04</w:t>
      </w:r>
      <w:r>
        <w:rPr>
          <w:rFonts w:ascii="Times New Roman" w:hAnsi="Times New Roman"/>
          <w:sz w:val="20"/>
        </w:rPr>
        <w:t xml:space="preserve">, </w:t>
      </w:r>
      <w:r>
        <w:rPr>
          <w:rFonts w:ascii="Times New Roman" w:hAnsi="Times New Roman"/>
          <w:sz w:val="20"/>
          <w:u w:val="single"/>
        </w:rPr>
        <w:t>Section 2.05</w:t>
      </w:r>
      <w:r>
        <w:rPr>
          <w:rFonts w:ascii="Times New Roman" w:hAnsi="Times New Roman"/>
          <w:sz w:val="20"/>
        </w:rPr>
        <w:t xml:space="preserve">,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w:t>
      </w:r>
      <w:r>
        <w:rPr>
          <w:rFonts w:ascii="Times New Roman" w:hAnsi="Times New Roman"/>
          <w:sz w:val="20"/>
          <w:u w:val="single"/>
        </w:rPr>
        <w:t>Section 10.04</w:t>
      </w:r>
      <w:r>
        <w:rPr>
          <w:rFonts w:ascii="Times New Roman" w:hAnsi="Times New Roman"/>
          <w:sz w:val="20"/>
        </w:rPr>
        <w:t xml:space="preserve"> and </w:t>
      </w:r>
      <w:r>
        <w:rPr>
          <w:rFonts w:ascii="Times New Roman" w:hAnsi="Times New Roman"/>
          <w:sz w:val="20"/>
          <w:u w:val="single"/>
        </w:rPr>
        <w:t>Section 15.05</w:t>
      </w:r>
      <w:r>
        <w:rPr>
          <w:rFonts w:ascii="Times New Roman" w:hAnsi="Times New Roman"/>
          <w:sz w:val="20"/>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Times New Roman" w:hAnsi="Times New Roman"/>
          <w:sz w:val="20"/>
          <w:u w:val="single"/>
        </w:rPr>
        <w:t>Section 7.08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 hereunder, if such successor entity or other entity is otherwise eligible under this </w:t>
      </w:r>
      <w:r>
        <w:rPr>
          <w:rFonts w:ascii="Times New Roman" w:hAnsi="Times New Roman"/>
          <w:sz w:val="20"/>
          <w:u w:val="single"/>
        </w:rPr>
        <w:t>Section 17.10</w:t>
      </w:r>
      <w:r>
        <w:rPr>
          <w:rFonts w:ascii="Times New Roman" w:hAnsi="Times New Roman"/>
          <w:sz w:val="20"/>
        </w:rPr>
        <w:t xml:space="preserve">, without the execution or filing of any paper or any further act on the part of the parties hereto or the authenticating agent or such successor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w:t>
      </w:r>
      <w:r>
        <w:rPr>
          <w:rFonts w:ascii="Times New Roman" w:hAnsi="Times New Roman"/>
          <w:sz w:val="20"/>
          <w:u w:val="single"/>
        </w:rPr>
        <w:t>Section 17.10</w:t>
      </w:r>
      <w:r>
        <w:rPr>
          <w:rFonts w:ascii="Times New Roman" w:hAnsi="Times New Roman"/>
          <w:sz w:val="20"/>
        </w:rPr>
        <w:t xml:space="preserve">, the Trustee may promptly appoint a successor authenticating agent, shall give written notice of such appointment to the Company and shall mail notice of such appointment to all Holders as the names and addresses of such Holders appear on the Note Register.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the authenticating agent from time to time reasonable compensation for its services although the Company may terminate the authenticating agent, if it determines such agent’s fees to be unreasonable. The Company agrees to indemnify the authenticating agent as provided in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7.02</w:t>
      </w:r>
      <w:r>
        <w:rPr>
          <w:rFonts w:ascii="Times New Roman" w:hAnsi="Times New Roman"/>
          <w:sz w:val="20"/>
        </w:rPr>
        <w:t xml:space="preserve">, </w:t>
      </w:r>
      <w:r>
        <w:rPr>
          <w:rFonts w:ascii="Times New Roman" w:hAnsi="Times New Roman"/>
          <w:sz w:val="20"/>
          <w:u w:val="single"/>
        </w:rPr>
        <w:t>Section 7.03</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w:t>
      </w:r>
      <w:r>
        <w:rPr>
          <w:rFonts w:ascii="Times New Roman" w:hAnsi="Times New Roman"/>
          <w:sz w:val="20"/>
          <w:u w:val="single"/>
        </w:rPr>
        <w:t>Section 8.03</w:t>
      </w:r>
      <w:r>
        <w:rPr>
          <w:rFonts w:ascii="Times New Roman" w:hAnsi="Times New Roman"/>
          <w:sz w:val="20"/>
        </w:rPr>
        <w:t xml:space="preserve"> and this </w:t>
      </w:r>
      <w:r>
        <w:rPr>
          <w:rFonts w:ascii="Times New Roman" w:hAnsi="Times New Roman"/>
          <w:sz w:val="20"/>
          <w:u w:val="single"/>
        </w:rPr>
        <w:t>Section 17.10</w:t>
      </w:r>
      <w:r>
        <w:rPr>
          <w:rFonts w:ascii="Times New Roman" w:hAnsi="Times New Roman"/>
          <w:sz w:val="20"/>
        </w:rPr>
        <w:t xml:space="preserve">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If an authenticating agent is appointed pursuant to this </w:t>
      </w:r>
      <w:r>
        <w:rPr>
          <w:rFonts w:ascii="Times New Roman" w:hAnsi="Times New Roman"/>
          <w:sz w:val="20"/>
          <w:u w:val="single"/>
        </w:rPr>
        <w:t>Section 17.10</w:t>
      </w:r>
      <w:r>
        <w:rPr>
          <w:rFonts w:ascii="Times New Roman" w:hAnsi="Times New Roman"/>
          <w:sz w:val="20"/>
        </w:rPr>
        <w:t xml:space="preserve">, the Notes may have endorsed thereon, in addition to the Trustee’s certificate of authentication, an alternative certificate of authentication in the following form: </w:t>
      </w:r>
    </w:p>
    <w:p>
      <w:pPr>
        <w:pStyle w:val="TextBody"/>
        <w:bidi w:val="0"/>
        <w:spacing w:before="240" w:after="0"/>
        <w:jc w:val="left"/>
        <w:rPr/>
      </w:pPr>
      <w:r>
        <w:rPr>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Authenticating Agent, certifies that this is one of the Notes described in the within-named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40"/>
        <w:gridCol w:w="153"/>
        <w:gridCol w:w="3089"/>
      </w:tblGrid>
      <w:tr>
        <w:trPr/>
        <w:tc>
          <w:tcPr>
            <w:tcW w:w="84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53" w:type="dxa"/>
            <w:tcBorders/>
            <w:vAlign w:val="bottom"/>
          </w:tcPr>
          <w:p>
            <w:pPr>
              <w:pStyle w:val="TableContents"/>
              <w:bidi w:val="0"/>
              <w:spacing w:before="0" w:after="283"/>
              <w:jc w:val="left"/>
              <w:rPr/>
            </w:pPr>
            <w:r>
              <w:rPr/>
              <w:t> </w:t>
            </w:r>
          </w:p>
        </w:tc>
        <w:tc>
          <w:tcPr>
            <w:tcW w:w="308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17.11. </w:t>
      </w:r>
      <w:r>
        <w:rPr>
          <w:rFonts w:ascii="Times New Roman" w:hAnsi="Times New Roman"/>
          <w:b/>
          <w:i/>
          <w:sz w:val="20"/>
        </w:rPr>
        <w:t>Execution in Counterparts</w:t>
      </w:r>
      <w:r>
        <w:rPr>
          <w:rFonts w:ascii="Times New Roman" w:hAnsi="Times New Roman"/>
          <w:sz w:val="20"/>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executed or transmitted by facsimile, PDF or other electronic means shall be deemed to be their original signatures for all purposes. This Indenture, the Notes and any other document delivered in connection or pursuant to this Indenture or the issuance and delivery of the Notes may be signed by or on behalf of the signing party by manual, facsimile, PDF or electronic signature. Any electronic signature shall be of the same legal effect, validity or enforceability as a manually executed signature, to the extent and as provided for in any applicable law, including the Federal Electronic Signatures in Global and National Commerce Act, the New York State Electronic Signature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17.12. </w:t>
      </w:r>
      <w:r>
        <w:rPr>
          <w:rFonts w:ascii="Times New Roman" w:hAnsi="Times New Roman"/>
          <w:b/>
          <w:i/>
          <w:sz w:val="20"/>
        </w:rPr>
        <w:t>Severability</w:t>
      </w:r>
      <w:r>
        <w:rPr>
          <w:rFonts w:ascii="Times New Roman" w:hAnsi="Times New Roman"/>
          <w:sz w:val="20"/>
        </w:rPr>
        <w:t xml:space="preserve">. In the event any provision of this Indenture or in the Notes shall be invalid, illegal or unenforceable, then (to the extent permitted by law) the validity, legality or enforceability of the remaining provisions shall not in any way be affected or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17.13. </w:t>
      </w:r>
      <w:r>
        <w:rPr>
          <w:rFonts w:ascii="Times New Roman" w:hAnsi="Times New Roman"/>
          <w:b/>
          <w:i/>
          <w:sz w:val="20"/>
        </w:rPr>
        <w:t>Waiver of Jury Trial</w:t>
      </w:r>
      <w:r>
        <w:rPr>
          <w:rFonts w:ascii="Times New Roman" w:hAnsi="Times New Roman"/>
          <w:sz w:val="20"/>
        </w:rPr>
        <w:t xml:space="preserve">. EACH OF THE COMPANY, THE HOLDERS BY ACCEPTANCE OF THE NOTES AND THE TRUSTEE HEREBY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17.14. </w:t>
      </w:r>
      <w:r>
        <w:rPr>
          <w:rFonts w:ascii="Times New Roman" w:hAnsi="Times New Roman"/>
          <w:b/>
          <w:i/>
          <w:sz w:val="20"/>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17.15. </w:t>
      </w:r>
      <w:r>
        <w:rPr>
          <w:rFonts w:ascii="Times New Roman" w:hAnsi="Times New Roman"/>
          <w:b/>
          <w:i/>
          <w:sz w:val="20"/>
        </w:rPr>
        <w:t>Calculations</w:t>
      </w:r>
      <w:r>
        <w:rPr>
          <w:rFonts w:ascii="Times New Roman" w:hAnsi="Times New Roman"/>
          <w:sz w:val="20"/>
        </w:rPr>
        <w:t xml:space="preserve">. Except as otherwise expressly provided herein, the Company shall be responsible for making all calculations called for under the Notes, and the Trustee (acting in any capacity) shall have no liability or responsibility for any calculation hereunder or any bid, quotation, data or information in connection therewith. These calculations include, but are not limited to, determinations of the Last Reported Sale Prices of the Common Shares, accrued interest payable on the Notes and the Exchange Rate of the Notes. The Company shall make all these calculations in good faith and, absent manifest error, the Company’s calculations shall be final and binding on Holders of Notes. The Company shall provide a schedule of its calculations to each of the Trustee and the Exchange Agent, and each of the Trustee and Exchange Agent is entitled to rely conclusively upon the accuracy of the Company’s calculations without independent verification. The Trustee will forward the Company’s calculations to any Holder of Notes upon the written request of that Holder. Neither the Trustee nor the Exchange Agent shall be responsible for making any calculations under the Notes or under this Indenture, and neither shall have any duty to monitor the price of the Common Shares or otherwise be charged with knowledge of when the Notes are exchangeable. </w:t>
      </w:r>
    </w:p>
    <w:p>
      <w:pPr>
        <w:pStyle w:val="TextBody"/>
        <w:bidi w:val="0"/>
        <w:spacing w:before="240" w:after="0"/>
        <w:jc w:val="left"/>
        <w:rPr>
          <w:rFonts w:ascii="Times New Roman" w:hAnsi="Times New Roman"/>
          <w:sz w:val="20"/>
        </w:rPr>
      </w:pPr>
      <w:r>
        <w:rPr>
          <w:rFonts w:ascii="Times New Roman" w:hAnsi="Times New Roman"/>
          <w:sz w:val="20"/>
        </w:rPr>
        <w:t xml:space="preserve">Section 17.16. </w:t>
      </w:r>
      <w:r>
        <w:rPr>
          <w:rFonts w:ascii="Times New Roman" w:hAnsi="Times New Roman"/>
          <w:b/>
          <w:i/>
          <w:sz w:val="20"/>
        </w:rPr>
        <w:t>USA PATRIOT Act</w:t>
      </w:r>
      <w:r>
        <w:rPr>
          <w:rFonts w:ascii="Times New Roman" w:hAnsi="Times New Roman"/>
          <w:sz w:val="20"/>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17.17. </w:t>
      </w:r>
      <w:r>
        <w:rPr>
          <w:rFonts w:ascii="Times New Roman" w:hAnsi="Times New Roman"/>
          <w:b/>
          <w:i/>
          <w:sz w:val="20"/>
        </w:rPr>
        <w:t>Tax Information and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Holder of a Note, and each beneficial owner of an interest in a Global Note, by its acquisition of such interest, is deemed to agree, that if the Company or other applicable withholding agent (including the Trustee) pays withholding taxes (including backup withholding) on behalf of such Holder or beneficial owner as a result of an adjustment or the non-occurrence of an adjustment to the Exchange Rate, then the Company or such withholding agent, as applicable, may, at its option, withhold such taxes from or set off such taxes against interest on the Notes and payments or deliveries upon Exchange, repurchase, Redemption or maturity of the Notes (or, in some circumstances, any payments on Common Shares) or sales proceeds received by, or other funds or assets of, such Holder or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order to comply with applicable tax laws, rules and regulations (inclusive of directives, guidelines and interpretations promulgated by competent authorities) in effect from time to time (“Applicable Law”),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and (ii) that the Trustee shall be entitled to make any withholding or deduction from payments under the Indenture to the extent necessary to comply with Applicable Law for which the Trustee shall not have any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17.18. Economic Sanctions. </w:t>
      </w:r>
    </w:p>
    <w:p>
      <w:pPr>
        <w:pStyle w:val="TextBody"/>
        <w:bidi w:val="0"/>
        <w:spacing w:before="120" w:after="0"/>
        <w:jc w:val="left"/>
        <w:rPr>
          <w:rFonts w:ascii="Times New Roman" w:hAnsi="Times New Roman"/>
          <w:sz w:val="20"/>
        </w:rPr>
      </w:pPr>
      <w:r>
        <w:rPr>
          <w:rFonts w:ascii="Times New Roman" w:hAnsi="Times New Roman"/>
          <w:sz w:val="20"/>
        </w:rPr>
        <w:t>(a) Each of the Company and the REIT represents that neither it nor, to the knowledge of the Company or the REIT,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the REIT covenants that it will not directly or indirectly use any payments made pursuant to this Indenture, (i) to fund or facilitate any activities of or business with any person who, at the time of such funding or facilitation, is the subject or target of Sanctions, or (ii) to fund or facilitate any activities of or business with any country or territory that is the target or subject of Sanctions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FEDERAL REALTY OP LP,</w:t>
            </w:r>
          </w:p>
          <w:p>
            <w:pPr>
              <w:pStyle w:val="TableContents"/>
              <w:bidi w:val="0"/>
              <w:spacing w:before="0" w:after="20"/>
              <w:jc w:val="left"/>
              <w:rPr>
                <w:rFonts w:ascii="Times New Roman" w:hAnsi="Times New Roman"/>
                <w:sz w:val="20"/>
              </w:rPr>
            </w:pPr>
            <w:r>
              <w:rPr>
                <w:rFonts w:ascii="Times New Roman" w:hAnsi="Times New Roman"/>
                <w:sz w:val="20"/>
              </w:rPr>
              <w:t>as Company</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Guglielmone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 Daniel Guglielmone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 Executive Vice President-Chief Legal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FEDERAL REALTY INVESTMENT TRUST,</w:t>
            </w:r>
          </w:p>
          <w:p>
            <w:pPr>
              <w:pStyle w:val="TableContents"/>
              <w:bidi w:val="0"/>
              <w:spacing w:before="0" w:after="20"/>
              <w:jc w:val="left"/>
              <w:rPr>
                <w:rFonts w:ascii="Times New Roman" w:hAnsi="Times New Roman"/>
                <w:sz w:val="20"/>
              </w:rPr>
            </w:pPr>
            <w:r>
              <w:rPr>
                <w:rFonts w:ascii="Times New Roman" w:hAnsi="Times New Roman"/>
                <w:sz w:val="20"/>
              </w:rPr>
              <w:t>as REIT</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Guglielmone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 Daniel Guglielmone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 Executive Vice President-Chief Legal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Allison Lancaster-Poole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 Allison Lancaster-Poole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THIS SECURITY HAS NOT BEEN REGISTERED UNDER THE SECURITIES ACT OF 1933, AS AMENDED (THE “</w:t>
      </w:r>
      <w:r>
        <w:rPr>
          <w:rFonts w:ascii="Times New Roman" w:hAnsi="Times New Roman"/>
          <w:b/>
          <w:sz w:val="20"/>
        </w:rPr>
        <w:t>SECURITIES ACT”</w:t>
      </w:r>
      <w:r>
        <w:rPr>
          <w:rFonts w:ascii="Times New Roman" w:hAnsi="Times New Roman"/>
          <w:sz w:val="20"/>
        </w:rPr>
        <w:t>), AND ACCORDINGLY, MAY NOT BE OFFERED OR SOLD EXCEPT AS SET FORTH IN THE FOLLOWING SENTENCE. BY ITS ACQUISITION HEREOF, THE HOLDER AGREES THAT IT WILL NOT RESELL OR OTHERWISE TRANSFER THE SECURITY EVIDENCED HEREBY, EXCEPT (A) TO FEDERAL REALTY OP LP (THE “</w:t>
      </w:r>
      <w:r>
        <w:rPr>
          <w:rFonts w:ascii="Times New Roman" w:hAnsi="Times New Roman"/>
          <w:b/>
          <w:sz w:val="20"/>
        </w:rPr>
        <w:t>COMPANY</w:t>
      </w:r>
      <w:r>
        <w:rPr>
          <w:rFonts w:ascii="Times New Roman" w:hAnsi="Times New Roman"/>
          <w:sz w:val="20"/>
        </w:rPr>
        <w:t>”), FEDERAL REALTY INVESTMENT TRUST (THE “</w:t>
      </w:r>
      <w:r>
        <w:rPr>
          <w:rFonts w:ascii="Times New Roman" w:hAnsi="Times New Roman"/>
          <w:b/>
          <w:sz w:val="20"/>
        </w:rPr>
        <w:t>REIT</w:t>
      </w:r>
      <w:r>
        <w:rPr>
          <w:rFonts w:ascii="Times New Roman" w:hAnsi="Times New Roman"/>
          <w:sz w:val="20"/>
        </w:rPr>
        <w:t xml:space="preserve">”) OR A SUBSIDIARY THEREOF; OR (B)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24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0"/>
        <w:gridCol w:w="122"/>
        <w:gridCol w:w="4993"/>
      </w:tblGrid>
      <w:tr>
        <w:trPr/>
        <w:tc>
          <w:tcPr>
            <w:tcW w:w="50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93" w:type="dxa"/>
            <w:tcBorders/>
            <w:vAlign w:val="center"/>
          </w:tcPr>
          <w:p>
            <w:pPr>
              <w:pStyle w:val="TableContents"/>
              <w:bidi w:val="0"/>
              <w:spacing w:before="0" w:after="283"/>
              <w:jc w:val="left"/>
              <w:rPr>
                <w:sz w:val="4"/>
                <w:szCs w:val="4"/>
              </w:rPr>
            </w:pPr>
            <w:r>
              <w:rPr>
                <w:sz w:val="4"/>
                <w:szCs w:val="4"/>
              </w:rPr>
            </w:r>
          </w:p>
        </w:tc>
      </w:tr>
      <w:tr>
        <w:trPr/>
        <w:tc>
          <w:tcPr>
            <w:tcW w:w="5090" w:type="dxa"/>
            <w:tcBorders/>
            <w:vAlign w:val="bottom"/>
          </w:tcPr>
          <w:p>
            <w:pPr>
              <w:pStyle w:val="TableContents"/>
              <w:bidi w:val="0"/>
              <w:spacing w:before="0" w:after="283"/>
              <w:jc w:val="left"/>
              <w:rPr/>
            </w:pPr>
            <w:r>
              <w:rPr/>
              <w:t>No. R-[●]</w:t>
            </w:r>
          </w:p>
        </w:tc>
        <w:tc>
          <w:tcPr>
            <w:tcW w:w="122" w:type="dxa"/>
            <w:tcBorders/>
            <w:vAlign w:val="bottom"/>
          </w:tcPr>
          <w:p>
            <w:pPr>
              <w:pStyle w:val="TableContents"/>
              <w:bidi w:val="0"/>
              <w:spacing w:before="0" w:after="283"/>
              <w:jc w:val="left"/>
              <w:rPr/>
            </w:pPr>
            <w:r>
              <w:rPr/>
              <w:t>  </w:t>
            </w:r>
          </w:p>
        </w:tc>
        <w:tc>
          <w:tcPr>
            <w:tcW w:w="4993" w:type="dxa"/>
            <w:tcBorders/>
            <w:vAlign w:val="bottom"/>
          </w:tcPr>
          <w:p>
            <w:pPr>
              <w:pStyle w:val="TableContents"/>
              <w:bidi w:val="0"/>
              <w:spacing w:before="0" w:after="283"/>
              <w:jc w:val="right"/>
              <w:rPr/>
            </w:pPr>
            <w:r>
              <w:rPr/>
              <w:t>Initially $460,000,000  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CUSIP No. 313747 BG1 </w:t>
      </w:r>
    </w:p>
    <w:p>
      <w:pPr>
        <w:pStyle w:val="TextBody"/>
        <w:bidi w:val="0"/>
        <w:spacing w:before="240" w:after="0"/>
        <w:jc w:val="left"/>
        <w:rPr>
          <w:rFonts w:ascii="Times New Roman" w:hAnsi="Times New Roman"/>
          <w:sz w:val="20"/>
        </w:rPr>
      </w:pPr>
      <w:r>
        <w:rPr>
          <w:rFonts w:ascii="Times New Roman" w:hAnsi="Times New Roman"/>
          <w:sz w:val="20"/>
        </w:rPr>
        <w:t>Federal Realty OP LP, a Delaware limited partnership (the “</w:t>
      </w:r>
      <w:r>
        <w:rPr>
          <w:rFonts w:ascii="Times New Roman" w:hAnsi="Times New Roman"/>
          <w:b/>
          <w:sz w:val="20"/>
        </w:rPr>
        <w:t>Company</w:t>
      </w:r>
      <w:r>
        <w:rPr>
          <w:rFonts w:ascii="Times New Roman" w:hAnsi="Times New Roman"/>
          <w:sz w:val="20"/>
        </w:rPr>
        <w:t xml:space="preserve">,” which term includes any successor entity or other entity under the Indenture referred to on the reverse hereof), for value received hereby promises to pay to CEDE &amp; CO., or registered assigns, the principal sum as set forth in the “Schedule of Exchanges of Notes” attached hereto of $460,000,000, which amount, taken together with the principal amounts of all other outstanding Notes, shall not, unless permitted by the Indenture, exceed $460,000,000 in aggregate principal amount at any time, in accordance with the rules and procedures of the Depositary, on August 15, 2031, and interest thereon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bear interest at the rate of 3.500% per year from August 11, 2026, or from the most recent date to which interest had been paid or provided for to, but excluding, the next scheduled Interest Payment Date until August 15, 2031. Interest is payable semi-annually in arrears on each February 15 and August 15, commencing on February 15, 2027, to Holders of record at the Close of Business on the preceding February 1 and August 1 (whether or not such day is a Business Day), respectively. Additional Interest will be payable as set forth in </w:t>
      </w:r>
      <w:r>
        <w:rPr>
          <w:rFonts w:ascii="Times New Roman" w:hAnsi="Times New Roman"/>
          <w:sz w:val="20"/>
          <w:u w:val="single"/>
        </w:rPr>
        <w:t>Section 6.03</w:t>
      </w:r>
      <w:r>
        <w:rPr>
          <w:rFonts w:ascii="Times New Roman" w:hAnsi="Times New Roman"/>
          <w:sz w:val="20"/>
        </w:rPr>
        <w:t xml:space="preserve"> of the within-mentioned Indenture and the Registration Rights Agreement, and any reference to interest on, or in respect of, any Note therein shall be deemed to include Additional Interest if, in such context, Additional Interest is, was or would be payable pursuant to any of such </w:t>
      </w:r>
      <w:r>
        <w:rPr>
          <w:rFonts w:ascii="Times New Roman" w:hAnsi="Times New Roman"/>
          <w:sz w:val="20"/>
          <w:u w:val="single"/>
        </w:rPr>
        <w:t>Section 6.03</w:t>
      </w:r>
      <w:r>
        <w:rPr>
          <w:rFonts w:ascii="Times New Roman" w:hAnsi="Times New Roman"/>
          <w:sz w:val="20"/>
        </w:rPr>
        <w:t xml:space="preserve"> or the Registration Rights Agreement, and any express mention of the payment of Additional Interest in any provision therein shall not be construed as excluding Additional Interest in those provisions thereof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w:t>
      </w:r>
      <w:r>
        <w:rPr>
          <w:rFonts w:ascii="Times New Roman" w:hAnsi="Times New Roman"/>
          <w:sz w:val="20"/>
          <w:u w:val="single"/>
        </w:rPr>
        <w:t>Section 2.03(c)</w:t>
      </w:r>
      <w:r>
        <w:rPr>
          <w:rFonts w:ascii="Times New Roman" w:hAnsi="Times New Roman"/>
          <w:sz w:val="20"/>
        </w:rPr>
        <w:t xml:space="preserv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or shall cause the Paying Agent to pay the principal of and interest on this Note, if and so long as such Note is a Global Note, in immediately available funds to the Depositary or its nominee, as the case may be, as the registered Holder of such Note.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Company shall pay the principal of any Notes (other than Notes that are Global Notes) at the office or agency designated by the Company for that purpose. The Company has initially designated the Corporate Trust Office of the Trustee as its Paying Agent and Note Registrar in respect of the Notes as a place where Notes may be presented for payment or for registration of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including, without limitation, provisions giving the Holder of this Note the right to exchange this Note for cash and, if applicable, Common Shares, if any, on the terms and subject to the limitations set forth in the Indenture. Such further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and any claim, controversy or dispute arising under or related to this Note or the Indenture,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conflict between this Note and the Indenture, the provisions of the Indenture shall control and govern.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or electronically by the Trustee or a duly authorized authenticating agent under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5"/>
        <w:gridCol w:w="70"/>
        <w:gridCol w:w="3587"/>
      </w:tblGrid>
      <w:tr>
        <w:trPr/>
        <w:tc>
          <w:tcPr>
            <w:tcW w:w="42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FEDERAL REALTY OP LP</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70" w:type="dxa"/>
            <w:tcBorders/>
            <w:vAlign w:val="bottom"/>
          </w:tcPr>
          <w:p>
            <w:pPr>
              <w:pStyle w:val="TableContents"/>
              <w:bidi w:val="0"/>
              <w:spacing w:before="0" w:after="283"/>
              <w:jc w:val="left"/>
              <w:rPr/>
            </w:pPr>
            <w:r>
              <w:rPr/>
              <w:t> </w:t>
            </w:r>
          </w:p>
        </w:tc>
        <w:tc>
          <w:tcPr>
            <w:tcW w:w="3587" w:type="dxa"/>
            <w:tcBorders/>
          </w:tcPr>
          <w:p>
            <w:pPr>
              <w:pStyle w:val="TableContents"/>
              <w:pBdr>
                <w:bottom w:val="single" w:sz="2" w:space="1" w:color="000000"/>
              </w:pBdr>
              <w:bidi w:val="0"/>
              <w:spacing w:before="0" w:after="20"/>
              <w:jc w:val="left"/>
              <w:rPr/>
            </w:pPr>
            <w:r>
              <w:rPr/>
              <w:t> </w:t>
            </w:r>
          </w:p>
        </w:tc>
      </w:tr>
      <w:tr>
        <w:trPr/>
        <w:tc>
          <w:tcPr>
            <w:tcW w:w="425"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7" w:type="dxa"/>
            <w:tcBorders/>
          </w:tcPr>
          <w:p>
            <w:pPr>
              <w:pStyle w:val="TableContents"/>
              <w:bidi w:val="0"/>
              <w:spacing w:before="0" w:after="283"/>
              <w:jc w:val="left"/>
              <w:rPr/>
            </w:pPr>
            <w:r>
              <w:rPr/>
              <w:t>Name:</w:t>
            </w:r>
          </w:p>
        </w:tc>
      </w:tr>
      <w:tr>
        <w:trPr/>
        <w:tc>
          <w:tcPr>
            <w:tcW w:w="425"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 August ___,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614"/>
        <w:gridCol w:w="309"/>
        <w:gridCol w:w="2159"/>
      </w:tblGrid>
      <w:tr>
        <w:trPr/>
        <w:tc>
          <w:tcPr>
            <w:tcW w:w="161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TRUSTEE’S CERTIFICATE OF AUTHENTICATION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 certifies that this is one of the Notes described in the within-named Indenture.</w:t>
            </w:r>
          </w:p>
        </w:tc>
      </w:tr>
      <w:tr>
        <w:trPr>
          <w:trHeight w:val="240" w:hRule="atLeast"/>
        </w:trPr>
        <w:tc>
          <w:tcPr>
            <w:tcW w:w="1614" w:type="dxa"/>
            <w:tcBorders/>
            <w:vAlign w:val="center"/>
          </w:tcPr>
          <w:p>
            <w:pPr>
              <w:pStyle w:val="TableContents"/>
              <w:bidi w:val="0"/>
              <w:spacing w:before="0" w:after="283"/>
              <w:jc w:val="left"/>
              <w:rPr>
                <w:sz w:val="4"/>
                <w:szCs w:val="4"/>
              </w:rPr>
            </w:pPr>
            <w:r>
              <w:rPr>
                <w:sz w:val="4"/>
                <w:szCs w:val="4"/>
              </w:rPr>
            </w:r>
          </w:p>
        </w:tc>
        <w:tc>
          <w:tcPr>
            <w:tcW w:w="2468" w:type="dxa"/>
            <w:gridSpan w:val="2"/>
            <w:tcBorders/>
            <w:vAlign w:val="center"/>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283"/>
              <w:jc w:val="left"/>
              <w:rPr/>
            </w:pPr>
            <w:r>
              <w:rPr/>
              <w:t>By:</w:t>
            </w:r>
          </w:p>
        </w:tc>
        <w:tc>
          <w:tcPr>
            <w:tcW w:w="309" w:type="dxa"/>
            <w:tcBorders/>
            <w:vAlign w:val="bottom"/>
          </w:tcPr>
          <w:p>
            <w:pPr>
              <w:pStyle w:val="TableContents"/>
              <w:bidi w:val="0"/>
              <w:spacing w:before="0" w:after="283"/>
              <w:jc w:val="left"/>
              <w:rPr/>
            </w:pPr>
            <w:r>
              <w:rPr/>
              <w:t> </w:t>
            </w:r>
          </w:p>
        </w:tc>
        <w:tc>
          <w:tcPr>
            <w:tcW w:w="215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___,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OF NOTE]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Company, designated as its 3.500% Exchangeable Senior Notes due 2031 (the “</w:t>
      </w:r>
      <w:r>
        <w:rPr>
          <w:rFonts w:ascii="Times New Roman" w:hAnsi="Times New Roman"/>
          <w:b/>
          <w:sz w:val="20"/>
        </w:rPr>
        <w:t>Notes</w:t>
      </w:r>
      <w:r>
        <w:rPr>
          <w:rFonts w:ascii="Times New Roman" w:hAnsi="Times New Roman"/>
          <w:sz w:val="20"/>
        </w:rPr>
        <w:t>”), initially limited to the aggregate principal amount of $460,000,000, all issued or to be issued under and pursuant to an Indenture dated as of August 11, 2026 (the “</w:t>
      </w:r>
      <w:r>
        <w:rPr>
          <w:rFonts w:ascii="Times New Roman" w:hAnsi="Times New Roman"/>
          <w:b/>
          <w:sz w:val="20"/>
        </w:rPr>
        <w:t>Indenture</w:t>
      </w:r>
      <w:r>
        <w:rPr>
          <w:rFonts w:ascii="Times New Roman" w:hAnsi="Times New Roman"/>
          <w:sz w:val="20"/>
        </w:rPr>
        <w:t>”), among the Company, the REIT and U.S. Bank Trust Company, National Association (the “</w:t>
      </w:r>
      <w:r>
        <w:rPr>
          <w:rFonts w:ascii="Times New Roman" w:hAnsi="Times New Roman"/>
          <w:b/>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Company, the REIT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the Company will make all payments and deliveries in respect of the Fundamental Change Purchase Price on the Fundamental Change 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the REIT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Purchase Price, if applicable) of, accrued and unpaid interest on, and the consideration due upon exchange of, this Note at the place, at the respective times, at the rate and in the lawful money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redeemable at the Company’s option in accordance with the terms and conditions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the Holder has the right, at such Holder’s option, to require the Company to repurchase for cash all of such Holder’s Notes or any portion thereof (in principal amounts of $1,000 or integral multiples thereof) on the Fundamental Change Purchase Date at a price equal to the Fundamental Change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exchange any Notes or portion thereof that is $1,000 or an integral multiple thereof, for cash and, if applicable, Common Shares, if any, together with cash in lieu thereof in respect of any fractional shares, at the Exchange Rate specified in the Indenture, as adjusted from time to time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rights provided to Holders of Notes under the Indenture, Holders shall have all the rights set forth in the Registration Rights Agreement dated as of August 11, 2026, among the Company, the REIT and the Initial Purchasers named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of the face of this Note,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TEN COM =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UNIF GIFT MIN ACT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CUST = Custodian </w:t>
      </w:r>
    </w:p>
    <w:p>
      <w:pPr>
        <w:pStyle w:val="TextBody"/>
        <w:bidi w:val="0"/>
        <w:spacing w:before="240" w:after="0"/>
        <w:jc w:val="left"/>
        <w:rPr>
          <w:rFonts w:ascii="Times New Roman" w:hAnsi="Times New Roman"/>
          <w:sz w:val="20"/>
        </w:rPr>
      </w:pPr>
      <w:r>
        <w:rPr>
          <w:rFonts w:ascii="Times New Roman" w:hAnsi="Times New Roman"/>
          <w:sz w:val="20"/>
        </w:rPr>
        <w:t xml:space="preserve">TEN ENT = as tenants by the entireties </w:t>
      </w:r>
    </w:p>
    <w:p>
      <w:pPr>
        <w:pStyle w:val="TextBody"/>
        <w:bidi w:val="0"/>
        <w:spacing w:before="240" w:after="0"/>
        <w:jc w:val="left"/>
        <w:rPr>
          <w:rFonts w:ascii="Times New Roman" w:hAnsi="Times New Roman"/>
          <w:sz w:val="20"/>
        </w:rPr>
      </w:pPr>
      <w:r>
        <w:rPr>
          <w:rFonts w:ascii="Times New Roman" w:hAnsi="Times New Roman"/>
          <w:sz w:val="20"/>
        </w:rPr>
        <w:t xml:space="preserve">JT TEN =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EXCHANGES OF NOTES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FOUR HUNDRED SIXTY MILLION DOLLARS ($460,000,000). 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0"/>
        <w:gridCol w:w="121"/>
        <w:gridCol w:w="1952"/>
        <w:gridCol w:w="121"/>
        <w:gridCol w:w="1952"/>
        <w:gridCol w:w="296"/>
        <w:gridCol w:w="1699"/>
        <w:gridCol w:w="121"/>
        <w:gridCol w:w="1653"/>
      </w:tblGrid>
      <w:tr>
        <w:trPr/>
        <w:tc>
          <w:tcPr>
            <w:tcW w:w="22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229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w:t>
            </w:r>
          </w:p>
          <w:p>
            <w:pPr>
              <w:pStyle w:val="TableContents"/>
              <w:bidi w:val="0"/>
              <w:spacing w:before="0" w:after="20"/>
              <w:jc w:val="center"/>
              <w:rPr>
                <w:rFonts w:ascii="Times New Roman" w:hAnsi="Times New Roman"/>
                <w:sz w:val="16"/>
              </w:rPr>
            </w:pPr>
            <w:r>
              <w:rPr>
                <w:rFonts w:ascii="Times New Roman" w:hAnsi="Times New Roman"/>
                <w:sz w:val="16"/>
              </w:rPr>
              <w:t>exchange</w:t>
            </w:r>
          </w:p>
        </w:tc>
        <w:tc>
          <w:tcPr>
            <w:tcW w:w="121" w:type="dxa"/>
            <w:tcBorders/>
            <w:vAlign w:val="bottom"/>
          </w:tcPr>
          <w:p>
            <w:pPr>
              <w:pStyle w:val="TableContents"/>
              <w:bidi w:val="0"/>
              <w:spacing w:before="0" w:after="283"/>
              <w:jc w:val="left"/>
              <w:rPr/>
            </w:pPr>
            <w:r>
              <w:rPr/>
              <w:t>  </w:t>
            </w:r>
          </w:p>
        </w:tc>
        <w:tc>
          <w:tcPr>
            <w:tcW w:w="19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21" w:type="dxa"/>
            <w:tcBorders/>
            <w:vAlign w:val="bottom"/>
          </w:tcPr>
          <w:p>
            <w:pPr>
              <w:pStyle w:val="TableContents"/>
              <w:bidi w:val="0"/>
              <w:spacing w:before="0" w:after="283"/>
              <w:jc w:val="left"/>
              <w:rPr/>
            </w:pPr>
            <w:r>
              <w:rPr/>
              <w:t>  </w:t>
            </w:r>
          </w:p>
        </w:tc>
        <w:tc>
          <w:tcPr>
            <w:tcW w:w="19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296" w:type="dxa"/>
            <w:tcBorders/>
            <w:vAlign w:val="bottom"/>
          </w:tcPr>
          <w:p>
            <w:pPr>
              <w:pStyle w:val="TableContents"/>
              <w:bidi w:val="0"/>
              <w:spacing w:before="0" w:after="283"/>
              <w:jc w:val="left"/>
              <w:rPr/>
            </w:pPr>
            <w:r>
              <w:rPr/>
              <w:t>  </w:t>
            </w:r>
          </w:p>
        </w:tc>
        <w:tc>
          <w:tcPr>
            <w:tcW w:w="169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21" w:type="dxa"/>
            <w:tcBorders/>
            <w:vAlign w:val="bottom"/>
          </w:tcPr>
          <w:p>
            <w:pPr>
              <w:pStyle w:val="TableContents"/>
              <w:bidi w:val="0"/>
              <w:spacing w:before="0" w:after="283"/>
              <w:jc w:val="left"/>
              <w:rPr/>
            </w:pPr>
            <w:r>
              <w:rPr/>
              <w:t>  </w:t>
            </w:r>
          </w:p>
        </w:tc>
        <w:tc>
          <w:tcPr>
            <w:tcW w:w="165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0"/>
              <w:jc w:val="center"/>
              <w:rPr>
                <w:rFonts w:ascii="Times New Roman" w:hAnsi="Times New Roman"/>
                <w:sz w:val="16"/>
              </w:rPr>
            </w:pPr>
            <w:r>
              <w:rPr>
                <w:rFonts w:ascii="Times New Roman" w:hAnsi="Times New Roman"/>
                <w:sz w:val="16"/>
              </w:rPr>
              <w:t>Trustee or</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r>
        <w:trPr>
          <w:trHeight w:val="240" w:hRule="atLeast"/>
        </w:trPr>
        <w:tc>
          <w:tcPr>
            <w:tcW w:w="2290"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995" w:type="dxa"/>
            <w:gridSpan w:val="2"/>
            <w:tcBorders/>
            <w:vAlign w:val="center"/>
          </w:tcPr>
          <w:p>
            <w:pPr>
              <w:pStyle w:val="TableContents"/>
              <w:bidi w:val="0"/>
              <w:spacing w:before="0" w:after="283"/>
              <w:jc w:val="left"/>
              <w:rPr>
                <w:sz w:val="4"/>
                <w:szCs w:val="4"/>
              </w:rPr>
            </w:pPr>
            <w:r>
              <w:rPr>
                <w:sz w:val="4"/>
                <w:szCs w:val="4"/>
              </w:rPr>
            </w:r>
          </w:p>
        </w:tc>
        <w:tc>
          <w:tcPr>
            <w:tcW w:w="1774" w:type="dxa"/>
            <w:gridSpan w:val="2"/>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296" w:type="dxa"/>
            <w:tcBorders/>
            <w:vAlign w:val="bottom"/>
          </w:tcPr>
          <w:p>
            <w:pPr>
              <w:pStyle w:val="TableContents"/>
              <w:bidi w:val="0"/>
              <w:spacing w:before="0" w:after="283"/>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EXCHANGE]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REALTY OP LP </w:t>
            </w:r>
          </w:p>
        </w:tc>
      </w:tr>
    </w:tbl>
    <w:p>
      <w:pPr>
        <w:pStyle w:val="TextBody"/>
        <w:bidi w:val="0"/>
        <w:spacing w:before="0" w:after="0"/>
        <w:jc w:val="left"/>
        <w:rPr>
          <w:rFonts w:ascii="Times New Roman" w:hAnsi="Times New Roman"/>
          <w:sz w:val="20"/>
        </w:rPr>
      </w:pPr>
      <w:r>
        <w:rPr>
          <w:rFonts w:ascii="Times New Roman" w:hAnsi="Times New Roman"/>
          <w:sz w:val="20"/>
        </w:rPr>
        <w:t xml:space="preserve">U.S. BANK TRUST COMPANY, NATIONAL ASSOCIATION, as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exercises the option to exchange this Note, or the portion hereof (that is $1,000 principal amount or an integral multiple thereof) below designated, for cash and, if applicable, Common Shares, if any, in accordance with the terms of the Indenture referred to in this Note, and directs that any cash payable and any Common Shares issuable and deliverable upon such exchange, together with any cash for any fractional share, and any Notes representing any unexchanged principal amount hereof, be issued and delivered to the registered Holder hereof unless a different name has been indicated below. If any Common Shares or any portion of this Note not exchanged are to be issued in the name of a Person other than the undersigned, the undersigned will pay all documentary, stamp or similar issue or transfer taxes, if any, in accordance with </w:t>
      </w:r>
      <w:r>
        <w:rPr>
          <w:rFonts w:ascii="Times New Roman" w:hAnsi="Times New Roman"/>
          <w:sz w:val="20"/>
          <w:u w:val="single"/>
        </w:rPr>
        <w:t>Section 14.02(i)</w:t>
      </w:r>
      <w:r>
        <w:rPr>
          <w:rFonts w:ascii="Times New Roman" w:hAnsi="Times New Roman"/>
          <w:sz w:val="20"/>
        </w:rPr>
        <w:t xml:space="preserve"> of the Indenture. Any amount required to be paid to the undersigned on account of interest accompanies this Note. Capitalized terms used herein but not defined shall have the meanings ascribed to such terms in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7"/>
        <w:gridCol w:w="106"/>
        <w:gridCol w:w="381"/>
        <w:gridCol w:w="120"/>
        <w:gridCol w:w="4551"/>
      </w:tblGrid>
      <w:tr>
        <w:trPr/>
        <w:tc>
          <w:tcPr>
            <w:tcW w:w="504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1" w:type="dxa"/>
            <w:tcBorders/>
            <w:vAlign w:val="center"/>
          </w:tcPr>
          <w:p>
            <w:pPr>
              <w:pStyle w:val="TableContents"/>
              <w:bidi w:val="0"/>
              <w:spacing w:before="0" w:after="283"/>
              <w:jc w:val="left"/>
              <w:rPr>
                <w:sz w:val="4"/>
                <w:szCs w:val="4"/>
              </w:rPr>
            </w:pPr>
            <w:r>
              <w:rPr>
                <w:sz w:val="4"/>
                <w:szCs w:val="4"/>
              </w:rPr>
            </w:r>
          </w:p>
        </w:tc>
      </w:tr>
      <w:tr>
        <w:trPr/>
        <w:tc>
          <w:tcPr>
            <w:tcW w:w="5047" w:type="dxa"/>
            <w:tcBorders/>
          </w:tcPr>
          <w:p>
            <w:pPr>
              <w:pStyle w:val="TableContents"/>
              <w:bidi w:val="0"/>
              <w:spacing w:before="0" w:after="283"/>
              <w:jc w:val="left"/>
              <w:rPr/>
            </w:pPr>
            <w:r>
              <w:rPr/>
              <w:t xml:space="preserve">Dated: </w:t>
            </w:r>
            <w:r>
              <w:rPr>
                <w:u w:val="single"/>
              </w:rPr>
              <w:t>          </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r>
        <w:trPr>
          <w:trHeight w:val="240" w:hRule="atLeast"/>
        </w:trPr>
        <w:tc>
          <w:tcPr>
            <w:tcW w:w="5047" w:type="dxa"/>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r>
      <w:tr>
        <w:trPr/>
        <w:tc>
          <w:tcPr>
            <w:tcW w:w="50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r>
        <w:trPr/>
        <w:tc>
          <w:tcPr>
            <w:tcW w:w="50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pPr>
            <w:r>
              <w:rPr/>
              <w:t>Signature(s)</w:t>
            </w:r>
          </w:p>
        </w:tc>
      </w:tr>
      <w:tr>
        <w:trPr/>
        <w:tc>
          <w:tcPr>
            <w:tcW w:w="5047"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sz w:val="4"/>
                <w:szCs w:val="4"/>
              </w:rPr>
            </w:pPr>
            <w:r>
              <w:rPr>
                <w:sz w:val="4"/>
                <w:szCs w:val="4"/>
              </w:rPr>
            </w:r>
          </w:p>
        </w:tc>
      </w:tr>
      <w:tr>
        <w:trPr/>
        <w:tc>
          <w:tcPr>
            <w:tcW w:w="5047" w:type="dxa"/>
            <w:tcBorders/>
          </w:tcPr>
          <w:p>
            <w:pPr>
              <w:pStyle w:val="TableContents"/>
              <w:bidi w:val="0"/>
              <w:spacing w:before="0" w:after="283"/>
              <w:jc w:val="left"/>
              <w:rPr/>
            </w:pPr>
            <w:r>
              <w:rPr/>
              <w:t>Signature Guarantee</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sz w:val="4"/>
                <w:szCs w:val="4"/>
              </w:rPr>
            </w:pPr>
            <w:r>
              <w:rPr>
                <w:sz w:val="4"/>
                <w:szCs w:val="4"/>
              </w:rPr>
            </w:r>
          </w:p>
        </w:tc>
      </w:tr>
      <w:tr>
        <w:trPr>
          <w:trHeight w:val="240" w:hRule="atLeast"/>
        </w:trPr>
        <w:tc>
          <w:tcPr>
            <w:tcW w:w="5047" w:type="dxa"/>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671" w:type="dxa"/>
            <w:gridSpan w:val="2"/>
            <w:tcBorders/>
            <w:vAlign w:val="center"/>
          </w:tcPr>
          <w:p>
            <w:pPr>
              <w:pStyle w:val="TableContents"/>
              <w:bidi w:val="0"/>
              <w:spacing w:before="0" w:after="283"/>
              <w:jc w:val="left"/>
              <w:rPr>
                <w:sz w:val="4"/>
                <w:szCs w:val="4"/>
              </w:rPr>
            </w:pPr>
            <w:r>
              <w:rPr>
                <w:sz w:val="4"/>
                <w:szCs w:val="4"/>
              </w:rPr>
            </w:r>
          </w:p>
        </w:tc>
      </w:tr>
      <w:tr>
        <w:trPr/>
        <w:tc>
          <w:tcPr>
            <w:tcW w:w="5047" w:type="dxa"/>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Common Shares are to be issued, or Notes are to be delivered, other than to and in the name of the registered holder.</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- 10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Fill in for registration of shares if to be issued, and Notes if to be delivered, other than 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(Street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(City, State and Zip Code) Please print name and address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exchanged (if less than all): $     ,000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Social Security or Other Taxpayer</w:t>
            </w:r>
          </w:p>
        </w:tc>
      </w:tr>
      <w:tr>
        <w:trPr/>
        <w:tc>
          <w:tcPr>
            <w:tcW w:w="4082" w:type="dxa"/>
            <w:tcBorders/>
          </w:tcPr>
          <w:p>
            <w:pPr>
              <w:pStyle w:val="TableContents"/>
              <w:bidi w:val="0"/>
              <w:spacing w:before="0" w:after="283"/>
              <w:jc w:val="left"/>
              <w:rPr/>
            </w:pPr>
            <w:r>
              <w:rPr/>
              <w:t>Identification Number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FUNDAMENTAL CHANGE PURCHASE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REALTY OP LP </w:t>
            </w:r>
          </w:p>
        </w:tc>
      </w:tr>
    </w:tbl>
    <w:p>
      <w:pPr>
        <w:pStyle w:val="TextBody"/>
        <w:bidi w:val="0"/>
        <w:spacing w:before="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Federal Realty OP LP (the “</w:t>
      </w:r>
      <w:r>
        <w:rPr>
          <w:rFonts w:ascii="Times New Roman" w:hAnsi="Times New Roman"/>
          <w:b/>
          <w:sz w:val="20"/>
        </w:rPr>
        <w:t>Company</w:t>
      </w:r>
      <w:r>
        <w:rPr>
          <w:rFonts w:ascii="Times New Roman" w:hAnsi="Times New Roman"/>
          <w:sz w:val="20"/>
        </w:rPr>
        <w:t xml:space="preserve">”) as to the occurrence of a Fundamental Change with respect to the Company and specifying the Fundamental Change Purchase Date and requests and instructs the Company to pay to the registered holder hereof in accordance with </w:t>
      </w:r>
      <w:r>
        <w:rPr>
          <w:rFonts w:ascii="Times New Roman" w:hAnsi="Times New Roman"/>
          <w:sz w:val="20"/>
          <w:u w:val="single"/>
        </w:rPr>
        <w:t>Section 15.02</w:t>
      </w:r>
      <w:r>
        <w:rPr>
          <w:rFonts w:ascii="Times New Roman" w:hAnsi="Times New Roman"/>
          <w:sz w:val="20"/>
        </w:rPr>
        <w:t xml:space="preserve"> of the Indenture referred to in this Note (1) the entire principal amount of this Note, or the portion thereof (that is $1,000 principal amount or an integral multiple thereof) below designated, and (2) if such Fundamental Change Purchase Date does not fall during the period after a Regular Record Date and on or prior to the corresponding Interest Payment Date, accrued and unpaid interest, if any, thereon to, but excluding, such Fundamental Change Purchase Date.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 xml:space="preserve">Dated: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Social Security or Other Taxpayer Identification Number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repaid (if less than all):</w:t>
            </w:r>
          </w:p>
        </w:tc>
      </w:tr>
      <w:tr>
        <w:trPr/>
        <w:tc>
          <w:tcPr>
            <w:tcW w:w="4082" w:type="dxa"/>
            <w:tcBorders/>
          </w:tcPr>
          <w:p>
            <w:pPr>
              <w:pStyle w:val="TableContents"/>
              <w:bidi w:val="0"/>
              <w:spacing w:before="0" w:after="283"/>
              <w:jc w:val="left"/>
              <w:rPr/>
            </w:pPr>
            <w:r>
              <w:rPr/>
              <w:t>$    ,000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ASSIGNMENT AND TRANSFER]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the within Note, the undersigned confirms that such Note is being transferred: </w:t>
      </w:r>
    </w:p>
    <w:p>
      <w:pPr>
        <w:pStyle w:val="TextBody"/>
        <w:bidi w:val="0"/>
        <w:spacing w:before="240" w:after="0"/>
        <w:jc w:val="left"/>
        <w:rPr/>
      </w:pPr>
      <w:r>
        <w:rPr/>
        <w:t xml:space="preserve">☐ </w:t>
      </w:r>
      <w:r>
        <w:rPr>
          <w:rFonts w:ascii="Times New Roman" w:hAnsi="Times New Roman"/>
          <w:sz w:val="20"/>
        </w:rPr>
        <w:t xml:space="preserve">To Federal Realty Investment Trust, Federal Realty OP LP or any subsidiary thereof; or </w:t>
      </w:r>
    </w:p>
    <w:p>
      <w:pPr>
        <w:pStyle w:val="TextBody"/>
        <w:bidi w:val="0"/>
        <w:spacing w:before="240" w:after="0"/>
        <w:jc w:val="left"/>
        <w:rPr/>
      </w:pPr>
      <w:r>
        <w:rPr/>
        <w:t xml:space="preserve">☐ </w:t>
      </w:r>
      <w:r>
        <w:rPr>
          <w:rFonts w:ascii="Times New Roman" w:hAnsi="Times New Roman"/>
          <w:sz w:val="20"/>
        </w:rPr>
        <w:t xml:space="preserve">Pursuant to a registration statement that has become or been declared effective under the Securities Act of 1933, as amended; or </w:t>
      </w:r>
    </w:p>
    <w:p>
      <w:pPr>
        <w:pStyle w:val="TextBody"/>
        <w:bidi w:val="0"/>
        <w:spacing w:before="240" w:after="0"/>
        <w:jc w:val="left"/>
        <w:rPr/>
      </w:pPr>
      <w:r>
        <w:rPr/>
        <w:t xml:space="preserve">☐ </w:t>
      </w:r>
      <w:r>
        <w:rPr>
          <w:rFonts w:ascii="Times New Roman" w:hAnsi="Times New Roman"/>
          <w:sz w:val="20"/>
        </w:rPr>
        <w:t xml:space="preserve">Pursuant to and in compliance with Rule 144A under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Dated: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pPr>
            <w:r>
              <w:rPr/>
              <w:t> </w:t>
            </w:r>
          </w:p>
        </w:tc>
      </w:tr>
      <w:tr>
        <w:trPr/>
        <w:tc>
          <w:tcPr>
            <w:tcW w:w="4082" w:type="dxa"/>
            <w:tcBorders/>
            <w:vAlign w:val="bottom"/>
          </w:tcPr>
          <w:p>
            <w:pPr>
              <w:pStyle w:val="TableContents"/>
              <w:bidi w:val="0"/>
              <w:spacing w:before="0" w:after="283"/>
              <w:jc w:val="left"/>
              <w:rPr/>
            </w:pPr>
            <w:r>
              <w:rPr/>
              <w:t>Signature(s)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pPr>
            <w:r>
              <w:rPr/>
              <w:t> </w:t>
            </w:r>
          </w:p>
        </w:tc>
      </w:tr>
      <w:tr>
        <w:trPr/>
        <w:tc>
          <w:tcPr>
            <w:tcW w:w="4082" w:type="dxa"/>
            <w:tcBorders/>
            <w:vAlign w:val="bottom"/>
          </w:tcPr>
          <w:p>
            <w:pPr>
              <w:pStyle w:val="TableContents"/>
              <w:bidi w:val="0"/>
              <w:spacing w:before="0" w:after="283"/>
              <w:jc w:val="left"/>
              <w:rPr/>
            </w:pPr>
            <w:r>
              <w:rPr/>
              <w:t>Signature Guarantee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The signature on the assignment must correspond with the name as written upon the face of the Note in every particular without alteration or enlargement or any change whatever.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- 14 </w:t>
      </w:r>
    </w:p>
    <w:p>
      <w:pPr>
        <w:pStyle w:val="TextBody"/>
        <w:bidi w:val="0"/>
        <w:spacing w:before="0" w:after="0"/>
        <w:jc w:val="right"/>
        <w:rPr>
          <w:rFonts w:ascii="Times New Roman" w:hAnsi="Times New Roman"/>
          <w:b/>
          <w:sz w:val="20"/>
        </w:rPr>
      </w:pPr>
      <w:bookmarkStart w:id="4" w:name="d117646dex101.htm"/>
      <w:bookmarkStart w:id="5" w:name="ksd117646dex101"/>
      <w:bookmarkEnd w:id="4"/>
      <w:bookmarkEnd w:id="5"/>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INVESTMENT TRUST </w:t>
      </w:r>
    </w:p>
    <w:p>
      <w:pPr>
        <w:pStyle w:val="TextBody"/>
        <w:bidi w:val="0"/>
        <w:spacing w:before="120" w:after="0"/>
        <w:jc w:val="center"/>
        <w:rPr>
          <w:rFonts w:ascii="Times New Roman" w:hAnsi="Times New Roman"/>
          <w:sz w:val="20"/>
        </w:rPr>
      </w:pPr>
      <w:r>
        <w:rPr>
          <w:rFonts w:ascii="Times New Roman" w:hAnsi="Times New Roman"/>
          <w:sz w:val="20"/>
        </w:rPr>
        <w:t xml:space="preserve">(a Maryland real estate investment trust) </w:t>
      </w:r>
    </w:p>
    <w:p>
      <w:pPr>
        <w:pStyle w:val="TextBody"/>
        <w:bidi w:val="0"/>
        <w:spacing w:before="12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120" w:after="0"/>
        <w:jc w:val="center"/>
        <w:rPr>
          <w:rFonts w:ascii="Times New Roman" w:hAnsi="Times New Roman"/>
          <w:sz w:val="20"/>
        </w:rPr>
      </w:pPr>
      <w:r>
        <w:rPr>
          <w:rFonts w:ascii="Times New Roman" w:hAnsi="Times New Roman"/>
          <w:sz w:val="20"/>
        </w:rPr>
        <w:t xml:space="preserve">(a Delaware limited partnership) </w:t>
      </w:r>
    </w:p>
    <w:p>
      <w:pPr>
        <w:pStyle w:val="TextBody"/>
        <w:bidi w:val="0"/>
        <w:spacing w:before="120" w:after="0"/>
        <w:jc w:val="center"/>
        <w:rPr>
          <w:rFonts w:ascii="Times New Roman" w:hAnsi="Times New Roman"/>
          <w:sz w:val="20"/>
        </w:rPr>
      </w:pPr>
      <w:r>
        <w:rPr>
          <w:rFonts w:ascii="Times New Roman" w:hAnsi="Times New Roman"/>
          <w:sz w:val="20"/>
        </w:rPr>
        <w:t xml:space="preserve">$460,000,000 </w:t>
      </w:r>
    </w:p>
    <w:p>
      <w:pPr>
        <w:pStyle w:val="TextBody"/>
        <w:bidi w:val="0"/>
        <w:spacing w:before="120" w:after="0"/>
        <w:jc w:val="center"/>
        <w:rPr>
          <w:rFonts w:ascii="Times New Roman" w:hAnsi="Times New Roman"/>
          <w:sz w:val="20"/>
        </w:rPr>
      </w:pPr>
      <w:r>
        <w:rPr>
          <w:rFonts w:ascii="Times New Roman" w:hAnsi="Times New Roman"/>
          <w:sz w:val="20"/>
        </w:rPr>
        <w:t xml:space="preserve">(including the Additional Notes (as defined in the Purchase Agreement)) </w:t>
      </w:r>
    </w:p>
    <w:p>
      <w:pPr>
        <w:pStyle w:val="TextBody"/>
        <w:bidi w:val="0"/>
        <w:spacing w:before="12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120" w:after="0"/>
        <w:jc w:val="center"/>
        <w:rPr>
          <w:rFonts w:ascii="Times New Roman" w:hAnsi="Times New Roman"/>
          <w:sz w:val="20"/>
        </w:rPr>
      </w:pPr>
      <w:r>
        <w:rPr>
          <w:rFonts w:ascii="Times New Roman" w:hAnsi="Times New Roman"/>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Dated: August 11,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FEDERAL REALTY INVESTMENT TRUST </w:t>
      </w:r>
    </w:p>
    <w:p>
      <w:pPr>
        <w:pStyle w:val="TextBody"/>
        <w:bidi w:val="0"/>
        <w:spacing w:before="0" w:after="0"/>
        <w:jc w:val="center"/>
        <w:rPr>
          <w:rFonts w:ascii="Times New Roman" w:hAnsi="Times New Roman"/>
          <w:sz w:val="20"/>
        </w:rPr>
      </w:pPr>
      <w:r>
        <w:rPr>
          <w:rFonts w:ascii="Times New Roman" w:hAnsi="Times New Roman"/>
          <w:sz w:val="20"/>
        </w:rPr>
        <w:t xml:space="preserve">(a Maryland real estate investment trust)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(a Delaware limited partnership) </w:t>
      </w:r>
    </w:p>
    <w:p>
      <w:pPr>
        <w:pStyle w:val="TextBody"/>
        <w:bidi w:val="0"/>
        <w:spacing w:before="240" w:after="0"/>
        <w:jc w:val="center"/>
        <w:rPr>
          <w:rFonts w:ascii="Times New Roman" w:hAnsi="Times New Roman"/>
          <w:sz w:val="20"/>
        </w:rPr>
      </w:pPr>
      <w:r>
        <w:rPr>
          <w:rFonts w:ascii="Times New Roman" w:hAnsi="Times New Roman"/>
          <w:sz w:val="20"/>
        </w:rPr>
        <w:t xml:space="preserve">3.500% Exchangeable Senior Notes due 2031 </w:t>
      </w:r>
    </w:p>
    <w:p>
      <w:pPr>
        <w:pStyle w:val="TextBody"/>
        <w:bidi w:val="0"/>
        <w:spacing w:before="240" w:after="0"/>
        <w:jc w:val="center"/>
        <w:rPr>
          <w:rFonts w:ascii="Times New Roman" w:hAnsi="Times New Roman"/>
          <w:sz w:val="20"/>
        </w:rPr>
      </w:pPr>
      <w:r>
        <w:rPr>
          <w:rFonts w:ascii="Times New Roman" w:hAnsi="Times New Roman"/>
          <w:sz w:val="20"/>
        </w:rPr>
        <w:t xml:space="preserve">REGISTRATION RIGHTS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Federal Realty OP LP, a Delaware limited partnership (the “</w:t>
      </w:r>
      <w:r>
        <w:rPr>
          <w:rFonts w:ascii="Times New Roman" w:hAnsi="Times New Roman"/>
          <w:sz w:val="20"/>
          <w:u w:val="single"/>
        </w:rPr>
        <w:t>Operating Partnership</w:t>
      </w:r>
      <w:r>
        <w:rPr>
          <w:rFonts w:ascii="Times New Roman" w:hAnsi="Times New Roman"/>
          <w:sz w:val="20"/>
        </w:rPr>
        <w:t>”), proposes to issue and sell to certain purchasers (the “</w:t>
      </w:r>
      <w:r>
        <w:rPr>
          <w:rFonts w:ascii="Times New Roman" w:hAnsi="Times New Roman"/>
          <w:sz w:val="20"/>
          <w:u w:val="single"/>
        </w:rPr>
        <w:t>Initial Purchasers</w:t>
      </w:r>
      <w:r>
        <w:rPr>
          <w:rFonts w:ascii="Times New Roman" w:hAnsi="Times New Roman"/>
          <w:sz w:val="20"/>
        </w:rPr>
        <w:t>”), for whom Wells Fargo Securities, LLC, BofA Securities, Inc., J.P. Morgan Securities LLC and Truist Securities, Inc. (the “</w:t>
      </w:r>
      <w:r>
        <w:rPr>
          <w:rFonts w:ascii="Times New Roman" w:hAnsi="Times New Roman"/>
          <w:sz w:val="20"/>
          <w:u w:val="single"/>
        </w:rPr>
        <w:t>Representatives</w:t>
      </w:r>
      <w:r>
        <w:rPr>
          <w:rFonts w:ascii="Times New Roman" w:hAnsi="Times New Roman"/>
          <w:sz w:val="20"/>
        </w:rPr>
        <w:t>”) are acting as the representatives, its 3.500% Exchangeable Senior Notes due 2031 (the “</w:t>
      </w:r>
      <w:r>
        <w:rPr>
          <w:rFonts w:ascii="Times New Roman" w:hAnsi="Times New Roman"/>
          <w:sz w:val="20"/>
          <w:u w:val="single"/>
        </w:rPr>
        <w:t>Notes</w:t>
      </w:r>
      <w:r>
        <w:rPr>
          <w:rFonts w:ascii="Times New Roman" w:hAnsi="Times New Roman"/>
          <w:sz w:val="20"/>
        </w:rPr>
        <w:t>”), upon the terms set forth in the Purchase Agreement by and among the Operating Partnership, Federal Realty Investment Trust, a Maryland real estate investment trust (the “</w:t>
      </w:r>
      <w:r>
        <w:rPr>
          <w:rFonts w:ascii="Times New Roman" w:hAnsi="Times New Roman"/>
          <w:sz w:val="20"/>
          <w:u w:val="single"/>
        </w:rPr>
        <w:t>Company</w:t>
      </w:r>
      <w:r>
        <w:rPr>
          <w:rFonts w:ascii="Times New Roman" w:hAnsi="Times New Roman"/>
          <w:sz w:val="20"/>
        </w:rPr>
        <w:t>”), and the Representatives, dated as of August 6, 2026 (the “</w:t>
      </w:r>
      <w:r>
        <w:rPr>
          <w:rFonts w:ascii="Times New Roman" w:hAnsi="Times New Roman"/>
          <w:sz w:val="20"/>
          <w:u w:val="single"/>
        </w:rPr>
        <w:t>Purchase Agreement</w:t>
      </w:r>
      <w:r>
        <w:rPr>
          <w:rFonts w:ascii="Times New Roman" w:hAnsi="Times New Roman"/>
          <w:sz w:val="20"/>
        </w:rPr>
        <w:t>”), relating to the initial placement (the “</w:t>
      </w:r>
      <w:r>
        <w:rPr>
          <w:rFonts w:ascii="Times New Roman" w:hAnsi="Times New Roman"/>
          <w:sz w:val="20"/>
          <w:u w:val="single"/>
        </w:rPr>
        <w:t>Initial Placement</w:t>
      </w:r>
      <w:r>
        <w:rPr>
          <w:rFonts w:ascii="Times New Roman" w:hAnsi="Times New Roman"/>
          <w:sz w:val="20"/>
        </w:rPr>
        <w:t>”) of the Notes. In certain circumstances, the Notes will be exchangeable for common shares of beneficial interest of the Company, par value $.01 per share (the “</w:t>
      </w:r>
      <w:r>
        <w:rPr>
          <w:rFonts w:ascii="Times New Roman" w:hAnsi="Times New Roman"/>
          <w:sz w:val="20"/>
          <w:u w:val="single"/>
        </w:rPr>
        <w:t>Common Shares</w:t>
      </w:r>
      <w:r>
        <w:rPr>
          <w:rFonts w:ascii="Times New Roman" w:hAnsi="Times New Roman"/>
          <w:sz w:val="20"/>
        </w:rPr>
        <w:t>”), in accordance with the terms of the Notes and the Indenture (as defined below). To induce the Representatives to enter into the Purchase Agreement and to induce the Initial Purchasers to satisfy their obligations thereunder, the holders of the Notes will have the benefit of this registration rights agreement by and among the Operating Partnership, the Company and the Representatives whereby the Company agrees with you for your benefit and the benefit of the holders from time to time of the Notes (including the Initial Purchasers) (each, a “</w:t>
      </w:r>
      <w:r>
        <w:rPr>
          <w:rFonts w:ascii="Times New Roman" w:hAnsi="Times New Roman"/>
          <w:sz w:val="20"/>
          <w:u w:val="single"/>
        </w:rPr>
        <w:t>Holder</w:t>
      </w:r>
      <w:r>
        <w:rPr>
          <w:rFonts w:ascii="Times New Roman" w:hAnsi="Times New Roman"/>
          <w:sz w:val="20"/>
        </w:rPr>
        <w:t>” and, collectively, the “</w:t>
      </w:r>
      <w:r>
        <w:rPr>
          <w:rFonts w:ascii="Times New Roman" w:hAnsi="Times New Roman"/>
          <w:sz w:val="20"/>
          <w:u w:val="single"/>
        </w:rPr>
        <w:t>Holders</w:t>
      </w:r>
      <w:r>
        <w:rPr>
          <w:rFonts w:ascii="Times New Roman" w:hAnsi="Times New Roman"/>
          <w:sz w:val="20"/>
        </w:rPr>
        <w:t xml:space="preserve">”),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Capitalized terms used herein without definition shall have their respective meanings set forth in the Purchase Agreement. As used in this Agreement, the following capitalized defined terms shall have the following meanings: </w:t>
      </w:r>
    </w:p>
    <w:p>
      <w:pPr>
        <w:pStyle w:val="TextBody"/>
        <w:bidi w:val="0"/>
        <w:spacing w:before="240" w:after="0"/>
        <w:jc w:val="left"/>
        <w:rPr/>
      </w:pPr>
      <w:r>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have the meaning specified in Rule 405 under the Act and the terms “controlling” and “controlled” shall have meanings correlative thereto. </w:t>
      </w:r>
    </w:p>
    <w:p>
      <w:pPr>
        <w:pStyle w:val="TextBody"/>
        <w:bidi w:val="0"/>
        <w:spacing w:before="240" w:after="0"/>
        <w:jc w:val="left"/>
        <w:rPr/>
      </w:pPr>
      <w:r>
        <w:rPr/>
        <w:t>“</w:t>
      </w:r>
      <w:r>
        <w:rPr>
          <w:rFonts w:ascii="Times New Roman" w:hAnsi="Times New Roman"/>
          <w:sz w:val="20"/>
          <w:u w:val="single"/>
        </w:rPr>
        <w:t>Automatic Shelf Registration Statement</w:t>
      </w:r>
      <w:r>
        <w:rPr>
          <w:rFonts w:ascii="Times New Roman" w:hAnsi="Times New Roman"/>
          <w:sz w:val="20"/>
        </w:rPr>
        <w:t xml:space="preserve">” shall mean a Registration Statement filed by a Well-Known Seasoned Issuer which shall become effective upon filing thereof pursuant to General Instruction I.D. of Form S-3. </w:t>
      </w:r>
    </w:p>
    <w:p>
      <w:pPr>
        <w:pStyle w:val="TextBody"/>
        <w:bidi w:val="0"/>
        <w:spacing w:before="240" w:after="0"/>
        <w:jc w:val="left"/>
        <w:rPr/>
      </w:pPr>
      <w:r>
        <w:rPr/>
        <w:t>“</w:t>
      </w:r>
      <w:r>
        <w:rPr>
          <w:rFonts w:ascii="Times New Roman" w:hAnsi="Times New Roman"/>
          <w:sz w:val="20"/>
          <w:u w:val="single"/>
        </w:rPr>
        <w:t>Broker-Dealer</w:t>
      </w:r>
      <w:r>
        <w:rPr>
          <w:rFonts w:ascii="Times New Roman" w:hAnsi="Times New Roman"/>
          <w:sz w:val="20"/>
        </w:rPr>
        <w:t xml:space="preserve">” shall mean any broker or dealer registered as such under the Exchange Act.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New York City.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shall mean the date of the first issuance of the Notes. </w:t>
      </w:r>
    </w:p>
    <w:p>
      <w:pPr>
        <w:pStyle w:val="TextBody"/>
        <w:bidi w:val="0"/>
        <w:spacing w:before="240" w:after="0"/>
        <w:jc w:val="left"/>
        <w:rPr/>
      </w:pPr>
      <w:r>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bidi w:val="0"/>
        <w:spacing w:before="240" w:after="0"/>
        <w:jc w:val="left"/>
        <w:rPr/>
      </w:pPr>
      <w:r>
        <w:rPr/>
        <w:t>“</w:t>
      </w:r>
      <w:r>
        <w:rPr>
          <w:rFonts w:ascii="Times New Roman" w:hAnsi="Times New Roman"/>
          <w:sz w:val="20"/>
          <w:u w:val="single"/>
        </w:rPr>
        <w:t>Common Shares</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Deferral Period</w:t>
      </w:r>
      <w:r>
        <w:rPr>
          <w:rFonts w:ascii="Times New Roman" w:hAnsi="Times New Roman"/>
          <w:sz w:val="20"/>
        </w:rPr>
        <w:t xml:space="preserve">” shall have the meaning indicated in </w:t>
      </w:r>
      <w:r>
        <w:rPr>
          <w:rFonts w:ascii="Times New Roman" w:hAnsi="Times New Roman"/>
          <w:sz w:val="20"/>
          <w:u w:val="single"/>
        </w:rPr>
        <w:t>Section 3(i)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bidi w:val="0"/>
        <w:spacing w:before="240" w:after="0"/>
        <w:jc w:val="left"/>
        <w:rPr/>
      </w:pPr>
      <w:r>
        <w:rPr/>
        <w:t>“</w:t>
      </w:r>
      <w:r>
        <w:rPr>
          <w:rFonts w:ascii="Times New Roman" w:hAnsi="Times New Roman"/>
          <w:sz w:val="20"/>
          <w:u w:val="single"/>
        </w:rPr>
        <w:t>Final Memorandum</w:t>
      </w:r>
      <w:r>
        <w:rPr>
          <w:rFonts w:ascii="Times New Roman" w:hAnsi="Times New Roman"/>
          <w:sz w:val="20"/>
        </w:rPr>
        <w:t xml:space="preserve">” shall mean the final offering memorandum, dated August 6, 2026, relating to the Notes, including any and all annexes thereto and any information incorporated by reference therein as of such date.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shall mean the Financial Industry Regulatory Authority or any successor agency thereto. </w:t>
      </w:r>
    </w:p>
    <w:p>
      <w:pPr>
        <w:pStyle w:val="TextBody"/>
        <w:bidi w:val="0"/>
        <w:spacing w:before="240" w:after="0"/>
        <w:jc w:val="left"/>
        <w:rPr/>
      </w:pPr>
      <w:r>
        <w:rPr/>
        <w:t>“</w:t>
      </w:r>
      <w:r>
        <w:rPr>
          <w:rFonts w:ascii="Times New Roman" w:hAnsi="Times New Roman"/>
          <w:sz w:val="20"/>
          <w:u w:val="single"/>
        </w:rPr>
        <w:t>Free Writing Prospectus</w:t>
      </w:r>
      <w:r>
        <w:rPr>
          <w:rFonts w:ascii="Times New Roman" w:hAnsi="Times New Roman"/>
          <w:sz w:val="20"/>
        </w:rPr>
        <w:t xml:space="preserve">” shall mean each offer to sell or solicitation of an offer to buy the Notes that would constitute a “free writing prospectus” as defined in Rule 405 under the Act, prepared by or on behalf of the Company or the Operating Partnership or used or referred to by the Company or the Operating Partnership in connection with the sale of the Notes.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shall mean the Indenture relating to the Notes, dated the date hereof, by and among the Operating Partnership, as issuer, the Company and U.S. Bank Trust Company, National Association, as trustee, as the same may be amended from time to time in accordance with the terms thereof. </w:t>
      </w:r>
    </w:p>
    <w:p>
      <w:pPr>
        <w:pStyle w:val="TextBody"/>
        <w:bidi w:val="0"/>
        <w:spacing w:before="240" w:after="0"/>
        <w:jc w:val="left"/>
        <w:rPr/>
      </w:pPr>
      <w:r>
        <w:rPr/>
        <w:t>“</w:t>
      </w:r>
      <w:r>
        <w:rPr>
          <w:rFonts w:ascii="Times New Roman" w:hAnsi="Times New Roman"/>
          <w:sz w:val="20"/>
          <w:u w:val="single"/>
        </w:rPr>
        <w:t>Initial Placement</w:t>
      </w:r>
      <w:r>
        <w:rPr>
          <w:rFonts w:ascii="Times New Roman" w:hAnsi="Times New Roman"/>
          <w:sz w:val="20"/>
        </w:rPr>
        <w:t xml:space="preserve">” shall have the meaning set forth in the preamble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Purchasers</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shall have the meaning set forth in </w:t>
      </w:r>
      <w:r>
        <w:rPr>
          <w:rFonts w:ascii="Times New Roman" w:hAnsi="Times New Roman"/>
          <w:sz w:val="20"/>
          <w:u w:val="single"/>
        </w:rPr>
        <w:t>Section 5(d)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Majority Holders</w:t>
      </w:r>
      <w:r>
        <w:rPr>
          <w:rFonts w:ascii="Times New Roman" w:hAnsi="Times New Roman"/>
          <w:sz w:val="20"/>
        </w:rPr>
        <w:t xml:space="preserve">” shall mean, on any date, Holders of a majority of the Common Shares registered under a Shelf Registration Statement. </w:t>
      </w:r>
    </w:p>
    <w:p>
      <w:pPr>
        <w:pStyle w:val="TextBody"/>
        <w:bidi w:val="0"/>
        <w:spacing w:before="240" w:after="0"/>
        <w:jc w:val="left"/>
        <w:rPr/>
      </w:pPr>
      <w:r>
        <w:rPr/>
        <w:t>“</w:t>
      </w:r>
      <w:r>
        <w:rPr>
          <w:rFonts w:ascii="Times New Roman" w:hAnsi="Times New Roman"/>
          <w:sz w:val="20"/>
          <w:u w:val="single"/>
        </w:rPr>
        <w:t>Managing Underwriters</w:t>
      </w:r>
      <w:r>
        <w:rPr>
          <w:rFonts w:ascii="Times New Roman" w:hAnsi="Times New Roman"/>
          <w:sz w:val="20"/>
        </w:rPr>
        <w:t xml:space="preserve">” shall mean the investment banker or investment bankers and manager or managers that administer an underwritten offering, if any, conducted pursuant to </w:t>
      </w:r>
      <w:r>
        <w:rPr>
          <w:rFonts w:ascii="Times New Roman" w:hAnsi="Times New Roman"/>
          <w:sz w:val="20"/>
          <w:u w:val="single"/>
        </w:rPr>
        <w:t>Section 6</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Notice and Questionnaire</w:t>
      </w:r>
      <w:r>
        <w:rPr>
          <w:rFonts w:ascii="Times New Roman" w:hAnsi="Times New Roman"/>
          <w:sz w:val="20"/>
        </w:rPr>
        <w:t xml:space="preserve">” shall mean a written notice delivered to the Company substantially in the form attached as Annex A to the Final Memorandum. </w:t>
      </w:r>
    </w:p>
    <w:p>
      <w:pPr>
        <w:pStyle w:val="TextBody"/>
        <w:bidi w:val="0"/>
        <w:spacing w:before="240" w:after="0"/>
        <w:jc w:val="left"/>
        <w:rPr/>
      </w:pPr>
      <w:r>
        <w:rPr/>
        <w:t>“</w:t>
      </w:r>
      <w:r>
        <w:rPr>
          <w:rFonts w:ascii="Times New Roman" w:hAnsi="Times New Roman"/>
          <w:sz w:val="20"/>
          <w:u w:val="single"/>
        </w:rPr>
        <w:t>Notice Holder</w:t>
      </w:r>
      <w:r>
        <w:rPr>
          <w:rFonts w:ascii="Times New Roman" w:hAnsi="Times New Roman"/>
          <w:sz w:val="20"/>
        </w:rPr>
        <w:t xml:space="preserve">” shall mean, on any date, any Holder of Registrable Securities that has delivered a properly completed Notice and Questionnaire to the Company on or prior to such date. </w:t>
      </w:r>
    </w:p>
    <w:p>
      <w:pPr>
        <w:pStyle w:val="TextBody"/>
        <w:bidi w:val="0"/>
        <w:spacing w:before="240" w:after="0"/>
        <w:jc w:val="left"/>
        <w:rPr/>
      </w:pPr>
      <w:r>
        <w:rPr/>
        <w:t>“</w:t>
      </w:r>
      <w:r>
        <w:rPr>
          <w:rFonts w:ascii="Times New Roman" w:hAnsi="Times New Roman"/>
          <w:sz w:val="20"/>
          <w:u w:val="single"/>
        </w:rPr>
        <w:t>Operating Partnership</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shall mean a prospectus included in a Shelf Registration Statement (including, without limitation, a prospectus that discloses information previously omitted from a prospectus filed as part of an effective registration statement in reliance upon Rule 430A or Rule 430B under the Act), as amended or supplemented by any prospectus supplement, including a prospectus supplement for a “shelf” takedown, with respect to the terms of the offering of any portion of the Common Shares covered by a Shelf Registration Statement, and all amendments and supplements thereto, including any and all exhibits thereto and any information incorporated by reference therein.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shall mean the Common Shares initially issuable in exchange for the Notes initially sold to the Initial Purchasers pursuant to the Purchase Agreement other than those that have (i) been registered under a Shelf Registration Statement and disposed of in accordance therewith, (ii) become eligible to be sold without restriction as contemplated by Rule 144 under the Act or any successor rule or regulation thereto that may be adopted by the Commission, (iii) ceased to be outstanding, whether as a result of redemption, repurchase, cancellation, exchange or otherwise, or (iv) been sold to the public pursuant to Rule 144 under the Act. </w:t>
      </w:r>
    </w:p>
    <w:p>
      <w:pPr>
        <w:pStyle w:val="TextBody"/>
        <w:bidi w:val="0"/>
        <w:spacing w:before="240" w:after="0"/>
        <w:jc w:val="left"/>
        <w:rPr/>
      </w:pPr>
      <w:r>
        <w:rPr/>
        <w:t>“</w:t>
      </w:r>
      <w:r>
        <w:rPr>
          <w:rFonts w:ascii="Times New Roman" w:hAnsi="Times New Roman"/>
          <w:sz w:val="20"/>
          <w:u w:val="single"/>
        </w:rPr>
        <w:t>Registration Default</w:t>
      </w:r>
      <w:r>
        <w:rPr>
          <w:rFonts w:ascii="Times New Roman" w:hAnsi="Times New Roman"/>
          <w:sz w:val="20"/>
        </w:rPr>
        <w:t xml:space="preserve">” shall have the meaning set forth in </w:t>
      </w:r>
      <w:r>
        <w:rPr>
          <w:rFonts w:ascii="Times New Roman" w:hAnsi="Times New Roman"/>
          <w:sz w:val="20"/>
          <w:u w:val="single"/>
        </w:rPr>
        <w:t>Section 7</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Registration Default Damages</w:t>
      </w:r>
      <w:r>
        <w:rPr>
          <w:rFonts w:ascii="Times New Roman" w:hAnsi="Times New Roman"/>
          <w:sz w:val="20"/>
        </w:rPr>
        <w:t xml:space="preserve">” shall have the meaning set forth in </w:t>
      </w:r>
      <w:r>
        <w:rPr>
          <w:rFonts w:ascii="Times New Roman" w:hAnsi="Times New Roman"/>
          <w:sz w:val="20"/>
          <w:u w:val="single"/>
        </w:rPr>
        <w:t>Section 7</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Shelf Registration Period</w:t>
      </w:r>
      <w:r>
        <w:rPr>
          <w:rFonts w:ascii="Times New Roman" w:hAnsi="Times New Roman"/>
          <w:sz w:val="20"/>
        </w:rPr>
        <w:t xml:space="preserve">” shall have the meaning set forth in </w:t>
      </w:r>
      <w:r>
        <w:rPr>
          <w:rFonts w:ascii="Times New Roman" w:hAnsi="Times New Roman"/>
          <w:sz w:val="20"/>
          <w:u w:val="single"/>
        </w:rPr>
        <w:t>Section 2(c)</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Shelf Registration Statement</w:t>
      </w:r>
      <w:r>
        <w:rPr>
          <w:rFonts w:ascii="Times New Roman" w:hAnsi="Times New Roman"/>
          <w:sz w:val="20"/>
        </w:rPr>
        <w:t xml:space="preserve">” shall mean a “shelf” registration statement, including a “universal shelf” registration statement, of the Company pursuant to the provisions of </w:t>
      </w:r>
      <w:r>
        <w:rPr>
          <w:rFonts w:ascii="Times New Roman" w:hAnsi="Times New Roman"/>
          <w:sz w:val="20"/>
          <w:u w:val="single"/>
        </w:rPr>
        <w:t>Section 2</w:t>
      </w:r>
      <w:r>
        <w:rPr>
          <w:rFonts w:ascii="Times New Roman" w:hAnsi="Times New Roman"/>
          <w:sz w:val="20"/>
        </w:rPr>
        <w:t xml:space="preserve"> hereof which covers some or all of the Common Shares, including by “shelf takedown” using a prospectus supplement or otherwise,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 For the avoidance of doubt, if at any time from the date hereof through the end of the Shelf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the Company is not eligible to use Form S-3 or Form S-3ASR or any successor form thereto, all references to Shelf Registration Statement in this Agreement shall be read to include a registration statement on Form S-11, or if the Company is no longer a real estate investment trust at such time, Form S-1, or any successor form thereto. </w:t>
      </w:r>
    </w:p>
    <w:p>
      <w:pPr>
        <w:pStyle w:val="TextBody"/>
        <w:bidi w:val="0"/>
        <w:spacing w:before="240" w:after="0"/>
        <w:jc w:val="left"/>
        <w:rPr/>
      </w:pPr>
      <w:r>
        <w:rPr/>
        <w:t>“</w:t>
      </w:r>
      <w:r>
        <w:rPr>
          <w:rFonts w:ascii="Times New Roman" w:hAnsi="Times New Roman"/>
          <w:sz w:val="20"/>
          <w:u w:val="single"/>
        </w:rPr>
        <w:t>Underwriter</w:t>
      </w:r>
      <w:r>
        <w:rPr>
          <w:rFonts w:ascii="Times New Roman" w:hAnsi="Times New Roman"/>
          <w:sz w:val="20"/>
        </w:rPr>
        <w:t xml:space="preserve">” shall mean any underwriter of Common Shares in connection with an offering thereof under a Shelf Registration Statement. </w:t>
      </w:r>
    </w:p>
    <w:p>
      <w:pPr>
        <w:pStyle w:val="TextBody"/>
        <w:bidi w:val="0"/>
        <w:spacing w:before="240" w:after="0"/>
        <w:jc w:val="left"/>
        <w:rPr/>
      </w:pPr>
      <w:r>
        <w:rPr/>
        <w:t>“</w:t>
      </w:r>
      <w:r>
        <w:rPr>
          <w:rFonts w:ascii="Times New Roman" w:hAnsi="Times New Roman"/>
          <w:sz w:val="20"/>
          <w:u w:val="single"/>
        </w:rPr>
        <w:t>Well-Known Seasoned Issuer</w:t>
      </w:r>
      <w:r>
        <w:rPr>
          <w:rFonts w:ascii="Times New Roman" w:hAnsi="Times New Roman"/>
          <w:sz w:val="20"/>
        </w:rPr>
        <w:t xml:space="preserve">” shall have the meaning set forth in Rule 405 under the Act.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on or before the 90th day following the Closing Date, (i) file with the Commission a Shelf Registration Statement (which shall be, if the Company is then a Well-Known Seasoned Issuer, an Automatic Shelf Registration Statement) and/or (ii) file one or more prospectus supplements to an effective Shelf Registration Statement of the Company, providing for the registration of, and the sale on a continuous or delayed basis by the Holders of, all of the Registrable Securities, from time to time in accordance with the methods of distribution elected by such Holders, pursuant to Rule 415 under the Act or any similar rule that may be adopted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If the Shelf Registration Statement filed in </w:t>
      </w:r>
      <w:r>
        <w:rPr>
          <w:rFonts w:ascii="Times New Roman" w:hAnsi="Times New Roman"/>
          <w:sz w:val="20"/>
          <w:u w:val="single"/>
        </w:rPr>
        <w:t>Section 2(a)</w:t>
      </w:r>
      <w:r>
        <w:rPr>
          <w:rFonts w:ascii="Times New Roman" w:hAnsi="Times New Roman"/>
          <w:sz w:val="20"/>
        </w:rPr>
        <w:t xml:space="preserve"> is not an Automatic Shelf Registration Statement, the Company shall use its commercially reasonable efforts to cause the Shelf Registration Statement to become or be declared effective under the Act no later than 180 days after the Closing Date. </w:t>
      </w:r>
    </w:p>
    <w:p>
      <w:pPr>
        <w:pStyle w:val="TextBody"/>
        <w:bidi w:val="0"/>
        <w:spacing w:before="120" w:after="0"/>
        <w:jc w:val="left"/>
        <w:rPr>
          <w:rFonts w:ascii="Times New Roman" w:hAnsi="Times New Roman"/>
          <w:sz w:val="20"/>
        </w:rPr>
      </w:pPr>
      <w:r>
        <w:rPr>
          <w:rFonts w:ascii="Times New Roman" w:hAnsi="Times New Roman"/>
          <w:sz w:val="20"/>
        </w:rPr>
        <w:t>(c) The Company shall use its commercially reasonable efforts to keep any Shelf Registration Statement continuously effective, supplemented and amended as required by the Act (including by way of preparing and filing with the Commission within the time limits required by Rule 415 under the Act or any successor rule thereto a new Shelf Registration Statement, and, if necessary, filing a new prospectus supplement pursuant to such new Shelf Registration Statement, in order to cover any Registrable Securities previously registered on a Shelf Registration Statement that may no longer be used for sales of such Registrable Securities, and the Company shall use its commercially reasonable efforts to cause such new Shelf Registration Statement to be declared effective by the Commission as soon as practicable thereafter), in order to permit the Prospectus forming part thereof to be usable by Holders for a period (the “</w:t>
      </w:r>
      <w:r>
        <w:rPr>
          <w:rFonts w:ascii="Times New Roman" w:hAnsi="Times New Roman"/>
          <w:sz w:val="20"/>
          <w:u w:val="single"/>
        </w:rPr>
        <w:t>Shelf Registration Period</w:t>
      </w:r>
      <w:r>
        <w:rPr>
          <w:rFonts w:ascii="Times New Roman" w:hAnsi="Times New Roman"/>
          <w:sz w:val="20"/>
        </w:rPr>
        <w:t xml:space="preserve">”) from the date such Shelf Registration Statement is declared effective by the Commission (or becomes effective in the case of an Automatic Shelf Registration Statement) or, in the case of a “universal” Shelf Registration Statement, the first date a prospectus supplement covering Registrable Securities is filed under such Shelf Registration Statement until the earlier of (i) the 30th trading day immediately following the maturity date of the Notes (subject to extension for any suspension of the effectiveness of the Shelf Registration Statement during such 30 trading day period immediately following the maturity date by the length of such suspension) and (ii) the date upon which there are no Notes or Registrable Securities outstanding. The Company shall be deemed not to have used its commercially reasonable efforts to keep a Shelf Registration Statement effective during the Shelf Registration Period if it voluntarily takes any action that would result in Holders of Registrable Securities not being able to offer and sell such Common Shares at any time during the Shelf Registration Period, unless such action is (x) required by applicable law or otherwise undertaken by the Company in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faith and for valid business reasons (not including avoidance of the Company’s obligations hereunder), including the acquisition or divestiture of assets, and (y) permitted by </w:t>
      </w:r>
      <w:r>
        <w:rPr>
          <w:rFonts w:ascii="Times New Roman" w:hAnsi="Times New Roman"/>
          <w:sz w:val="20"/>
          <w:u w:val="single"/>
        </w:rPr>
        <w:t>Section 3(i)</w:t>
      </w:r>
      <w:r>
        <w:rPr>
          <w:rFonts w:ascii="Times New Roman" w:hAnsi="Times New Roman"/>
          <w:sz w:val="20"/>
        </w:rPr>
        <w:t xml:space="preserve"> hereof. None of the Company, the Operating Partnership or any of their respective securityholders (other than Holders of Registrable Securities) shall have the right to include any securities of the Company or the Operating Partnership in any Shelf Registration Statement or, in the case of a “universal” Shelf Registration Statement, in any prospectus supplement for a “shelf takedown” registering Registrable Securities, other than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cause a Shelf Registration Statement and the related Prospectus and any amendment or supplement thereto, as of the effective date of the Shelf Registration Statement or such amendment or supplement, (i) to comply in all material respects with the applicable requirements of the Act; and (ii) not to contain any untrue statement of a material fact or omit to state a material fact required to be stated therein or necessary in order to make the statements therein (in the case of the Prospectus,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provide notice to each Holder at least twenty (20) Business Days prior to the anticipated effective date of the initial Shelf Registration Statement filed pursuant hereto (such effective date shall also include the date of filing the initial prospectus supplement for a “shelf takedown” of Registrable Securities). Each Holder agrees to deliver a Notice and Questionnaire and such other information as the Company may reasonably request in writing, if any, to the Company at least ten (10) Business Days prior to the anticipated effective date of such Shelf Registration Statement as announced in such notice from the Company. If a Holder does not timely complete and deliver a Notice and Questionnaire or provide the other information the Company may reasonably request in writing, that Holder will not be named as a selling securityholder in the Prospectus and will not be permitted to sell its Registrable Securities under such Shelf Registration Statement. From and after the effective date of such Shelf Registration Statement, the Company shall use commercially reasonable efforts, on the first (1st) Business Day of each month to (i) file with the Commission a post-effective amendment to such Shelf Registration Statement or to prepare and, if permitted or required by applicable law, to file a supplement, including any prospectus supplement for a “shelf takedown,” to the related Prospectus or an amendment or supplement to any document incorporated therein by reference or file any other required document so that each Holder that delivered a Notice and Questionnaire prior to the 20th day of the prior month is named as a selling securityholder in such Shelf Registration Statement and the related Prospectus, and so that such Holder is permitted to deliver such Prospectus to purchasers of the Registrable Securities in accordance with applicable law and, if the Company shall file a post-effective amendment to such Shelf Registration Statement, use its commercially reasonable efforts to cause such post-effective amendment to be declared effective under the Act as promptly as is practicable; (ii) provide such Holder, upon request, copies of any documents filed pursuant to </w:t>
      </w:r>
      <w:r>
        <w:rPr>
          <w:rFonts w:ascii="Times New Roman" w:hAnsi="Times New Roman"/>
          <w:sz w:val="20"/>
          <w:u w:val="single"/>
        </w:rPr>
        <w:t>Section 2(e)(i)</w:t>
      </w:r>
      <w:r>
        <w:rPr>
          <w:rFonts w:ascii="Times New Roman" w:hAnsi="Times New Roman"/>
          <w:sz w:val="20"/>
        </w:rPr>
        <w:t xml:space="preserve"> hereof; and (iii) notify such Holder as promptly as practicable after the effectiveness under the Act of any post-effective amendment filed or the filing of any supplement, including any prospectus supplement for a “shelf takedown,” to the related Prospectus, pursuant to </w:t>
      </w:r>
      <w:r>
        <w:rPr>
          <w:rFonts w:ascii="Times New Roman" w:hAnsi="Times New Roman"/>
          <w:sz w:val="20"/>
          <w:u w:val="single"/>
        </w:rPr>
        <w:t>Section 2(e)(i)</w:t>
      </w:r>
      <w:r>
        <w:rPr>
          <w:rFonts w:ascii="Times New Roman" w:hAnsi="Times New Roman"/>
          <w:sz w:val="20"/>
        </w:rPr>
        <w:t xml:space="preserve"> hereof; provided, that if such Notice and Questionnaire is delivered during a Deferral Period, the Company shall so inform the Holder delivering such Notice and Questionnaire and shall take the actions set forth in clauses (i), (ii) and (iii) above upon expiration of the Deferral Period in accordance with </w:t>
      </w:r>
      <w:r>
        <w:rPr>
          <w:rFonts w:ascii="Times New Roman" w:hAnsi="Times New Roman"/>
          <w:sz w:val="20"/>
          <w:u w:val="single"/>
        </w:rPr>
        <w:t>Section 3(i)</w:t>
      </w:r>
      <w:r>
        <w:rPr>
          <w:rFonts w:ascii="Times New Roman" w:hAnsi="Times New Roman"/>
          <w:sz w:val="20"/>
        </w:rPr>
        <w:t xml:space="preserve"> hereof. Notwithstanding anything contained herein to the contrary, the Company shall be under no obligation to name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is not a Notice Holder as a selling securityholder in a Shelf Registration Statement or related Prospectus; provided, however, that any Holder that becomes a Notice Holder pursuant to the provisions of this </w:t>
      </w:r>
      <w:r>
        <w:rPr>
          <w:rFonts w:ascii="Times New Roman" w:hAnsi="Times New Roman"/>
          <w:sz w:val="20"/>
          <w:u w:val="single"/>
        </w:rPr>
        <w:t>Section 2(e)</w:t>
      </w:r>
      <w:r>
        <w:rPr>
          <w:rFonts w:ascii="Times New Roman" w:hAnsi="Times New Roman"/>
          <w:sz w:val="20"/>
        </w:rPr>
        <w:t xml:space="preserve"> (whether or not such Holder was a Notice Holder at the effective date of such Shelf Registration Statement) shall be named as a selling securityholder in such Shelf Registration Statement or related Prospectus in accordance with the requirements of this </w:t>
      </w:r>
      <w:r>
        <w:rPr>
          <w:rFonts w:ascii="Times New Roman" w:hAnsi="Times New Roman"/>
          <w:sz w:val="20"/>
          <w:u w:val="single"/>
        </w:rPr>
        <w:t>Section 2(e)</w:t>
      </w:r>
      <w:r>
        <w:rPr>
          <w:rFonts w:ascii="Times New Roman" w:hAnsi="Times New Roman"/>
          <w:sz w:val="20"/>
        </w:rPr>
        <w:t xml:space="preserve">. Notwithstanding the foregoing, if (A) the Notes are called for redemption and the then prevailing market price of the Common Shares is above the Exchange Price (as defined in the Indenture) or (B) the Notes are exchanged as provided for in Article 14 of the Indenture, then the Company shall use commercially reasonable efforts to file a post-effective amendment or supplement, including any prospectus supplement for a “shelf takedown,” to the related Prospectus within five (5) Business Days of the Redemption Date (as defined in the Indenture), as applicable, naming as a selling securityholder therein all Notice Holders that have completed and delivered a Notice and Questionnaire and provided the other information reasonably requested in writing by the Company, in each case on or before such Redemption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Procedures</w:t>
      </w:r>
      <w:r>
        <w:rPr>
          <w:rFonts w:ascii="Times New Roman" w:hAnsi="Times New Roman"/>
          <w:sz w:val="20"/>
        </w:rPr>
        <w:t xml:space="preserve">. The following provisions shall apply in connection with any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furnish to each of the Representatives and to counsel for the Notice Holders (as appointed in accordance with </w:t>
      </w:r>
      <w:r>
        <w:rPr>
          <w:rFonts w:ascii="Times New Roman" w:hAnsi="Times New Roman"/>
          <w:sz w:val="20"/>
          <w:u w:val="single"/>
        </w:rPr>
        <w:t>Section 4</w:t>
      </w:r>
      <w:r>
        <w:rPr>
          <w:rFonts w:ascii="Times New Roman" w:hAnsi="Times New Roman"/>
          <w:sz w:val="20"/>
        </w:rPr>
        <w:t xml:space="preserve">), not less than five (5) Business Days prior to the filing thereof with the Commission, a copy of the Shelf Registration Statement and each amendment thereto and each amendment or supplement, including any prospectus supplement for a “shelf takedown,” if any, to the Prospectus included therein (but not including documents incorporated by reference therein after the initial filing) and shall use its commercially reasonable efforts to reflect in each such document, when so filed with the Commission, such comments as the Representatives reasonably propose; and </w:t>
      </w:r>
    </w:p>
    <w:p>
      <w:pPr>
        <w:pStyle w:val="TextBody"/>
        <w:bidi w:val="0"/>
        <w:spacing w:before="120" w:after="0"/>
        <w:jc w:val="left"/>
        <w:rPr>
          <w:rFonts w:ascii="Times New Roman" w:hAnsi="Times New Roman"/>
          <w:sz w:val="20"/>
        </w:rPr>
      </w:pPr>
      <w:r>
        <w:rPr>
          <w:rFonts w:ascii="Times New Roman" w:hAnsi="Times New Roman"/>
          <w:sz w:val="20"/>
        </w:rPr>
        <w:t xml:space="preserve">(ii) include information regarding the Notice Holders and the lawful methods of distribution they have elected for their Registrable Securities provided to the Company in Notices and Questionnaires as necessary to permit such distribution by the methods specified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ensure that: </w:t>
      </w:r>
    </w:p>
    <w:p>
      <w:pPr>
        <w:pStyle w:val="TextBody"/>
        <w:bidi w:val="0"/>
        <w:spacing w:before="120" w:after="0"/>
        <w:jc w:val="left"/>
        <w:rPr>
          <w:rFonts w:ascii="Times New Roman" w:hAnsi="Times New Roman"/>
          <w:sz w:val="20"/>
        </w:rPr>
      </w:pPr>
      <w:r>
        <w:rPr>
          <w:rFonts w:ascii="Times New Roman" w:hAnsi="Times New Roman"/>
          <w:sz w:val="20"/>
        </w:rPr>
        <w:t xml:space="preserve">(i) the Shelf Registration Statement and any amendment thereto and any Prospectus, including any prospectus supplement for a “shelf takedown,” forming part thereof and any amendment or supplement thereto complies in all material respects with the Act; and </w:t>
      </w:r>
    </w:p>
    <w:p>
      <w:pPr>
        <w:pStyle w:val="TextBody"/>
        <w:bidi w:val="0"/>
        <w:spacing w:before="120" w:after="0"/>
        <w:jc w:val="left"/>
        <w:rPr>
          <w:rFonts w:ascii="Times New Roman" w:hAnsi="Times New Roman"/>
          <w:sz w:val="20"/>
        </w:rPr>
      </w:pPr>
      <w:r>
        <w:rPr>
          <w:rFonts w:ascii="Times New Roman" w:hAnsi="Times New Roman"/>
          <w:sz w:val="20"/>
        </w:rPr>
        <w:t xml:space="preserve">(ii) the Shelf Registration Statement and any amendment thereto does not, when it becomes effective, contain an untrue statement of a material fact or omit to state a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advise the Representatives, the Notice Holders and any Underwriter that has provided in writing to the Company a telephone or facsimile number and address for notices, and confirm such advice in writing (which notice pursuant to clauses (ii) through (v) hereof shall be accompanied by an instruction to suspend the use of the Prospectus until the Company shall have remedied the basis for such suspension):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when the Shelf Registration Statement and any amendment thereto has been filed with the Commission and when the Shelf Registration Statement or any post-effective amendment thereto has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(ii) of any request by the Commission for any amendment or supplement to the Shelf Registration Statement or the Prospectus, including any prospectus supplement for a “shelf takedown,”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(iii) of the issuance by the Commission of any stop order suspending the effectiveness of the Shelf Registration Statement or the institution or threatening of any proceeding for that purpose or any other lapse in the effectiveness of the Shelf Registration Statement during the Shelf Registration Period; </w:t>
      </w:r>
    </w:p>
    <w:p>
      <w:pPr>
        <w:pStyle w:val="TextBody"/>
        <w:bidi w:val="0"/>
        <w:spacing w:before="120" w:after="0"/>
        <w:jc w:val="left"/>
        <w:rPr>
          <w:rFonts w:ascii="Times New Roman" w:hAnsi="Times New Roman"/>
          <w:sz w:val="20"/>
        </w:rPr>
      </w:pPr>
      <w:r>
        <w:rPr>
          <w:rFonts w:ascii="Times New Roman" w:hAnsi="Times New Roman"/>
          <w:sz w:val="20"/>
        </w:rPr>
        <w:t xml:space="preserve">(iv) of the receipt by the Company of any notification with respect to the suspension of the qualification of the Common Shares included therein for sale in any jurisdiction or the institution or threatening of any proceeding for such purpose; and </w:t>
      </w:r>
    </w:p>
    <w:p>
      <w:pPr>
        <w:pStyle w:val="TextBody"/>
        <w:bidi w:val="0"/>
        <w:spacing w:before="120" w:after="0"/>
        <w:jc w:val="left"/>
        <w:rPr>
          <w:rFonts w:ascii="Times New Roman" w:hAnsi="Times New Roman"/>
          <w:sz w:val="20"/>
        </w:rPr>
      </w:pPr>
      <w:r>
        <w:rPr>
          <w:rFonts w:ascii="Times New Roman" w:hAnsi="Times New Roman"/>
          <w:sz w:val="20"/>
        </w:rPr>
        <w:t xml:space="preserve">(v) of the happening of any event that requires any change in the Shelf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use its commercially reasonable efforts to prevent the issuance of any order suspending the effectiveness of the Shelf Registration Statement or the qualification of the securities therein for sale in any jurisdiction and, if issued, to obtain as soon as possible the withdrawal thereof. The Company shall undertake additional reasonable actions as required to permit unrestricted resales of the Common Shares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Upon request, the Company shall furnish to each Notice Holder, without charge, at least one copy of the Shelf Registration Statement and any post-effective amendment thereto, including all material incorporated therein by reference, and, if a Notice Holder so requests in writing, all exhibits thereto (including exhibits incorporated by reference therein). </w:t>
      </w:r>
    </w:p>
    <w:p>
      <w:pPr>
        <w:pStyle w:val="TextBody"/>
        <w:bidi w:val="0"/>
        <w:spacing w:before="120" w:after="0"/>
        <w:jc w:val="left"/>
        <w:rPr>
          <w:rFonts w:ascii="Times New Roman" w:hAnsi="Times New Roman"/>
          <w:sz w:val="20"/>
        </w:rPr>
      </w:pPr>
      <w:r>
        <w:rPr>
          <w:rFonts w:ascii="Times New Roman" w:hAnsi="Times New Roman"/>
          <w:sz w:val="20"/>
        </w:rPr>
        <w:t xml:space="preserve">(f) During the Shelf Registration Period, the Company shall promptly deliver to each Initial Purchaser, each Notice Holder, and any sales or placement agents or Underwriters acting on their behalf, without charge, as many copies of the Prospectus (including the preliminary Prospectus, if any) included in the Shelf Registration Statement and any amendment or supplement, including any prospectus supplement for a “shelf takedown,” thereto as any such person may reasonably request. The Company consents to the use of the Prospectus or any amendment or supplement, including any prospectus supplement for a “shelf takedown,” thereto by each of the foregoing in connection with the offering and sale of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Prior to any offering of Common Shares pursuant to the Shelf Registration Statement, the Company shall (i) use commercially reasonable efforts to arrange for the qualification of the Common Shares for sale under the laws of such jurisdictions as any Notice Holder shall reasonably request and shall maintain such qualification in effect so long as required, and (ii) cooperate with the Holders in connection with any filings required to be made with FINRA; provided, that in no event shall the Company be obligated to qualify to do business in any jurisdiction where it is not then so qualified or to take any action that would subject it to service of process in suits, other than those arising out of the Initial Placement or any offering pursuant to the Shelf Registration Statement, in any jurisdiction where it is not then so subject. </w:t>
      </w:r>
    </w:p>
    <w:p>
      <w:pPr>
        <w:pStyle w:val="TextBody"/>
        <w:bidi w:val="0"/>
        <w:spacing w:before="120" w:after="0"/>
        <w:jc w:val="left"/>
        <w:rPr>
          <w:rFonts w:ascii="Times New Roman" w:hAnsi="Times New Roman"/>
          <w:sz w:val="20"/>
        </w:rPr>
      </w:pPr>
      <w:r>
        <w:rPr>
          <w:rFonts w:ascii="Times New Roman" w:hAnsi="Times New Roman"/>
          <w:sz w:val="20"/>
        </w:rPr>
        <w:t xml:space="preserve">(h) Upon the occurrence of any event contemplated by </w:t>
      </w:r>
      <w:r>
        <w:rPr>
          <w:rFonts w:ascii="Times New Roman" w:hAnsi="Times New Roman"/>
          <w:sz w:val="20"/>
          <w:u w:val="single"/>
        </w:rPr>
        <w:t>Section 3(c)(ii)</w:t>
      </w:r>
      <w:r>
        <w:rPr>
          <w:rFonts w:ascii="Times New Roman" w:hAnsi="Times New Roman"/>
          <w:sz w:val="20"/>
        </w:rPr>
        <w:t xml:space="preserve"> through </w:t>
      </w:r>
      <w:r>
        <w:rPr>
          <w:rFonts w:ascii="Times New Roman" w:hAnsi="Times New Roman"/>
          <w:sz w:val="20"/>
          <w:u w:val="single"/>
        </w:rPr>
        <w:t>Section 3(c)(v)</w:t>
      </w:r>
      <w:r>
        <w:rPr>
          <w:rFonts w:ascii="Times New Roman" w:hAnsi="Times New Roman"/>
          <w:sz w:val="20"/>
        </w:rPr>
        <w:t xml:space="preserve"> hereof, the Company shall promptly (or within the time period provided for by </w:t>
      </w:r>
      <w:r>
        <w:rPr>
          <w:rFonts w:ascii="Times New Roman" w:hAnsi="Times New Roman"/>
          <w:sz w:val="20"/>
          <w:u w:val="single"/>
        </w:rPr>
        <w:t>Section 3(i)</w:t>
      </w:r>
      <w:r>
        <w:rPr>
          <w:rFonts w:ascii="Times New Roman" w:hAnsi="Times New Roman"/>
          <w:sz w:val="20"/>
        </w:rPr>
        <w:t xml:space="preserve"> hereof, if applicable) prepare a post-effective amendment to the Shelf Registration Statement or an amendment or supplement, including any prospectus supplement for a “shelf takedown,” to the related Prospectus or file any other required document to remedy the basis for any suspension of the Shelf Registration Statement and so that, as thereafter delivered to Initial Purchasers of the securities included therein, the Prospectus will not include an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 Upon the occurrence or existence of any pending corporate development, public filing with the Commission or any other material event that, in the reasonable judgment of the Company, makes it appropriate to suspend the availability of the Shelf Registration Statement and the related Prospectus, including any prospectus supplement for a “shelf takedown,” the Company shall give notice (without notice of the nature or details of such events) to the Notice Holders that the availability of the Shelf Registration Statement is suspended and, upon actual receipt of any such notice, each Notice Holder agrees (i) not to sell any Registrable Securities pursuant to the Shelf Registration Statement until such Notice Holder’s receipt of copies of the supplemented or amended Prospectus, including a prospectus supplement for a “shelf takedown,” provided for in </w:t>
      </w:r>
      <w:r>
        <w:rPr>
          <w:rFonts w:ascii="Times New Roman" w:hAnsi="Times New Roman"/>
          <w:sz w:val="20"/>
          <w:u w:val="single"/>
        </w:rPr>
        <w:t>Section 3(h)</w:t>
      </w:r>
      <w:r>
        <w:rPr>
          <w:rFonts w:ascii="Times New Roman" w:hAnsi="Times New Roman"/>
          <w:sz w:val="20"/>
        </w:rPr>
        <w:t xml:space="preserve"> hereof, or until it is advised in writing by the Company that the Prospectus may be used, and has received copies of any additional or supplemental filings that are incorporated or deemed incorporated by reference in such Prospectus and (ii) to hold any such suspension notice in confidence. The period during which the availability of the Shelf Registration Statement and any Prospectus is suspended pursuant to this </w:t>
      </w:r>
      <w:r>
        <w:rPr>
          <w:rFonts w:ascii="Times New Roman" w:hAnsi="Times New Roman"/>
          <w:sz w:val="20"/>
          <w:u w:val="single"/>
        </w:rPr>
        <w:t>Section 3(i)</w:t>
      </w:r>
      <w:r>
        <w:rPr>
          <w:rFonts w:ascii="Times New Roman" w:hAnsi="Times New Roman"/>
          <w:sz w:val="20"/>
        </w:rPr>
        <w:t> (the “</w:t>
      </w:r>
      <w:r>
        <w:rPr>
          <w:rFonts w:ascii="Times New Roman" w:hAnsi="Times New Roman"/>
          <w:sz w:val="20"/>
          <w:u w:val="single"/>
        </w:rPr>
        <w:t>Deferral Period</w:t>
      </w:r>
      <w:r>
        <w:rPr>
          <w:rFonts w:ascii="Times New Roman" w:hAnsi="Times New Roman"/>
          <w:sz w:val="20"/>
        </w:rPr>
        <w:t xml:space="preserve">”) shall not exceed 45 days in any 90-day period or 90 days in any 360-day period; provided, that, if the event triggering the Deferral Period relates to a proposed or pending material business transaction, the disclosure of which the board of trustees of the Company determines in good faith would be reasonably likely to impede the ability to consummate the transaction or would otherwise be seriously detrimental to the Company and its subsidiaries taken a whole, the Company may extend the Deferral Period from 45 days to 60 days in any 90-day period or from 90 days to 120 days in any 360-day period. </w:t>
      </w:r>
    </w:p>
    <w:p>
      <w:pPr>
        <w:pStyle w:val="TextBody"/>
        <w:bidi w:val="0"/>
        <w:spacing w:before="120" w:after="0"/>
        <w:jc w:val="left"/>
        <w:rPr>
          <w:rFonts w:ascii="Times New Roman" w:hAnsi="Times New Roman"/>
          <w:sz w:val="20"/>
        </w:rPr>
      </w:pPr>
      <w:r>
        <w:rPr>
          <w:rFonts w:ascii="Times New Roman" w:hAnsi="Times New Roman"/>
          <w:sz w:val="20"/>
        </w:rPr>
        <w:t xml:space="preserve">(j) The Company shall comply with all applicable rules and regulations of the Commission and shall make generally available to its securityholders an earnings statement satisfying the provisions of Section 11(a) of, and Rule 158 under, the Act as soon as practicable after the effective date of the Shelf Registration Statement (such effective date shall include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filing a prospectus supplement for a “shelf takedown” of Registrable Securities to an effective Shelf Registration Statement) and in any event no later than 45 days after the end of a 12-month period (or 90 days, if such period is a fiscal year) beginning with the first month of the Company’s first fiscal quarter commencing after the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(k) The Company may require each Holder of Common Shares to be sold pursuant to the Shelf Registration Statement to furnish to the Company such information regarding the Holder and the distribution of such Common Shares as the Company may from time to time reasonably require for inclusion in the Shelf Registration Statement. The Company may exclude from the Shelf Registration Statement (including a prospectus supplement for a “shelf takedown” pursuant thereto) the Common Shares of any Holder that unreasonably fails to furnish such information within ten (10) Business Days after receiving such request. </w:t>
      </w:r>
    </w:p>
    <w:p>
      <w:pPr>
        <w:pStyle w:val="TextBody"/>
        <w:bidi w:val="0"/>
        <w:spacing w:before="120" w:after="0"/>
        <w:jc w:val="left"/>
        <w:rPr>
          <w:rFonts w:ascii="Times New Roman" w:hAnsi="Times New Roman"/>
          <w:sz w:val="20"/>
        </w:rPr>
      </w:pPr>
      <w:r>
        <w:rPr>
          <w:rFonts w:ascii="Times New Roman" w:hAnsi="Times New Roman"/>
          <w:sz w:val="20"/>
        </w:rPr>
        <w:t xml:space="preserve">(l) Subject to </w:t>
      </w:r>
      <w:r>
        <w:rPr>
          <w:rFonts w:ascii="Times New Roman" w:hAnsi="Times New Roman"/>
          <w:sz w:val="20"/>
          <w:u w:val="single"/>
        </w:rPr>
        <w:t>Section 6</w:t>
      </w:r>
      <w:r>
        <w:rPr>
          <w:rFonts w:ascii="Times New Roman" w:hAnsi="Times New Roman"/>
          <w:sz w:val="20"/>
        </w:rPr>
        <w:t xml:space="preserve"> hereof, the Company shall enter into customary agreements (including, if requested, an underwriting agreement in customary form) and take all other appropriate actions in order to expedite or facilitate the registration or the disposition of the Common Shares, and in connection therewith, if an underwriting agreement is entered into, cause the same to contain customary indemnification provisions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(m) In connection with any underwritten offering consented to by the Company in accordance with </w:t>
      </w:r>
      <w:r>
        <w:rPr>
          <w:rFonts w:ascii="Times New Roman" w:hAnsi="Times New Roman"/>
          <w:sz w:val="20"/>
          <w:u w:val="single"/>
        </w:rPr>
        <w:t>Section 6</w:t>
      </w:r>
      <w:r>
        <w:rPr>
          <w:rFonts w:ascii="Times New Roman" w:hAnsi="Times New Roman"/>
          <w:sz w:val="20"/>
        </w:rPr>
        <w:t xml:space="preserve"> hereof,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make reasonably available for inspection by the Holders of Common Shares to be registered thereunder, any Underwriter participating in any disposition pursuant to the Shelf Registration Statement, and any attorney, accountant or other agent retained by the Holders or any such Underwriter all relevant financial and other records and pertinent corporate documents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cause the Company’s officers, trustees, employees, accountants and auditors to supply all relevant information reasonably requested by the Holders or any such Underwriter, attorney, accountant or agent in connection with the Shelf Registration Statement as is customary for similar due diligence examinations; </w:t>
      </w:r>
    </w:p>
    <w:p>
      <w:pPr>
        <w:pStyle w:val="TextBody"/>
        <w:bidi w:val="0"/>
        <w:spacing w:before="120" w:after="0"/>
        <w:jc w:val="left"/>
        <w:rPr>
          <w:rFonts w:ascii="Times New Roman" w:hAnsi="Times New Roman"/>
          <w:sz w:val="20"/>
        </w:rPr>
      </w:pPr>
      <w:r>
        <w:rPr>
          <w:rFonts w:ascii="Times New Roman" w:hAnsi="Times New Roman"/>
          <w:sz w:val="20"/>
        </w:rPr>
        <w:t xml:space="preserve">(iii) make such representations and warranties to the Holders of Common Shares registered thereunder and the Underwriters, if any, in form, substance and scope as are customarily made by issuers to underwriters in primary underwritten offerings and covering matters including, but not limited to, those set forth in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(iv) obtain opinions of counsel to the Company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 </w:t>
      </w:r>
    </w:p>
    <w:p>
      <w:pPr>
        <w:pStyle w:val="TextBody"/>
        <w:bidi w:val="0"/>
        <w:spacing w:before="120" w:after="0"/>
        <w:jc w:val="left"/>
        <w:rPr>
          <w:rFonts w:ascii="Times New Roman" w:hAnsi="Times New Roman"/>
          <w:sz w:val="20"/>
        </w:rPr>
      </w:pPr>
      <w:r>
        <w:rPr>
          <w:rFonts w:ascii="Times New Roman" w:hAnsi="Times New Roman"/>
          <w:sz w:val="20"/>
        </w:rPr>
        <w:t xml:space="preserve">(v) obtain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Shelf Registration Statement), addressed to each selling Holder of Common Shares registered thereunder and the Underwriters, if any, in customary form and covering matters of the type customarily covered in “comfort” letters in connection with primary underwritten offerings;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deliver such documents and certificates as may be reasonably requested by the Majority Holders or the Managing Underwriters, if any, including those to evidence compliance with </w:t>
      </w:r>
      <w:r>
        <w:rPr>
          <w:rFonts w:ascii="Times New Roman" w:hAnsi="Times New Roman"/>
          <w:sz w:val="20"/>
          <w:u w:val="single"/>
        </w:rPr>
        <w:t>Section 3(i)</w:t>
      </w:r>
      <w:r>
        <w:rPr>
          <w:rFonts w:ascii="Times New Roman" w:hAnsi="Times New Roman"/>
          <w:sz w:val="20"/>
        </w:rPr>
        <w:t xml:space="preserve"> hereof and with any customary conditions contained in the underwriting agreement or other agreement entered into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actions set forth in clauses (iii) through (vi) of this </w:t>
      </w:r>
      <w:r>
        <w:rPr>
          <w:rFonts w:ascii="Times New Roman" w:hAnsi="Times New Roman"/>
          <w:sz w:val="20"/>
          <w:u w:val="single"/>
        </w:rPr>
        <w:t>Section 3(m)</w:t>
      </w:r>
      <w:r>
        <w:rPr>
          <w:rFonts w:ascii="Times New Roman" w:hAnsi="Times New Roman"/>
          <w:sz w:val="20"/>
        </w:rPr>
        <w:t xml:space="preserve"> shall be performed in connection with any underwriting or similar agreement as and to the extent required thereunder. </w:t>
      </w:r>
    </w:p>
    <w:p>
      <w:pPr>
        <w:pStyle w:val="TextBody"/>
        <w:bidi w:val="0"/>
        <w:spacing w:before="120" w:after="0"/>
        <w:jc w:val="left"/>
        <w:rPr>
          <w:rFonts w:ascii="Times New Roman" w:hAnsi="Times New Roman"/>
          <w:sz w:val="20"/>
        </w:rPr>
      </w:pPr>
      <w:r>
        <w:rPr>
          <w:rFonts w:ascii="Times New Roman" w:hAnsi="Times New Roman"/>
          <w:sz w:val="20"/>
        </w:rPr>
        <w:t xml:space="preserve">(n) In the event that any Broker-Dealer shall underwrite any Common Shares or participate in a public offering (within the meaning of the rules of FINRA) as a member of an underwriting syndicate or selling group, whether as a Holder of such Common Shares or as an Underwriter, a placement or sales agent or a broker or dealer in respect thereof, or otherwise, the Company shall assist such Broker-Dealer in complying with the applicable rules and regulations of FINRA. </w:t>
      </w:r>
    </w:p>
    <w:p>
      <w:pPr>
        <w:pStyle w:val="TextBody"/>
        <w:bidi w:val="0"/>
        <w:spacing w:before="120" w:after="0"/>
        <w:jc w:val="left"/>
        <w:rPr>
          <w:rFonts w:ascii="Times New Roman" w:hAnsi="Times New Roman"/>
          <w:sz w:val="20"/>
        </w:rPr>
      </w:pPr>
      <w:r>
        <w:rPr>
          <w:rFonts w:ascii="Times New Roman" w:hAnsi="Times New Roman"/>
          <w:sz w:val="20"/>
        </w:rPr>
        <w:t xml:space="preserve">(o) The Company shall use its commercially reasonable efforts to take all other steps necessary to effect the registration under the Act of the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Expenses</w:t>
      </w:r>
      <w:r>
        <w:rPr>
          <w:rFonts w:ascii="Times New Roman" w:hAnsi="Times New Roman"/>
          <w:sz w:val="20"/>
        </w:rPr>
        <w:t xml:space="preserve">. The Company shall bear all expenses incurred in connection with the performance of its obligations under </w:t>
      </w:r>
      <w:r>
        <w:rPr>
          <w:rFonts w:ascii="Times New Roman" w:hAnsi="Times New Roman"/>
          <w:sz w:val="20"/>
          <w:u w:val="single"/>
        </w:rPr>
        <w:t>Section 2</w:t>
      </w:r>
      <w:r>
        <w:rPr>
          <w:rFonts w:ascii="Times New Roman" w:hAnsi="Times New Roman"/>
          <w:sz w:val="20"/>
        </w:rPr>
        <w:t xml:space="preserve"> and </w:t>
      </w:r>
      <w:r>
        <w:rPr>
          <w:rFonts w:ascii="Times New Roman" w:hAnsi="Times New Roman"/>
          <w:sz w:val="20"/>
          <w:u w:val="single"/>
        </w:rPr>
        <w:t>Section 3</w:t>
      </w:r>
      <w:r>
        <w:rPr>
          <w:rFonts w:ascii="Times New Roman" w:hAnsi="Times New Roman"/>
          <w:sz w:val="20"/>
        </w:rPr>
        <w:t xml:space="preserve"> hereof and shall reimburse the Holders for the reasonable fees and disbursements of one firm or counsel (which shall initially be Sidley Austin LLP, but which may be another nationally recognized law firm experienced in securities matters designated by the Majority Holders) to act as counsel for the Holders in connection therewith; provided, however, that such expenses shall not include, and the Company shall not have any obligation to pay any underwriting fees, discounts or commissions attributable to the sale of such Registrable Securities, or any fees and expenses of any Broker-Dealer or other financial intermediary engaged by any Holder.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Indemnification and Contribution</w:t>
      </w:r>
      <w:r>
        <w:rPr>
          <w:rFonts w:ascii="Times New Roman" w:hAnsi="Times New Roman"/>
          <w:sz w:val="20"/>
        </w:rPr>
        <w:t>. (a) The Company and the Operating Partnership, jointly and severally, agree to indemnify and hold harmless each Holder of Common Shares covered by any Shelf Registration Statement, each Initial Purchaser, the affiliates (as such term is defined in Rule 501(b) under the Act (each, an “</w:t>
      </w:r>
      <w:r>
        <w:rPr>
          <w:rFonts w:ascii="Times New Roman" w:hAnsi="Times New Roman"/>
          <w:sz w:val="20"/>
          <w:u w:val="single"/>
        </w:rPr>
        <w:t>Affiliate</w:t>
      </w:r>
      <w:r>
        <w:rPr>
          <w:rFonts w:ascii="Times New Roman" w:hAnsi="Times New Roman"/>
          <w:sz w:val="20"/>
        </w:rPr>
        <w:t xml:space="preserve">”), officers and directors of each such Holder or Initial Purchaser and each person, if any, who controls any such Holder or Initial Purchaser within the meaning of either Section 15 of the Act or Section 20 of the Exchange Act against any and all losses, claims, damages or liabilities to which they or any of them may become subject under the Act or otherwise, as incurred, insofar as such losses, claims, damages or liabilities (or actions or proceedings in respect thereof) arise out of or are based upon (a) any untrue statement or alleged untrue statement of any material fact contained or incorporated by reference in any Shelf Registration Statement as originally filed or in any amendment thereof, or in any preliminary Prospectus or Prospectus, any Free Writing Prospectus or any “issuer information” (as defined in Rule 433 of the Act) filed or required to be filed pursuant to Rule 433(d) under the Act, or in any amendment thereof or supplement thereto, or (b) the omission or the alleged omission to state therein a material fact necessary to make the statements therein, in the light of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 which they were made, not misleading, and agrees to reimburse each such indemnified party, as incurred, for any legal or other expenses reasonably incurred by it in connection with investigating or defending any such loss, claim, damage, liability, action or proceeding; provided, however, that the Company and the Operating Partnership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or the Operating Partnership by or on behalf of the party (or its Affiliates, officers or directors) claiming indemnification expressly for use therein (such losses, claims, damages or liabilities described in this sentence, “</w:t>
      </w:r>
      <w:r>
        <w:rPr>
          <w:rFonts w:ascii="Times New Roman" w:hAnsi="Times New Roman"/>
          <w:sz w:val="20"/>
          <w:u w:val="single"/>
        </w:rPr>
        <w:t>Indemnifiable Losses</w:t>
      </w:r>
      <w:r>
        <w:rPr>
          <w:rFonts w:ascii="Times New Roman" w:hAnsi="Times New Roman"/>
          <w:sz w:val="20"/>
        </w:rPr>
        <w:t xml:space="preserve">”). This indemnity agreement shall be in addition to any liability that the Company and the Operating Partnership may otherwise have to the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Operating Partnership also agree to indemnify as provided in this </w:t>
      </w:r>
      <w:r>
        <w:rPr>
          <w:rFonts w:ascii="Times New Roman" w:hAnsi="Times New Roman"/>
          <w:sz w:val="20"/>
          <w:u w:val="single"/>
        </w:rPr>
        <w:t>Section 5(a)</w:t>
      </w:r>
      <w:r>
        <w:rPr>
          <w:rFonts w:ascii="Times New Roman" w:hAnsi="Times New Roman"/>
          <w:sz w:val="20"/>
        </w:rPr>
        <w:t xml:space="preserve"> or contribute as provided in </w:t>
      </w:r>
      <w:r>
        <w:rPr>
          <w:rFonts w:ascii="Times New Roman" w:hAnsi="Times New Roman"/>
          <w:sz w:val="20"/>
          <w:u w:val="single"/>
        </w:rPr>
        <w:t>Section 5(d)</w:t>
      </w:r>
      <w:r>
        <w:rPr>
          <w:rFonts w:ascii="Times New Roman" w:hAnsi="Times New Roman"/>
          <w:sz w:val="20"/>
        </w:rPr>
        <w:t xml:space="preserve"> hereof to Losses of each Underwriter, if any, of Common Shares registered under any Shelf Registration Statement, its directors, officers, employees, Affiliates or agents and each person who controls such Underwriter on substantially the same basis as that of the indemnification of the Initial Purchasers and the selling Holders provided in this </w:t>
      </w:r>
      <w:r>
        <w:rPr>
          <w:rFonts w:ascii="Times New Roman" w:hAnsi="Times New Roman"/>
          <w:sz w:val="20"/>
          <w:u w:val="single"/>
        </w:rPr>
        <w:t>Section 5(a)</w:t>
      </w:r>
      <w:r>
        <w:rPr>
          <w:rFonts w:ascii="Times New Roman" w:hAnsi="Times New Roman"/>
          <w:sz w:val="20"/>
        </w:rPr>
        <w:t xml:space="preserve"> and shall, if requested by any Holder, but subject to Section 6, enter into an underwriting agreement reflecting such agreement, as provided in </w:t>
      </w:r>
      <w:r>
        <w:rPr>
          <w:rFonts w:ascii="Times New Roman" w:hAnsi="Times New Roman"/>
          <w:sz w:val="20"/>
          <w:u w:val="single"/>
        </w:rPr>
        <w:t>Section 3(l)</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(b) Each Holder of securities covered by any Shelf Registration Statement (including each Initial Purchaser that is a Holder, in such capacity) severally and not jointly agrees to indemnify and hold harmless the Company and the Operating Partnership, each of its directors, each of its officers who signs such Shelf Registration Statement and each person who controls the Company or the Operating Partnership within the meaning of either the Act or the Exchange Act, to the same extent as the foregoing indemnity from the Company and the Operating Partnership to each such Holder, but only with reference to written information relating to such Holder furnished to the Company or the Operating Partnership by or on behalf of such Holder expressly for use in the documents referred to in the foregoing indemnity. This indemnity agreement shall be acknowledged by each Notice Holder that is not an Initial Purchaser in such Notice Holder’s Notice and Questionnaire and shall be in addition to any liability that any such Notice Holder may otherwise have to the Company or the 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Section 5</w:t>
      </w:r>
      <w:r>
        <w:rPr>
          <w:rFonts w:ascii="Times New Roman" w:hAnsi="Times New Roman"/>
          <w:sz w:val="20"/>
        </w:rPr>
        <w:t xml:space="preserve"> or notice of the commencement of any action, such indemnified party will, if a claim in respect thereof is to be made against the indemnifying party under this </w:t>
      </w:r>
      <w:r>
        <w:rPr>
          <w:rFonts w:ascii="Times New Roman" w:hAnsi="Times New Roman"/>
          <w:sz w:val="20"/>
          <w:u w:val="single"/>
        </w:rPr>
        <w:t>Section 5</w:t>
      </w:r>
      <w:r>
        <w:rPr>
          <w:rFonts w:ascii="Times New Roman" w:hAnsi="Times New Roman"/>
          <w:sz w:val="20"/>
        </w:rPr>
        <w:t xml:space="preserve">, notify the indemnifying party in writing of the commencement thereof; but the failure so to notify the indemnifying party (i) will not relieve it from liability under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indemnified party or parties except as set forth below); provided, however,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The indemnifying party shall indemnify and hold harmless the indemnified party from and against any and all losses, claims, damages, liabilities and judgments by reason of any settlement of any action effected (i) with its written consent, or (ii) without its written consent if the settlement is entered into more than twenty (20) Business Days after the indemnifying party received a request from the indemnified party for reimbursement for the fees and expenses of counsel (in any case where such fees and expenses are at the expense of the indemnifying party) and, prior to the date of such settlement, the indemnifying party has failed to comply with such reimbursement request. An indemnifying party will not, without the prior written consent of the indemnified party, settle or compromise or consent to the entry of any judgment with respect to any pending or threatened claim, action, suit or proceeding in respect of which indemnification or contribution may be sought hereunder (whether or not the indemnified party is an actual or potential parties to such claim or action) unless such settlement, compromise or consent (i) includes an unconditional release of such indemnified party from all liability arising out of such claim, action, suit or proceeding and (ii) does not include a statement as to or an admission of fault, culpability or a failure to act, by or on behalf of the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the indemnity provided in this </w:t>
      </w:r>
      <w:r>
        <w:rPr>
          <w:rFonts w:ascii="Times New Roman" w:hAnsi="Times New Roman"/>
          <w:sz w:val="20"/>
          <w:u w:val="single"/>
        </w:rPr>
        <w:t>Section 5</w:t>
      </w:r>
      <w:r>
        <w:rPr>
          <w:rFonts w:ascii="Times New Roman" w:hAnsi="Times New Roman"/>
          <w:sz w:val="20"/>
        </w:rPr>
        <w:t xml:space="preserve"> hereof is unavailable to or insufficient to hold harmless an indemnified party for Indemnifiable Losses for any reason, then each applicable indemnifying party shall have a joint and several obligation to contribute to the aggregate losses, claims, damages and liabilities (including legal or other expenses reasonably incurred in connection with investigating or defending loss, claim, liability, damage or action) (collectively “</w:t>
      </w:r>
      <w:r>
        <w:rPr>
          <w:rFonts w:ascii="Times New Roman" w:hAnsi="Times New Roman"/>
          <w:sz w:val="20"/>
          <w:u w:val="single"/>
        </w:rPr>
        <w:t>Losses</w:t>
      </w:r>
      <w:r>
        <w:rPr>
          <w:rFonts w:ascii="Times New Roman" w:hAnsi="Times New Roman"/>
          <w:sz w:val="20"/>
        </w:rPr>
        <w:t xml:space="preserve">”) to which such indemnifying party may be subject in such proportion as is appropriate to reflect the relative benefits received by such indemnifying party, on the one hand, and such indemnified party, on the other hand, from the Initial Placement and the Shelf Registration Statement which resulted in such Losses; provided, however, that in no case shall any Initial Purchaser be responsible, in the aggregate, for any amount in excess of the commission applicable to the Notes, as set forth in the Final Memorandum, nor shall any Underwriter be responsible for any amount in excess of the underwriting discount or commission applicable to the securities purchased by such Underwriter under such Shelf Registration Statement which resulted in such Losses, nor shall any Holder be responsible, in the aggregate, for any amount in excess of the amount by which the total amount received by such Holder with respect to its sale of securities covered by such Registration Statement exceeds the sum of (i) the amount paid by such Holder for such securities plus (ii) the amount of any damages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has otherwise been required to pay by reason of an untrue or alleged untrue statement or omission or alleged omission of such Holder.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Company and the Operating Partnership shall be deemed to be equal to the total net proceeds from the Initial Placement (before deducting expenses) as set forth in the Final Memorandum. Benefits received by the Initial Purchasers shall be deemed to be equal to the total commissions as set forth in the Final Memorandum, and benefits received by any other Holders shall be deemed to be equal to the value of receiving Common Shares registered under the Act. Benefits received by any Underwriter shall be deemed to be equal to the total underwriting discounts and commissions, as set forth on the cover page of the Prospectus forming a part of the Shelf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contributions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w:t>
      </w:r>
      <w:r>
        <w:rPr>
          <w:rFonts w:ascii="Times New Roman" w:hAnsi="Times New Roman"/>
          <w:sz w:val="20"/>
          <w:u w:val="single"/>
        </w:rPr>
        <w:t>Section 5</w:t>
      </w:r>
      <w:r>
        <w:rPr>
          <w:rFonts w:ascii="Times New Roman" w:hAnsi="Times New Roman"/>
          <w:sz w:val="20"/>
        </w:rPr>
        <w:t xml:space="preserve">, each person who controls a Holder within the meaning of either the Act or the Exchange Act and each director, officer, employee and agent of such Holder shall have the same rights to contribution as such Holder, and each person who controls the Company or the Operating Partnership within the meaning of either the Act or the Exchange Act, each officer of the Company or the Operating Partnership who shall have signed the Shelf Registration Statement and each trustee or director of the Company or the Operating Partnership shall have the same rights to contribution as the Company and the Operating Partnership, subject in each case to the applicable terms and conditions of this </w:t>
      </w:r>
      <w:r>
        <w:rPr>
          <w:rFonts w:ascii="Times New Roman" w:hAnsi="Times New Roman"/>
          <w:sz w:val="20"/>
          <w:u w:val="single"/>
        </w:rPr>
        <w:t>Section 5(d)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5</w:t>
      </w:r>
      <w:r>
        <w:rPr>
          <w:rFonts w:ascii="Times New Roman" w:hAnsi="Times New Roman"/>
          <w:sz w:val="20"/>
        </w:rPr>
        <w:t xml:space="preserve"> shall remain in full force and effect, regardless of any investigation made by or on behalf of any Holder or the Company or the Operating Partnership or any of the indemnified persons referred to in this </w:t>
      </w:r>
      <w:r>
        <w:rPr>
          <w:rFonts w:ascii="Times New Roman" w:hAnsi="Times New Roman"/>
          <w:sz w:val="20"/>
          <w:u w:val="single"/>
        </w:rPr>
        <w:t>Section 5</w:t>
      </w:r>
      <w:r>
        <w:rPr>
          <w:rFonts w:ascii="Times New Roman" w:hAnsi="Times New Roman"/>
          <w:sz w:val="20"/>
        </w:rPr>
        <w:t xml:space="preserve">, and shall survive the sale by a Holder of securities covered by a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Underwritten Registrations</w:t>
      </w:r>
      <w:r>
        <w:rPr>
          <w:rFonts w:ascii="Times New Roman" w:hAnsi="Times New Roman"/>
          <w:sz w:val="20"/>
        </w:rPr>
        <w:t xml:space="preserve">. (a) In no event will the method of distribution of Registrable Securities take the form of an underwritten offering without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If any Common Shares covered by a Shelf Registration Statement are to be sold in an underwritten offering, the Managing Underwriters shall be selected by the Company, subject to the prior written consent of the Majority Holders, which consent shall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person may participate in any underwritten offering pursuant to a Shelf Registration Statement unless such person (i) agrees to sell such person’s Common Shares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Registration Defaults</w:t>
      </w:r>
      <w:r>
        <w:rPr>
          <w:rFonts w:ascii="Times New Roman" w:hAnsi="Times New Roman"/>
          <w:sz w:val="20"/>
        </w:rPr>
        <w:t>. If any of the following events (each, a “</w:t>
      </w:r>
      <w:r>
        <w:rPr>
          <w:rFonts w:ascii="Times New Roman" w:hAnsi="Times New Roman"/>
          <w:sz w:val="20"/>
          <w:u w:val="single"/>
        </w:rPr>
        <w:t>Registration Default</w:t>
      </w:r>
      <w:r>
        <w:rPr>
          <w:rFonts w:ascii="Times New Roman" w:hAnsi="Times New Roman"/>
          <w:sz w:val="20"/>
        </w:rPr>
        <w:t>”) shall occur, then the Company shall pay liquidated damages (the “</w:t>
      </w:r>
      <w:r>
        <w:rPr>
          <w:rFonts w:ascii="Times New Roman" w:hAnsi="Times New Roman"/>
          <w:sz w:val="20"/>
          <w:u w:val="single"/>
        </w:rPr>
        <w:t>Registration Default Damages</w:t>
      </w:r>
      <w:r>
        <w:rPr>
          <w:rFonts w:ascii="Times New Roman" w:hAnsi="Times New Roman"/>
          <w:sz w:val="20"/>
        </w:rPr>
        <w:t xml:space="preserve">”) to the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a Shelf Registration Statement (which shall be, if the Company is then a Well-Known Seasoned Issuer, an Automatic Shelf Registration Statement) or a prospectus supplement to an effective Shelf Registration Statement of the Company is not filed with the Commission on or prior to the 90th day following the Closing Date, then commencing on the 91st day after the Closing Date, Registration Default Damages shall accrue on the aggregate outstanding principal amount of the Notes, at a rate of 0.25% per annum for the first 90 days from and including such 91st day and 0.50% per annum thereafter; or </w:t>
      </w:r>
    </w:p>
    <w:p>
      <w:pPr>
        <w:pStyle w:val="TextBody"/>
        <w:bidi w:val="0"/>
        <w:spacing w:before="120" w:after="0"/>
        <w:jc w:val="left"/>
        <w:rPr>
          <w:rFonts w:ascii="Times New Roman" w:hAnsi="Times New Roman"/>
          <w:sz w:val="20"/>
        </w:rPr>
      </w:pPr>
      <w:r>
        <w:rPr>
          <w:rFonts w:ascii="Times New Roman" w:hAnsi="Times New Roman"/>
          <w:sz w:val="20"/>
        </w:rPr>
        <w:t xml:space="preserve">(b) if a Shelf Registration Statement is not declared effective by the Commission (or has not become effective in the case of an Automatic Shelf Registration Statement) on or prior to the 180th day following the Closing Date, then commencing on the 181st day after the Closing Date, Registration Default Damages shall accrue on the aggregate outstanding principal amount of the Notes, at a rate of 0.25% per annum for the first 90 days from and including such 181st day and 0.50% per annum thereafter; or </w:t>
      </w:r>
    </w:p>
    <w:p>
      <w:pPr>
        <w:pStyle w:val="TextBody"/>
        <w:bidi w:val="0"/>
        <w:spacing w:before="120" w:after="0"/>
        <w:jc w:val="left"/>
        <w:rPr>
          <w:rFonts w:ascii="Times New Roman" w:hAnsi="Times New Roman"/>
          <w:sz w:val="20"/>
        </w:rPr>
      </w:pPr>
      <w:r>
        <w:rPr>
          <w:rFonts w:ascii="Times New Roman" w:hAnsi="Times New Roman"/>
          <w:sz w:val="20"/>
        </w:rPr>
        <w:t xml:space="preserve">(c) if a Shelf Registration Statement has been declared or becomes effective but ceases to be effective or usable for the offer and sale of the Registrable Securities, other than in connection with (A) a Deferral Period or (B) as a result of a requirement to file a new Shelf Registration Statement, a post-effective amendment or supplement to the Prospectus to make changes to the information regarding selling securityholders or the plan of distribution provided for therein, at any time during the Shelf Registration Period and the Company does not cure the lapse of effectiveness or usability within ten (10) Business Days (or, if a Deferral Period is then in effect and subject to the 20 Business Day filing requirement and the proviso regarding the filing of post-effective amendments in </w:t>
      </w:r>
      <w:r>
        <w:rPr>
          <w:rFonts w:ascii="Times New Roman" w:hAnsi="Times New Roman"/>
          <w:sz w:val="20"/>
          <w:u w:val="single"/>
        </w:rPr>
        <w:t>Section 2(e)</w:t>
      </w:r>
      <w:r>
        <w:rPr>
          <w:rFonts w:ascii="Times New Roman" w:hAnsi="Times New Roman"/>
          <w:sz w:val="20"/>
        </w:rPr>
        <w:t xml:space="preserve"> with respect to any Notice and Questionnaire received during such period, within ten (10) Business Days following the expiration of such Deferral Period or period permitted pursuant to </w:t>
      </w:r>
      <w:r>
        <w:rPr>
          <w:rFonts w:ascii="Times New Roman" w:hAnsi="Times New Roman"/>
          <w:sz w:val="20"/>
          <w:u w:val="single"/>
        </w:rPr>
        <w:t>Section 2(e)</w:t>
      </w:r>
      <w:r>
        <w:rPr>
          <w:rFonts w:ascii="Times New Roman" w:hAnsi="Times New Roman"/>
          <w:sz w:val="20"/>
        </w:rPr>
        <w:t xml:space="preserve">) then Registration Default Damages shall accrue on the aggregate outstanding principal amount of the Notes at a rate of 0.25% per annum for the first 90 days from and including the day following such 10th Business Day and 0.50% per annum thereafter; or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through its omission fails to name as a selling securityholder any Holder that had complied timely with its obligations hereunder in a manner to entitle such Holder to be so named in (i) a Shelf Registration Statement at the time it first became effective or (ii) any Prospectus, including a prospectus supplement for a “shelf takedown” pursuant thereto, at the later of time of filing thereof or the time the Shelf Registration Statement of which the Prospectus forms a part becomes effective then Registration Default Damages shall accrue, on the aggregate outstanding principal amount of the Notes held by such Holder, at a rate of 0.25% per annum for the first 90 days from and including the day following the effective date of such Shelf Registration Statement or the time of filing of such Prospectus, as the case may be, and 0.50% per annum thereafter;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aggregate duration of Deferral Periods in any period exceeds the number of days permitted in respect of such period pursuant to </w:t>
      </w:r>
      <w:r>
        <w:rPr>
          <w:rFonts w:ascii="Times New Roman" w:hAnsi="Times New Roman"/>
          <w:sz w:val="20"/>
          <w:u w:val="single"/>
        </w:rPr>
        <w:t>Section 3(i)</w:t>
      </w:r>
      <w:r>
        <w:rPr>
          <w:rFonts w:ascii="Times New Roman" w:hAnsi="Times New Roman"/>
          <w:sz w:val="20"/>
        </w:rPr>
        <w:t xml:space="preserve"> hereof, then commencing on the day the aggregate duration of Deferral Periods in any period exceeds the number of days permitted in respect of such period, Registration Default Damages shall accrue on the aggregate outstanding principal amount of the Notes at a rate of 0.25% per annum for the first 90 days from and including such date, and 0.50% per annum thereafter;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the Registration Default Damages described above shall accrue from and including the dates specified above and to but excluding the earlier of (A) (1) the filing of the Shelf Registration Statement or prospectus supplement (in the case of paragraph (a) above), (2) the effectiveness of the Shelf Registration Statement (in the case of paragraph (b) above), (3) such time as the Shelf Registration Statement which had ceased to remain effective or usable for resales again becomes effective and usable for resales (in the case of paragraph (c) above), (4) the time such Holder is permitted to sell its Registrable Securities pursuant to any Shelf Registration Statement and Prospectus in accordance with applicable law (in the case of paragraph (d) above) or (5) the termination of the Deferral Period that caused the limit on the aggregate duration of Deferral Periods in a period set forth in </w:t>
      </w:r>
      <w:r>
        <w:rPr>
          <w:rFonts w:ascii="Times New Roman" w:hAnsi="Times New Roman"/>
          <w:sz w:val="20"/>
          <w:u w:val="single"/>
        </w:rPr>
        <w:t>Section 3(i)</w:t>
      </w:r>
      <w:r>
        <w:rPr>
          <w:rFonts w:ascii="Times New Roman" w:hAnsi="Times New Roman"/>
          <w:sz w:val="20"/>
        </w:rPr>
        <w:t xml:space="preserve"> hereof to be exceeded (in the case of paragraph (e) above) and (B) the date the related Shelf Registration Statement is no longer required to be kept effective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amounts of Registration Default Damages due pursuant to this </w:t>
      </w:r>
      <w:r>
        <w:rPr>
          <w:rFonts w:ascii="Times New Roman" w:hAnsi="Times New Roman"/>
          <w:sz w:val="20"/>
          <w:u w:val="single"/>
        </w:rPr>
        <w:t>Section 7</w:t>
      </w:r>
      <w:r>
        <w:rPr>
          <w:rFonts w:ascii="Times New Roman" w:hAnsi="Times New Roman"/>
          <w:sz w:val="20"/>
        </w:rPr>
        <w:t xml:space="preserve"> will be payable in cash on the next succeeding interest payment date to Holders entitled to receive such Registration Default Damages on the relevant record dates for the payment of interest. If any Note ceases to be outstanding during any period for which Registration Default Damages are accruing, the Company will prorate the Registration Default Damages payable with respect to such Note.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Default Damages rate on the Notes shall not exceed in the aggregate 0.50% per annum and shall not be payable under more than one clause above for any given period of time, except that if Registration Default Damages would be payable because of more than one Registration Default, but at a rate of 0.25% per annum under one Registration Default and at a rate of 0.50% per annum under the other, then the Registration Default Damages rate shall be the higher rate of 0.50% per annum. Other than the Company’s obligation to pay Registration Default Damages in accordance with this </w:t>
      </w:r>
      <w:r>
        <w:rPr>
          <w:rFonts w:ascii="Times New Roman" w:hAnsi="Times New Roman"/>
          <w:sz w:val="20"/>
          <w:u w:val="single"/>
        </w:rPr>
        <w:t>Section 7</w:t>
      </w:r>
      <w:r>
        <w:rPr>
          <w:rFonts w:ascii="Times New Roman" w:hAnsi="Times New Roman"/>
          <w:sz w:val="20"/>
        </w:rPr>
        <w:t xml:space="preserve">, neither the Company nor the Operating Partnership will have any liability for damages with respect to a Registration Default.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in this Agreement, in no event shall Registration Default Damages accrue to holders of Common Shares issued upon exchange of Notes. In lieu thereof, the Exchange Rate (as defined in the Indenture) shall be increased by 3.00% for each $1,000 principal amount of Notes exchanged at a time when such Registration Default has occurred and is continuing; provided, however, that (i) the foregoing adjustment shall not be applied more than once to the same $1,000 principal amount of Notes and (ii) if a Registration Default occurs after a Holder has exchanged its Notes into Common Shares, such Holder shall not be entitled to any compensation with respect to such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 event shall Registration Default Damages, together with Additional Interest (as defined in the Indenture) relating to the Operating Partnership’s failure to comply with its obligations as set forth in Section 4.06(b) of the Indenture, accrue on the Notes at a per annum rate, in the aggregate, in excess of 0.50% per annum, regardless of the number of events or circumstances giving rise to the requirement to pay such Registration Default Damages and Additional Interest.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Inconsistent Agreements</w:t>
      </w:r>
      <w:r>
        <w:rPr>
          <w:rFonts w:ascii="Times New Roman" w:hAnsi="Times New Roman"/>
          <w:sz w:val="20"/>
        </w:rPr>
        <w:t xml:space="preserve">. Neither the Company nor the Operating Partnership has entered into, and each agrees not to enter into, any agreement with respect to its securities that is inconsistent with the registration rights granted to the Holders herein.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Rule 144A and Rule 144</w:t>
      </w:r>
      <w:r>
        <w:rPr>
          <w:rFonts w:ascii="Times New Roman" w:hAnsi="Times New Roman"/>
          <w:sz w:val="20"/>
        </w:rPr>
        <w:t xml:space="preserve">. So long as any Registrable Securities remain outstanding, the Company shall use its commercially reasonable efforts to file the reports required to be filed by it under Rule 144A(d)(4) under the Act and the Exchange Act in a timely manner and, if at any time the Company is not required to file such reports, it will, upon the written request of any Holder of Registrable Securities, make publicly available other information so long as necessary to permit sales of such Holder’s Registrable Securities pursuant to Rules 144 and 144A of the Act. The Company covenants that it will take such further action as any Holder of Registrable Securities may reasonably request, all to the extent required from time to time to enable such Holder to sell Registrable Securities without registration under the Act within the limitation of the exemptions provided by Rules 144 and 144A (including, without limitation, the requirements of Rule 144A(d)(4)). Upon the written request of any Holder of Registrable Securities, the Company shall deliver to such Holder a written statement as to whether it has complied with such requirements. Notwithstanding the foregoing, nothing in this </w:t>
      </w:r>
      <w:r>
        <w:rPr>
          <w:rFonts w:ascii="Times New Roman" w:hAnsi="Times New Roman"/>
          <w:sz w:val="20"/>
          <w:u w:val="single"/>
        </w:rPr>
        <w:t>Section 9</w:t>
      </w:r>
      <w:r>
        <w:rPr>
          <w:rFonts w:ascii="Times New Roman" w:hAnsi="Times New Roman"/>
          <w:sz w:val="20"/>
        </w:rPr>
        <w:t xml:space="preserve"> shall be deemed to require the Company or the Operating Partnership to register any of its securities pursuant to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Listing</w:t>
      </w:r>
      <w:r>
        <w:rPr>
          <w:rFonts w:ascii="Times New Roman" w:hAnsi="Times New Roman"/>
          <w:sz w:val="20"/>
        </w:rPr>
        <w:t xml:space="preserve">. So long as any Registrable Securities are outstanding, the Company shall use its commercially reasonable efforts to maintain the approval of the Common Shares for listing on the New York Stock Exchange or such other exchange or trading market as the Common Shares are then listed.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Amendments and Waivers</w:t>
      </w:r>
      <w:r>
        <w:rPr>
          <w:rFonts w:ascii="Times New Roman" w:hAnsi="Times New Roman"/>
          <w:sz w:val="20"/>
        </w:rPr>
        <w:t xml:space="preserve">. The provisions of this Agreement may not be amended, qualified, modified or supplemented, and waivers or consents to departures from the provisions hereof may not be given, unless the Company has consented thereto and has obtained the written consent of the Majority Holders; provided, that, with respect to any matter that directly or indirectly affects the rights of any Initial Purchaser hereunder, the Company shall obtain the written consent of each such Initial Purchaser against which such amendment, qualification, supplement, waiver or consent is to be effective; provided, further, that no amendment, qualification, supplement, waiver or consent with respect to </w:t>
      </w:r>
      <w:r>
        <w:rPr>
          <w:rFonts w:ascii="Times New Roman" w:hAnsi="Times New Roman"/>
          <w:sz w:val="20"/>
          <w:u w:val="single"/>
        </w:rPr>
        <w:t>Section 7</w:t>
      </w:r>
      <w:r>
        <w:rPr>
          <w:rFonts w:ascii="Times New Roman" w:hAnsi="Times New Roman"/>
          <w:sz w:val="20"/>
        </w:rPr>
        <w:t xml:space="preserve"> hereof shall be effective as against any Holder of Registrable Securities unless consented to in writing by such Holder; and provided, further, that the provisions of this </w:t>
      </w:r>
      <w:r>
        <w:rPr>
          <w:rFonts w:ascii="Times New Roman" w:hAnsi="Times New Roman"/>
          <w:sz w:val="20"/>
          <w:u w:val="single"/>
        </w:rPr>
        <w:t>Section 11</w:t>
      </w:r>
      <w:r>
        <w:rPr>
          <w:rFonts w:ascii="Times New Roman" w:hAnsi="Times New Roman"/>
          <w:sz w:val="20"/>
        </w:rPr>
        <w:t xml:space="preserve"> may not be amended, qualified, modified or supplemented, and waivers or consents to departures from the provisions hereof may not be given, unless the Company has consented thereto and has obtained the written consent of the Initial Purchasers and each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and other communications provided for or permitted hereunder shall be made in writing by hand-delivery, first-class mail, telex, telecopier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(a) if to a Holder, at the most current address given by such holder to the Company in accordance with the provisions of the Notice and Questionnaire; </w:t>
      </w:r>
    </w:p>
    <w:p>
      <w:pPr>
        <w:pStyle w:val="TextBody"/>
        <w:bidi w:val="0"/>
        <w:spacing w:before="120" w:after="0"/>
        <w:jc w:val="left"/>
        <w:rPr>
          <w:rFonts w:ascii="Times New Roman" w:hAnsi="Times New Roman"/>
          <w:sz w:val="20"/>
        </w:rPr>
      </w:pPr>
      <w:r>
        <w:rPr>
          <w:rFonts w:ascii="Times New Roman" w:hAnsi="Times New Roman"/>
          <w:sz w:val="20"/>
        </w:rPr>
        <w:t xml:space="preserve">(b) if to the Initial Purchasers or the Representatives, initially at the address or addresses set forth in the Purchase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if to the Company or the Operating Partnership, initially at its address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when received. </w:t>
      </w:r>
    </w:p>
    <w:p>
      <w:pPr>
        <w:pStyle w:val="TextBody"/>
        <w:bidi w:val="0"/>
        <w:spacing w:before="240" w:after="0"/>
        <w:jc w:val="left"/>
        <w:rPr>
          <w:rFonts w:ascii="Times New Roman" w:hAnsi="Times New Roman"/>
          <w:sz w:val="20"/>
        </w:rPr>
      </w:pPr>
      <w:r>
        <w:rPr>
          <w:rFonts w:ascii="Times New Roman" w:hAnsi="Times New Roman"/>
          <w:sz w:val="20"/>
        </w:rPr>
        <w:t xml:space="preserve">The Initial Purchasers, the Company or the Operating Partnership by notice to the other parties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notices given to Holders (i) holding Notes in book-entry form may be given through the facilities of The Depository Trust Company or any successor depository and (ii) may be given by e-mail at the e-mail address provided by such Holder in accordance with the provisions of the Notice and Questionnaire.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Remedies</w:t>
      </w:r>
      <w:r>
        <w:rPr>
          <w:rFonts w:ascii="Times New Roman" w:hAnsi="Times New Roman"/>
          <w:sz w:val="20"/>
        </w:rPr>
        <w:t xml:space="preserve">. Each Holder, in addition to being entitled to exercise all rights provided to it herein or in the Purchase Agreement or granted by law, including recovery of liquidated or other damages, will be entitled to specific performance of its rights under this Agreement. The Company and the Operating Partnership agree that monetary damages would not be adequate compensation for any loss incurred by reason of a breach by them of the provisions of this Agreement and hereby agree to waive in any action for specific performance the defense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w:t>
      </w:r>
      <w:r>
        <w:rPr>
          <w:rFonts w:ascii="Times New Roman" w:hAnsi="Times New Roman"/>
          <w:sz w:val="20"/>
        </w:rPr>
        <w:t xml:space="preserve">. This Agreement shall inure to the benefit of and be binding upon the parties hereto, their respective successors and assigns, including, without the need for an express assignment or any consent by the Company or the Operating Partnership thereto, subsequent Holders of Registrable Securities, and the indemnified persons referred to in </w:t>
      </w:r>
      <w:r>
        <w:rPr>
          <w:rFonts w:ascii="Times New Roman" w:hAnsi="Times New Roman"/>
          <w:sz w:val="20"/>
          <w:u w:val="single"/>
        </w:rPr>
        <w:t>Section 5</w:t>
      </w:r>
      <w:r>
        <w:rPr>
          <w:rFonts w:ascii="Times New Roman" w:hAnsi="Times New Roman"/>
          <w:sz w:val="20"/>
        </w:rPr>
        <w:t xml:space="preserve"> hereof. The Company and the Operating Partnership hereby agree to extend the benefits of this Agreement to any Holder of Registrable Securities, and any such Holder may specifically enforce the provisions of this Agreement as if an original party hereto.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Applicable Law</w:t>
      </w:r>
      <w:r>
        <w:rPr>
          <w:rFonts w:ascii="Times New Roman" w:hAnsi="Times New Roman"/>
          <w:sz w:val="20"/>
        </w:rPr>
        <w:t xml:space="preserve">.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QFC Stay Rider</w:t>
      </w:r>
      <w:r>
        <w:rPr>
          <w:rFonts w:ascii="Times New Roman" w:hAnsi="Times New Roman"/>
          <w:sz w:val="20"/>
        </w:rPr>
        <w:t xml:space="preserv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of the Initial Purchasers that is a Covered Entity (as defined below)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of the Initial Purchasers that is a Covered Entity or a BHC Act Affiliate of such Initial Purchaser becomes subject to a proceeding under a U.S. Special Resolution Regime, Default Rights (as defined below) under this Agreement that may be exercised against such Initial Purchaser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w:t>
      </w:r>
      <w:r>
        <w:rPr>
          <w:rFonts w:ascii="Times New Roman" w:hAnsi="Times New Roman"/>
          <w:sz w:val="20"/>
          <w:u w:val="single"/>
        </w:rPr>
        <w:t>Section 18</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Rights”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Severability</w:t>
      </w:r>
      <w:r>
        <w:rPr>
          <w:rFonts w:ascii="Times New Roman" w:hAnsi="Times New Roman"/>
          <w:sz w:val="20"/>
        </w:rPr>
        <w:t xml:space="preserve">.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Common Shares Held by the Company, etc</w:t>
      </w:r>
      <w:r>
        <w:rPr>
          <w:rFonts w:ascii="Times New Roman" w:hAnsi="Times New Roman"/>
          <w:sz w:val="20"/>
        </w:rPr>
        <w:t xml:space="preserve">. Whenever the consent or approval of Holders of a specified percentage of Common Shares is required hereunder, Common Shares held by the Company or its Affiliates (other than subsequent Holders of Common Shares if such subsequent Holders are deemed to be Affiliates solely by reason of their holdings of such Common Shares) shall not be counted in determining whether such consent or approval was given by the Holders of such required percentage.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by and among the Company, the Operating Partnership and the several Initial Purchasers.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79"/>
        <w:gridCol w:w="60"/>
        <w:gridCol w:w="362"/>
        <w:gridCol w:w="60"/>
        <w:gridCol w:w="3321"/>
      </w:tblGrid>
      <w:tr>
        <w:trPr/>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0"/>
              <w:jc w:val="left"/>
              <w:rPr>
                <w:rFonts w:ascii="Times New Roman" w:hAnsi="Times New Roman"/>
                <w:sz w:val="20"/>
              </w:rPr>
            </w:pPr>
            <w:r>
              <w:rPr>
                <w:rFonts w:ascii="Times New Roman" w:hAnsi="Times New Roman"/>
                <w:sz w:val="20"/>
              </w:rPr>
              <w:t>Very truly yours,</w:t>
            </w:r>
          </w:p>
        </w:tc>
      </w:tr>
      <w:tr>
        <w:trPr>
          <w:trHeight w:val="240" w:hRule="atLeast"/>
        </w:trPr>
        <w:tc>
          <w:tcPr>
            <w:tcW w:w="279" w:type="dxa"/>
            <w:tcBorders/>
            <w:vAlign w:val="center"/>
          </w:tcPr>
          <w:p>
            <w:pPr>
              <w:pStyle w:val="TableContents"/>
              <w:bidi w:val="0"/>
              <w:spacing w:before="0" w:after="283"/>
              <w:jc w:val="left"/>
              <w:rPr>
                <w:sz w:val="4"/>
                <w:szCs w:val="4"/>
              </w:rPr>
            </w:pPr>
            <w:r>
              <w:rPr>
                <w:sz w:val="4"/>
                <w:szCs w:val="4"/>
              </w:rPr>
            </w:r>
          </w:p>
        </w:tc>
        <w:tc>
          <w:tcPr>
            <w:tcW w:w="3803" w:type="dxa"/>
            <w:gridSpan w:val="4"/>
            <w:tcBorders/>
            <w:vAlign w:val="center"/>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3" w:type="dxa"/>
            <w:gridSpan w:val="3"/>
            <w:tcBorders/>
          </w:tcPr>
          <w:p>
            <w:pPr>
              <w:pStyle w:val="TableContents"/>
              <w:bidi w:val="0"/>
              <w:spacing w:before="0" w:after="283"/>
              <w:jc w:val="left"/>
              <w:rPr>
                <w:b/>
              </w:rPr>
            </w:pPr>
            <w:r>
              <w:rPr>
                <w:b/>
              </w:rPr>
              <w:t>FEDERAL REALTY INVESTMENT TRUST</w:t>
            </w:r>
          </w:p>
        </w:tc>
      </w:tr>
      <w:tr>
        <w:trPr>
          <w:trHeight w:val="240" w:hRule="atLeast"/>
        </w:trPr>
        <w:tc>
          <w:tcPr>
            <w:tcW w:w="279" w:type="dxa"/>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Guglielmone</w:t>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Daniel Guglielmone</w:t>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Executive Vice President-Chief Executive Officer and Treasurer</w:t>
            </w:r>
          </w:p>
        </w:tc>
      </w:tr>
      <w:tr>
        <w:trPr>
          <w:trHeight w:val="240" w:hRule="atLeast"/>
        </w:trPr>
        <w:tc>
          <w:tcPr>
            <w:tcW w:w="279" w:type="dxa"/>
            <w:tcBorders/>
            <w:vAlign w:val="center"/>
          </w:tcPr>
          <w:p>
            <w:pPr>
              <w:pStyle w:val="TableContents"/>
              <w:bidi w:val="0"/>
              <w:spacing w:before="0" w:after="283"/>
              <w:jc w:val="left"/>
              <w:rPr>
                <w:sz w:val="4"/>
                <w:szCs w:val="4"/>
              </w:rPr>
            </w:pPr>
            <w:r>
              <w:rPr>
                <w:sz w:val="4"/>
                <w:szCs w:val="4"/>
              </w:rPr>
            </w:r>
          </w:p>
        </w:tc>
        <w:tc>
          <w:tcPr>
            <w:tcW w:w="3803" w:type="dxa"/>
            <w:gridSpan w:val="4"/>
            <w:tcBorders/>
            <w:vAlign w:val="center"/>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43" w:type="dxa"/>
            <w:gridSpan w:val="3"/>
            <w:tcBorders/>
          </w:tcPr>
          <w:p>
            <w:pPr>
              <w:pStyle w:val="TableContents"/>
              <w:bidi w:val="0"/>
              <w:spacing w:before="0" w:after="283"/>
              <w:jc w:val="left"/>
              <w:rPr>
                <w:b/>
              </w:rPr>
            </w:pPr>
            <w:r>
              <w:rPr>
                <w:b/>
              </w:rPr>
              <w:t>FEDERAL REALTY OP LP</w:t>
            </w:r>
          </w:p>
        </w:tc>
      </w:tr>
      <w:tr>
        <w:trPr>
          <w:trHeight w:val="240" w:hRule="atLeast"/>
        </w:trPr>
        <w:tc>
          <w:tcPr>
            <w:tcW w:w="279" w:type="dxa"/>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Guglielmone</w:t>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Daniel Guglielmone</w:t>
            </w:r>
          </w:p>
        </w:tc>
      </w:tr>
      <w:tr>
        <w:trPr/>
        <w:tc>
          <w:tcPr>
            <w:tcW w:w="2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Executive Vice President-Chief Executive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w:t>
      </w:r>
      <w:r>
        <w:rPr>
          <w:rFonts w:ascii="Times New Roman" w:hAnsi="Times New Roman"/>
          <w:sz w:val="20"/>
        </w:rPr>
        <w:t xml:space="preserv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w:t>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81"/>
        <w:gridCol w:w="60"/>
        <w:gridCol w:w="368"/>
        <w:gridCol w:w="60"/>
        <w:gridCol w:w="3313"/>
      </w:tblGrid>
      <w:tr>
        <w:trPr/>
        <w:tc>
          <w:tcPr>
            <w:tcW w:w="2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WELLS FARGO SECURITIES, LLC</w:t>
            </w:r>
          </w:p>
        </w:tc>
      </w:tr>
      <w:tr>
        <w:trPr>
          <w:trHeight w:val="240" w:hRule="atLeast"/>
        </w:trPr>
        <w:tc>
          <w:tcPr>
            <w:tcW w:w="281" w:type="dxa"/>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28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Brillhart</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Name: Kevin Brillhart</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Title: 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0"/>
              <w:jc w:val="left"/>
              <w:rPr>
                <w:rFonts w:ascii="Times New Roman" w:hAnsi="Times New Roman"/>
                <w:b/>
                <w:sz w:val="20"/>
              </w:rPr>
            </w:pPr>
            <w:r>
              <w:rPr>
                <w:rFonts w:ascii="Times New Roman" w:hAnsi="Times New Roman"/>
                <w:b/>
                <w:sz w:val="20"/>
              </w:rPr>
              <w:t>BOFA SECURITIES, INC.</w:t>
            </w:r>
          </w:p>
        </w:tc>
      </w:tr>
      <w:tr>
        <w:trPr>
          <w:trHeight w:val="240" w:hRule="atLeast"/>
        </w:trPr>
        <w:tc>
          <w:tcPr>
            <w:tcW w:w="281" w:type="dxa"/>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Hicham Hamdouch</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Name: Hicham Hamdouch</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Title: 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0"/>
              <w:jc w:val="left"/>
              <w:rPr>
                <w:rFonts w:ascii="Times New Roman" w:hAnsi="Times New Roman"/>
                <w:b/>
                <w:sz w:val="20"/>
              </w:rPr>
            </w:pPr>
            <w:r>
              <w:rPr>
                <w:rFonts w:ascii="Times New Roman" w:hAnsi="Times New Roman"/>
                <w:b/>
                <w:sz w:val="20"/>
              </w:rPr>
              <w:t>J.P. MORGAN SECURITIES LLC</w:t>
            </w:r>
          </w:p>
        </w:tc>
      </w:tr>
      <w:tr>
        <w:trPr>
          <w:trHeight w:val="240" w:hRule="atLeast"/>
        </w:trPr>
        <w:tc>
          <w:tcPr>
            <w:tcW w:w="281" w:type="dxa"/>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Laurel Zhang</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Name: Laurel Zhang</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Title: Vice President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0"/>
              <w:jc w:val="left"/>
              <w:rPr>
                <w:rFonts w:ascii="Times New Roman" w:hAnsi="Times New Roman"/>
                <w:b/>
                <w:sz w:val="20"/>
              </w:rPr>
            </w:pPr>
            <w:r>
              <w:rPr>
                <w:rFonts w:ascii="Times New Roman" w:hAnsi="Times New Roman"/>
                <w:b/>
                <w:sz w:val="20"/>
              </w:rPr>
              <w:t>TRUIST SECURITIES, INC.</w:t>
            </w:r>
          </w:p>
        </w:tc>
      </w:tr>
      <w:tr>
        <w:trPr>
          <w:trHeight w:val="240" w:hRule="atLeast"/>
        </w:trPr>
        <w:tc>
          <w:tcPr>
            <w:tcW w:w="281" w:type="dxa"/>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Kate Alexander</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Name: Kate Alexander</w:t>
            </w:r>
          </w:p>
        </w:tc>
      </w:tr>
      <w:tr>
        <w:trPr/>
        <w:tc>
          <w:tcPr>
            <w:tcW w:w="2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Title: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as representatives of the Initial Purchasers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w:t>
      </w:r>
      <w:r>
        <w:rPr>
          <w:rFonts w:ascii="Times New Roman" w:hAnsi="Times New Roman"/>
          <w:sz w:val="20"/>
        </w:rPr>
        <w:t xml:space="preserve">t] </w:t>
      </w:r>
    </w:p>
    <w:p>
      <w:pPr>
        <w:pStyle w:val="TextBody"/>
        <w:bidi w:val="0"/>
        <w:spacing w:before="0" w:after="0"/>
        <w:jc w:val="right"/>
        <w:rPr>
          <w:rFonts w:ascii="Times New Roman" w:hAnsi="Times New Roman"/>
          <w:b/>
          <w:sz w:val="20"/>
        </w:rPr>
      </w:pPr>
      <w:bookmarkStart w:id="6" w:name="d117646dex991.htm"/>
      <w:bookmarkStart w:id="7" w:name="ksd117646dex991"/>
      <w:bookmarkEnd w:id="6"/>
      <w:bookmarkEnd w:id="7"/>
      <w:r>
        <w:rPr>
          <w:rFonts w:ascii="Times New Roman" w:hAnsi="Times New Roman"/>
          <w:b/>
          <w:sz w:val="20"/>
        </w:rPr>
        <w:t xml:space="preserve">Exhibit 99.1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Bid Version </w:t>
      </w:r>
    </w:p>
    <w:p>
      <w:pPr>
        <w:pStyle w:val="TextBody"/>
        <w:bidi w:val="0"/>
        <w:spacing w:before="240" w:after="0"/>
        <w:jc w:val="left"/>
        <w:rPr>
          <w:rFonts w:ascii="Times New Roman" w:hAnsi="Times New Roman"/>
          <w:sz w:val="20"/>
        </w:rPr>
      </w:pPr>
      <w:r>
        <w:rPr>
          <w:rFonts w:ascii="Times New Roman" w:hAnsi="Times New Roman"/>
          <w:sz w:val="20"/>
        </w:rPr>
        <w:t xml:space="preserve">[Dealer’s name] </w:t>
      </w:r>
    </w:p>
    <w:p>
      <w:pPr>
        <w:pStyle w:val="TextBody"/>
        <w:bidi w:val="0"/>
        <w:spacing w:before="0" w:after="0"/>
        <w:jc w:val="left"/>
        <w:rPr>
          <w:rFonts w:ascii="Times New Roman" w:hAnsi="Times New Roman"/>
          <w:sz w:val="20"/>
        </w:rPr>
      </w:pPr>
      <w:r>
        <w:rPr>
          <w:rFonts w:ascii="Times New Roman" w:hAnsi="Times New Roman"/>
          <w:sz w:val="20"/>
        </w:rPr>
        <w:t xml:space="preserve">[Dealer’s address]1 </w:t>
      </w:r>
    </w:p>
    <w:p>
      <w:pPr>
        <w:pStyle w:val="TextBody"/>
        <w:bidi w:val="0"/>
        <w:spacing w:before="240" w:after="0"/>
        <w:jc w:val="right"/>
        <w:rPr>
          <w:rFonts w:ascii="Times New Roman" w:hAnsi="Times New Roman"/>
          <w:sz w:val="20"/>
        </w:rPr>
      </w:pPr>
      <w:r>
        <w:rPr>
          <w:rFonts w:ascii="Times New Roman" w:hAnsi="Times New Roman"/>
          <w:sz w:val="20"/>
        </w:rPr>
        <w:t xml:space="preserve">[_____________],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Realty OP LP </w:t>
            </w:r>
          </w:p>
        </w:tc>
      </w:tr>
    </w:tbl>
    <w:p>
      <w:pPr>
        <w:pStyle w:val="TextBody"/>
        <w:bidi w:val="0"/>
        <w:spacing w:before="0" w:after="0"/>
        <w:jc w:val="left"/>
        <w:rPr>
          <w:rFonts w:ascii="Times New Roman" w:hAnsi="Times New Roman"/>
          <w:sz w:val="20"/>
        </w:rPr>
      </w:pPr>
      <w:r>
        <w:rPr>
          <w:rFonts w:ascii="Times New Roman" w:hAnsi="Times New Roman"/>
          <w:sz w:val="20"/>
        </w:rPr>
        <w:t xml:space="preserve">c/o Federal Realty Investment Trust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Guglielmone,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 No.: 301-998-8232 </w:t>
      </w:r>
    </w:p>
    <w:p>
      <w:pPr>
        <w:pStyle w:val="TextBody"/>
        <w:bidi w:val="0"/>
        <w:spacing w:before="240" w:after="0"/>
        <w:jc w:val="left"/>
        <w:rPr>
          <w:rFonts w:ascii="Times New Roman" w:hAnsi="Times New Roman"/>
          <w:sz w:val="20"/>
        </w:rPr>
      </w:pPr>
      <w:r>
        <w:rPr>
          <w:rFonts w:ascii="Times New Roman" w:hAnsi="Times New Roman"/>
          <w:sz w:val="20"/>
        </w:rPr>
        <w:t xml:space="preserve">Re: [Base][Additional] Call Option Transaction </w:t>
      </w:r>
    </w:p>
    <w:p>
      <w:pPr>
        <w:pStyle w:val="TextBody"/>
        <w:bidi w:val="0"/>
        <w:spacing w:before="240" w:after="0"/>
        <w:jc w:val="left"/>
        <w:rPr>
          <w:rFonts w:ascii="Times New Roman" w:hAnsi="Times New Roman"/>
          <w:sz w:val="20"/>
        </w:rPr>
      </w:pPr>
      <w:r>
        <w:rPr>
          <w:rFonts w:ascii="Times New Roman" w:hAnsi="Times New Roman"/>
          <w:sz w:val="20"/>
        </w:rPr>
        <w:t>The purpose of this letter agreement (this “</w:t>
      </w:r>
      <w:r>
        <w:rPr>
          <w:rFonts w:ascii="Times New Roman" w:hAnsi="Times New Roman"/>
          <w:b/>
          <w:sz w:val="20"/>
        </w:rPr>
        <w:t>Confirmation</w:t>
      </w:r>
      <w:r>
        <w:rPr>
          <w:rFonts w:ascii="Times New Roman" w:hAnsi="Times New Roman"/>
          <w:sz w:val="20"/>
        </w:rPr>
        <w:t>”) is to confirm the terms and conditions of the call option transaction entered into among [DEALER] (“</w:t>
      </w:r>
      <w:r>
        <w:rPr>
          <w:rFonts w:ascii="Times New Roman" w:hAnsi="Times New Roman"/>
          <w:b/>
          <w:sz w:val="20"/>
        </w:rPr>
        <w:t>Dealer</w:t>
      </w:r>
      <w:r>
        <w:rPr>
          <w:rFonts w:ascii="Times New Roman" w:hAnsi="Times New Roman"/>
          <w:sz w:val="20"/>
        </w:rPr>
        <w:t>”), Federal Realty OP LP, a Delaware limited partnership, (“</w:t>
      </w:r>
      <w:r>
        <w:rPr>
          <w:rFonts w:ascii="Times New Roman" w:hAnsi="Times New Roman"/>
          <w:b/>
          <w:sz w:val="20"/>
        </w:rPr>
        <w:t>Counterparty</w:t>
      </w:r>
      <w:r>
        <w:rPr>
          <w:rFonts w:ascii="Times New Roman" w:hAnsi="Times New Roman"/>
          <w:sz w:val="20"/>
        </w:rPr>
        <w:t>”), and Federal Realty Investment Trust, a Maryland real estate investment trust (“</w:t>
      </w:r>
      <w:r>
        <w:rPr>
          <w:rFonts w:ascii="Times New Roman" w:hAnsi="Times New Roman"/>
          <w:b/>
          <w:sz w:val="20"/>
        </w:rPr>
        <w:t>Parent</w:t>
      </w:r>
      <w:r>
        <w:rPr>
          <w:rFonts w:ascii="Times New Roman" w:hAnsi="Times New Roman"/>
          <w:sz w:val="20"/>
        </w:rPr>
        <w:t>”), as of the Trade Date specified below (the “</w:t>
      </w:r>
      <w:r>
        <w:rPr>
          <w:rFonts w:ascii="Times New Roman" w:hAnsi="Times New Roman"/>
          <w:b/>
          <w:sz w:val="20"/>
        </w:rPr>
        <w:t>Transaction</w:t>
      </w:r>
      <w:r>
        <w:rPr>
          <w:rFonts w:ascii="Times New Roman" w:hAnsi="Times New Roman"/>
          <w:sz w:val="20"/>
        </w:rPr>
        <w:t xml:space="preserve">”). This letter agreement constitutes a “Confirmation” as referred to in the ISDA Master Agreement specified below. Each party further agrees that this Confirmation together with the Agreement evidence a complete binding agreement among Counterparty, Parent and Dealer as to the subject matter and terms of the Transaction to which this Confirmation relates, and shall supersede all prior or contemporaneous written or oral communications with respect thereto. </w:t>
      </w:r>
    </w:p>
    <w:p>
      <w:pPr>
        <w:pStyle w:val="TextBody"/>
        <w:bidi w:val="0"/>
        <w:spacing w:before="240" w:after="0"/>
        <w:jc w:val="left"/>
        <w:rPr>
          <w:rFonts w:ascii="Times New Roman" w:hAnsi="Times New Roman"/>
          <w:sz w:val="20"/>
        </w:rPr>
      </w:pPr>
      <w:r>
        <w:rPr>
          <w:rFonts w:ascii="Times New Roman" w:hAnsi="Times New Roman"/>
          <w:sz w:val="20"/>
        </w:rPr>
        <w:t>The definitions and provisions contained in the 2002 ISDA Equity Derivatives Definitions (the “</w:t>
      </w:r>
      <w:r>
        <w:rPr>
          <w:rFonts w:ascii="Times New Roman" w:hAnsi="Times New Roman"/>
          <w:b/>
          <w:sz w:val="20"/>
        </w:rPr>
        <w:t>Equity Definitions</w:t>
      </w:r>
      <w:r>
        <w:rPr>
          <w:rFonts w:ascii="Times New Roman" w:hAnsi="Times New Roman"/>
          <w:sz w:val="20"/>
        </w:rPr>
        <w:t>”), as published by the International Swaps and Derivatives Association, Inc. (“</w:t>
      </w:r>
      <w:r>
        <w:rPr>
          <w:rFonts w:ascii="Times New Roman" w:hAnsi="Times New Roman"/>
          <w:b/>
          <w:sz w:val="20"/>
        </w:rPr>
        <w:t>ISDA</w:t>
      </w:r>
      <w:r>
        <w:rPr>
          <w:rFonts w:ascii="Times New Roman" w:hAnsi="Times New Roman"/>
          <w:sz w:val="20"/>
        </w:rPr>
        <w:t>”) are incorporated into this Confirmation. In the event of any inconsistency between the Equity Definitions and this Confirmation, this Confirmation shall govern. Certain defined terms used herein are based on terms that are defined in the Offering Memorandum dated August [6], 2026 (the “</w:t>
      </w:r>
      <w:r>
        <w:rPr>
          <w:rFonts w:ascii="Times New Roman" w:hAnsi="Times New Roman"/>
          <w:b/>
          <w:sz w:val="20"/>
        </w:rPr>
        <w:t>Offering Memorandum</w:t>
      </w:r>
      <w:r>
        <w:rPr>
          <w:rFonts w:ascii="Times New Roman" w:hAnsi="Times New Roman"/>
          <w:sz w:val="20"/>
        </w:rPr>
        <w:t>”) relating to the [__]% Exchangeable Senior Notes due 2031 (as originally issued by Counterparty, the “</w:t>
      </w:r>
      <w:r>
        <w:rPr>
          <w:rFonts w:ascii="Times New Roman" w:hAnsi="Times New Roman"/>
          <w:b/>
          <w:sz w:val="20"/>
        </w:rPr>
        <w:t>Exchangeable Notes</w:t>
      </w:r>
      <w:r>
        <w:rPr>
          <w:rFonts w:ascii="Times New Roman" w:hAnsi="Times New Roman"/>
          <w:sz w:val="20"/>
        </w:rPr>
        <w:t>” and each USD 1,000 principal amount of Exchangeable Notes, an “</w:t>
      </w:r>
      <w:r>
        <w:rPr>
          <w:rFonts w:ascii="Times New Roman" w:hAnsi="Times New Roman"/>
          <w:b/>
          <w:sz w:val="20"/>
        </w:rPr>
        <w:t>Exchangeable Note</w:t>
      </w:r>
      <w:r>
        <w:rPr>
          <w:rFonts w:ascii="Times New Roman" w:hAnsi="Times New Roman"/>
          <w:sz w:val="20"/>
        </w:rPr>
        <w:t>”) issued by Counterparty in an aggregate initial principal amount of USD [400,000,000] (as increased by [up to]2 an aggregate principal amount of USD [60,000,000] [if and to the extent that]3[pursuant to the exercise by]4 the Initial Purchasers (as defined below) [exercise]5[of]6 their option to purchase additional Exchangeable Notes pursuant to the Purchase Agreement (the “</w:t>
      </w:r>
      <w:r>
        <w:rPr>
          <w:rFonts w:ascii="Times New Roman" w:hAnsi="Times New Roman"/>
          <w:b/>
          <w:sz w:val="20"/>
        </w:rPr>
        <w:t>Purchase Agreement</w:t>
      </w:r>
      <w:r>
        <w:rPr>
          <w:rFonts w:ascii="Times New Roman" w:hAnsi="Times New Roman"/>
          <w:sz w:val="20"/>
        </w:rPr>
        <w:t>”) dated as of August 6, 2026, among Counterparty, Parent and Wells Fargo Securities, LLC, BofA Securities, Inc. and J.P. Morgan Securities LLC, as representatives of the Initial Purchasers party thereto (the “</w:t>
      </w:r>
      <w:r>
        <w:rPr>
          <w:rFonts w:ascii="Times New Roman" w:hAnsi="Times New Roman"/>
          <w:b/>
          <w:sz w:val="20"/>
        </w:rPr>
        <w:t>Initial Purchasers</w:t>
      </w:r>
      <w:r>
        <w:rPr>
          <w:rFonts w:ascii="Times New Roman" w:hAnsi="Times New Roman"/>
          <w:sz w:val="20"/>
        </w:rPr>
        <w:t>”)) pursuant to an Indenture [to be]7 dated August 10, 2026 between Counterparty and U.S. Bank Trust Company, National Association, as trustee (the “</w:t>
      </w:r>
      <w:r>
        <w:rPr>
          <w:rFonts w:ascii="Times New Roman" w:hAnsi="Times New Roman"/>
          <w:b/>
          <w:sz w:val="20"/>
        </w:rPr>
        <w:t>Indenture</w:t>
      </w:r>
      <w:r>
        <w:rPr>
          <w:rFonts w:ascii="Times New Roman" w:hAnsi="Times New Roman"/>
          <w:sz w:val="20"/>
        </w:rPr>
        <w:t xml:space="preserve">”).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as of the date of this Confirmation, and if any such section numbers or cross-references are changed in the Indenture as executed, the parties will amend this Confirmation in good faith to preserve the intent of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Dealer name, address and, if applicable, logo.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if Indenture is not completed at the time of the Confirmation.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parties]8[Indenture as executed]9. Subject to the foregoing, references to the Indenture herein are references to the Indenture as in effect on the date of its execution, and if the Indenture is amended or supplemented following such date (other than any amendment or supplement (x) pursuant to Section 10.01(a) of the Indenture that, as determined by the Calculation Agent, conforms the Indenture to the description of Exchangeable Notes in the Offering Memorandum or (y) pursuant to Section 14.07 of the Indenture, subject, in the case of this clause (y), to the second paragraph under “Method of Adjustment” in Section 3 of this Confirmation), any such amendment or supplement will be disregarded for purposes of this Confirmation (other than as provided in Section 9(i)(iii) of this Confirmation) unless the parties agree otherwise in writing. </w:t>
      </w:r>
    </w:p>
    <w:p>
      <w:pPr>
        <w:pStyle w:val="TextBody"/>
        <w:bidi w:val="0"/>
        <w:spacing w:before="240" w:after="0"/>
        <w:jc w:val="left"/>
        <w:rPr>
          <w:rFonts w:ascii="Times New Roman" w:hAnsi="Times New Roman"/>
          <w:sz w:val="20"/>
        </w:rPr>
      </w:pPr>
      <w:r>
        <w:rPr>
          <w:rFonts w:ascii="Times New Roman" w:hAnsi="Times New Roman"/>
          <w:sz w:val="20"/>
        </w:rPr>
        <w:t xml:space="preserve">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 </w:t>
      </w:r>
    </w:p>
    <w:p>
      <w:pPr>
        <w:pStyle w:val="TextBody"/>
        <w:bidi w:val="0"/>
        <w:spacing w:before="120" w:after="0"/>
        <w:jc w:val="left"/>
        <w:rPr>
          <w:rFonts w:ascii="Times New Roman" w:hAnsi="Times New Roman"/>
          <w:sz w:val="20"/>
        </w:rPr>
      </w:pPr>
      <w:r>
        <w:rPr>
          <w:rFonts w:ascii="Times New Roman" w:hAnsi="Times New Roman"/>
          <w:sz w:val="20"/>
        </w:rPr>
        <w:t>1. This Confirmation shall supplement, form a part of, and be subject to an agreement in the form of the 2002 ISDA Master Agreement (the “</w:t>
      </w:r>
      <w:r>
        <w:rPr>
          <w:rFonts w:ascii="Times New Roman" w:hAnsi="Times New Roman"/>
          <w:b/>
          <w:sz w:val="20"/>
        </w:rPr>
        <w:t>Agreement</w:t>
      </w:r>
      <w:r>
        <w:rPr>
          <w:rFonts w:ascii="Times New Roman" w:hAnsi="Times New Roman"/>
          <w:sz w:val="20"/>
        </w:rPr>
        <w:t xml:space="preserve">”) as if Dealer, Counterparty and Parent had executed an agreement in such form on the Trade Date (but without any Schedule except for (i) the election of the laws of the State of New York as the governing law (without reference to choice of law doctrine other than Sections 5-1401 and 5-1402 of the General Obligations Law); (ii) the election of US Dollars as the Termination Currency; and (iii) the election that the “Cross Default” provisions of Section 5(a)(vi) of the Agreement shall apply solely to Dealer with a “Threshold Amount” of three percent of [Dealer’s][Dealer’s ultimate parent’s] shareholders’ equity as of the Trade Date; </w:t>
      </w:r>
      <w:r>
        <w:rPr>
          <w:rFonts w:ascii="Times New Roman" w:hAnsi="Times New Roman"/>
          <w:i/>
          <w:sz w:val="20"/>
        </w:rPr>
        <w:t>provided</w:t>
      </w:r>
      <w:r>
        <w:rPr>
          <w:rFonts w:ascii="Times New Roman" w:hAnsi="Times New Roman"/>
          <w:sz w:val="20"/>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sentence shall be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and/or Parent or any confirmation or other agreement between Dealer and Counterparty and/or Parent pursuant to which an ISDA Master Agreement is deemed to exist between Dealer and Counterparty and/or Parent, then notwithstanding anything to the contrary in such ISDA Master Agreement, such confirmation or agreement or any other agreement to which Dealer and Counterparty and/or Parent are parties, the Transaction shall not be considered a Transaction under, or otherwise governed by, such existing or deemed ISDA Master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terms of the particular Transaction to which this Confirmation relates are as follows: </w:t>
      </w:r>
    </w:p>
    <w:p>
      <w:pPr>
        <w:pStyle w:val="TextBody"/>
        <w:bidi w:val="0"/>
        <w:spacing w:before="240" w:after="0"/>
        <w:jc w:val="left"/>
        <w:rPr>
          <w:rFonts w:ascii="Times New Roman" w:hAnsi="Times New Roman"/>
          <w:sz w:val="20"/>
        </w:rPr>
      </w:pPr>
      <w:r>
        <w:rPr>
          <w:rFonts w:ascii="Times New Roman" w:hAnsi="Times New Roman"/>
          <w:i/>
          <w:sz w:val="20"/>
          <w:u w:val="single"/>
        </w:rPr>
        <w:t>General Terms</w:t>
      </w:r>
      <w:r>
        <w:rPr>
          <w:rFonts w:ascii="Times New Roman" w:hAnsi="Times New Roman"/>
          <w:sz w:val="20"/>
        </w:rPr>
        <w:t xml:space="preserve">.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2726"/>
        <w:gridCol w:w="122"/>
        <w:gridCol w:w="6744"/>
      </w:tblGrid>
      <w:tr>
        <w:trPr/>
        <w:tc>
          <w:tcPr>
            <w:tcW w:w="27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744" w:type="dxa"/>
            <w:tcBorders/>
            <w:vAlign w:val="center"/>
          </w:tcPr>
          <w:p>
            <w:pPr>
              <w:pStyle w:val="TableContents"/>
              <w:bidi w:val="0"/>
              <w:spacing w:before="0" w:after="283"/>
              <w:jc w:val="left"/>
              <w:rPr>
                <w:sz w:val="4"/>
                <w:szCs w:val="4"/>
              </w:rPr>
            </w:pPr>
            <w:r>
              <w:rPr>
                <w:sz w:val="4"/>
                <w:szCs w:val="4"/>
              </w:rPr>
            </w:r>
          </w:p>
        </w:tc>
      </w:tr>
      <w:tr>
        <w:trPr/>
        <w:tc>
          <w:tcPr>
            <w:tcW w:w="2726"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6744" w:type="dxa"/>
            <w:tcBorders/>
          </w:tcPr>
          <w:p>
            <w:pPr>
              <w:pStyle w:val="TableContents"/>
              <w:bidi w:val="0"/>
              <w:spacing w:before="0" w:after="283"/>
              <w:jc w:val="left"/>
              <w:rPr/>
            </w:pPr>
            <w:r>
              <w:rPr/>
              <w:t>[_______], 2026</w:t>
            </w:r>
          </w:p>
        </w:tc>
      </w:tr>
      <w:tr>
        <w:trPr>
          <w:trHeight w:val="120" w:hRule="atLeast"/>
        </w:trPr>
        <w:tc>
          <w:tcPr>
            <w:tcW w:w="2726" w:type="dxa"/>
            <w:tcBorders/>
            <w:vAlign w:val="center"/>
          </w:tcPr>
          <w:p>
            <w:pPr>
              <w:pStyle w:val="TableContents"/>
              <w:bidi w:val="0"/>
              <w:spacing w:before="0" w:after="283"/>
              <w:jc w:val="left"/>
              <w:rPr>
                <w:sz w:val="4"/>
                <w:szCs w:val="4"/>
              </w:rPr>
            </w:pPr>
            <w:r>
              <w:rPr>
                <w:sz w:val="4"/>
                <w:szCs w:val="4"/>
              </w:rPr>
            </w:r>
          </w:p>
        </w:tc>
        <w:tc>
          <w:tcPr>
            <w:tcW w:w="6866" w:type="dxa"/>
            <w:gridSpan w:val="2"/>
            <w:tcBorders/>
            <w:vAlign w:val="center"/>
          </w:tcPr>
          <w:p>
            <w:pPr>
              <w:pStyle w:val="TableContents"/>
              <w:bidi w:val="0"/>
              <w:spacing w:before="0" w:after="283"/>
              <w:jc w:val="left"/>
              <w:rPr>
                <w:sz w:val="4"/>
                <w:szCs w:val="4"/>
              </w:rPr>
            </w:pPr>
            <w:r>
              <w:rPr>
                <w:sz w:val="4"/>
                <w:szCs w:val="4"/>
              </w:rPr>
            </w:r>
          </w:p>
        </w:tc>
      </w:tr>
      <w:tr>
        <w:trPr/>
        <w:tc>
          <w:tcPr>
            <w:tcW w:w="2726" w:type="dxa"/>
            <w:tcBorders/>
          </w:tcPr>
          <w:p>
            <w:pPr>
              <w:pStyle w:val="TableContents"/>
              <w:bidi w:val="0"/>
              <w:spacing w:before="0" w:after="283"/>
              <w:jc w:val="left"/>
              <w:rPr/>
            </w:pPr>
            <w:r>
              <w:rPr/>
              <w:t>Effective Date:</w:t>
            </w:r>
          </w:p>
        </w:tc>
        <w:tc>
          <w:tcPr>
            <w:tcW w:w="122" w:type="dxa"/>
            <w:tcBorders/>
            <w:vAlign w:val="bottom"/>
          </w:tcPr>
          <w:p>
            <w:pPr>
              <w:pStyle w:val="TableContents"/>
              <w:bidi w:val="0"/>
              <w:spacing w:before="0" w:after="283"/>
              <w:jc w:val="left"/>
              <w:rPr/>
            </w:pPr>
            <w:r>
              <w:rPr/>
              <w:t>  </w:t>
            </w:r>
          </w:p>
        </w:tc>
        <w:tc>
          <w:tcPr>
            <w:tcW w:w="6744" w:type="dxa"/>
            <w:tcBorders/>
          </w:tcPr>
          <w:p>
            <w:pPr>
              <w:pStyle w:val="TableContents"/>
              <w:bidi w:val="0"/>
              <w:spacing w:before="0" w:after="283"/>
              <w:jc w:val="left"/>
              <w:rPr/>
            </w:pPr>
            <w:r>
              <w:rPr/>
              <w:t>The second Exchange Business Day immediately prior to the Premium Payment Date</w:t>
            </w:r>
          </w:p>
        </w:tc>
      </w:tr>
      <w:tr>
        <w:trPr>
          <w:trHeight w:val="120" w:hRule="atLeast"/>
        </w:trPr>
        <w:tc>
          <w:tcPr>
            <w:tcW w:w="2726" w:type="dxa"/>
            <w:tcBorders/>
            <w:vAlign w:val="center"/>
          </w:tcPr>
          <w:p>
            <w:pPr>
              <w:pStyle w:val="TableContents"/>
              <w:bidi w:val="0"/>
              <w:spacing w:before="0" w:after="283"/>
              <w:jc w:val="left"/>
              <w:rPr>
                <w:sz w:val="4"/>
                <w:szCs w:val="4"/>
              </w:rPr>
            </w:pPr>
            <w:r>
              <w:rPr>
                <w:sz w:val="4"/>
                <w:szCs w:val="4"/>
              </w:rPr>
            </w:r>
          </w:p>
        </w:tc>
        <w:tc>
          <w:tcPr>
            <w:tcW w:w="6866" w:type="dxa"/>
            <w:gridSpan w:val="2"/>
            <w:tcBorders/>
            <w:vAlign w:val="center"/>
          </w:tcPr>
          <w:p>
            <w:pPr>
              <w:pStyle w:val="TableContents"/>
              <w:bidi w:val="0"/>
              <w:spacing w:before="0" w:after="283"/>
              <w:jc w:val="left"/>
              <w:rPr>
                <w:sz w:val="4"/>
                <w:szCs w:val="4"/>
              </w:rPr>
            </w:pPr>
            <w:r>
              <w:rPr>
                <w:sz w:val="4"/>
                <w:szCs w:val="4"/>
              </w:rPr>
            </w:r>
          </w:p>
        </w:tc>
      </w:tr>
      <w:tr>
        <w:trPr/>
        <w:tc>
          <w:tcPr>
            <w:tcW w:w="2726" w:type="dxa"/>
            <w:tcBorders/>
          </w:tcPr>
          <w:p>
            <w:pPr>
              <w:pStyle w:val="TableContents"/>
              <w:bidi w:val="0"/>
              <w:spacing w:before="0" w:after="283"/>
              <w:jc w:val="left"/>
              <w:rPr/>
            </w:pPr>
            <w:r>
              <w:rPr/>
              <w:t>Option Style:</w:t>
            </w:r>
          </w:p>
        </w:tc>
        <w:tc>
          <w:tcPr>
            <w:tcW w:w="122" w:type="dxa"/>
            <w:tcBorders/>
            <w:vAlign w:val="bottom"/>
          </w:tcPr>
          <w:p>
            <w:pPr>
              <w:pStyle w:val="TableContents"/>
              <w:bidi w:val="0"/>
              <w:spacing w:before="0" w:after="283"/>
              <w:jc w:val="left"/>
              <w:rPr/>
            </w:pPr>
            <w:r>
              <w:rPr/>
              <w:t>  </w:t>
            </w:r>
          </w:p>
        </w:tc>
        <w:tc>
          <w:tcPr>
            <w:tcW w:w="6744" w:type="dxa"/>
            <w:tcBorders/>
          </w:tcPr>
          <w:p>
            <w:pPr>
              <w:pStyle w:val="TableContents"/>
              <w:bidi w:val="0"/>
              <w:spacing w:before="0" w:after="283"/>
              <w:jc w:val="left"/>
              <w:rPr/>
            </w:pPr>
            <w:r>
              <w:rPr/>
              <w:t>“</w:t>
            </w:r>
            <w:r>
              <w:rPr/>
              <w:t>Modified American”, as described under “Procedures for Exercise” below</w:t>
            </w:r>
          </w:p>
        </w:tc>
      </w:tr>
      <w:tr>
        <w:trPr>
          <w:trHeight w:val="120" w:hRule="atLeast"/>
        </w:trPr>
        <w:tc>
          <w:tcPr>
            <w:tcW w:w="2726" w:type="dxa"/>
            <w:tcBorders/>
            <w:vAlign w:val="center"/>
          </w:tcPr>
          <w:p>
            <w:pPr>
              <w:pStyle w:val="TableContents"/>
              <w:bidi w:val="0"/>
              <w:spacing w:before="0" w:after="283"/>
              <w:jc w:val="left"/>
              <w:rPr>
                <w:sz w:val="4"/>
                <w:szCs w:val="4"/>
              </w:rPr>
            </w:pPr>
            <w:r>
              <w:rPr>
                <w:sz w:val="4"/>
                <w:szCs w:val="4"/>
              </w:rPr>
            </w:r>
          </w:p>
        </w:tc>
        <w:tc>
          <w:tcPr>
            <w:tcW w:w="6866" w:type="dxa"/>
            <w:gridSpan w:val="2"/>
            <w:tcBorders/>
            <w:vAlign w:val="center"/>
          </w:tcPr>
          <w:p>
            <w:pPr>
              <w:pStyle w:val="TableContents"/>
              <w:bidi w:val="0"/>
              <w:spacing w:before="0" w:after="283"/>
              <w:jc w:val="left"/>
              <w:rPr>
                <w:sz w:val="4"/>
                <w:szCs w:val="4"/>
              </w:rPr>
            </w:pPr>
            <w:r>
              <w:rPr>
                <w:sz w:val="4"/>
                <w:szCs w:val="4"/>
              </w:rPr>
            </w:r>
          </w:p>
        </w:tc>
      </w:tr>
      <w:tr>
        <w:trPr/>
        <w:tc>
          <w:tcPr>
            <w:tcW w:w="2726" w:type="dxa"/>
            <w:tcBorders/>
          </w:tcPr>
          <w:p>
            <w:pPr>
              <w:pStyle w:val="TableContents"/>
              <w:bidi w:val="0"/>
              <w:spacing w:before="0" w:after="283"/>
              <w:jc w:val="left"/>
              <w:rPr/>
            </w:pPr>
            <w:r>
              <w:rPr/>
              <w:t>Option Type:</w:t>
            </w:r>
          </w:p>
        </w:tc>
        <w:tc>
          <w:tcPr>
            <w:tcW w:w="122" w:type="dxa"/>
            <w:tcBorders/>
            <w:vAlign w:val="bottom"/>
          </w:tcPr>
          <w:p>
            <w:pPr>
              <w:pStyle w:val="TableContents"/>
              <w:bidi w:val="0"/>
              <w:spacing w:before="0" w:after="283"/>
              <w:jc w:val="left"/>
              <w:rPr/>
            </w:pPr>
            <w:r>
              <w:rPr/>
              <w:t>  </w:t>
            </w:r>
          </w:p>
        </w:tc>
        <w:tc>
          <w:tcPr>
            <w:tcW w:w="6744" w:type="dxa"/>
            <w:tcBorders/>
          </w:tcPr>
          <w:p>
            <w:pPr>
              <w:pStyle w:val="TableContents"/>
              <w:bidi w:val="0"/>
              <w:spacing w:before="0" w:after="283"/>
              <w:jc w:val="left"/>
              <w:rPr/>
            </w:pPr>
            <w:r>
              <w:rPr/>
              <w:t>Call</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Base Call Option Confirmation. Include in the Additional Call Option Confirmation if it is executed before closing of the base deal.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Additional Call Option Confirmation, but only if the Additional Call Option Confirmation is executed after closing of the base deal.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763"/>
        <w:gridCol w:w="121"/>
        <w:gridCol w:w="6708"/>
      </w:tblGrid>
      <w:tr>
        <w:trPr/>
        <w:tc>
          <w:tcPr>
            <w:tcW w:w="27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708" w:type="dxa"/>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Buyer:</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Counterparty</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Seller:</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Dealer</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Shares:</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The common shares of beneficial interest of Parent, par value USD 0.01 per share (Exchange symbol “FRT”).</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Number of Options:</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[_______]10. For the avoidance of doubt, the Number of Options shall be reduced by any Options exercised by Counterparty. In no event will the Number of Options be less than zero.</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Applicable Percentage:</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[__]%</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Option Entitlement:</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A number equal to the product of the Applicable Percentage and [______]11.</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Strike Price:</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USD [______]</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Cap Price:</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USD [______]</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Premium:</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USD [______]</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Premium Payment Date:</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[______], 202612</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Exchange:</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The New York Stock Exchange</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Related Exchange(s):</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 xml:space="preserve">All Exchanges; </w:t>
            </w:r>
            <w:r>
              <w:rPr>
                <w:i/>
              </w:rPr>
              <w:t>provided</w:t>
            </w:r>
            <w:r>
              <w:rPr/>
              <w:t xml:space="preserve"> that Section 1.26 of the Equity Definitions shall be amended to add the words “United States” before the word “exchange” in the tenth line of such Section.</w:t>
            </w:r>
          </w:p>
        </w:tc>
      </w:tr>
      <w:tr>
        <w:trPr>
          <w:trHeight w:val="120" w:hRule="atLeast"/>
        </w:trPr>
        <w:tc>
          <w:tcPr>
            <w:tcW w:w="2763" w:type="dxa"/>
            <w:tcBorders/>
            <w:vAlign w:val="center"/>
          </w:tcPr>
          <w:p>
            <w:pPr>
              <w:pStyle w:val="TableContents"/>
              <w:bidi w:val="0"/>
              <w:spacing w:before="0" w:after="283"/>
              <w:jc w:val="left"/>
              <w:rPr>
                <w:sz w:val="4"/>
                <w:szCs w:val="4"/>
              </w:rPr>
            </w:pPr>
            <w:r>
              <w:rPr>
                <w:sz w:val="4"/>
                <w:szCs w:val="4"/>
              </w:rPr>
            </w:r>
          </w:p>
        </w:tc>
        <w:tc>
          <w:tcPr>
            <w:tcW w:w="6829" w:type="dxa"/>
            <w:gridSpan w:val="2"/>
            <w:tcBorders/>
            <w:vAlign w:val="center"/>
          </w:tcPr>
          <w:p>
            <w:pPr>
              <w:pStyle w:val="TableContents"/>
              <w:bidi w:val="0"/>
              <w:spacing w:before="0" w:after="283"/>
              <w:jc w:val="left"/>
              <w:rPr>
                <w:sz w:val="4"/>
                <w:szCs w:val="4"/>
              </w:rPr>
            </w:pPr>
            <w:r>
              <w:rPr>
                <w:sz w:val="4"/>
                <w:szCs w:val="4"/>
              </w:rPr>
            </w:r>
          </w:p>
        </w:tc>
      </w:tr>
      <w:tr>
        <w:trPr/>
        <w:tc>
          <w:tcPr>
            <w:tcW w:w="2763" w:type="dxa"/>
            <w:tcBorders/>
          </w:tcPr>
          <w:p>
            <w:pPr>
              <w:pStyle w:val="TableContents"/>
              <w:bidi w:val="0"/>
              <w:spacing w:before="0" w:after="283"/>
              <w:jc w:val="left"/>
              <w:rPr/>
            </w:pPr>
            <w:r>
              <w:rPr/>
              <w:t>Excluded Provisions:</w:t>
            </w:r>
          </w:p>
        </w:tc>
        <w:tc>
          <w:tcPr>
            <w:tcW w:w="121" w:type="dxa"/>
            <w:tcBorders/>
            <w:vAlign w:val="bottom"/>
          </w:tcPr>
          <w:p>
            <w:pPr>
              <w:pStyle w:val="TableContents"/>
              <w:bidi w:val="0"/>
              <w:spacing w:before="0" w:after="283"/>
              <w:jc w:val="left"/>
              <w:rPr/>
            </w:pPr>
            <w:r>
              <w:rPr/>
              <w:t>  </w:t>
            </w:r>
          </w:p>
        </w:tc>
        <w:tc>
          <w:tcPr>
            <w:tcW w:w="6708" w:type="dxa"/>
            <w:tcBorders/>
          </w:tcPr>
          <w:p>
            <w:pPr>
              <w:pStyle w:val="TableContents"/>
              <w:bidi w:val="0"/>
              <w:spacing w:before="0" w:after="283"/>
              <w:jc w:val="left"/>
              <w:rPr/>
            </w:pPr>
            <w:r>
              <w:rPr/>
              <w:t>Section 14.05(b) and Section 14.06 of the Indenture.</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29"/>
        <w:gridCol w:w="123"/>
        <w:gridCol w:w="6744"/>
      </w:tblGrid>
      <w:tr>
        <w:trPr/>
        <w:tc>
          <w:tcPr>
            <w:tcW w:w="292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44" w:type="dxa"/>
            <w:tcBorders/>
            <w:vAlign w:val="center"/>
          </w:tcPr>
          <w:p>
            <w:pPr>
              <w:pStyle w:val="TableContents"/>
              <w:bidi w:val="0"/>
              <w:spacing w:before="0" w:after="283"/>
              <w:jc w:val="left"/>
              <w:rPr>
                <w:sz w:val="4"/>
                <w:szCs w:val="4"/>
              </w:rPr>
            </w:pPr>
            <w:r>
              <w:rPr>
                <w:sz w:val="4"/>
                <w:szCs w:val="4"/>
              </w:rPr>
            </w:r>
          </w:p>
        </w:tc>
      </w:tr>
      <w:tr>
        <w:trPr/>
        <w:tc>
          <w:tcPr>
            <w:tcW w:w="2929" w:type="dxa"/>
            <w:tcBorders/>
          </w:tcPr>
          <w:p>
            <w:pPr>
              <w:pStyle w:val="TableContents"/>
              <w:bidi w:val="0"/>
              <w:spacing w:before="0" w:after="283"/>
              <w:jc w:val="left"/>
              <w:rPr/>
            </w:pPr>
            <w:r>
              <w:rPr>
                <w:i/>
                <w:u w:val="single"/>
              </w:rPr>
              <w:t>Procedures for Exercise</w:t>
            </w:r>
            <w:r>
              <w:rPr/>
              <w:t>.</w:t>
            </w:r>
          </w:p>
        </w:tc>
        <w:tc>
          <w:tcPr>
            <w:tcW w:w="123" w:type="dxa"/>
            <w:tcBorders/>
            <w:vAlign w:val="bottom"/>
          </w:tcPr>
          <w:p>
            <w:pPr>
              <w:pStyle w:val="TableContents"/>
              <w:bidi w:val="0"/>
              <w:spacing w:before="0" w:after="283"/>
              <w:jc w:val="left"/>
              <w:rPr/>
            </w:pPr>
            <w:r>
              <w:rPr/>
              <w:t>  </w:t>
            </w:r>
          </w:p>
        </w:tc>
        <w:tc>
          <w:tcPr>
            <w:tcW w:w="674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2752"/>
        <w:gridCol w:w="123"/>
        <w:gridCol w:w="6717"/>
      </w:tblGrid>
      <w:tr>
        <w:trPr/>
        <w:tc>
          <w:tcPr>
            <w:tcW w:w="275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17" w:type="dxa"/>
            <w:tcBorders/>
            <w:vAlign w:val="center"/>
          </w:tcPr>
          <w:p>
            <w:pPr>
              <w:pStyle w:val="TableContents"/>
              <w:bidi w:val="0"/>
              <w:spacing w:before="0" w:after="283"/>
              <w:jc w:val="left"/>
              <w:rPr>
                <w:sz w:val="4"/>
                <w:szCs w:val="4"/>
              </w:rPr>
            </w:pPr>
            <w:r>
              <w:rPr>
                <w:sz w:val="4"/>
                <w:szCs w:val="4"/>
              </w:rPr>
            </w:r>
          </w:p>
        </w:tc>
      </w:tr>
      <w:tr>
        <w:trPr/>
        <w:tc>
          <w:tcPr>
            <w:tcW w:w="2752" w:type="dxa"/>
            <w:tcBorders/>
          </w:tcPr>
          <w:p>
            <w:pPr>
              <w:pStyle w:val="TableContents"/>
              <w:bidi w:val="0"/>
              <w:spacing w:before="0" w:after="283"/>
              <w:jc w:val="left"/>
              <w:rPr/>
            </w:pPr>
            <w:r>
              <w:rPr/>
              <w:t>Exchange Date:</w:t>
            </w:r>
          </w:p>
        </w:tc>
        <w:tc>
          <w:tcPr>
            <w:tcW w:w="123" w:type="dxa"/>
            <w:tcBorders/>
            <w:vAlign w:val="bottom"/>
          </w:tcPr>
          <w:p>
            <w:pPr>
              <w:pStyle w:val="TableContents"/>
              <w:bidi w:val="0"/>
              <w:spacing w:before="0" w:after="283"/>
              <w:jc w:val="left"/>
              <w:rPr/>
            </w:pPr>
            <w:r>
              <w:rPr/>
              <w:t>  </w:t>
            </w:r>
          </w:p>
        </w:tc>
        <w:tc>
          <w:tcPr>
            <w:tcW w:w="6717" w:type="dxa"/>
            <w:tcBorders/>
          </w:tcPr>
          <w:p>
            <w:pPr>
              <w:pStyle w:val="TableContents"/>
              <w:bidi w:val="0"/>
              <w:spacing w:before="0" w:after="283"/>
              <w:jc w:val="left"/>
              <w:rPr/>
            </w:pPr>
            <w:r>
              <w:rPr/>
              <w:t>With respect to any exchange of an Exchangeable Note (other than any exchange of Exchangeable Notes with an Exchange Date occurring prior to the Uniform Exchangeability Deadline (any such exchange, an “</w:t>
            </w:r>
            <w:r>
              <w:rPr>
                <w:b/>
              </w:rPr>
              <w:t>Early Exchange</w:t>
            </w:r>
            <w:r>
              <w:rPr/>
              <w:t xml:space="preserve">”), to which the provisions of Section 9(i)(i) of this Confirmation shall apply), the date on which the “Holder” (as such term is defined in the Indenture) of such Exchangeable Note satisfies all of the requirements for exchange thereof as set forth in Section 14.02(d) of the Indenture; </w:t>
            </w:r>
            <w:r>
              <w:rPr>
                <w:i/>
              </w:rPr>
              <w:t>provided</w:t>
            </w:r>
            <w:r>
              <w:rPr/>
              <w:t xml:space="preserve"> that if Counterparty has not delivered to Dealer a related Notice of Exercise, then in no event shall an Exchange Date be deemed to occur hereunder (and no Option shall be exercised or deemed to be exercised hereunder) with respect to any surrender of an Exchangeable Note for exchange in respect of which Counterparty has elected to designate a financial institution for exchange in lieu of exchange of such Exchangeable Note pursuant to Section 14.13 of the Indenture.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Base Call Option Confirmation, this is equal to the number of Exchangeable Notes in principal amount of $1,000 initially issued on the closing date for the Exchangeable Notes. For the Additional Call Option Confirmation, this is equal to the number of additional Exchangeable Notes in principal amount of $1,000.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initial Exchange Rate for the Exchangeable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the closing date for the Exchangeable Notes (for the base transaction) and then the closing date for the exercise of the greenshoe (for the additional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864"/>
        <w:gridCol w:w="120"/>
        <w:gridCol w:w="6608"/>
      </w:tblGrid>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08" w:type="dxa"/>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Uniform Exchangeability Deadline:</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May 15, 2031</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Expiration Time:</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The Valuation Time</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August 15, 2031, subject to earlier exercise.</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Multiple Exercise:</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Applicable, as described under “Automatic Exercise” and “Automatic Exercise on the Expiration Date in Respect of Remaining Options” below.</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Automatic Exercise:</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 xml:space="preserve">Notwithstanding Section 3.4 of the Equity Definitions, on each Exchange Date occurring on or after the Uniform Exchangeability Deadline, in respect of which a “Notice of Exchange” (as such term is defined in the Indenture) that is effective as to Counterparty has been delivered by the relevant exchanging “Holder” (as such term is defined in the Indenture), a number of Options equal to [(i)] the number of Exchangeable Notes in denominations of USD 1,000 as to which such Exchange Date has occurred [, </w:t>
            </w:r>
            <w:r>
              <w:rPr>
                <w:i/>
              </w:rPr>
              <w:t xml:space="preserve">minus </w:t>
            </w:r>
            <w:r>
              <w:rPr/>
              <w:t>(ii) the number of Options that are or are deemed to be automatically exercised on such Exchange Date under the Base Call Option Transaction Confirmation letter agreement dated [__], 2026 among Dealer, Counterparty and Parent (the “</w:t>
            </w:r>
            <w:r>
              <w:rPr>
                <w:b/>
              </w:rPr>
              <w:t>Base Call Option Confirmation</w:t>
            </w:r>
            <w:r>
              <w:rPr/>
              <w:t xml:space="preserve">”) (and for the purposes of determining whether any Options under this Confirmation or under the Base Call Option Confirmation will be automatically exercised hereunder or under the Base Call Option Confirmation, the Exchangeable Notes subject to exchange shall be allocated first to the Base Call Option Confirmation until all Options thereunder are exercised or terminated),]13 shall be deemed to be automatically exercised; </w:t>
            </w:r>
            <w:r>
              <w:rPr>
                <w:i/>
              </w:rPr>
              <w:t xml:space="preserve">provided </w:t>
            </w:r>
            <w:r>
              <w:rPr/>
              <w:t>that such Options shall be exercised or deemed exercised only if Counterparty has provided a Notice of Exercise to Dealer in accordance with “Notice of Exercise” below.</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283"/>
              <w:jc w:val="left"/>
              <w:rPr/>
            </w:pPr>
            <w:r>
              <w:rPr/>
              <w:t>Notwithstanding the foregoing, in no event shall the number of Options that are exercised or deemed exercised hereunder exceed the Number of Options.</w:t>
            </w:r>
          </w:p>
        </w:tc>
      </w:tr>
      <w:tr>
        <w:trPr>
          <w:trHeight w:val="120" w:hRule="atLeast"/>
        </w:trPr>
        <w:tc>
          <w:tcPr>
            <w:tcW w:w="2864" w:type="dxa"/>
            <w:tcBorders/>
            <w:vAlign w:val="center"/>
          </w:tcPr>
          <w:p>
            <w:pPr>
              <w:pStyle w:val="TableContents"/>
              <w:bidi w:val="0"/>
              <w:spacing w:before="0" w:after="283"/>
              <w:jc w:val="left"/>
              <w:rPr>
                <w:sz w:val="4"/>
                <w:szCs w:val="4"/>
              </w:rPr>
            </w:pPr>
            <w:r>
              <w:rPr>
                <w:sz w:val="4"/>
                <w:szCs w:val="4"/>
              </w:rPr>
            </w:r>
          </w:p>
        </w:tc>
        <w:tc>
          <w:tcPr>
            <w:tcW w:w="6728" w:type="dxa"/>
            <w:gridSpan w:val="2"/>
            <w:tcBorders/>
            <w:vAlign w:val="center"/>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283"/>
              <w:jc w:val="left"/>
              <w:rPr/>
            </w:pPr>
            <w:r>
              <w:rPr/>
              <w:t>Automatic Exercise on the Expiration Date in Respect of Remaining Options:</w:t>
            </w:r>
          </w:p>
        </w:tc>
        <w:tc>
          <w:tcPr>
            <w:tcW w:w="120" w:type="dxa"/>
            <w:tcBorders/>
            <w:vAlign w:val="bottom"/>
          </w:tcPr>
          <w:p>
            <w:pPr>
              <w:pStyle w:val="TableContents"/>
              <w:bidi w:val="0"/>
              <w:spacing w:before="0" w:after="283"/>
              <w:jc w:val="left"/>
              <w:rPr/>
            </w:pPr>
            <w:r>
              <w:rPr/>
              <w:t>  </w:t>
            </w:r>
          </w:p>
        </w:tc>
        <w:tc>
          <w:tcPr>
            <w:tcW w:w="660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Notwithstanding Section 3.4 of the Equity Definitions or “Automatic Exercise” above, unless Counterparty notifies Dealer in writing prior to 5:00 p.m. (New York City time) on the Expiration Date that it does not wish automatic exercise to occur, a number of Options equal to the lesser of (a) the Number of Options (after giving effect to “Automatic Exercise” above) as of 5:00 p.m. (New York City time) on the Expiration Date and (b) the Remaining</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715"/>
        <w:gridCol w:w="120"/>
        <w:gridCol w:w="6757"/>
      </w:tblGrid>
      <w:tr>
        <w:trPr/>
        <w:tc>
          <w:tcPr>
            <w:tcW w:w="2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57" w:type="dxa"/>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57" w:type="dxa"/>
            <w:tcBorders/>
          </w:tcPr>
          <w:p>
            <w:pPr>
              <w:pStyle w:val="TableContents"/>
              <w:bidi w:val="0"/>
              <w:spacing w:before="0" w:after="283"/>
              <w:jc w:val="left"/>
              <w:rPr/>
            </w:pPr>
            <w:r>
              <w:rPr/>
              <w:t>Repurchase Options [minus the number of Remaining Options (as defined in the Base Call Option Confirmation)]14 (such lesser number, the “Remaining Options”) will be deemed to be automatically exercised as if (i) a number of Exchangeable Notes in denominations of USD 1,000 equal to the number of such Remaining Options were exchanged with an Exchange Date occurring on or after the Uniform Exchangeability Deadline, (ii) Counterparty were the “Holder” (as such term is defined in the Indenture) of such Exchangeable Notes and would receive the consideration payable and/or deliverable, as the case may be, upon exchange of such Exchangeable Notes pursuant to the terms of the Indenture and (iii) the Notice of Final Settlement Method, if any, applied to such Exchangeable Notes; provided that no such automatic exercise pursuant to this paragraph will occur if the Relevant Price for each Valid Day during the Settlement Averaging Period is less than or equal to the Strike Price.</w:t>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6877"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57" w:type="dxa"/>
            <w:tcBorders/>
          </w:tcPr>
          <w:p>
            <w:pPr>
              <w:pStyle w:val="TableContents"/>
              <w:bidi w:val="0"/>
              <w:spacing w:before="0" w:after="283"/>
              <w:jc w:val="left"/>
              <w:rPr/>
            </w:pPr>
            <w:r>
              <w:rPr/>
              <w:t>“</w:t>
            </w:r>
            <w:r>
              <w:rPr/>
              <w:t>Remaining Repurchase Options” shall mean the excess of (I) the aggregate number of Exchangeable Notes in denominations of USD 1,000 that were subject to Repayment Events described in clause (ii) of Section 9(i)(iv) during the term of the Transaction over (II) [the sum of (i)]15 the aggregate number of Repayment Options that were terminated hereunder relating to Repayment Events described in clause (ii) of Section 9(i)(iv) during the term of the Transaction [and (ii) the aggregate number of Repayment Options (as defined in the Base Call Option Confirmation) that were terminated under the Base Call Option Confirmation relating to Repayment Events described in clause (ii) of Section 9(i)(iv) thereof during the term of the “Transaction” under the Base Call Option Confirmation]16. Counterparty shall notify Dealer in writing before 5:00 p.m. (New York City time) on the Scheduled Valid Day immediately preceding the Expiration Date of the number of Remaining Repurchase Options.</w:t>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6877"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Notice of Exercise:</w:t>
            </w:r>
          </w:p>
        </w:tc>
        <w:tc>
          <w:tcPr>
            <w:tcW w:w="120" w:type="dxa"/>
            <w:tcBorders/>
            <w:vAlign w:val="bottom"/>
          </w:tcPr>
          <w:p>
            <w:pPr>
              <w:pStyle w:val="TableContents"/>
              <w:bidi w:val="0"/>
              <w:spacing w:before="0" w:after="283"/>
              <w:jc w:val="left"/>
              <w:rPr/>
            </w:pPr>
            <w:r>
              <w:rPr/>
              <w:t>  </w:t>
            </w:r>
          </w:p>
        </w:tc>
        <w:tc>
          <w:tcPr>
            <w:tcW w:w="6757" w:type="dxa"/>
            <w:tcBorders/>
          </w:tcPr>
          <w:p>
            <w:pPr>
              <w:pStyle w:val="TableContents"/>
              <w:bidi w:val="0"/>
              <w:spacing w:before="0" w:after="283"/>
              <w:jc w:val="left"/>
              <w:rPr/>
            </w:pPr>
            <w:r>
              <w:rPr/>
              <w:t xml:space="preserve">Notwithstanding anything to the contrary in the Equity Definitions or under “Automatic Exercise” above but subject to “Automatic Exercise on the Expiration Date in Respect of Remaining Options” above, in order to exercise any Options relating to Exchangeable Notes with an Exchange Date occurring on or after the Uniform Exchangeability Deadline, Counterparty must notify Dealer in writing before 5:00 p.m. (New York City time) on the Scheduled Valid Day immediately preceding the Expiration Date specifying the number of such Options; </w:t>
            </w:r>
            <w:r>
              <w:rPr>
                <w:i/>
              </w:rPr>
              <w:t>provided</w:t>
            </w:r>
            <w:r>
              <w:rPr/>
              <w:t xml:space="preserve"> that if the Relevant Settlement Method for such Options is not Net Share Settlement, Dealer shall have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760"/>
        <w:gridCol w:w="122"/>
        <w:gridCol w:w="6710"/>
      </w:tblGrid>
      <w:tr>
        <w:trPr/>
        <w:tc>
          <w:tcPr>
            <w:tcW w:w="27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left"/>
              <w:rPr>
                <w:sz w:val="4"/>
                <w:szCs w:val="4"/>
              </w:rPr>
            </w:pPr>
            <w:r>
              <w:rPr>
                <w:sz w:val="4"/>
                <w:szCs w:val="4"/>
              </w:rPr>
            </w:r>
          </w:p>
        </w:tc>
      </w:tr>
      <w:tr>
        <w:trPr/>
        <w:tc>
          <w:tcPr>
            <w:tcW w:w="276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received a separate notice (the “</w:t>
            </w:r>
            <w:r>
              <w:rPr>
                <w:b/>
              </w:rPr>
              <w:t>Notice of Final Settlement Method</w:t>
            </w:r>
            <w:r>
              <w:rPr/>
              <w:t>”) in respect of all such Exchangeable Notes before 5:00 p.m. (New York City time) on the Uniform Exchangeability Deadline specifying (1) the Relevant Settlement Method for such Options, and (2) if the Relevant Settlement Method for such Options is Combination Settlement, the percentage of the consideration due upon exchange per Exchangeable Note in excess of the principal amount thereof that Counterparty has elected to pay to “Holders” (as such term is defined in the Indenture) of the related Exchangeable Notes in cash (the “</w:t>
            </w:r>
            <w:r>
              <w:rPr>
                <w:b/>
              </w:rPr>
              <w:t>Cash Percentage</w:t>
            </w:r>
            <w:r>
              <w:rPr/>
              <w:t>”). Notwithstanding anything to the contrary herein, if Counterparty does not timely deliver the Notice of Final Settlement Method, then the Notice of Final Settlement Method shall be deemed timely given and the Relevant Settlement Method specified therein shall be deemed to be Net Share Settlement. Counterparty acknowledges its responsibilities under applicable securities laws, and in particular Section 9 and Section 10(b) of the Exchange Act (as defined below) and the rules and regulations thereunder, in respect of any election (or any deemed election) of a settlement method with respect to the Exchangeable Notes.</w:t>
            </w:r>
          </w:p>
        </w:tc>
      </w:tr>
      <w:tr>
        <w:trPr>
          <w:trHeight w:val="120" w:hRule="atLeast"/>
        </w:trPr>
        <w:tc>
          <w:tcPr>
            <w:tcW w:w="2760" w:type="dxa"/>
            <w:tcBorders/>
            <w:vAlign w:val="center"/>
          </w:tcPr>
          <w:p>
            <w:pPr>
              <w:pStyle w:val="TableContents"/>
              <w:bidi w:val="0"/>
              <w:spacing w:before="0" w:after="283"/>
              <w:jc w:val="left"/>
              <w:rPr>
                <w:sz w:val="4"/>
                <w:szCs w:val="4"/>
              </w:rPr>
            </w:pPr>
            <w:r>
              <w:rPr>
                <w:sz w:val="4"/>
                <w:szCs w:val="4"/>
              </w:rPr>
            </w:r>
          </w:p>
        </w:tc>
        <w:tc>
          <w:tcPr>
            <w:tcW w:w="6832" w:type="dxa"/>
            <w:gridSpan w:val="2"/>
            <w:tcBorders/>
            <w:vAlign w:val="center"/>
          </w:tcPr>
          <w:p>
            <w:pPr>
              <w:pStyle w:val="TableContents"/>
              <w:bidi w:val="0"/>
              <w:spacing w:before="0" w:after="283"/>
              <w:jc w:val="left"/>
              <w:rPr>
                <w:sz w:val="4"/>
                <w:szCs w:val="4"/>
              </w:rPr>
            </w:pPr>
            <w:r>
              <w:rPr>
                <w:sz w:val="4"/>
                <w:szCs w:val="4"/>
              </w:rPr>
            </w:r>
          </w:p>
        </w:tc>
      </w:tr>
      <w:tr>
        <w:trPr/>
        <w:tc>
          <w:tcPr>
            <w:tcW w:w="2760" w:type="dxa"/>
            <w:tcBorders/>
          </w:tcPr>
          <w:p>
            <w:pPr>
              <w:pStyle w:val="TableContents"/>
              <w:bidi w:val="0"/>
              <w:spacing w:before="0" w:after="283"/>
              <w:jc w:val="left"/>
              <w:rPr/>
            </w:pPr>
            <w:r>
              <w:rPr/>
              <w:t>Valuation Time:</w:t>
            </w:r>
          </w:p>
        </w:tc>
        <w:tc>
          <w:tcPr>
            <w:tcW w:w="122"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 xml:space="preserve">At the close of trading of the regular trading session on the Exchange; </w:t>
            </w:r>
            <w:r>
              <w:rPr>
                <w:i/>
              </w:rPr>
              <w:t>provided</w:t>
            </w:r>
            <w:r>
              <w:rPr/>
              <w:t xml:space="preserve"> that if the principal trading session is extended, the Calculation Agent shall determine the Valuation Time in its commercially reasonable discretion.</w:t>
            </w:r>
          </w:p>
        </w:tc>
      </w:tr>
      <w:tr>
        <w:trPr>
          <w:trHeight w:val="120" w:hRule="atLeast"/>
        </w:trPr>
        <w:tc>
          <w:tcPr>
            <w:tcW w:w="2760" w:type="dxa"/>
            <w:tcBorders/>
            <w:vAlign w:val="center"/>
          </w:tcPr>
          <w:p>
            <w:pPr>
              <w:pStyle w:val="TableContents"/>
              <w:bidi w:val="0"/>
              <w:spacing w:before="0" w:after="283"/>
              <w:jc w:val="left"/>
              <w:rPr>
                <w:sz w:val="4"/>
                <w:szCs w:val="4"/>
              </w:rPr>
            </w:pPr>
            <w:r>
              <w:rPr>
                <w:sz w:val="4"/>
                <w:szCs w:val="4"/>
              </w:rPr>
            </w:r>
          </w:p>
        </w:tc>
        <w:tc>
          <w:tcPr>
            <w:tcW w:w="6832" w:type="dxa"/>
            <w:gridSpan w:val="2"/>
            <w:tcBorders/>
            <w:vAlign w:val="center"/>
          </w:tcPr>
          <w:p>
            <w:pPr>
              <w:pStyle w:val="TableContents"/>
              <w:bidi w:val="0"/>
              <w:spacing w:before="0" w:after="283"/>
              <w:jc w:val="left"/>
              <w:rPr>
                <w:sz w:val="4"/>
                <w:szCs w:val="4"/>
              </w:rPr>
            </w:pPr>
            <w:r>
              <w:rPr>
                <w:sz w:val="4"/>
                <w:szCs w:val="4"/>
              </w:rPr>
            </w:r>
          </w:p>
        </w:tc>
      </w:tr>
      <w:tr>
        <w:trPr/>
        <w:tc>
          <w:tcPr>
            <w:tcW w:w="2760" w:type="dxa"/>
            <w:tcBorders/>
          </w:tcPr>
          <w:p>
            <w:pPr>
              <w:pStyle w:val="TableContents"/>
              <w:bidi w:val="0"/>
              <w:spacing w:before="0" w:after="283"/>
              <w:jc w:val="left"/>
              <w:rPr/>
            </w:pPr>
            <w:r>
              <w:rPr/>
              <w:t>Market Disruption Event:</w:t>
            </w:r>
          </w:p>
        </w:tc>
        <w:tc>
          <w:tcPr>
            <w:tcW w:w="122"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A “Market Disruption Event” as defined in the Indenture.</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909"/>
        <w:gridCol w:w="124"/>
        <w:gridCol w:w="6763"/>
      </w:tblGrid>
      <w:tr>
        <w:trPr/>
        <w:tc>
          <w:tcPr>
            <w:tcW w:w="29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763" w:type="dxa"/>
            <w:tcBorders/>
            <w:vAlign w:val="center"/>
          </w:tcPr>
          <w:p>
            <w:pPr>
              <w:pStyle w:val="TableContents"/>
              <w:bidi w:val="0"/>
              <w:spacing w:before="0" w:after="283"/>
              <w:jc w:val="left"/>
              <w:rPr>
                <w:sz w:val="4"/>
                <w:szCs w:val="4"/>
              </w:rPr>
            </w:pPr>
            <w:r>
              <w:rPr>
                <w:sz w:val="4"/>
                <w:szCs w:val="4"/>
              </w:rPr>
            </w:r>
          </w:p>
        </w:tc>
      </w:tr>
      <w:tr>
        <w:trPr/>
        <w:tc>
          <w:tcPr>
            <w:tcW w:w="2909" w:type="dxa"/>
            <w:tcBorders/>
          </w:tcPr>
          <w:p>
            <w:pPr>
              <w:pStyle w:val="TableContents"/>
              <w:bidi w:val="0"/>
              <w:spacing w:before="0" w:after="283"/>
              <w:jc w:val="left"/>
              <w:rPr>
                <w:i/>
              </w:rPr>
            </w:pPr>
            <w:r>
              <w:rPr>
                <w:i/>
                <w:u w:val="single"/>
              </w:rPr>
              <w:t>Settlement Terms</w:t>
            </w:r>
            <w:r>
              <w:rPr>
                <w:i/>
              </w:rPr>
              <w:t>.</w:t>
            </w:r>
          </w:p>
        </w:tc>
        <w:tc>
          <w:tcPr>
            <w:tcW w:w="124" w:type="dxa"/>
            <w:tcBorders/>
            <w:vAlign w:val="bottom"/>
          </w:tcPr>
          <w:p>
            <w:pPr>
              <w:pStyle w:val="TableContents"/>
              <w:bidi w:val="0"/>
              <w:spacing w:before="0" w:after="283"/>
              <w:jc w:val="left"/>
              <w:rPr/>
            </w:pPr>
            <w:r>
              <w:rPr/>
              <w:t>  </w:t>
            </w:r>
          </w:p>
        </w:tc>
        <w:tc>
          <w:tcPr>
            <w:tcW w:w="676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2762"/>
        <w:gridCol w:w="120"/>
        <w:gridCol w:w="6710"/>
      </w:tblGrid>
      <w:tr>
        <w:trPr/>
        <w:tc>
          <w:tcPr>
            <w:tcW w:w="27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left"/>
              <w:rPr>
                <w:sz w:val="4"/>
                <w:szCs w:val="4"/>
              </w:rPr>
            </w:pPr>
            <w:r>
              <w:rPr>
                <w:sz w:val="4"/>
                <w:szCs w:val="4"/>
              </w:rPr>
            </w:r>
          </w:p>
        </w:tc>
      </w:tr>
      <w:tr>
        <w:trPr/>
        <w:tc>
          <w:tcPr>
            <w:tcW w:w="2762" w:type="dxa"/>
            <w:tcBorders/>
          </w:tcPr>
          <w:p>
            <w:pPr>
              <w:pStyle w:val="TableContents"/>
              <w:bidi w:val="0"/>
              <w:spacing w:before="0" w:after="283"/>
              <w:jc w:val="left"/>
              <w:rPr/>
            </w:pPr>
            <w:r>
              <w:rPr/>
              <w:t>Settlement Method:</w:t>
            </w:r>
          </w:p>
        </w:tc>
        <w:tc>
          <w:tcPr>
            <w:tcW w:w="120"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 xml:space="preserve">For any Option, Net Share Settlement; </w:t>
            </w:r>
            <w:r>
              <w:rPr>
                <w:i/>
              </w:rPr>
              <w:t>provided</w:t>
            </w:r>
            <w:r>
              <w:rPr/>
              <w:t xml:space="preserve"> that if the Relevant Settlement Method set forth below for such Option is not Net Share Settlement, then the Settlement Method for such Option shall be such Relevant Settlement Method, but only if Counterparty shall have notified Dealer of the Relevant Settlement Method in the Notice of Final Settlement Method for such Option.</w:t>
            </w:r>
          </w:p>
        </w:tc>
      </w:tr>
      <w:tr>
        <w:trPr>
          <w:trHeight w:val="120" w:hRule="atLeast"/>
        </w:trPr>
        <w:tc>
          <w:tcPr>
            <w:tcW w:w="2762" w:type="dxa"/>
            <w:tcBorders/>
            <w:vAlign w:val="center"/>
          </w:tcPr>
          <w:p>
            <w:pPr>
              <w:pStyle w:val="TableContents"/>
              <w:bidi w:val="0"/>
              <w:spacing w:before="0" w:after="283"/>
              <w:jc w:val="left"/>
              <w:rPr>
                <w:sz w:val="4"/>
                <w:szCs w:val="4"/>
              </w:rPr>
            </w:pPr>
            <w:r>
              <w:rPr>
                <w:sz w:val="4"/>
                <w:szCs w:val="4"/>
              </w:rPr>
            </w:r>
          </w:p>
        </w:tc>
        <w:tc>
          <w:tcPr>
            <w:tcW w:w="6830" w:type="dxa"/>
            <w:gridSpan w:val="2"/>
            <w:tcBorders/>
            <w:vAlign w:val="center"/>
          </w:tcPr>
          <w:p>
            <w:pPr>
              <w:pStyle w:val="TableContents"/>
              <w:bidi w:val="0"/>
              <w:spacing w:before="0" w:after="283"/>
              <w:jc w:val="left"/>
              <w:rPr>
                <w:sz w:val="4"/>
                <w:szCs w:val="4"/>
              </w:rPr>
            </w:pPr>
            <w:r>
              <w:rPr>
                <w:sz w:val="4"/>
                <w:szCs w:val="4"/>
              </w:rPr>
            </w:r>
          </w:p>
        </w:tc>
      </w:tr>
      <w:tr>
        <w:trPr/>
        <w:tc>
          <w:tcPr>
            <w:tcW w:w="2762" w:type="dxa"/>
            <w:tcBorders/>
          </w:tcPr>
          <w:p>
            <w:pPr>
              <w:pStyle w:val="TableContents"/>
              <w:bidi w:val="0"/>
              <w:spacing w:before="0" w:after="283"/>
              <w:jc w:val="left"/>
              <w:rPr/>
            </w:pPr>
            <w:r>
              <w:rPr/>
              <w:t>Relevant Settlement Method:</w:t>
            </w:r>
          </w:p>
        </w:tc>
        <w:tc>
          <w:tcPr>
            <w:tcW w:w="120"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In respect of any Option:</w:t>
            </w:r>
          </w:p>
        </w:tc>
      </w:tr>
      <w:tr>
        <w:trPr>
          <w:trHeight w:val="120" w:hRule="atLeast"/>
        </w:trPr>
        <w:tc>
          <w:tcPr>
            <w:tcW w:w="2762" w:type="dxa"/>
            <w:tcBorders/>
            <w:vAlign w:val="center"/>
          </w:tcPr>
          <w:p>
            <w:pPr>
              <w:pStyle w:val="TableContents"/>
              <w:bidi w:val="0"/>
              <w:spacing w:before="0" w:after="283"/>
              <w:jc w:val="left"/>
              <w:rPr>
                <w:sz w:val="4"/>
                <w:szCs w:val="4"/>
              </w:rPr>
            </w:pPr>
            <w:r>
              <w:rPr>
                <w:sz w:val="4"/>
                <w:szCs w:val="4"/>
              </w:rPr>
            </w:r>
          </w:p>
        </w:tc>
        <w:tc>
          <w:tcPr>
            <w:tcW w:w="6830" w:type="dxa"/>
            <w:gridSpan w:val="2"/>
            <w:tcBorders/>
            <w:vAlign w:val="center"/>
          </w:tcPr>
          <w:p>
            <w:pPr>
              <w:pStyle w:val="TableContents"/>
              <w:bidi w:val="0"/>
              <w:spacing w:before="0" w:after="283"/>
              <w:jc w:val="left"/>
              <w:rPr>
                <w:sz w:val="4"/>
                <w:szCs w:val="4"/>
              </w:rPr>
            </w:pPr>
            <w:r>
              <w:rPr>
                <w:sz w:val="4"/>
                <w:szCs w:val="4"/>
              </w:rPr>
            </w:r>
          </w:p>
        </w:tc>
      </w:tr>
      <w:tr>
        <w:trPr/>
        <w:tc>
          <w:tcPr>
            <w:tcW w:w="27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(i) if Counterparty has not elected to settle all or any portion of its exchange obligations in respect of the related Exchangeable Note in excess of the principal amount thereof in cash either by specifying a Cash Percentage of 0% or not timely specifying a Cash Percentage, in each case, pursuant to Section 14.03(a)(3) of the Indenture, then the Relevant Settlement Method for such Option shall be Net Share Settlement;</w:t>
            </w:r>
          </w:p>
        </w:tc>
      </w:tr>
      <w:tr>
        <w:trPr>
          <w:trHeight w:val="120" w:hRule="atLeast"/>
        </w:trPr>
        <w:tc>
          <w:tcPr>
            <w:tcW w:w="2762" w:type="dxa"/>
            <w:tcBorders/>
            <w:vAlign w:val="center"/>
          </w:tcPr>
          <w:p>
            <w:pPr>
              <w:pStyle w:val="TableContents"/>
              <w:bidi w:val="0"/>
              <w:spacing w:before="0" w:after="283"/>
              <w:jc w:val="left"/>
              <w:rPr>
                <w:sz w:val="4"/>
                <w:szCs w:val="4"/>
              </w:rPr>
            </w:pPr>
            <w:r>
              <w:rPr>
                <w:sz w:val="4"/>
                <w:szCs w:val="4"/>
              </w:rPr>
            </w:r>
          </w:p>
        </w:tc>
        <w:tc>
          <w:tcPr>
            <w:tcW w:w="6830" w:type="dxa"/>
            <w:gridSpan w:val="2"/>
            <w:tcBorders/>
            <w:vAlign w:val="center"/>
          </w:tcPr>
          <w:p>
            <w:pPr>
              <w:pStyle w:val="TableContents"/>
              <w:bidi w:val="0"/>
              <w:spacing w:before="0" w:after="283"/>
              <w:jc w:val="left"/>
              <w:rPr>
                <w:sz w:val="4"/>
                <w:szCs w:val="4"/>
              </w:rPr>
            </w:pPr>
            <w:r>
              <w:rPr>
                <w:sz w:val="4"/>
                <w:szCs w:val="4"/>
              </w:rPr>
            </w:r>
          </w:p>
        </w:tc>
      </w:tr>
      <w:tr>
        <w:trPr/>
        <w:tc>
          <w:tcPr>
            <w:tcW w:w="27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10" w:type="dxa"/>
            <w:tcBorders/>
          </w:tcPr>
          <w:p>
            <w:pPr>
              <w:pStyle w:val="TableContents"/>
              <w:bidi w:val="0"/>
              <w:spacing w:before="0" w:after="283"/>
              <w:jc w:val="left"/>
              <w:rPr/>
            </w:pPr>
            <w:r>
              <w:rPr/>
              <w:t>(ii) if Counterparty has elected to settle its exchange obligations in respect of the related Exchangeable Note in excess of the principal amount thereof in a combination of cash and Shares by specifying a Cash Percentage less than 100% but greater than 0% pursuant to Section 14.03(a)(3) of the Indenture, then the Relevant Settlement Method for such Option shall be Combination Settlement;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810"/>
        <w:gridCol w:w="120"/>
        <w:gridCol w:w="6662"/>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62" w:type="dxa"/>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283"/>
              <w:jc w:val="left"/>
              <w:rPr/>
            </w:pPr>
            <w:r>
              <w:rPr/>
              <w:t>(iii) if Counterparty has elected to settle its exchange obligations in respect of the related Exchangeable Note in excess of the principal amount thereof entirely in cash by specifying a Cash Percentage of 100% pursuant to Section 14.03(a)(3) of the Indenture, then the Relevant Settlement Method for such Option shall be Cash Settlement.</w:t>
            </w:r>
          </w:p>
        </w:tc>
      </w:tr>
      <w:tr>
        <w:trPr>
          <w:trHeight w:val="120" w:hRule="atLeast"/>
        </w:trPr>
        <w:tc>
          <w:tcPr>
            <w:tcW w:w="2810" w:type="dxa"/>
            <w:tcBorders/>
            <w:vAlign w:val="center"/>
          </w:tcPr>
          <w:p>
            <w:pPr>
              <w:pStyle w:val="TableContents"/>
              <w:bidi w:val="0"/>
              <w:spacing w:before="0" w:after="283"/>
              <w:jc w:val="left"/>
              <w:rPr>
                <w:sz w:val="4"/>
                <w:szCs w:val="4"/>
              </w:rPr>
            </w:pPr>
            <w:r>
              <w:rPr>
                <w:sz w:val="4"/>
                <w:szCs w:val="4"/>
              </w:rPr>
            </w:r>
          </w:p>
        </w:tc>
        <w:tc>
          <w:tcPr>
            <w:tcW w:w="6782"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pPr>
            <w:r>
              <w:rPr/>
              <w:t>Net Share Settlement:</w:t>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283"/>
              <w:jc w:val="left"/>
              <w:rPr/>
            </w:pPr>
            <w:r>
              <w:rPr/>
              <w:t>If Net Share Settlement is applicable to any Option exercised or deemed exercised hereunder, Dealer will deliver to Counterparty, on the relevant Settlement Date for each such Option, a number of Shares (the “</w:t>
            </w:r>
            <w:r>
              <w:rPr>
                <w:b/>
              </w:rPr>
              <w:t>Net Share Settlement Amount</w:t>
            </w:r>
            <w:r>
              <w:rPr/>
              <w:t xml:space="preserve">”) equal to the sum, for each Valid Day during the Settlement Averaging Period for each such Option, of (i) (a) the Daily Option Value for such Valid Day, </w:t>
            </w:r>
            <w:r>
              <w:rPr>
                <w:i/>
              </w:rPr>
              <w:t>divided by</w:t>
            </w:r>
            <w:r>
              <w:rPr/>
              <w:t xml:space="preserve"> (b) the Relevant Price on such Valid Day, </w:t>
            </w:r>
            <w:r>
              <w:rPr>
                <w:i/>
              </w:rPr>
              <w:t>divided by</w:t>
            </w:r>
            <w:r>
              <w:rPr/>
              <w:t xml:space="preserve"> (ii) the number of Valid Days in the Settlement Averaging Period; </w:t>
            </w:r>
            <w:r>
              <w:rPr>
                <w:i/>
              </w:rPr>
              <w:t>provided</w:t>
            </w:r>
            <w:r>
              <w:rPr/>
              <w:t xml:space="preserve"> that in no event shall the Net Share Settlement Amount for any Option exceed a number of Shares equal to the Applicable Limit for such Option </w:t>
            </w:r>
            <w:r>
              <w:rPr>
                <w:i/>
              </w:rPr>
              <w:t>divided by</w:t>
            </w:r>
            <w:r>
              <w:rPr/>
              <w:t xml:space="preserve"> the Applicable Limit Price on the Settlement Date for such Option.</w:t>
            </w:r>
          </w:p>
        </w:tc>
      </w:tr>
      <w:tr>
        <w:trPr>
          <w:trHeight w:val="120" w:hRule="atLeast"/>
        </w:trPr>
        <w:tc>
          <w:tcPr>
            <w:tcW w:w="2810" w:type="dxa"/>
            <w:tcBorders/>
            <w:vAlign w:val="center"/>
          </w:tcPr>
          <w:p>
            <w:pPr>
              <w:pStyle w:val="TableContents"/>
              <w:bidi w:val="0"/>
              <w:spacing w:before="0" w:after="283"/>
              <w:jc w:val="left"/>
              <w:rPr>
                <w:sz w:val="4"/>
                <w:szCs w:val="4"/>
              </w:rPr>
            </w:pPr>
            <w:r>
              <w:rPr>
                <w:sz w:val="4"/>
                <w:szCs w:val="4"/>
              </w:rPr>
            </w:r>
          </w:p>
        </w:tc>
        <w:tc>
          <w:tcPr>
            <w:tcW w:w="6782"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283"/>
              <w:jc w:val="left"/>
              <w:rPr/>
            </w:pPr>
            <w:r>
              <w:rPr/>
              <w:t>Dealer will pay cash in lieu of delivering any fractional Shares to be delivered with respect to any Net Share Settlement Amount valued at the Relevant Price for the last Valid Day of the Settlement Averaging Period.</w:t>
            </w:r>
          </w:p>
        </w:tc>
      </w:tr>
      <w:tr>
        <w:trPr>
          <w:trHeight w:val="120" w:hRule="atLeast"/>
        </w:trPr>
        <w:tc>
          <w:tcPr>
            <w:tcW w:w="2810" w:type="dxa"/>
            <w:tcBorders/>
            <w:vAlign w:val="center"/>
          </w:tcPr>
          <w:p>
            <w:pPr>
              <w:pStyle w:val="TableContents"/>
              <w:bidi w:val="0"/>
              <w:spacing w:before="0" w:after="283"/>
              <w:jc w:val="left"/>
              <w:rPr>
                <w:sz w:val="4"/>
                <w:szCs w:val="4"/>
              </w:rPr>
            </w:pPr>
            <w:r>
              <w:rPr>
                <w:sz w:val="4"/>
                <w:szCs w:val="4"/>
              </w:rPr>
            </w:r>
          </w:p>
        </w:tc>
        <w:tc>
          <w:tcPr>
            <w:tcW w:w="6782"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pPr>
            <w:r>
              <w:rPr/>
              <w:t>Combination Settlement:</w:t>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283"/>
              <w:jc w:val="left"/>
              <w:rPr/>
            </w:pPr>
            <w:r>
              <w:rPr/>
              <w:t>If Combination Settlement is applicable to any Option exercised or deemed exercised hereunder, Dealer will pay or deliver, as the case may be, to Counterparty, on the relevant Settlement Date for each such Option:</w:t>
            </w:r>
          </w:p>
        </w:tc>
      </w:tr>
      <w:tr>
        <w:trPr>
          <w:trHeight w:val="120" w:hRule="atLeast"/>
        </w:trPr>
        <w:tc>
          <w:tcPr>
            <w:tcW w:w="2810" w:type="dxa"/>
            <w:tcBorders/>
            <w:vAlign w:val="center"/>
          </w:tcPr>
          <w:p>
            <w:pPr>
              <w:pStyle w:val="TableContents"/>
              <w:bidi w:val="0"/>
              <w:spacing w:before="0" w:after="283"/>
              <w:jc w:val="left"/>
              <w:rPr>
                <w:sz w:val="4"/>
                <w:szCs w:val="4"/>
              </w:rPr>
            </w:pPr>
            <w:r>
              <w:rPr>
                <w:sz w:val="4"/>
                <w:szCs w:val="4"/>
              </w:rPr>
            </w:r>
          </w:p>
        </w:tc>
        <w:tc>
          <w:tcPr>
            <w:tcW w:w="6782"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(i) cash (the “</w:t>
            </w:r>
            <w:r>
              <w:rPr>
                <w:rFonts w:ascii="Times New Roman" w:hAnsi="Times New Roman"/>
                <w:b/>
                <w:sz w:val="20"/>
              </w:rPr>
              <w:t>Combination Settlement Cash Amount</w:t>
            </w:r>
            <w:r>
              <w:rPr>
                <w:rFonts w:ascii="Times New Roman" w:hAnsi="Times New Roman"/>
                <w:sz w:val="20"/>
              </w:rPr>
              <w:t>”) equal to the sum, for each Valid Day during the Settlement Averaging Period for such Option, of (A) an amount (the “</w:t>
            </w:r>
            <w:r>
              <w:rPr>
                <w:rFonts w:ascii="Times New Roman" w:hAnsi="Times New Roman"/>
                <w:b/>
                <w:sz w:val="20"/>
              </w:rPr>
              <w:t>Daily Combination Settlement Cash Amount</w:t>
            </w:r>
            <w:r>
              <w:rPr>
                <w:rFonts w:ascii="Times New Roman" w:hAnsi="Times New Roman"/>
                <w:sz w:val="20"/>
              </w:rPr>
              <w:t xml:space="preserve">”) equal to the product of (1) the Cash Percentage and (2) the Daily Option Value, </w:t>
            </w:r>
            <w:r>
              <w:rPr>
                <w:rFonts w:ascii="Times New Roman" w:hAnsi="Times New Roman"/>
                <w:i/>
                <w:sz w:val="20"/>
              </w:rPr>
              <w:t>divided by</w:t>
            </w:r>
            <w:r>
              <w:rPr>
                <w:rFonts w:ascii="Times New Roman" w:hAnsi="Times New Roman"/>
                <w:sz w:val="20"/>
              </w:rPr>
              <w:t xml:space="preserve"> (B) the number of Valid Days in the Settlement Averaging Period; </w:t>
            </w:r>
            <w:r>
              <w:rPr>
                <w:rFonts w:ascii="Times New Roman" w:hAnsi="Times New Roman"/>
                <w:i/>
                <w:sz w:val="20"/>
              </w:rPr>
              <w:t>provided</w:t>
            </w:r>
            <w:r>
              <w:rPr>
                <w:rFonts w:ascii="Times New Roman" w:hAnsi="Times New Roman"/>
                <w:sz w:val="20"/>
              </w:rPr>
              <w:t xml:space="preserve"> that if the calculation in clause (A) above results in zero or a negative number for any Valid Day, the Daily Combination Settlement Cash Amount for such Valid Day shall be deemed to be zero; and</w:t>
            </w:r>
          </w:p>
        </w:tc>
      </w:tr>
      <w:tr>
        <w:trPr>
          <w:trHeight w:val="120" w:hRule="atLeast"/>
        </w:trPr>
        <w:tc>
          <w:tcPr>
            <w:tcW w:w="2810" w:type="dxa"/>
            <w:tcBorders/>
            <w:vAlign w:val="center"/>
          </w:tcPr>
          <w:p>
            <w:pPr>
              <w:pStyle w:val="TableContents"/>
              <w:bidi w:val="0"/>
              <w:spacing w:before="0" w:after="283"/>
              <w:jc w:val="left"/>
              <w:rPr>
                <w:sz w:val="4"/>
                <w:szCs w:val="4"/>
              </w:rPr>
            </w:pPr>
            <w:r>
              <w:rPr>
                <w:sz w:val="4"/>
                <w:szCs w:val="4"/>
              </w:rPr>
            </w:r>
          </w:p>
        </w:tc>
        <w:tc>
          <w:tcPr>
            <w:tcW w:w="6782"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(ii)  Shares (the “</w:t>
            </w:r>
            <w:r>
              <w:rPr>
                <w:rFonts w:ascii="Times New Roman" w:hAnsi="Times New Roman"/>
                <w:b/>
                <w:sz w:val="20"/>
              </w:rPr>
              <w:t>Combination Settlement Share Amount</w:t>
            </w:r>
            <w:r>
              <w:rPr>
                <w:rFonts w:ascii="Times New Roman" w:hAnsi="Times New Roman"/>
                <w:sz w:val="20"/>
              </w:rPr>
              <w:t>”) equal to the sum, for each Valid Day during the Settlement Averaging Period for such Option, of a number of Shares for such Valid Day (the “</w:t>
            </w:r>
            <w:r>
              <w:rPr>
                <w:rFonts w:ascii="Times New Roman" w:hAnsi="Times New Roman"/>
                <w:b/>
                <w:sz w:val="20"/>
              </w:rPr>
              <w:t>Daily Combination Settlement Share Amount</w:t>
            </w:r>
            <w:r>
              <w:rPr>
                <w:rFonts w:ascii="Times New Roman" w:hAnsi="Times New Roman"/>
                <w:sz w:val="20"/>
              </w:rPr>
              <w:t xml:space="preserve">”) equal to (A) (1) the Daily Option Value on such Valid Day </w:t>
            </w:r>
            <w:r>
              <w:rPr>
                <w:rFonts w:ascii="Times New Roman" w:hAnsi="Times New Roman"/>
                <w:i/>
                <w:sz w:val="20"/>
              </w:rPr>
              <w:t>minus</w:t>
            </w:r>
            <w:r>
              <w:rPr>
                <w:rFonts w:ascii="Times New Roman" w:hAnsi="Times New Roman"/>
                <w:sz w:val="20"/>
              </w:rPr>
              <w:t xml:space="preserve"> the Daily Combination Settlement Cash Amount for such Valid Day, </w:t>
            </w:r>
            <w:r>
              <w:rPr>
                <w:rFonts w:ascii="Times New Roman" w:hAnsi="Times New Roman"/>
                <w:i/>
                <w:sz w:val="20"/>
              </w:rPr>
              <w:t>divided by</w:t>
            </w:r>
            <w:r>
              <w:rPr>
                <w:rFonts w:ascii="Times New Roman" w:hAnsi="Times New Roman"/>
                <w:sz w:val="20"/>
              </w:rPr>
              <w:t xml:space="preserve"> (2) the Relevant Price on such Valid Day, </w:t>
            </w:r>
            <w:r>
              <w:rPr>
                <w:rFonts w:ascii="Times New Roman" w:hAnsi="Times New Roman"/>
                <w:i/>
                <w:sz w:val="20"/>
              </w:rPr>
              <w:t>divided by</w:t>
            </w:r>
            <w:r>
              <w:rPr>
                <w:rFonts w:ascii="Times New Roman" w:hAnsi="Times New Roman"/>
                <w:sz w:val="20"/>
              </w:rPr>
              <w:t xml:space="preserve"> (B) the number of Valid Days in the Settlement Averaging Period; </w:t>
            </w:r>
            <w:r>
              <w:rPr>
                <w:rFonts w:ascii="Times New Roman" w:hAnsi="Times New Roman"/>
                <w:i/>
                <w:sz w:val="20"/>
              </w:rPr>
              <w:t>provided</w:t>
            </w:r>
            <w:r>
              <w:rPr>
                <w:rFonts w:ascii="Times New Roman" w:hAnsi="Times New Roman"/>
                <w:sz w:val="20"/>
              </w:rPr>
              <w:t xml:space="preserve"> that if the calculation in sub-clause (A)(1) above results in zero or a negative number for any Valid Day, the Daily Combination Settlement Share Amount for such Valid Day shall be deemed to be zero;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778"/>
        <w:gridCol w:w="122"/>
        <w:gridCol w:w="6692"/>
      </w:tblGrid>
      <w:tr>
        <w:trPr/>
        <w:tc>
          <w:tcPr>
            <w:tcW w:w="27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692" w:type="dxa"/>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i/>
              </w:rPr>
              <w:t>provided</w:t>
            </w:r>
            <w:r>
              <w:rPr/>
              <w:t xml:space="preserve"> that in no event shall the sum of (x) the Combination Settlement Cash Amount for any Option and (y) the Combination Settlement Share Amount for such Option </w:t>
            </w:r>
            <w:r>
              <w:rPr>
                <w:i/>
              </w:rPr>
              <w:t>multiplied by</w:t>
            </w:r>
            <w:r>
              <w:rPr/>
              <w:t xml:space="preserve"> the Applicable Limit Price on the Settlement Date for such Option, exceed the Applicable Limit for such Option.</w:t>
            </w:r>
          </w:p>
        </w:tc>
      </w:tr>
      <w:tr>
        <w:trPr>
          <w:trHeight w:val="120" w:hRule="atLeast"/>
        </w:trPr>
        <w:tc>
          <w:tcPr>
            <w:tcW w:w="2778" w:type="dxa"/>
            <w:tcBorders/>
            <w:vAlign w:val="center"/>
          </w:tcPr>
          <w:p>
            <w:pPr>
              <w:pStyle w:val="TableContents"/>
              <w:bidi w:val="0"/>
              <w:spacing w:before="0" w:after="283"/>
              <w:jc w:val="left"/>
              <w:rPr>
                <w:sz w:val="4"/>
                <w:szCs w:val="4"/>
              </w:rPr>
            </w:pPr>
            <w:r>
              <w:rPr>
                <w:sz w:val="4"/>
                <w:szCs w:val="4"/>
              </w:rPr>
            </w:r>
          </w:p>
        </w:tc>
        <w:tc>
          <w:tcPr>
            <w:tcW w:w="6814" w:type="dxa"/>
            <w:gridSpan w:val="2"/>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t>Dealer will pay cash in lieu of delivering any fractional Shares to be delivered with respect to any Combination Settlement Share Amount valued at the Relevant Price for the last Valid Day of the Settlement Averaging Period.</w:t>
            </w:r>
          </w:p>
        </w:tc>
      </w:tr>
      <w:tr>
        <w:trPr>
          <w:trHeight w:val="120" w:hRule="atLeast"/>
        </w:trPr>
        <w:tc>
          <w:tcPr>
            <w:tcW w:w="2778" w:type="dxa"/>
            <w:tcBorders/>
            <w:vAlign w:val="center"/>
          </w:tcPr>
          <w:p>
            <w:pPr>
              <w:pStyle w:val="TableContents"/>
              <w:bidi w:val="0"/>
              <w:spacing w:before="0" w:after="283"/>
              <w:jc w:val="left"/>
              <w:rPr>
                <w:sz w:val="4"/>
                <w:szCs w:val="4"/>
              </w:rPr>
            </w:pPr>
            <w:r>
              <w:rPr>
                <w:sz w:val="4"/>
                <w:szCs w:val="4"/>
              </w:rPr>
            </w:r>
          </w:p>
        </w:tc>
        <w:tc>
          <w:tcPr>
            <w:tcW w:w="6814" w:type="dxa"/>
            <w:gridSpan w:val="2"/>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pPr>
            <w:r>
              <w:rPr/>
              <w:t>Cash Settlement:</w:t>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t>If Cash Settlement is applicable to any Option exercised or deemed exercised hereunder, in lieu of Section 8.1 of the Equity Definitions, Dealer will pay to Counterparty, on the relevant Settlement Date for each such Option, an amount of cash (the “</w:t>
            </w:r>
            <w:r>
              <w:rPr>
                <w:b/>
              </w:rPr>
              <w:t>Cash Settlement Amount</w:t>
            </w:r>
            <w:r>
              <w:rPr/>
              <w:t xml:space="preserve">”) equal to the sum, for each Valid Day during the Settlement Averaging Period for such Option, of (i) the Daily Option Value for such Valid Day, </w:t>
            </w:r>
            <w:r>
              <w:rPr>
                <w:i/>
              </w:rPr>
              <w:t>divided by</w:t>
            </w:r>
            <w:r>
              <w:rPr/>
              <w:t xml:space="preserve"> (ii) the number of Valid Days in the Settlement Averaging Period; </w:t>
            </w:r>
            <w:r>
              <w:rPr>
                <w:i/>
              </w:rPr>
              <w:t>provided</w:t>
            </w:r>
            <w:r>
              <w:rPr/>
              <w:t xml:space="preserve"> that in no event shall the Cash Settlement Amount exceed the Applicable Limit for such Option.</w:t>
            </w:r>
          </w:p>
        </w:tc>
      </w:tr>
      <w:tr>
        <w:trPr>
          <w:trHeight w:val="120" w:hRule="atLeast"/>
        </w:trPr>
        <w:tc>
          <w:tcPr>
            <w:tcW w:w="2778" w:type="dxa"/>
            <w:tcBorders/>
            <w:vAlign w:val="center"/>
          </w:tcPr>
          <w:p>
            <w:pPr>
              <w:pStyle w:val="TableContents"/>
              <w:bidi w:val="0"/>
              <w:spacing w:before="0" w:after="283"/>
              <w:jc w:val="left"/>
              <w:rPr>
                <w:sz w:val="4"/>
                <w:szCs w:val="4"/>
              </w:rPr>
            </w:pPr>
            <w:r>
              <w:rPr>
                <w:sz w:val="4"/>
                <w:szCs w:val="4"/>
              </w:rPr>
            </w:r>
          </w:p>
        </w:tc>
        <w:tc>
          <w:tcPr>
            <w:tcW w:w="6814" w:type="dxa"/>
            <w:gridSpan w:val="2"/>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pPr>
            <w:r>
              <w:rPr/>
              <w:t>Daily Option Value:</w:t>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t xml:space="preserve">For any Valid Day, an amount equal to (i) the Option Entitlement on such Valid Day, </w:t>
            </w:r>
            <w:r>
              <w:rPr>
                <w:i/>
              </w:rPr>
              <w:t>multiplied by</w:t>
            </w:r>
            <w:r>
              <w:rPr/>
              <w:t xml:space="preserve"> (ii) (A) the lesser of the Relevant Price on such Valid Day and the Cap Price, </w:t>
            </w:r>
            <w:r>
              <w:rPr>
                <w:i/>
              </w:rPr>
              <w:t>less</w:t>
            </w:r>
            <w:r>
              <w:rPr/>
              <w:t xml:space="preserve"> (B) the Strike Price on such Valid Day; </w:t>
            </w:r>
            <w:r>
              <w:rPr>
                <w:i/>
              </w:rPr>
              <w:t>provided</w:t>
            </w:r>
            <w:r>
              <w:rPr/>
              <w:t xml:space="preserve"> that if the calculation contained in clause (ii) above results in a negative number, the Daily Option Value for such Valid Day shall be deemed to be zero. In no event will the Daily Option Value be less than zero.</w:t>
            </w:r>
          </w:p>
        </w:tc>
      </w:tr>
      <w:tr>
        <w:trPr>
          <w:trHeight w:val="120" w:hRule="atLeast"/>
        </w:trPr>
        <w:tc>
          <w:tcPr>
            <w:tcW w:w="2778" w:type="dxa"/>
            <w:tcBorders/>
            <w:vAlign w:val="center"/>
          </w:tcPr>
          <w:p>
            <w:pPr>
              <w:pStyle w:val="TableContents"/>
              <w:bidi w:val="0"/>
              <w:spacing w:before="0" w:after="283"/>
              <w:jc w:val="left"/>
              <w:rPr>
                <w:sz w:val="4"/>
                <w:szCs w:val="4"/>
              </w:rPr>
            </w:pPr>
            <w:r>
              <w:rPr>
                <w:sz w:val="4"/>
                <w:szCs w:val="4"/>
              </w:rPr>
            </w:r>
          </w:p>
        </w:tc>
        <w:tc>
          <w:tcPr>
            <w:tcW w:w="6814" w:type="dxa"/>
            <w:gridSpan w:val="2"/>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pPr>
            <w:r>
              <w:rPr/>
              <w:t>Applicable Limit:</w:t>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t xml:space="preserve">For any Option, an amount of cash equal to the Applicable Percentage </w:t>
            </w:r>
            <w:r>
              <w:rPr>
                <w:i/>
              </w:rPr>
              <w:t>multiplied by</w:t>
            </w:r>
            <w:r>
              <w:rPr/>
              <w:t xml:space="preserve"> the excess of (i) the aggregate of (A) the amount of cash paid to the “Holder” (as such term is defined in the Indenture) of the related Exchangeable Note upon exchange of such Exchangeable Note and (B) the number of Shares, if any, delivered to the “Holder” (as such term is defined in the Indenture) of the related Exchangeable Note upon exchange of such Exchangeable Note </w:t>
            </w:r>
            <w:r>
              <w:rPr>
                <w:i/>
              </w:rPr>
              <w:t>multiplied by</w:t>
            </w:r>
            <w:r>
              <w:rPr/>
              <w:t xml:space="preserve"> the Applicable Limit Price on the Settlement Date for such Option, over (ii) USD 1,000.</w:t>
            </w:r>
          </w:p>
        </w:tc>
      </w:tr>
      <w:tr>
        <w:trPr>
          <w:trHeight w:val="120" w:hRule="atLeast"/>
        </w:trPr>
        <w:tc>
          <w:tcPr>
            <w:tcW w:w="2778" w:type="dxa"/>
            <w:tcBorders/>
            <w:vAlign w:val="center"/>
          </w:tcPr>
          <w:p>
            <w:pPr>
              <w:pStyle w:val="TableContents"/>
              <w:bidi w:val="0"/>
              <w:spacing w:before="0" w:after="283"/>
              <w:jc w:val="left"/>
              <w:rPr>
                <w:sz w:val="4"/>
                <w:szCs w:val="4"/>
              </w:rPr>
            </w:pPr>
            <w:r>
              <w:rPr>
                <w:sz w:val="4"/>
                <w:szCs w:val="4"/>
              </w:rPr>
            </w:r>
          </w:p>
        </w:tc>
        <w:tc>
          <w:tcPr>
            <w:tcW w:w="6814" w:type="dxa"/>
            <w:gridSpan w:val="2"/>
            <w:tcBorders/>
            <w:vAlign w:val="center"/>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283"/>
              <w:jc w:val="left"/>
              <w:rPr/>
            </w:pPr>
            <w:r>
              <w:rPr/>
              <w:t>Applicable Limit Price:</w:t>
            </w:r>
          </w:p>
        </w:tc>
        <w:tc>
          <w:tcPr>
            <w:tcW w:w="122" w:type="dxa"/>
            <w:tcBorders/>
            <w:vAlign w:val="bottom"/>
          </w:tcPr>
          <w:p>
            <w:pPr>
              <w:pStyle w:val="TableContents"/>
              <w:bidi w:val="0"/>
              <w:spacing w:before="0" w:after="283"/>
              <w:jc w:val="left"/>
              <w:rPr/>
            </w:pPr>
            <w:r>
              <w:rPr/>
              <w:t>  </w:t>
            </w:r>
          </w:p>
        </w:tc>
        <w:tc>
          <w:tcPr>
            <w:tcW w:w="6692" w:type="dxa"/>
            <w:tcBorders/>
          </w:tcPr>
          <w:p>
            <w:pPr>
              <w:pStyle w:val="TableContents"/>
              <w:bidi w:val="0"/>
              <w:spacing w:before="0" w:after="283"/>
              <w:jc w:val="left"/>
              <w:rPr/>
            </w:pPr>
            <w:r>
              <w:rPr/>
              <w:t>On any day, the opening price as displayed under the heading “Op” on Bloomberg page FRT &lt;equity&gt; (or any successor thereto).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826"/>
        <w:gridCol w:w="121"/>
        <w:gridCol w:w="6645"/>
      </w:tblGrid>
      <w:tr>
        <w:trPr/>
        <w:tc>
          <w:tcPr>
            <w:tcW w:w="282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645" w:type="dxa"/>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Valid Day:</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A “Trading Day” for purposes of determining the amounts due upon exchange of the Exchangeable Notes as defined in the Indenture.</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Scheduled Valid Day:</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A “Scheduled Trading Day” as defined in the Indenture.</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Business Day:</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Any day other than a Saturday, a Sunday or a day on which banking institutions in New York, New York are authorized or required by law or executive order to close or to be closed.</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Relevant Price:</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On any Valid Day, the per Share volume-weighted average price as displayed under the heading “Bloomberg VWAP” on Bloomberg page FRT &lt;equity&gt; AQR (or its equivalent successor if such page is not available) in respect of the period from the scheduled open of trading on the Exchange to the Scheduled Closing Time of the Exchange on such Valid Day (or if such volume-weighted average price is unavailable,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Settlement Averaging Period:</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For any Option, the 40 consecutive Valid Days commencing on, and including, the 41st Scheduled Valid Day immediately prior to the Expiration Date.</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For any Option, the second Business Day immediately following the final Valid Day of the Settlement Averaging Period for such Option.</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Settlement Currency:</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USD</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Other Applicable Provisions:</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The provisions of Sections 9.1(c), 9.8, 9.9 and 9.11 of the Equity Definitions will be applicable, except that all references in such provisions to “Physical Settlement” or “Physically-settled” shall be read as references to “Share Settled”. “Share Settled” in relation to any Option means that Net Share Settlement or Combination Settlement is applicable to that Option.</w:t>
            </w:r>
          </w:p>
        </w:tc>
      </w:tr>
      <w:tr>
        <w:trPr>
          <w:trHeight w:val="120" w:hRule="atLeast"/>
        </w:trPr>
        <w:tc>
          <w:tcPr>
            <w:tcW w:w="2826" w:type="dxa"/>
            <w:tcBorders/>
            <w:vAlign w:val="center"/>
          </w:tcPr>
          <w:p>
            <w:pPr>
              <w:pStyle w:val="TableContents"/>
              <w:bidi w:val="0"/>
              <w:spacing w:before="0" w:after="283"/>
              <w:jc w:val="left"/>
              <w:rPr>
                <w:sz w:val="4"/>
                <w:szCs w:val="4"/>
              </w:rPr>
            </w:pPr>
            <w:r>
              <w:rPr>
                <w:sz w:val="4"/>
                <w:szCs w:val="4"/>
              </w:rPr>
            </w:r>
          </w:p>
        </w:tc>
        <w:tc>
          <w:tcPr>
            <w:tcW w:w="6766" w:type="dxa"/>
            <w:gridSpan w:val="2"/>
            <w:tcBorders/>
            <w:vAlign w:val="center"/>
          </w:tcPr>
          <w:p>
            <w:pPr>
              <w:pStyle w:val="TableContents"/>
              <w:bidi w:val="0"/>
              <w:spacing w:before="0" w:after="283"/>
              <w:jc w:val="left"/>
              <w:rPr>
                <w:sz w:val="4"/>
                <w:szCs w:val="4"/>
              </w:rPr>
            </w:pPr>
            <w:r>
              <w:rPr>
                <w:sz w:val="4"/>
                <w:szCs w:val="4"/>
              </w:rPr>
            </w:r>
          </w:p>
        </w:tc>
      </w:tr>
      <w:tr>
        <w:trPr/>
        <w:tc>
          <w:tcPr>
            <w:tcW w:w="2826" w:type="dxa"/>
            <w:tcBorders/>
          </w:tcPr>
          <w:p>
            <w:pPr>
              <w:pStyle w:val="TableContents"/>
              <w:bidi w:val="0"/>
              <w:spacing w:before="0" w:after="283"/>
              <w:jc w:val="left"/>
              <w:rPr/>
            </w:pPr>
            <w:r>
              <w:rPr/>
              <w:t>Representation and Agreement:</w:t>
            </w:r>
          </w:p>
        </w:tc>
        <w:tc>
          <w:tcPr>
            <w:tcW w:w="121" w:type="dxa"/>
            <w:tcBorders/>
            <w:vAlign w:val="bottom"/>
          </w:tcPr>
          <w:p>
            <w:pPr>
              <w:pStyle w:val="TableContents"/>
              <w:bidi w:val="0"/>
              <w:spacing w:before="0" w:after="283"/>
              <w:jc w:val="left"/>
              <w:rPr/>
            </w:pPr>
            <w:r>
              <w:rPr/>
              <w:t>  </w:t>
            </w:r>
          </w:p>
        </w:tc>
        <w:tc>
          <w:tcPr>
            <w:tcW w:w="6645" w:type="dxa"/>
            <w:tcBorders/>
          </w:tcPr>
          <w:p>
            <w:pPr>
              <w:pStyle w:val="TableContents"/>
              <w:bidi w:val="0"/>
              <w:spacing w:before="0" w:after="283"/>
              <w:jc w:val="left"/>
              <w:rPr/>
            </w:pPr>
            <w:r>
              <w:rPr/>
              <w:t>Notwithstanding anything to the contrary in the Equity Definitions (including, but not limited to, Section 9.11 thereof), the parties acknowledge that (i) any Shares delivered to Counterparty shall be, upon delivery, subject to restrictions and limitations arising from (x) Counterparty’s status as a subsidiary of the issuer of the Shares under applicable securities laws and (y) the Amended and Restated Declaration of Trust of Federal Realty Investment Trust, as amended from time to time (the “</w:t>
            </w:r>
            <w:r>
              <w:rPr>
                <w:b/>
              </w:rPr>
              <w:t>Charter</w:t>
            </w:r>
            <w:r>
              <w:rPr/>
              <w:t>”), (ii) Dealer may deliver any Shares required to be delivered hereunder in certificated form in lieu of delivery through the Clearance System, (iii) any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615"/>
        <w:gridCol w:w="120"/>
        <w:gridCol w:w="6857"/>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57" w:type="dxa"/>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857" w:type="dxa"/>
            <w:tcBorders/>
          </w:tcPr>
          <w:p>
            <w:pPr>
              <w:pStyle w:val="TableContents"/>
              <w:bidi w:val="0"/>
              <w:spacing w:before="0" w:after="283"/>
              <w:jc w:val="left"/>
              <w:rPr/>
            </w:pPr>
            <w:r>
              <w:rPr/>
              <w:t>delivered to Counterparty may be “restricted securities” (as defined in Rule 144 under the Securities Act of 1933, as amended (the “</w:t>
            </w:r>
            <w:r>
              <w:rPr>
                <w:b/>
              </w:rPr>
              <w:t>Securities Act</w:t>
            </w:r>
            <w:r>
              <w:rPr/>
              <w:t>”)) and (iv) the Representation and Agreement contained in Section 9.11 of the Equity Definitions shall be deemed modified accordingly.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
        <w:gridCol w:w="120"/>
        <w:gridCol w:w="9862"/>
      </w:tblGrid>
      <w:tr>
        <w:trPr/>
        <w:tc>
          <w:tcPr>
            <w:tcW w:w="2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62" w:type="dxa"/>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b/>
              </w:rPr>
            </w:pPr>
            <w:r>
              <w:rPr>
                <w:b/>
              </w:rPr>
              <w:t>3.</w:t>
            </w:r>
          </w:p>
        </w:tc>
        <w:tc>
          <w:tcPr>
            <w:tcW w:w="120" w:type="dxa"/>
            <w:tcBorders/>
            <w:vAlign w:val="bottom"/>
          </w:tcPr>
          <w:p>
            <w:pPr>
              <w:pStyle w:val="TableContents"/>
              <w:bidi w:val="0"/>
              <w:spacing w:before="0" w:after="283"/>
              <w:jc w:val="left"/>
              <w:rPr/>
            </w:pPr>
            <w:r>
              <w:rPr/>
              <w:t>  </w:t>
            </w:r>
          </w:p>
        </w:tc>
        <w:tc>
          <w:tcPr>
            <w:tcW w:w="9862" w:type="dxa"/>
            <w:tcBorders/>
          </w:tcPr>
          <w:p>
            <w:pPr>
              <w:pStyle w:val="TableContents"/>
              <w:bidi w:val="0"/>
              <w:spacing w:before="0" w:after="283"/>
              <w:jc w:val="left"/>
              <w:rPr>
                <w:b/>
              </w:rPr>
            </w:pPr>
            <w:r>
              <w:rPr>
                <w:b/>
                <w:u w:val="single"/>
              </w:rPr>
              <w:t>Additional Terms applicable to the Transaction</w:t>
            </w:r>
            <w:r>
              <w:rPr>
                <w:b/>
              </w:rPr>
              <w:t>.</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862" w:type="dxa"/>
            <w:tcBorders/>
          </w:tcPr>
          <w:p>
            <w:pPr>
              <w:pStyle w:val="TableContents"/>
              <w:bidi w:val="0"/>
              <w:spacing w:before="0" w:after="283"/>
              <w:jc w:val="left"/>
              <w:rPr/>
            </w:pPr>
            <w:r>
              <w:rPr/>
              <w:t>Adjustments applicable to the Transaction:</w:t>
            </w:r>
          </w:p>
        </w:tc>
      </w:tr>
    </w:tbl>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2798"/>
        <w:gridCol w:w="122"/>
        <w:gridCol w:w="6672"/>
      </w:tblGrid>
      <w:tr>
        <w:trPr/>
        <w:tc>
          <w:tcPr>
            <w:tcW w:w="27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672" w:type="dxa"/>
            <w:tcBorders/>
            <w:vAlign w:val="center"/>
          </w:tcPr>
          <w:p>
            <w:pPr>
              <w:pStyle w:val="TableContents"/>
              <w:bidi w:val="0"/>
              <w:spacing w:before="0" w:after="283"/>
              <w:jc w:val="left"/>
              <w:rPr>
                <w:sz w:val="4"/>
                <w:szCs w:val="4"/>
              </w:rPr>
            </w:pPr>
            <w:r>
              <w:rPr>
                <w:sz w:val="4"/>
                <w:szCs w:val="4"/>
              </w:rPr>
            </w:r>
          </w:p>
        </w:tc>
      </w:tr>
      <w:tr>
        <w:trPr/>
        <w:tc>
          <w:tcPr>
            <w:tcW w:w="2798" w:type="dxa"/>
            <w:tcBorders/>
          </w:tcPr>
          <w:p>
            <w:pPr>
              <w:pStyle w:val="TableContents"/>
              <w:bidi w:val="0"/>
              <w:spacing w:before="0" w:after="283"/>
              <w:jc w:val="left"/>
              <w:rPr/>
            </w:pPr>
            <w:r>
              <w:rPr/>
              <w:t>Potential Adjustment Events:</w:t>
            </w:r>
          </w:p>
        </w:tc>
        <w:tc>
          <w:tcPr>
            <w:tcW w:w="122" w:type="dxa"/>
            <w:tcBorders/>
            <w:vAlign w:val="bottom"/>
          </w:tcPr>
          <w:p>
            <w:pPr>
              <w:pStyle w:val="TableContents"/>
              <w:bidi w:val="0"/>
              <w:spacing w:before="0" w:after="283"/>
              <w:jc w:val="left"/>
              <w:rPr/>
            </w:pPr>
            <w:r>
              <w:rPr/>
              <w:t>  </w:t>
            </w:r>
          </w:p>
        </w:tc>
        <w:tc>
          <w:tcPr>
            <w:tcW w:w="6672" w:type="dxa"/>
            <w:tcBorders/>
          </w:tcPr>
          <w:p>
            <w:pPr>
              <w:pStyle w:val="TableContents"/>
              <w:bidi w:val="0"/>
              <w:spacing w:before="0" w:after="283"/>
              <w:jc w:val="left"/>
              <w:rPr/>
            </w:pPr>
            <w:r>
              <w:rPr/>
              <w:t>Notwithstanding Section 11.2(e) of the Equity Definitions, a “Potential Adjustment Event” means an occurrence of any event or condition, as set forth in any Dilution Adjustment Provision, that requires an adjustment under the Indenture to the “Exchange Rate” or the composition of a “Unit of Reference Property” or to any “Last Reported Sale Price”, “Daily VWAP,” “Daily Exchange Value,” “Daily Net Settlement Amount” or “Daily Settlement Amount” (as each such term is defined in the Indenture). For the avoidance of doubt, Dealer shall not have any delivery or payment obligation hereunder, and no adjustment shall be made to the terms of the Transaction, on account of (x) any distribution of cash, property or securities by Counterparty or Parent to holders of the Exchangeable Notes (upon exchange or otherwise) or (y) any other transaction in which holders of the Exchangeable Notes are entitled to participate, in each case, in lieu of an adjustment under the Indenture of the type referred to in the immediately preceding sentence (including, without limitation, pursuant to the second sentence of Section 14.04(c) of the Indenture or the second sentence of Section 14.04(d) of the Indenture).</w:t>
            </w:r>
          </w:p>
        </w:tc>
      </w:tr>
      <w:tr>
        <w:trPr>
          <w:trHeight w:val="120" w:hRule="atLeast"/>
        </w:trPr>
        <w:tc>
          <w:tcPr>
            <w:tcW w:w="2798"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r>
      <w:tr>
        <w:trPr/>
        <w:tc>
          <w:tcPr>
            <w:tcW w:w="2798" w:type="dxa"/>
            <w:tcBorders/>
          </w:tcPr>
          <w:p>
            <w:pPr>
              <w:pStyle w:val="TableContents"/>
              <w:bidi w:val="0"/>
              <w:spacing w:before="0" w:after="283"/>
              <w:jc w:val="left"/>
              <w:rPr/>
            </w:pPr>
            <w:r>
              <w:rPr/>
              <w:t>Method of Adjustment:</w:t>
            </w:r>
          </w:p>
        </w:tc>
        <w:tc>
          <w:tcPr>
            <w:tcW w:w="122" w:type="dxa"/>
            <w:tcBorders/>
            <w:vAlign w:val="bottom"/>
          </w:tcPr>
          <w:p>
            <w:pPr>
              <w:pStyle w:val="TableContents"/>
              <w:bidi w:val="0"/>
              <w:spacing w:before="0" w:after="283"/>
              <w:jc w:val="left"/>
              <w:rPr/>
            </w:pPr>
            <w:r>
              <w:rPr/>
              <w:t>  </w:t>
            </w:r>
          </w:p>
        </w:tc>
        <w:tc>
          <w:tcPr>
            <w:tcW w:w="6672" w:type="dxa"/>
            <w:tcBorders/>
          </w:tcPr>
          <w:p>
            <w:pPr>
              <w:pStyle w:val="TableContents"/>
              <w:bidi w:val="0"/>
              <w:spacing w:before="0" w:after="283"/>
              <w:jc w:val="left"/>
              <w:rPr/>
            </w:pPr>
            <w:r>
              <w:rPr/>
              <w:t>Calculation Agent Adjustment, which shall not have the meaning set forth in Section 11.2(c) of the Equity Definitions and instead shall mean that, upon any Potential Adjustment Event, the Calculation Agent shall make adjustments in a commercially reasonable manner to any one or more of the Strike Price, Number of Options, Option Entitlement and any other variable relevant to the exercise, settlement or payment for the Transaction that correspond to the adjustments to the Exchangeable Notes under the Indenture.</w:t>
            </w:r>
          </w:p>
        </w:tc>
      </w:tr>
      <w:tr>
        <w:trPr>
          <w:trHeight w:val="120" w:hRule="atLeast"/>
        </w:trPr>
        <w:tc>
          <w:tcPr>
            <w:tcW w:w="2798"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r>
      <w:tr>
        <w:trPr/>
        <w:tc>
          <w:tcPr>
            <w:tcW w:w="279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672" w:type="dxa"/>
            <w:tcBorders/>
          </w:tcPr>
          <w:p>
            <w:pPr>
              <w:pStyle w:val="TableContents"/>
              <w:bidi w:val="0"/>
              <w:spacing w:before="0" w:after="283"/>
              <w:jc w:val="left"/>
              <w:rPr/>
            </w:pPr>
            <w:r>
              <w:rPr/>
              <w:t>Notwithstanding the foregoing and “Consequences of Merger Events / Tender Offers” below, if the Calculation Agent in good faith disagrees with any adjustment to the Exchangeable Notes determined pursuant to the Indenture that involves an exercise of discretion by Counterparty or its or Parent’s board of directors (or equivalent governing body) (including, without limitation, pursuant to Section 14.05(a) of the Indenture, Section 14.07 of the Indenture or any supplemental indenture entered into thereunder or in connection with any proportional adjustment or the determination of the fair value of any securities, property,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685"/>
        <w:gridCol w:w="96"/>
        <w:gridCol w:w="6811"/>
      </w:tblGrid>
      <w:tr>
        <w:trPr/>
        <w:tc>
          <w:tcPr>
            <w:tcW w:w="268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68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811" w:type="dxa"/>
            <w:tcBorders/>
          </w:tcPr>
          <w:p>
            <w:pPr>
              <w:pStyle w:val="TableContents"/>
              <w:bidi w:val="0"/>
              <w:spacing w:before="0" w:after="283"/>
              <w:jc w:val="left"/>
              <w:rPr/>
            </w:pPr>
            <w:r>
              <w:rPr/>
              <w:t>rights or other assets), then in each such case, the Calculation Agent will determine the adjustment to be made to any one or more of the Strike Price, Number of Options, Option Entitlement and any other variable relevant to the exercise, settlement or payment for the Transaction, using, if applicable, the methodology set forth in the Indenture for any such adjustment, in good faith and in a commercially reasonable manner.</w:t>
            </w:r>
          </w:p>
        </w:tc>
      </w:tr>
      <w:tr>
        <w:trPr>
          <w:trHeight w:val="120" w:hRule="atLeast"/>
        </w:trPr>
        <w:tc>
          <w:tcPr>
            <w:tcW w:w="2685" w:type="dxa"/>
            <w:tcBorders/>
            <w:vAlign w:val="center"/>
          </w:tcPr>
          <w:p>
            <w:pPr>
              <w:pStyle w:val="TableContents"/>
              <w:bidi w:val="0"/>
              <w:spacing w:before="0" w:after="283"/>
              <w:jc w:val="left"/>
              <w:rPr>
                <w:sz w:val="4"/>
                <w:szCs w:val="4"/>
              </w:rPr>
            </w:pPr>
            <w:r>
              <w:rPr>
                <w:sz w:val="4"/>
                <w:szCs w:val="4"/>
              </w:rPr>
            </w:r>
          </w:p>
        </w:tc>
        <w:tc>
          <w:tcPr>
            <w:tcW w:w="6907"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811" w:type="dxa"/>
            <w:tcBorders/>
          </w:tcPr>
          <w:p>
            <w:pPr>
              <w:pStyle w:val="TableContents"/>
              <w:bidi w:val="0"/>
              <w:spacing w:before="0" w:after="283"/>
              <w:jc w:val="left"/>
              <w:rPr/>
            </w:pPr>
            <w:r>
              <w:rPr/>
              <w:t>Notwithstanding anything contained herein to the contrary, (i) in connection with any Potential Adjustment Event as a result of an event or condition set forth in Section 14.04(b) of the Indenture or Section 14.04(c) of the Indenture where, in either case, the period for determining “Y” (as such term is used in Section 14.04(b) of the Indenture) or “SP0” (as such term is used in Section 14.04(c) of the Indenture), as the case may be, begins before Parent has publicly announced the event or condition giving rise to such Potential Adjustment Event, then the Calculation Agent shall, acting in good faith and in a commercially reasonable manner, have the right to adjust any variable relevant to the exercise, settlement or payment for the Transaction as appropriate to reflect the commercially reasonable costs incurred by Dealer in connection with its hedging activities, with such adjustments to be made assuming that Dealer maintains commercially reasonable hedge positions,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“Exchange Rate” (as such term is defined in the Indenture) is otherwise not adjusted at the time or in the manner contemplated by the relevant Dilution Adjustment Provision based on such declaration or (c) the “Exchange Rate” (as such term is defined in the Indenture) is adjusted as a result of such Potential Adjustment Event and subsequently re-adjusted (each of clauses (a), (b) and (c), a “</w:t>
            </w:r>
            <w:r>
              <w:rPr>
                <w:b/>
              </w:rPr>
              <w:t>Potential Adjustment Event Change</w:t>
            </w:r>
            <w:r>
              <w:rPr/>
              <w:t>”) then, in each case, the Calculation Agent shall have the right to adjust any variable relevant to the exercise, settlement or payment for the Transaction as appropriate to reflect the costs (including, but not limited to, hedging mismatches and market losses) and expenses incurred by Dealer in connection with its commercially reasonable hedging activities as a result of such Potential Adjustment Event Change, with such adjustments to be made assuming that Dealer maintains commercially reasonable hedge positions.</w:t>
            </w:r>
          </w:p>
        </w:tc>
      </w:tr>
      <w:tr>
        <w:trPr>
          <w:trHeight w:val="120" w:hRule="atLeast"/>
        </w:trPr>
        <w:tc>
          <w:tcPr>
            <w:tcW w:w="2685" w:type="dxa"/>
            <w:tcBorders/>
            <w:vAlign w:val="center"/>
          </w:tcPr>
          <w:p>
            <w:pPr>
              <w:pStyle w:val="TableContents"/>
              <w:bidi w:val="0"/>
              <w:spacing w:before="0" w:after="283"/>
              <w:jc w:val="left"/>
              <w:rPr>
                <w:sz w:val="4"/>
                <w:szCs w:val="4"/>
              </w:rPr>
            </w:pPr>
            <w:r>
              <w:rPr>
                <w:sz w:val="4"/>
                <w:szCs w:val="4"/>
              </w:rPr>
            </w:r>
          </w:p>
        </w:tc>
        <w:tc>
          <w:tcPr>
            <w:tcW w:w="6907"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tcPr>
          <w:p>
            <w:pPr>
              <w:pStyle w:val="TableContents"/>
              <w:bidi w:val="0"/>
              <w:spacing w:before="0" w:after="283"/>
              <w:jc w:val="left"/>
              <w:rPr/>
            </w:pPr>
            <w:r>
              <w:rPr/>
              <w:t>Dilution Adjustment Provisions:</w:t>
            </w:r>
          </w:p>
        </w:tc>
        <w:tc>
          <w:tcPr>
            <w:tcW w:w="96" w:type="dxa"/>
            <w:tcBorders/>
            <w:vAlign w:val="bottom"/>
          </w:tcPr>
          <w:p>
            <w:pPr>
              <w:pStyle w:val="TableContents"/>
              <w:bidi w:val="0"/>
              <w:spacing w:before="0" w:after="283"/>
              <w:jc w:val="left"/>
              <w:rPr/>
            </w:pPr>
            <w:r>
              <w:rPr/>
              <w:t> </w:t>
            </w:r>
          </w:p>
        </w:tc>
        <w:tc>
          <w:tcPr>
            <w:tcW w:w="6811" w:type="dxa"/>
            <w:tcBorders/>
          </w:tcPr>
          <w:p>
            <w:pPr>
              <w:pStyle w:val="TableContents"/>
              <w:bidi w:val="0"/>
              <w:spacing w:before="0" w:after="283"/>
              <w:jc w:val="left"/>
              <w:rPr/>
            </w:pPr>
            <w:r>
              <w:rPr/>
              <w:t>Sections 14.04(a), (b), (c), (d) and (e) and Section 14.05(a) of the Indenture.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Extraordinary Events applicable to the Transaction: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2848"/>
        <w:gridCol w:w="120"/>
        <w:gridCol w:w="6624"/>
      </w:tblGrid>
      <w:tr>
        <w:trPr/>
        <w:tc>
          <w:tcPr>
            <w:tcW w:w="28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24" w:type="dxa"/>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pPr>
            <w:r>
              <w:rPr/>
              <w:t>Merger Events:</w:t>
            </w:r>
          </w:p>
        </w:tc>
        <w:tc>
          <w:tcPr>
            <w:tcW w:w="120" w:type="dxa"/>
            <w:tcBorders/>
            <w:vAlign w:val="bottom"/>
          </w:tcPr>
          <w:p>
            <w:pPr>
              <w:pStyle w:val="TableContents"/>
              <w:bidi w:val="0"/>
              <w:spacing w:before="0" w:after="283"/>
              <w:jc w:val="left"/>
              <w:rPr/>
            </w:pPr>
            <w:r>
              <w:rPr/>
              <w:t>  </w:t>
            </w:r>
          </w:p>
        </w:tc>
        <w:tc>
          <w:tcPr>
            <w:tcW w:w="6624" w:type="dxa"/>
            <w:tcBorders/>
          </w:tcPr>
          <w:p>
            <w:pPr>
              <w:pStyle w:val="TableContents"/>
              <w:bidi w:val="0"/>
              <w:spacing w:before="0" w:after="283"/>
              <w:jc w:val="left"/>
              <w:rPr/>
            </w:pPr>
            <w:r>
              <w:rPr/>
              <w:t xml:space="preserve">Applicable; </w:t>
            </w:r>
            <w:r>
              <w:rPr>
                <w:i/>
              </w:rPr>
              <w:t>provided</w:t>
            </w:r>
            <w:r>
              <w:rPr/>
              <w:t xml:space="preserve"> that notwithstanding Section 12.1(b) of the Equity Definitions, a “Merger Event” means the occurrence of any event or condition set forth in the definition of “Merger Event” in Section 14.07(a) of the Indenture.</w:t>
            </w:r>
          </w:p>
        </w:tc>
      </w:tr>
      <w:tr>
        <w:trPr>
          <w:trHeight w:val="120" w:hRule="atLeast"/>
        </w:trPr>
        <w:tc>
          <w:tcPr>
            <w:tcW w:w="2848" w:type="dxa"/>
            <w:tcBorders/>
            <w:vAlign w:val="center"/>
          </w:tcPr>
          <w:p>
            <w:pPr>
              <w:pStyle w:val="TableContents"/>
              <w:bidi w:val="0"/>
              <w:spacing w:before="0" w:after="283"/>
              <w:jc w:val="left"/>
              <w:rPr>
                <w:sz w:val="4"/>
                <w:szCs w:val="4"/>
              </w:rPr>
            </w:pPr>
            <w:r>
              <w:rPr>
                <w:sz w:val="4"/>
                <w:szCs w:val="4"/>
              </w:rPr>
            </w:r>
          </w:p>
        </w:tc>
        <w:tc>
          <w:tcPr>
            <w:tcW w:w="6744"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pPr>
            <w:r>
              <w:rPr/>
              <w:t>Tender Offers:</w:t>
            </w:r>
          </w:p>
        </w:tc>
        <w:tc>
          <w:tcPr>
            <w:tcW w:w="120" w:type="dxa"/>
            <w:tcBorders/>
            <w:vAlign w:val="bottom"/>
          </w:tcPr>
          <w:p>
            <w:pPr>
              <w:pStyle w:val="TableContents"/>
              <w:bidi w:val="0"/>
              <w:spacing w:before="0" w:after="283"/>
              <w:jc w:val="left"/>
              <w:rPr/>
            </w:pPr>
            <w:r>
              <w:rPr/>
              <w:t>  </w:t>
            </w:r>
          </w:p>
        </w:tc>
        <w:tc>
          <w:tcPr>
            <w:tcW w:w="6624" w:type="dxa"/>
            <w:tcBorders/>
          </w:tcPr>
          <w:p>
            <w:pPr>
              <w:pStyle w:val="TableContents"/>
              <w:bidi w:val="0"/>
              <w:spacing w:before="0" w:after="283"/>
              <w:jc w:val="left"/>
              <w:rPr/>
            </w:pPr>
            <w:r>
              <w:rPr/>
              <w:t xml:space="preserve">Applicable; </w:t>
            </w:r>
            <w:r>
              <w:rPr>
                <w:i/>
              </w:rPr>
              <w:t xml:space="preserve">provided </w:t>
            </w:r>
            <w:r>
              <w:rPr/>
              <w:t>that “Tender Offer” shall not have the meaning set forth in Section 12.1(d) of the Equity Definitions and instead shall mean the occurrence of any event or condition set forth in Section 14.04(e) of the Indenture.</w:t>
            </w:r>
          </w:p>
        </w:tc>
      </w:tr>
      <w:tr>
        <w:trPr>
          <w:trHeight w:val="120" w:hRule="atLeast"/>
        </w:trPr>
        <w:tc>
          <w:tcPr>
            <w:tcW w:w="2848" w:type="dxa"/>
            <w:tcBorders/>
            <w:vAlign w:val="center"/>
          </w:tcPr>
          <w:p>
            <w:pPr>
              <w:pStyle w:val="TableContents"/>
              <w:bidi w:val="0"/>
              <w:spacing w:before="0" w:after="283"/>
              <w:jc w:val="left"/>
              <w:rPr>
                <w:sz w:val="4"/>
                <w:szCs w:val="4"/>
              </w:rPr>
            </w:pPr>
            <w:r>
              <w:rPr>
                <w:sz w:val="4"/>
                <w:szCs w:val="4"/>
              </w:rPr>
            </w:r>
          </w:p>
        </w:tc>
        <w:tc>
          <w:tcPr>
            <w:tcW w:w="6744"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pPr>
            <w:r>
              <w:rPr/>
              <w:t>Consequences of Merger Events/ Tender Offers:</w:t>
            </w:r>
          </w:p>
        </w:tc>
        <w:tc>
          <w:tcPr>
            <w:tcW w:w="120" w:type="dxa"/>
            <w:tcBorders/>
            <w:vAlign w:val="bottom"/>
          </w:tcPr>
          <w:p>
            <w:pPr>
              <w:pStyle w:val="TableContents"/>
              <w:bidi w:val="0"/>
              <w:spacing w:before="0" w:after="283"/>
              <w:jc w:val="left"/>
              <w:rPr/>
            </w:pPr>
            <w:r>
              <w:rPr/>
              <w:t>  </w:t>
            </w:r>
          </w:p>
        </w:tc>
        <w:tc>
          <w:tcPr>
            <w:tcW w:w="662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adjustment shall be made without regard to any adjustment to the “Exchange Rate” (as such term is defined in the Indenture) pursuant to any Excluded Provision; </w:t>
            </w:r>
            <w:r>
              <w:rPr>
                <w:rFonts w:ascii="Times New Roman" w:hAnsi="Times New Roman"/>
                <w:i/>
                <w:sz w:val="20"/>
              </w:rPr>
              <w:t>provided further</w:t>
            </w:r>
            <w:r>
              <w:rPr>
                <w:rFonts w:ascii="Times New Roman" w:hAnsi="Times New Roman"/>
                <w:sz w:val="20"/>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sole election; </w:t>
            </w:r>
            <w:r>
              <w:rPr>
                <w:rFonts w:ascii="Times New Roman" w:hAnsi="Times New Roman"/>
                <w:i/>
                <w:sz w:val="20"/>
              </w:rPr>
              <w:t>provided further</w:t>
            </w:r>
            <w:r>
              <w:rPr>
                <w:rFonts w:ascii="Times New Roman" w:hAnsi="Times New Roman"/>
                <w:sz w:val="20"/>
              </w:rPr>
              <w:t xml:space="preserve"> that, for the avoidance of doubt, adjustments shall be made pursuant to the provisions set forth above regardless of whether any Merger Event or Tender Offer gives rise to an Early Exchange.</w:t>
            </w:r>
          </w:p>
        </w:tc>
      </w:tr>
      <w:tr>
        <w:trPr>
          <w:trHeight w:val="120" w:hRule="atLeast"/>
        </w:trPr>
        <w:tc>
          <w:tcPr>
            <w:tcW w:w="2848" w:type="dxa"/>
            <w:tcBorders/>
            <w:vAlign w:val="center"/>
          </w:tcPr>
          <w:p>
            <w:pPr>
              <w:pStyle w:val="TableContents"/>
              <w:bidi w:val="0"/>
              <w:spacing w:before="0" w:after="283"/>
              <w:jc w:val="left"/>
              <w:rPr>
                <w:sz w:val="4"/>
                <w:szCs w:val="4"/>
              </w:rPr>
            </w:pPr>
            <w:r>
              <w:rPr>
                <w:sz w:val="4"/>
                <w:szCs w:val="4"/>
              </w:rPr>
            </w:r>
          </w:p>
        </w:tc>
        <w:tc>
          <w:tcPr>
            <w:tcW w:w="6744"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pPr>
            <w:r>
              <w:rPr/>
              <w:t>Consequences of Announcement Events:</w:t>
            </w:r>
          </w:p>
        </w:tc>
        <w:tc>
          <w:tcPr>
            <w:tcW w:w="120" w:type="dxa"/>
            <w:tcBorders/>
            <w:vAlign w:val="bottom"/>
          </w:tcPr>
          <w:p>
            <w:pPr>
              <w:pStyle w:val="TableContents"/>
              <w:bidi w:val="0"/>
              <w:spacing w:before="0" w:after="283"/>
              <w:jc w:val="left"/>
              <w:rPr/>
            </w:pPr>
            <w:r>
              <w:rPr/>
              <w:t>  </w:t>
            </w:r>
          </w:p>
        </w:tc>
        <w:tc>
          <w:tcPr>
            <w:tcW w:w="662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Modified Calculation Agent Adjustment as set forth in Section 12.3(d) of the Equity Definitions; </w:t>
            </w:r>
            <w:r>
              <w:rPr>
                <w:rFonts w:ascii="Times New Roman" w:hAnsi="Times New Roman"/>
                <w:i/>
                <w:sz w:val="20"/>
              </w:rPr>
              <w:t>provided</w:t>
            </w:r>
            <w:r>
              <w:rPr>
                <w:rFonts w:ascii="Times New Roman" w:hAnsi="Times New Roman"/>
                <w:sz w:val="20"/>
              </w:rPr>
              <w:t xml:space="preserve"> that, in respect of an Announcement Event (w) references in such Section 12.3(d) to “Tender Offer” shall be replaced by references to “Announcement Event” and references in such Section 12.3(d) to “Tender Offer Date” shall be replaced by references to “date of such Announcement Event”, (x) the phrase “exercise, settlement, payment or any other terms of the Transaction (including, without limitation, the spread)” in such Section 12.3(d) shall be replaced with the phrase “Cap Price (</w:t>
            </w:r>
            <w:r>
              <w:rPr>
                <w:rFonts w:ascii="Times New Roman" w:hAnsi="Times New Roman"/>
                <w:i/>
                <w:sz w:val="20"/>
              </w:rPr>
              <w:t>provided</w:t>
            </w:r>
            <w:r>
              <w:rPr>
                <w:rFonts w:ascii="Times New Roman" w:hAnsi="Times New Roman"/>
                <w:sz w:val="20"/>
              </w:rPr>
              <w:t xml:space="preserve"> that in no event shall the Cap Price be less than the Strike Price)”, (y) the words “whether within a commercially reasonable (as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854"/>
        <w:gridCol w:w="121"/>
        <w:gridCol w:w="6617"/>
      </w:tblGrid>
      <w:tr>
        <w:trPr/>
        <w:tc>
          <w:tcPr>
            <w:tcW w:w="285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617" w:type="dxa"/>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617" w:type="dxa"/>
            <w:tcBorders/>
          </w:tcPr>
          <w:p>
            <w:pPr>
              <w:pStyle w:val="TableContents"/>
              <w:bidi w:val="0"/>
              <w:spacing w:before="0" w:after="283"/>
              <w:jc w:val="left"/>
              <w:rPr/>
            </w:pPr>
            <w:r>
              <w:rPr/>
              <w:t>determined by the Calculation Agent) period of time prior to or after the Announcement Event,” shall be inserted prior to the word “which” in the seventh line of such Section 12.3(d), and (z) for the avoidance of doubt, the Calculation Agent shall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it being understood that (1) any adjustment in respect of an Announcement Event shall take into account any earlier adjustment relating to the same Announcement Event and (2) such adjustment shall be made without duplication of any other adjustment hereunder. An Announcement Event shall be an “Extraordinary Event” for purposes of the Equity Definitions, to which Article 12 of the Equity Definitions, as modified in this paragraph, is applicable.</w:t>
            </w:r>
          </w:p>
        </w:tc>
      </w:tr>
      <w:tr>
        <w:trPr>
          <w:trHeight w:val="120" w:hRule="atLeast"/>
        </w:trPr>
        <w:tc>
          <w:tcPr>
            <w:tcW w:w="2854" w:type="dxa"/>
            <w:tcBorders/>
            <w:vAlign w:val="center"/>
          </w:tcPr>
          <w:p>
            <w:pPr>
              <w:pStyle w:val="TableContents"/>
              <w:bidi w:val="0"/>
              <w:spacing w:before="0" w:after="283"/>
              <w:jc w:val="left"/>
              <w:rPr>
                <w:sz w:val="4"/>
                <w:szCs w:val="4"/>
              </w:rPr>
            </w:pPr>
            <w:r>
              <w:rPr>
                <w:sz w:val="4"/>
                <w:szCs w:val="4"/>
              </w:rPr>
            </w:r>
          </w:p>
        </w:tc>
        <w:tc>
          <w:tcPr>
            <w:tcW w:w="6738" w:type="dxa"/>
            <w:gridSpan w:val="2"/>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pPr>
            <w:r>
              <w:rPr/>
              <w:t>Announcement Event:</w:t>
            </w:r>
          </w:p>
        </w:tc>
        <w:tc>
          <w:tcPr>
            <w:tcW w:w="121" w:type="dxa"/>
            <w:tcBorders/>
            <w:vAlign w:val="bottom"/>
          </w:tcPr>
          <w:p>
            <w:pPr>
              <w:pStyle w:val="TableContents"/>
              <w:bidi w:val="0"/>
              <w:spacing w:before="0" w:after="283"/>
              <w:jc w:val="left"/>
              <w:rPr/>
            </w:pPr>
            <w:r>
              <w:rPr/>
              <w:t>  </w:t>
            </w:r>
          </w:p>
        </w:tc>
        <w:tc>
          <w:tcPr>
            <w:tcW w:w="6617" w:type="dxa"/>
            <w:tcBorders/>
          </w:tcPr>
          <w:p>
            <w:pPr>
              <w:pStyle w:val="TableContents"/>
              <w:bidi w:val="0"/>
              <w:spacing w:before="0" w:after="283"/>
              <w:jc w:val="left"/>
              <w:rPr/>
            </w:pPr>
            <w:r>
              <w:rPr/>
              <w:t>(i) The public announcement by the Issuer, any affiliate or agent of the Issuer or any Valid Third Party Entity of (x) any transaction or event that, if completed, would constitute a Merger Event or Tender Offer, (y) any potential acquisition or disposition by Issuer and/or its subsidiaries where the aggregate consideration exceeds 35% of the market capitalization of Issuer as of the date of such announcement (an “</w:t>
            </w:r>
            <w:r>
              <w:rPr>
                <w:b/>
              </w:rPr>
              <w:t>Acquisition Transaction</w:t>
            </w:r>
            <w:r>
              <w:rPr/>
              <w:t>”)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by the Issuer, any affiliate or agent of the Issuer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854"/>
        <w:gridCol w:w="122"/>
        <w:gridCol w:w="6616"/>
      </w:tblGrid>
      <w:tr>
        <w:trPr/>
        <w:tc>
          <w:tcPr>
            <w:tcW w:w="28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616" w:type="dxa"/>
            <w:tcBorders/>
          </w:tcPr>
          <w:p>
            <w:pPr>
              <w:pStyle w:val="TableContents"/>
              <w:bidi w:val="0"/>
              <w:spacing w:before="0" w:after="283"/>
              <w:jc w:val="left"/>
              <w:rPr/>
            </w:pPr>
            <w:r>
              <w:rPr/>
              <w:t>Offer” shall mean such term as defined under Section 12.1(d) of the Equity Definitions, except that all references to “voting shares” in Sections 12.1(d), 12.1(e) and 12.1(l) of the Equity Definitions shall be deemed to be references to “Shares”.</w:t>
            </w:r>
          </w:p>
        </w:tc>
      </w:tr>
      <w:tr>
        <w:trPr>
          <w:trHeight w:val="120" w:hRule="atLeast"/>
        </w:trPr>
        <w:tc>
          <w:tcPr>
            <w:tcW w:w="2854" w:type="dxa"/>
            <w:tcBorders/>
            <w:vAlign w:val="center"/>
          </w:tcPr>
          <w:p>
            <w:pPr>
              <w:pStyle w:val="TableContents"/>
              <w:bidi w:val="0"/>
              <w:spacing w:before="0" w:after="283"/>
              <w:jc w:val="left"/>
              <w:rPr>
                <w:sz w:val="4"/>
                <w:szCs w:val="4"/>
              </w:rPr>
            </w:pPr>
            <w:r>
              <w:rPr>
                <w:sz w:val="4"/>
                <w:szCs w:val="4"/>
              </w:rPr>
            </w:r>
          </w:p>
        </w:tc>
        <w:tc>
          <w:tcPr>
            <w:tcW w:w="6738" w:type="dxa"/>
            <w:gridSpan w:val="2"/>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pPr>
            <w:r>
              <w:rPr/>
              <w:t>Valid Third Party Entity:</w:t>
            </w:r>
          </w:p>
        </w:tc>
        <w:tc>
          <w:tcPr>
            <w:tcW w:w="122" w:type="dxa"/>
            <w:tcBorders/>
            <w:vAlign w:val="bottom"/>
          </w:tcPr>
          <w:p>
            <w:pPr>
              <w:pStyle w:val="TableContents"/>
              <w:bidi w:val="0"/>
              <w:spacing w:before="0" w:after="283"/>
              <w:jc w:val="left"/>
              <w:rPr/>
            </w:pPr>
            <w:r>
              <w:rPr/>
              <w:t>  </w:t>
            </w:r>
          </w:p>
        </w:tc>
        <w:tc>
          <w:tcPr>
            <w:tcW w:w="6616" w:type="dxa"/>
            <w:tcBorders/>
          </w:tcPr>
          <w:p>
            <w:pPr>
              <w:pStyle w:val="TableContents"/>
              <w:bidi w:val="0"/>
              <w:spacing w:before="0" w:after="283"/>
              <w:jc w:val="left"/>
              <w:rPr/>
            </w:pPr>
            <w:r>
              <w:rPr/>
              <w:t>In respect of any transaction, any third party that has a bona fide intent to enter into or consummate such transaction (it being understood and agreed that in determining whether such third party has such a bona fide intent, the Calculation Agent may take into consideration the effect of the relevant announcement by such third party on the Shares and/or options relating to the Shares).</w:t>
            </w:r>
          </w:p>
        </w:tc>
      </w:tr>
      <w:tr>
        <w:trPr>
          <w:trHeight w:val="120" w:hRule="atLeast"/>
        </w:trPr>
        <w:tc>
          <w:tcPr>
            <w:tcW w:w="2854" w:type="dxa"/>
            <w:tcBorders/>
            <w:vAlign w:val="center"/>
          </w:tcPr>
          <w:p>
            <w:pPr>
              <w:pStyle w:val="TableContents"/>
              <w:bidi w:val="0"/>
              <w:spacing w:before="0" w:after="283"/>
              <w:jc w:val="left"/>
              <w:rPr>
                <w:sz w:val="4"/>
                <w:szCs w:val="4"/>
              </w:rPr>
            </w:pPr>
            <w:r>
              <w:rPr>
                <w:sz w:val="4"/>
                <w:szCs w:val="4"/>
              </w:rPr>
            </w:r>
          </w:p>
        </w:tc>
        <w:tc>
          <w:tcPr>
            <w:tcW w:w="6738" w:type="dxa"/>
            <w:gridSpan w:val="2"/>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pPr>
            <w:r>
              <w:rPr/>
              <w:t>Nationalization, Insolvency or Delisting:</w:t>
            </w:r>
          </w:p>
        </w:tc>
        <w:tc>
          <w:tcPr>
            <w:tcW w:w="122" w:type="dxa"/>
            <w:tcBorders/>
            <w:vAlign w:val="bottom"/>
          </w:tcPr>
          <w:p>
            <w:pPr>
              <w:pStyle w:val="TableContents"/>
              <w:bidi w:val="0"/>
              <w:spacing w:before="0" w:after="283"/>
              <w:jc w:val="left"/>
              <w:rPr/>
            </w:pPr>
            <w:r>
              <w:rPr/>
              <w:t>  </w:t>
            </w:r>
          </w:p>
        </w:tc>
        <w:tc>
          <w:tcPr>
            <w:tcW w:w="661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Cancellation and Payment (Calculation Agent Determination); </w:t>
            </w:r>
            <w:r>
              <w:rPr>
                <w:rFonts w:ascii="Times New Roman" w:hAnsi="Times New Roman"/>
                <w:i/>
                <w:sz w:val="20"/>
              </w:rPr>
              <w:t>provided</w:t>
            </w:r>
            <w:r>
              <w:rPr>
                <w:rFonts w:ascii="Times New Roman" w:hAnsi="Times New Roman"/>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tc>
      </w:tr>
      <w:tr>
        <w:trPr>
          <w:trHeight w:val="120" w:hRule="atLeast"/>
        </w:trPr>
        <w:tc>
          <w:tcPr>
            <w:tcW w:w="2854" w:type="dxa"/>
            <w:tcBorders/>
            <w:vAlign w:val="center"/>
          </w:tcPr>
          <w:p>
            <w:pPr>
              <w:pStyle w:val="TableContents"/>
              <w:bidi w:val="0"/>
              <w:spacing w:before="0" w:after="283"/>
              <w:jc w:val="left"/>
              <w:rPr>
                <w:sz w:val="4"/>
                <w:szCs w:val="4"/>
              </w:rPr>
            </w:pPr>
            <w:r>
              <w:rPr>
                <w:sz w:val="4"/>
                <w:szCs w:val="4"/>
              </w:rPr>
            </w:r>
          </w:p>
        </w:tc>
        <w:tc>
          <w:tcPr>
            <w:tcW w:w="6738" w:type="dxa"/>
            <w:gridSpan w:val="2"/>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pPr>
            <w:r>
              <w:rPr/>
              <w:t>Additional Disruption Events:</w:t>
            </w:r>
          </w:p>
        </w:tc>
        <w:tc>
          <w:tcPr>
            <w:tcW w:w="122" w:type="dxa"/>
            <w:tcBorders/>
            <w:vAlign w:val="bottom"/>
          </w:tcPr>
          <w:p>
            <w:pPr>
              <w:pStyle w:val="TableContents"/>
              <w:bidi w:val="0"/>
              <w:spacing w:before="0" w:after="283"/>
              <w:jc w:val="left"/>
              <w:rPr/>
            </w:pPr>
            <w:r>
              <w:rPr/>
              <w:t>  </w:t>
            </w:r>
          </w:p>
        </w:tc>
        <w:tc>
          <w:tcPr>
            <w:tcW w:w="6616" w:type="dxa"/>
            <w:tcBorders/>
          </w:tcPr>
          <w:p>
            <w:pPr>
              <w:pStyle w:val="TableContents"/>
              <w:bidi w:val="0"/>
              <w:spacing w:before="0" w:after="283"/>
              <w:jc w:val="left"/>
              <w:rPr>
                <w:sz w:val="4"/>
                <w:szCs w:val="4"/>
              </w:rPr>
            </w:pPr>
            <w:r>
              <w:rPr>
                <w:sz w:val="4"/>
                <w:szCs w:val="4"/>
              </w:rPr>
            </w:r>
          </w:p>
        </w:tc>
      </w:tr>
      <w:tr>
        <w:trPr>
          <w:trHeight w:val="120" w:hRule="atLeast"/>
        </w:trPr>
        <w:tc>
          <w:tcPr>
            <w:tcW w:w="2854" w:type="dxa"/>
            <w:tcBorders/>
            <w:vAlign w:val="center"/>
          </w:tcPr>
          <w:p>
            <w:pPr>
              <w:pStyle w:val="TableContents"/>
              <w:bidi w:val="0"/>
              <w:spacing w:before="0" w:after="283"/>
              <w:jc w:val="left"/>
              <w:rPr>
                <w:sz w:val="4"/>
                <w:szCs w:val="4"/>
              </w:rPr>
            </w:pPr>
            <w:r>
              <w:rPr>
                <w:sz w:val="4"/>
                <w:szCs w:val="4"/>
              </w:rPr>
            </w:r>
          </w:p>
        </w:tc>
        <w:tc>
          <w:tcPr>
            <w:tcW w:w="6738" w:type="dxa"/>
            <w:gridSpan w:val="2"/>
            <w:tcBorders/>
            <w:vAlign w:val="center"/>
          </w:tcPr>
          <w:p>
            <w:pPr>
              <w:pStyle w:val="TableContents"/>
              <w:bidi w:val="0"/>
              <w:spacing w:before="0" w:after="283"/>
              <w:jc w:val="left"/>
              <w:rPr>
                <w:sz w:val="4"/>
                <w:szCs w:val="4"/>
              </w:rPr>
            </w:pPr>
            <w:r>
              <w:rPr>
                <w:sz w:val="4"/>
                <w:szCs w:val="4"/>
              </w:rPr>
            </w:r>
          </w:p>
        </w:tc>
      </w:tr>
      <w:tr>
        <w:trPr/>
        <w:tc>
          <w:tcPr>
            <w:tcW w:w="2854" w:type="dxa"/>
            <w:tcBorders/>
          </w:tcPr>
          <w:p>
            <w:pPr>
              <w:pStyle w:val="TableContents"/>
              <w:bidi w:val="0"/>
              <w:spacing w:before="0" w:after="283"/>
              <w:jc w:val="left"/>
              <w:rPr/>
            </w:pPr>
            <w:r>
              <w:rPr/>
              <w:t>Change in Law:</w:t>
            </w:r>
          </w:p>
        </w:tc>
        <w:tc>
          <w:tcPr>
            <w:tcW w:w="122" w:type="dxa"/>
            <w:tcBorders/>
            <w:vAlign w:val="bottom"/>
          </w:tcPr>
          <w:p>
            <w:pPr>
              <w:pStyle w:val="TableContents"/>
              <w:bidi w:val="0"/>
              <w:spacing w:before="0" w:after="283"/>
              <w:jc w:val="left"/>
              <w:rPr/>
            </w:pPr>
            <w:r>
              <w:rPr/>
              <w:t>  </w:t>
            </w:r>
          </w:p>
        </w:tc>
        <w:tc>
          <w:tcPr>
            <w:tcW w:w="6616" w:type="dxa"/>
            <w:tcBorders/>
          </w:tcPr>
          <w:p>
            <w:pPr>
              <w:pStyle w:val="TableContents"/>
              <w:bidi w:val="0"/>
              <w:spacing w:before="0" w:after="283"/>
              <w:jc w:val="left"/>
              <w:rPr/>
            </w:pPr>
            <w:r>
              <w:rPr/>
              <w:t xml:space="preserve">Applicable; </w:t>
            </w:r>
            <w:r>
              <w:rPr>
                <w:i/>
              </w:rPr>
              <w:t>provided</w:t>
            </w:r>
            <w:r>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and (iv) adding the words “</w:t>
            </w:r>
            <w:r>
              <w:rPr>
                <w:i/>
              </w:rPr>
              <w:t>provided</w:t>
            </w:r>
            <w:r>
              <w:rPr/>
              <w:t xml:space="preserve"> that in the case of clause (Y) hereof, the consequence of such law, regulation or interpretation is applied consistently by Dealer to all similar transactions in a non-discriminatory manner;” after the semi-colon in the last line thereof; </w:t>
            </w:r>
            <w:r>
              <w:rPr>
                <w:i/>
              </w:rPr>
              <w:t>provided</w:t>
            </w:r>
            <w:r>
              <w:rPr/>
              <w:t xml:space="preserve"> </w:t>
            </w:r>
            <w:r>
              <w:rPr>
                <w:i/>
              </w:rPr>
              <w:t>further</w:t>
            </w:r>
            <w:r>
              <w:rPr/>
              <w:t xml:space="preserve"> that, in the case of any Change in Law described in clause (Y) of Section 12.9(a)(ii) of the Equity Definitions, the consequences provided with respect to “Increased Cost of Hedging” in Section 12.9(b)(vi) of the Equity Definitions shall apply to such Change in Law, as if Increased Cost of Hedging were applicable to such event.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769"/>
        <w:gridCol w:w="122"/>
        <w:gridCol w:w="6701"/>
      </w:tblGrid>
      <w:tr>
        <w:trPr/>
        <w:tc>
          <w:tcPr>
            <w:tcW w:w="27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701" w:type="dxa"/>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pPr>
            <w:r>
              <w:rPr/>
              <w:t>Failure to Deliver:</w:t>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283"/>
              <w:jc w:val="left"/>
              <w:rPr/>
            </w:pPr>
            <w:r>
              <w:rPr/>
              <w:t>Applicable</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pPr>
            <w:r>
              <w:rPr/>
              <w:t>Hedging Disruption:</w:t>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283"/>
              <w:jc w:val="left"/>
              <w:rPr/>
            </w:pPr>
            <w:r>
              <w:rPr/>
              <w:t xml:space="preserve">Applicable; </w:t>
            </w:r>
            <w:r>
              <w:rPr>
                <w:i/>
              </w:rPr>
              <w:t>provided</w:t>
            </w:r>
            <w:r>
              <w:rPr/>
              <w:t xml:space="preserve"> that:</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(i) Section 12.9(a)(v) of the Equity Definitions is hereby amended by inserting the following two phrases at the end of such Section:</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0"/>
              <w:jc w:val="left"/>
              <w:rPr/>
            </w:pPr>
            <w:r>
              <w:rPr/>
              <w:t>“</w:t>
            </w:r>
            <w:r>
              <w:rPr>
                <w:rFonts w:ascii="Times New Roman" w:hAnsi="Times New Roman"/>
                <w:sz w:val="20"/>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(ii)  Section 12.9(b)(iii) of the Equity Definitions is hereby amended by inserting in the third line thereof, after the words “to terminate the Transaction”, the words “or the portion of the Transaction affected by such Hedging Disruption”; and</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0"/>
              <w:jc w:val="left"/>
              <w:rPr>
                <w:rFonts w:ascii="Times New Roman" w:hAnsi="Times New Roman"/>
                <w:sz w:val="20"/>
              </w:rPr>
            </w:pPr>
            <w:r>
              <w:rPr>
                <w:rFonts w:ascii="Times New Roman" w:hAnsi="Times New Roman"/>
                <w:sz w:val="20"/>
              </w:rPr>
              <w:t>(iii)  it shall not be a Hedging Disruption if such inability occurs solely due to the deterioration of the creditworthiness of the Hedging Party.</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pPr>
            <w:r>
              <w:rPr/>
              <w:t>Increased Cost of Hedging:</w:t>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283"/>
              <w:jc w:val="left"/>
              <w:rPr/>
            </w:pPr>
            <w:r>
              <w:rPr/>
              <w:t>Applicable solely in respect of a Change in Law described in clause (Y) of Section 12.9(a)(ii) of the Equity Definitions as set forth above in the provision opposite the caption “Change in Law”.</w:t>
            </w:r>
          </w:p>
        </w:tc>
      </w:tr>
      <w:tr>
        <w:trPr>
          <w:trHeight w:val="120" w:hRule="atLeast"/>
        </w:trPr>
        <w:tc>
          <w:tcPr>
            <w:tcW w:w="2769" w:type="dxa"/>
            <w:tcBorders/>
            <w:vAlign w:val="center"/>
          </w:tcPr>
          <w:p>
            <w:pPr>
              <w:pStyle w:val="TableContents"/>
              <w:bidi w:val="0"/>
              <w:spacing w:before="0" w:after="283"/>
              <w:jc w:val="left"/>
              <w:rPr>
                <w:sz w:val="4"/>
                <w:szCs w:val="4"/>
              </w:rPr>
            </w:pPr>
            <w:r>
              <w:rPr>
                <w:sz w:val="4"/>
                <w:szCs w:val="4"/>
              </w:rPr>
            </w:r>
          </w:p>
        </w:tc>
        <w:tc>
          <w:tcPr>
            <w:tcW w:w="6823" w:type="dxa"/>
            <w:gridSpan w:val="2"/>
            <w:tcBorders/>
            <w:vAlign w:val="center"/>
          </w:tcPr>
          <w:p>
            <w:pPr>
              <w:pStyle w:val="TableContents"/>
              <w:bidi w:val="0"/>
              <w:spacing w:before="0" w:after="283"/>
              <w:jc w:val="left"/>
              <w:rPr>
                <w:sz w:val="4"/>
                <w:szCs w:val="4"/>
              </w:rPr>
            </w:pPr>
            <w:r>
              <w:rPr>
                <w:sz w:val="4"/>
                <w:szCs w:val="4"/>
              </w:rPr>
            </w:r>
          </w:p>
        </w:tc>
      </w:tr>
      <w:tr>
        <w:trPr/>
        <w:tc>
          <w:tcPr>
            <w:tcW w:w="2769" w:type="dxa"/>
            <w:tcBorders/>
          </w:tcPr>
          <w:p>
            <w:pPr>
              <w:pStyle w:val="TableContents"/>
              <w:bidi w:val="0"/>
              <w:spacing w:before="0" w:after="283"/>
              <w:jc w:val="left"/>
              <w:rPr/>
            </w:pPr>
            <w:r>
              <w:rPr/>
              <w:t>Hedging Party:</w:t>
            </w:r>
          </w:p>
        </w:tc>
        <w:tc>
          <w:tcPr>
            <w:tcW w:w="122" w:type="dxa"/>
            <w:tcBorders/>
            <w:vAlign w:val="bottom"/>
          </w:tcPr>
          <w:p>
            <w:pPr>
              <w:pStyle w:val="TableContents"/>
              <w:bidi w:val="0"/>
              <w:spacing w:before="0" w:after="283"/>
              <w:jc w:val="left"/>
              <w:rPr/>
            </w:pPr>
            <w:r>
              <w:rPr/>
              <w:t>  </w:t>
            </w:r>
          </w:p>
        </w:tc>
        <w:tc>
          <w:tcPr>
            <w:tcW w:w="6701" w:type="dxa"/>
            <w:tcBorders/>
          </w:tcPr>
          <w:p>
            <w:pPr>
              <w:pStyle w:val="TableContents"/>
              <w:bidi w:val="0"/>
              <w:spacing w:before="0" w:after="283"/>
              <w:jc w:val="left"/>
              <w:rPr/>
            </w:pPr>
            <w:r>
              <w:rPr/>
              <w:t>For all applicable Additional Disruption Events, Dealer. Following any determination by the Hedging Party hereunder (not including, for the avoidance of doubt, any election by the Hedging Party that it is permitted to make), promptly following a written request by Counterparty therefor, the Hedging Party shall provide to 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such determination), it being understood that the Hedging Party shall not be obligated to disclose any proprietary or confidential models or proprietary or confidential information used by it for such determination. The Hedging Party shall use commercially reasonable efforts to provide such written explanation and report within five (5) Exchange Business Days from the receipt of such request. All calculations, adjustments and determinations by Dealer acting in its capacity as the Hedging Party shall be made in good faith and in a commercially reasonable manner and assuming that Dealer maintains a commercially reasonable hedge position.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2930"/>
        <w:gridCol w:w="120"/>
        <w:gridCol w:w="6542"/>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42" w:type="dxa"/>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Determining Party:</w:t>
            </w:r>
          </w:p>
        </w:tc>
        <w:tc>
          <w:tcPr>
            <w:tcW w:w="120" w:type="dxa"/>
            <w:tcBorders/>
            <w:vAlign w:val="bottom"/>
          </w:tcPr>
          <w:p>
            <w:pPr>
              <w:pStyle w:val="TableContents"/>
              <w:bidi w:val="0"/>
              <w:spacing w:before="0" w:after="283"/>
              <w:jc w:val="left"/>
              <w:rPr/>
            </w:pPr>
            <w:r>
              <w:rPr/>
              <w:t>  </w:t>
            </w:r>
          </w:p>
        </w:tc>
        <w:tc>
          <w:tcPr>
            <w:tcW w:w="6542" w:type="dxa"/>
            <w:tcBorders/>
          </w:tcPr>
          <w:p>
            <w:pPr>
              <w:pStyle w:val="TableContents"/>
              <w:bidi w:val="0"/>
              <w:spacing w:before="0" w:after="283"/>
              <w:jc w:val="left"/>
              <w:rPr/>
            </w:pPr>
            <w:r>
              <w:rPr/>
              <w:t>For all applicable Extraordinary Events, Dealer. Following any determination by the Determining Party hereunder, promptly following a written request by Counterparty therefor, the Determining Party shall provide to 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Determining Party shall not be obligated to disclose any proprietary or confidential models or proprietary or confidential information used by it for such determination. The Determining Party shall use commercially reasonable efforts to provide such written explanation and report within five (5) Exchange Business Days from the receipt of such request. All calculations, adjustments, and determinations by Dealer acting in its capacity as the Determining Party shall be made in good faith and in a commercially reasonable manner and assuming that Dealer maintains a commercially reasonable hedge position.</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6662"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Non-Reliance:</w:t>
            </w:r>
          </w:p>
        </w:tc>
        <w:tc>
          <w:tcPr>
            <w:tcW w:w="120" w:type="dxa"/>
            <w:tcBorders/>
            <w:vAlign w:val="bottom"/>
          </w:tcPr>
          <w:p>
            <w:pPr>
              <w:pStyle w:val="TableContents"/>
              <w:bidi w:val="0"/>
              <w:spacing w:before="0" w:after="283"/>
              <w:jc w:val="left"/>
              <w:rPr/>
            </w:pPr>
            <w:r>
              <w:rPr/>
              <w:t>  </w:t>
            </w:r>
          </w:p>
        </w:tc>
        <w:tc>
          <w:tcPr>
            <w:tcW w:w="6542" w:type="dxa"/>
            <w:tcBorders/>
          </w:tcPr>
          <w:p>
            <w:pPr>
              <w:pStyle w:val="TableContents"/>
              <w:bidi w:val="0"/>
              <w:spacing w:before="0" w:after="283"/>
              <w:jc w:val="left"/>
              <w:rPr/>
            </w:pPr>
            <w:r>
              <w:rPr/>
              <w:t>Applicable</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6662"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Agreements and Acknowledgments</w:t>
            </w:r>
          </w:p>
        </w:tc>
        <w:tc>
          <w:tcPr>
            <w:tcW w:w="120" w:type="dxa"/>
            <w:tcBorders/>
            <w:vAlign w:val="bottom"/>
          </w:tcPr>
          <w:p>
            <w:pPr>
              <w:pStyle w:val="TableContents"/>
              <w:bidi w:val="0"/>
              <w:spacing w:before="0" w:after="283"/>
              <w:jc w:val="left"/>
              <w:rPr/>
            </w:pPr>
            <w:r>
              <w:rPr/>
              <w:t>  </w:t>
            </w:r>
          </w:p>
        </w:tc>
        <w:tc>
          <w:tcPr>
            <w:tcW w:w="6542" w:type="dxa"/>
            <w:tcBorders/>
          </w:tcPr>
          <w:p>
            <w:pPr>
              <w:pStyle w:val="TableContents"/>
              <w:bidi w:val="0"/>
              <w:spacing w:before="0" w:after="283"/>
              <w:jc w:val="left"/>
              <w:rPr>
                <w:sz w:val="4"/>
                <w:szCs w:val="4"/>
              </w:rPr>
            </w:pPr>
            <w:r>
              <w:rPr>
                <w:sz w:val="4"/>
                <w:szCs w:val="4"/>
              </w:rPr>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6662"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Regarding Hedging Activities:</w:t>
            </w:r>
          </w:p>
        </w:tc>
        <w:tc>
          <w:tcPr>
            <w:tcW w:w="120" w:type="dxa"/>
            <w:tcBorders/>
            <w:vAlign w:val="bottom"/>
          </w:tcPr>
          <w:p>
            <w:pPr>
              <w:pStyle w:val="TableContents"/>
              <w:bidi w:val="0"/>
              <w:spacing w:before="0" w:after="283"/>
              <w:jc w:val="left"/>
              <w:rPr/>
            </w:pPr>
            <w:r>
              <w:rPr/>
              <w:t>  </w:t>
            </w:r>
          </w:p>
        </w:tc>
        <w:tc>
          <w:tcPr>
            <w:tcW w:w="6542" w:type="dxa"/>
            <w:tcBorders/>
          </w:tcPr>
          <w:p>
            <w:pPr>
              <w:pStyle w:val="TableContents"/>
              <w:bidi w:val="0"/>
              <w:spacing w:before="0" w:after="283"/>
              <w:jc w:val="left"/>
              <w:rPr/>
            </w:pPr>
            <w:r>
              <w:rPr/>
              <w:t>Applicable</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6662"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Additional Acknowledgments:</w:t>
            </w:r>
          </w:p>
        </w:tc>
        <w:tc>
          <w:tcPr>
            <w:tcW w:w="120" w:type="dxa"/>
            <w:tcBorders/>
            <w:vAlign w:val="bottom"/>
          </w:tcPr>
          <w:p>
            <w:pPr>
              <w:pStyle w:val="TableContents"/>
              <w:bidi w:val="0"/>
              <w:spacing w:before="0" w:after="283"/>
              <w:jc w:val="left"/>
              <w:rPr/>
            </w:pPr>
            <w:r>
              <w:rPr/>
              <w:t>  </w:t>
            </w:r>
          </w:p>
        </w:tc>
        <w:tc>
          <w:tcPr>
            <w:tcW w:w="6542" w:type="dxa"/>
            <w:tcBorders/>
          </w:tcPr>
          <w:p>
            <w:pPr>
              <w:pStyle w:val="TableContents"/>
              <w:bidi w:val="0"/>
              <w:spacing w:before="0" w:after="283"/>
              <w:jc w:val="left"/>
              <w:rPr/>
            </w:pPr>
            <w:r>
              <w:rPr/>
              <w:t>Applicable</w:t>
            </w:r>
          </w:p>
        </w:tc>
      </w:tr>
    </w:tbl>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217"/>
        <w:gridCol w:w="106"/>
        <w:gridCol w:w="2887"/>
        <w:gridCol w:w="120"/>
        <w:gridCol w:w="6670"/>
      </w:tblGrid>
      <w:tr>
        <w:trPr/>
        <w:tc>
          <w:tcPr>
            <w:tcW w:w="21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70" w:type="dxa"/>
            <w:tcBorders/>
            <w:vAlign w:val="center"/>
          </w:tcPr>
          <w:p>
            <w:pPr>
              <w:pStyle w:val="TableContents"/>
              <w:bidi w:val="0"/>
              <w:spacing w:before="0" w:after="283"/>
              <w:jc w:val="left"/>
              <w:rPr>
                <w:sz w:val="4"/>
                <w:szCs w:val="4"/>
              </w:rPr>
            </w:pPr>
            <w:r>
              <w:rPr>
                <w:sz w:val="4"/>
                <w:szCs w:val="4"/>
              </w:rPr>
            </w:r>
          </w:p>
        </w:tc>
      </w:tr>
      <w:tr>
        <w:trPr/>
        <w:tc>
          <w:tcPr>
            <w:tcW w:w="217" w:type="dxa"/>
            <w:tcBorders/>
          </w:tcPr>
          <w:p>
            <w:pPr>
              <w:pStyle w:val="TableContents"/>
              <w:bidi w:val="0"/>
              <w:spacing w:before="0" w:after="283"/>
              <w:jc w:val="left"/>
              <w:rPr>
                <w:b/>
              </w:rPr>
            </w:pPr>
            <w:r>
              <w:rPr>
                <w:b/>
              </w:rPr>
              <w:t>4.</w:t>
            </w:r>
          </w:p>
        </w:tc>
        <w:tc>
          <w:tcPr>
            <w:tcW w:w="106" w:type="dxa"/>
            <w:tcBorders/>
            <w:vAlign w:val="bottom"/>
          </w:tcPr>
          <w:p>
            <w:pPr>
              <w:pStyle w:val="TableContents"/>
              <w:bidi w:val="0"/>
              <w:spacing w:before="0" w:after="283"/>
              <w:jc w:val="left"/>
              <w:rPr/>
            </w:pPr>
            <w:r>
              <w:rPr/>
              <w:t> </w:t>
            </w:r>
          </w:p>
        </w:tc>
        <w:tc>
          <w:tcPr>
            <w:tcW w:w="2887" w:type="dxa"/>
            <w:tcBorders/>
          </w:tcPr>
          <w:p>
            <w:pPr>
              <w:pStyle w:val="TableContents"/>
              <w:bidi w:val="0"/>
              <w:spacing w:before="0" w:after="283"/>
              <w:jc w:val="left"/>
              <w:rPr>
                <w:b/>
              </w:rPr>
            </w:pPr>
            <w:r>
              <w:rPr>
                <w:b/>
                <w:u w:val="single"/>
              </w:rPr>
              <w:t>Calculation Agent</w:t>
            </w:r>
            <w:r>
              <w:rPr>
                <w:b/>
              </w:rPr>
              <w:t>.</w:t>
            </w:r>
          </w:p>
        </w:tc>
        <w:tc>
          <w:tcPr>
            <w:tcW w:w="120" w:type="dxa"/>
            <w:tcBorders/>
            <w:vAlign w:val="bottom"/>
          </w:tcPr>
          <w:p>
            <w:pPr>
              <w:pStyle w:val="TableContents"/>
              <w:bidi w:val="0"/>
              <w:spacing w:before="0" w:after="283"/>
              <w:jc w:val="left"/>
              <w:rPr/>
            </w:pPr>
            <w:r>
              <w:rPr/>
              <w:t>  </w:t>
            </w:r>
          </w:p>
        </w:tc>
        <w:tc>
          <w:tcPr>
            <w:tcW w:w="6670" w:type="dxa"/>
            <w:tcBorders/>
          </w:tcPr>
          <w:p>
            <w:pPr>
              <w:pStyle w:val="TableContents"/>
              <w:bidi w:val="0"/>
              <w:spacing w:before="0" w:after="283"/>
              <w:jc w:val="left"/>
              <w:rPr/>
            </w:pPr>
            <w:r>
              <w:rPr/>
              <w:t>Dealer. Regardless of whether or not a standard for the actions of the Calculation Agent is explicitly stated in any provision hereof, the standards of Section 1.40 of the Equity Definitions, as modified by adding the words, “acts or” immediately before the words, “is required to act” in line 2 thereof, shall apply to the Calculation Agent at all times and in respect of all circumstances hereunder. Following the occurrence and during the continuation of an Event of Default described in Section 5(a)(vii) of the Agreement with respect to which Dealer is the Defaulting Party, Counterparty shall have the right to designate an independent, nationally recognized equity derivatives dealer to replace Dealer as Calculation Agent, and the parties shall work in good faith to execute any appropriate documentation required by such replacement Calculation Agent. Following any determination or calculation by the Calculation Agent hereunder, promptly following a written request by Counterparty therefor, the Calculation Agent shall provide to Counterparty by e-mail to the e-mail address provided by Counterparty in such request a written explanation and report (in a commonly used file format for the storage and manipulation of financial data) displaying in commercially reasonable detail the basis for such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4900" w:type="pct"/>
        <w:jc w:val="right"/>
        <w:tblInd w:w="0" w:type="dxa"/>
        <w:tblLayout w:type="fixed"/>
        <w:tblCellMar>
          <w:top w:w="0" w:type="dxa"/>
          <w:left w:w="0" w:type="dxa"/>
          <w:bottom w:w="0" w:type="dxa"/>
          <w:right w:w="0" w:type="dxa"/>
        </w:tblCellMar>
      </w:tblPr>
      <w:tblGrid>
        <w:gridCol w:w="197"/>
        <w:gridCol w:w="111"/>
        <w:gridCol w:w="2698"/>
        <w:gridCol w:w="126"/>
        <w:gridCol w:w="6868"/>
      </w:tblGrid>
      <w:tr>
        <w:trPr/>
        <w:tc>
          <w:tcPr>
            <w:tcW w:w="19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868" w:type="dxa"/>
            <w:tcBorders/>
            <w:vAlign w:val="center"/>
          </w:tcPr>
          <w:p>
            <w:pPr>
              <w:pStyle w:val="TableContents"/>
              <w:bidi w:val="0"/>
              <w:spacing w:before="0" w:after="283"/>
              <w:jc w:val="left"/>
              <w:rPr>
                <w:sz w:val="4"/>
                <w:szCs w:val="4"/>
              </w:rPr>
            </w:pPr>
            <w:r>
              <w:rPr>
                <w:sz w:val="4"/>
                <w:szCs w:val="4"/>
              </w:rPr>
            </w:r>
          </w:p>
        </w:tc>
      </w:tr>
      <w:tr>
        <w:trPr/>
        <w:tc>
          <w:tcPr>
            <w:tcW w:w="19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69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868" w:type="dxa"/>
            <w:tcBorders/>
          </w:tcPr>
          <w:p>
            <w:pPr>
              <w:pStyle w:val="TableContents"/>
              <w:bidi w:val="0"/>
              <w:spacing w:before="0" w:after="283"/>
              <w:jc w:val="left"/>
              <w:rPr/>
            </w:pPr>
            <w:r>
              <w:rPr/>
              <w:t>determination or calculation (including any quotations, market data or information from internal or external sources, and any assumptions, used in making such determination or calculation), it being understood that the Calculation Agent shall not be obligated to disclose any proprietary or confidential models or proprietary or confidential information used by it for such determination or calculation. The Calculation Agent shall use commercially reasonable efforts to provide such written explanation and report within five (5) Exchange Business Days from the receipt of such request.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
        <w:gridCol w:w="109"/>
        <w:gridCol w:w="1989"/>
        <w:gridCol w:w="123"/>
        <w:gridCol w:w="7761"/>
      </w:tblGrid>
      <w:tr>
        <w:trPr/>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61" w:type="dxa"/>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b/>
              </w:rPr>
            </w:pPr>
            <w:r>
              <w:rPr>
                <w:b/>
              </w:rPr>
              <w:t>5.</w:t>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283"/>
              <w:jc w:val="left"/>
              <w:rPr/>
            </w:pPr>
            <w:r>
              <w:rPr>
                <w:b/>
                <w:u w:val="single"/>
              </w:rPr>
              <w:t>Account Details</w:t>
            </w:r>
            <w:r>
              <w:rPr>
                <w:b/>
              </w:rPr>
              <w:t>.</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(a)   Account for payments to Counterparty:</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be provided.</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Account for delivery of Shares to Counterparty:</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be provided.</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(b)   Account for payments to Dealer:</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2098" w:type="dxa"/>
            <w:gridSpan w:val="2"/>
            <w:tcBorders/>
            <w:vAlign w:val="center"/>
          </w:tcPr>
          <w:p>
            <w:pPr>
              <w:pStyle w:val="TableContents"/>
              <w:bidi w:val="0"/>
              <w:spacing w:before="0" w:after="283"/>
              <w:jc w:val="left"/>
              <w:rPr>
                <w:sz w:val="4"/>
                <w:szCs w:val="4"/>
              </w:rPr>
            </w:pPr>
            <w:r>
              <w:rPr>
                <w:sz w:val="4"/>
                <w:szCs w:val="4"/>
              </w:rPr>
            </w:r>
          </w:p>
        </w:tc>
        <w:tc>
          <w:tcPr>
            <w:tcW w:w="7884"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0"/>
              <w:jc w:val="left"/>
              <w:rPr>
                <w:rFonts w:ascii="Times New Roman" w:hAnsi="Times New Roman"/>
                <w:sz w:val="20"/>
              </w:rPr>
            </w:pPr>
            <w:r>
              <w:rPr>
                <w:rFonts w:ascii="Times New Roman" w:hAnsi="Times New Roman"/>
                <w:sz w:val="20"/>
              </w:rPr>
              <w:t>[Bank:]</w:t>
            </w:r>
          </w:p>
        </w:tc>
        <w:tc>
          <w:tcPr>
            <w:tcW w:w="123"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283"/>
              <w:jc w:val="left"/>
              <w:rPr/>
            </w:pPr>
            <w:r>
              <w:rPr/>
              <w:t>[_________]</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2098" w:type="dxa"/>
            <w:gridSpan w:val="2"/>
            <w:tcBorders/>
            <w:vAlign w:val="center"/>
          </w:tcPr>
          <w:p>
            <w:pPr>
              <w:pStyle w:val="TableContents"/>
              <w:bidi w:val="0"/>
              <w:spacing w:before="0" w:after="283"/>
              <w:jc w:val="left"/>
              <w:rPr>
                <w:sz w:val="4"/>
                <w:szCs w:val="4"/>
              </w:rPr>
            </w:pPr>
            <w:r>
              <w:rPr>
                <w:sz w:val="4"/>
                <w:szCs w:val="4"/>
              </w:rPr>
            </w:r>
          </w:p>
        </w:tc>
        <w:tc>
          <w:tcPr>
            <w:tcW w:w="7884"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0"/>
              <w:jc w:val="left"/>
              <w:rPr>
                <w:rFonts w:ascii="Times New Roman" w:hAnsi="Times New Roman"/>
                <w:sz w:val="20"/>
              </w:rPr>
            </w:pPr>
            <w:r>
              <w:rPr>
                <w:rFonts w:ascii="Times New Roman" w:hAnsi="Times New Roman"/>
                <w:sz w:val="20"/>
              </w:rPr>
              <w:t>[SWIFT:]</w:t>
            </w:r>
          </w:p>
        </w:tc>
        <w:tc>
          <w:tcPr>
            <w:tcW w:w="123"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283"/>
              <w:jc w:val="left"/>
              <w:rPr/>
            </w:pPr>
            <w:r>
              <w:rPr/>
              <w:t>[_________]</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2098" w:type="dxa"/>
            <w:gridSpan w:val="2"/>
            <w:tcBorders/>
            <w:vAlign w:val="center"/>
          </w:tcPr>
          <w:p>
            <w:pPr>
              <w:pStyle w:val="TableContents"/>
              <w:bidi w:val="0"/>
              <w:spacing w:before="0" w:after="283"/>
              <w:jc w:val="left"/>
              <w:rPr>
                <w:sz w:val="4"/>
                <w:szCs w:val="4"/>
              </w:rPr>
            </w:pPr>
            <w:r>
              <w:rPr>
                <w:sz w:val="4"/>
                <w:szCs w:val="4"/>
              </w:rPr>
            </w:r>
          </w:p>
        </w:tc>
        <w:tc>
          <w:tcPr>
            <w:tcW w:w="7884"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0"/>
              <w:jc w:val="left"/>
              <w:rPr>
                <w:rFonts w:ascii="Times New Roman" w:hAnsi="Times New Roman"/>
                <w:sz w:val="20"/>
              </w:rPr>
            </w:pPr>
            <w:r>
              <w:rPr>
                <w:rFonts w:ascii="Times New Roman" w:hAnsi="Times New Roman"/>
                <w:sz w:val="20"/>
              </w:rPr>
              <w:t>[Bank Routing:]</w:t>
            </w:r>
          </w:p>
        </w:tc>
        <w:tc>
          <w:tcPr>
            <w:tcW w:w="123"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283"/>
              <w:jc w:val="left"/>
              <w:rPr/>
            </w:pPr>
            <w:r>
              <w:rPr/>
              <w:t>[_________]</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2098" w:type="dxa"/>
            <w:gridSpan w:val="2"/>
            <w:tcBorders/>
            <w:vAlign w:val="center"/>
          </w:tcPr>
          <w:p>
            <w:pPr>
              <w:pStyle w:val="TableContents"/>
              <w:bidi w:val="0"/>
              <w:spacing w:before="0" w:after="283"/>
              <w:jc w:val="left"/>
              <w:rPr>
                <w:sz w:val="4"/>
                <w:szCs w:val="4"/>
              </w:rPr>
            </w:pPr>
            <w:r>
              <w:rPr>
                <w:sz w:val="4"/>
                <w:szCs w:val="4"/>
              </w:rPr>
            </w:r>
          </w:p>
        </w:tc>
        <w:tc>
          <w:tcPr>
            <w:tcW w:w="7884"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0"/>
              <w:jc w:val="left"/>
              <w:rPr>
                <w:rFonts w:ascii="Times New Roman" w:hAnsi="Times New Roman"/>
                <w:sz w:val="20"/>
              </w:rPr>
            </w:pPr>
            <w:r>
              <w:rPr>
                <w:rFonts w:ascii="Times New Roman" w:hAnsi="Times New Roman"/>
                <w:sz w:val="20"/>
              </w:rPr>
              <w:t>[Acct Name:]</w:t>
            </w:r>
          </w:p>
        </w:tc>
        <w:tc>
          <w:tcPr>
            <w:tcW w:w="123"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283"/>
              <w:jc w:val="left"/>
              <w:rPr/>
            </w:pPr>
            <w:r>
              <w:rPr/>
              <w:t>[_________]</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2098" w:type="dxa"/>
            <w:gridSpan w:val="2"/>
            <w:tcBorders/>
            <w:vAlign w:val="center"/>
          </w:tcPr>
          <w:p>
            <w:pPr>
              <w:pStyle w:val="TableContents"/>
              <w:bidi w:val="0"/>
              <w:spacing w:before="0" w:after="283"/>
              <w:jc w:val="left"/>
              <w:rPr>
                <w:sz w:val="4"/>
                <w:szCs w:val="4"/>
              </w:rPr>
            </w:pPr>
            <w:r>
              <w:rPr>
                <w:sz w:val="4"/>
                <w:szCs w:val="4"/>
              </w:rPr>
            </w:r>
          </w:p>
        </w:tc>
        <w:tc>
          <w:tcPr>
            <w:tcW w:w="7884" w:type="dxa"/>
            <w:gridSpan w:val="2"/>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0"/>
              <w:jc w:val="left"/>
              <w:rPr>
                <w:rFonts w:ascii="Times New Roman" w:hAnsi="Times New Roman"/>
                <w:sz w:val="20"/>
              </w:rPr>
            </w:pPr>
            <w:r>
              <w:rPr>
                <w:rFonts w:ascii="Times New Roman" w:hAnsi="Times New Roman"/>
                <w:sz w:val="20"/>
              </w:rPr>
              <w:t>[Acct No.:]</w:t>
            </w:r>
          </w:p>
        </w:tc>
        <w:tc>
          <w:tcPr>
            <w:tcW w:w="123" w:type="dxa"/>
            <w:tcBorders/>
            <w:vAlign w:val="bottom"/>
          </w:tcPr>
          <w:p>
            <w:pPr>
              <w:pStyle w:val="TableContents"/>
              <w:bidi w:val="0"/>
              <w:spacing w:before="0" w:after="283"/>
              <w:jc w:val="left"/>
              <w:rPr/>
            </w:pPr>
            <w:r>
              <w:rPr/>
              <w:t>  </w:t>
            </w:r>
          </w:p>
        </w:tc>
        <w:tc>
          <w:tcPr>
            <w:tcW w:w="7761" w:type="dxa"/>
            <w:tcBorders/>
          </w:tcPr>
          <w:p>
            <w:pPr>
              <w:pStyle w:val="TableContents"/>
              <w:bidi w:val="0"/>
              <w:spacing w:before="0" w:after="283"/>
              <w:jc w:val="left"/>
              <w:rPr/>
            </w:pPr>
            <w:r>
              <w:rPr/>
              <w:t>[_________]17</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Account for delivery of Shares from Dealer:</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be provided.</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b/>
              </w:rPr>
            </w:pPr>
            <w:r>
              <w:rPr>
                <w:b/>
              </w:rPr>
              <w:t>6.</w:t>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283"/>
              <w:jc w:val="left"/>
              <w:rPr/>
            </w:pPr>
            <w:r>
              <w:rPr>
                <w:b/>
                <w:u w:val="single"/>
              </w:rPr>
              <w:t>Offices</w:t>
            </w:r>
            <w:r>
              <w:rPr>
                <w:b/>
              </w:rPr>
              <w:t>.</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(a)   The Office of Counterparty for the Transaction is: Inapplicable, Counterparty is not a Multibranch Party.</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(b)   The Office of Dealer for the Transaction is: [____________][Inapplicable; Dealer is not a Multibranch Party]18</w:t>
            </w:r>
          </w:p>
        </w:tc>
      </w:tr>
      <w:tr>
        <w:trPr>
          <w:trHeight w:val="36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b/>
              </w:rPr>
            </w:pPr>
            <w:r>
              <w:rPr>
                <w:b/>
              </w:rPr>
              <w:t>7.</w:t>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283"/>
              <w:jc w:val="left"/>
              <w:rPr/>
            </w:pPr>
            <w:r>
              <w:rPr>
                <w:b/>
                <w:u w:val="single"/>
              </w:rPr>
              <w:t>Notices</w:t>
            </w:r>
            <w:r>
              <w:rPr>
                <w:b/>
              </w:rPr>
              <w:t>.</w:t>
            </w:r>
          </w:p>
        </w:tc>
      </w:tr>
      <w:tr>
        <w:trPr>
          <w:trHeight w:val="120" w:hRule="atLeast"/>
        </w:trPr>
        <w:tc>
          <w:tcPr>
            <w:tcW w:w="223" w:type="dxa"/>
            <w:tcBorders/>
            <w:vAlign w:val="center"/>
          </w:tcPr>
          <w:p>
            <w:pPr>
              <w:pStyle w:val="TableContents"/>
              <w:bidi w:val="0"/>
              <w:spacing w:before="0" w:after="283"/>
              <w:jc w:val="left"/>
              <w:rPr>
                <w:sz w:val="4"/>
                <w:szCs w:val="4"/>
              </w:rPr>
            </w:pPr>
            <w:r>
              <w:rPr>
                <w:sz w:val="4"/>
                <w:szCs w:val="4"/>
              </w:rPr>
            </w:r>
          </w:p>
        </w:tc>
        <w:tc>
          <w:tcPr>
            <w:tcW w:w="9982" w:type="dxa"/>
            <w:gridSpan w:val="4"/>
            <w:tcBorders/>
            <w:vAlign w:val="center"/>
          </w:tcPr>
          <w:p>
            <w:pPr>
              <w:pStyle w:val="TableContents"/>
              <w:bidi w:val="0"/>
              <w:spacing w:before="0" w:after="283"/>
              <w:jc w:val="left"/>
              <w:rPr>
                <w:sz w:val="4"/>
                <w:szCs w:val="4"/>
              </w:rPr>
            </w:pPr>
            <w:r>
              <w:rPr>
                <w:sz w:val="4"/>
                <w:szCs w:val="4"/>
              </w:rPr>
            </w:r>
          </w:p>
        </w:tc>
      </w:tr>
      <w:tr>
        <w:trPr/>
        <w:tc>
          <w:tcPr>
            <w:tcW w:w="2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98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(a)   Address for notices or communications to Counterparty and to Parent:</w:t>
            </w:r>
          </w:p>
        </w:tc>
      </w:tr>
    </w:tbl>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1445"/>
        <w:gridCol w:w="121"/>
        <w:gridCol w:w="8026"/>
      </w:tblGrid>
      <w:tr>
        <w:trPr/>
        <w:tc>
          <w:tcPr>
            <w:tcW w:w="14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1445" w:type="dxa"/>
            <w:tcBorders/>
          </w:tcPr>
          <w:p>
            <w:pPr>
              <w:pStyle w:val="TableContents"/>
              <w:bidi w:val="0"/>
              <w:spacing w:before="0" w:after="283"/>
              <w:jc w:val="left"/>
              <w:rPr/>
            </w:pPr>
            <w:r>
              <w:rPr/>
              <w:t>To:</w:t>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c/o Federal Realty Investment Trust</w:t>
            </w:r>
          </w:p>
        </w:tc>
      </w:tr>
      <w:tr>
        <w:trPr/>
        <w:tc>
          <w:tcPr>
            <w:tcW w:w="14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909 Rose Avenue, Suite 200</w:t>
            </w:r>
          </w:p>
        </w:tc>
      </w:tr>
      <w:tr>
        <w:trPr/>
        <w:tc>
          <w:tcPr>
            <w:tcW w:w="14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North Bethesda, Maryland 20852</w:t>
            </w:r>
          </w:p>
        </w:tc>
      </w:tr>
      <w:tr>
        <w:trPr/>
        <w:tc>
          <w:tcPr>
            <w:tcW w:w="14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Attention:    Daniel Guglielmone, Chief Financial Officer</w:t>
            </w:r>
          </w:p>
        </w:tc>
      </w:tr>
      <w:tr>
        <w:trPr/>
        <w:tc>
          <w:tcPr>
            <w:tcW w:w="14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Telephone No.:  301-998-8232</w:t>
            </w:r>
          </w:p>
        </w:tc>
      </w:tr>
      <w:tr>
        <w:trPr/>
        <w:tc>
          <w:tcPr>
            <w:tcW w:w="14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Email:      dang@federalrealty.com</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Dealer’s account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Update as appropriate for Dealer.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1395"/>
        <w:gridCol w:w="121"/>
        <w:gridCol w:w="8076"/>
      </w:tblGrid>
      <w:tr>
        <w:trPr/>
        <w:tc>
          <w:tcPr>
            <w:tcW w:w="13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283"/>
              <w:jc w:val="left"/>
              <w:rPr/>
            </w:pPr>
            <w:r>
              <w:rPr/>
              <w:t>Copy to:</w:t>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c/o Federal Realty Investment Trust</w:t>
            </w:r>
          </w:p>
        </w:tc>
      </w:tr>
      <w:tr>
        <w:trPr/>
        <w:tc>
          <w:tcPr>
            <w:tcW w:w="13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909 Rose Avenue, Suite 200</w:t>
            </w:r>
          </w:p>
        </w:tc>
      </w:tr>
      <w:tr>
        <w:trPr/>
        <w:tc>
          <w:tcPr>
            <w:tcW w:w="13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North Bethesda, Maryland 20852</w:t>
            </w:r>
          </w:p>
        </w:tc>
      </w:tr>
      <w:tr>
        <w:trPr/>
        <w:tc>
          <w:tcPr>
            <w:tcW w:w="13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Attention:    Dawn Becker, General Counsel</w:t>
            </w:r>
          </w:p>
        </w:tc>
      </w:tr>
      <w:tr>
        <w:trPr/>
        <w:tc>
          <w:tcPr>
            <w:tcW w:w="13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Telephone No.:  301-998-8104</w:t>
            </w:r>
          </w:p>
        </w:tc>
      </w:tr>
      <w:tr>
        <w:trPr/>
        <w:tc>
          <w:tcPr>
            <w:tcW w:w="13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Email:      dbecker@federalrealty.com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for notices or communications to Dealer: </w:t>
            </w:r>
          </w:p>
        </w:tc>
      </w:tr>
    </w:tbl>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1575"/>
        <w:gridCol w:w="121"/>
        <w:gridCol w:w="7590"/>
      </w:tblGrid>
      <w:tr>
        <w:trPr/>
        <w:tc>
          <w:tcPr>
            <w:tcW w:w="15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90" w:type="dxa"/>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283"/>
              <w:jc w:val="left"/>
              <w:rPr/>
            </w:pPr>
            <w:r>
              <w:rPr/>
              <w:t>[To:</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Attention:</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Telephone:</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Email:</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9286" w:type="dxa"/>
            <w:gridSpan w:val="3"/>
            <w:tcBorders/>
          </w:tcPr>
          <w:p>
            <w:pPr>
              <w:pStyle w:val="TableContents"/>
              <w:bidi w:val="0"/>
              <w:spacing w:before="0" w:after="283"/>
              <w:jc w:val="left"/>
              <w:rPr/>
            </w:pPr>
            <w:r>
              <w:rPr/>
              <w:t>With a copy to:</w:t>
            </w:r>
          </w:p>
        </w:tc>
      </w:tr>
      <w:tr>
        <w:trPr/>
        <w:tc>
          <w:tcPr>
            <w:tcW w:w="1575" w:type="dxa"/>
            <w:tcBorders/>
          </w:tcPr>
          <w:p>
            <w:pPr>
              <w:pStyle w:val="TableContents"/>
              <w:bidi w:val="0"/>
              <w:spacing w:before="0" w:after="283"/>
              <w:jc w:val="left"/>
              <w:rPr/>
            </w:pPr>
            <w:r>
              <w:rPr/>
              <w:t>To:</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Attention:</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Telephone:</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w:t>
            </w:r>
          </w:p>
        </w:tc>
      </w:tr>
      <w:tr>
        <w:trPr/>
        <w:tc>
          <w:tcPr>
            <w:tcW w:w="1575" w:type="dxa"/>
            <w:tcBorders/>
          </w:tcPr>
          <w:p>
            <w:pPr>
              <w:pStyle w:val="TableContents"/>
              <w:bidi w:val="0"/>
              <w:spacing w:before="0" w:after="283"/>
              <w:jc w:val="left"/>
              <w:rPr/>
            </w:pPr>
            <w:r>
              <w:rPr/>
              <w:t>Email:</w:t>
            </w:r>
          </w:p>
        </w:tc>
        <w:tc>
          <w:tcPr>
            <w:tcW w:w="121"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[____________]]19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given by Dealer (in any of its capacities hereunder) to Counterparty or to Parent shall be deemed to constitute simultaneous notice to each of them, and any notice by Counterparty or Parent shall be deemed to constitute simultaneous notice to Dealer from each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Representations and Warranties of Counterparty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representations and warranties set forth in Section 3(a) of the Agreement, each of Counterparty and Parent hereby represents and warrants to Dealer on the date hereof and on and as of the Premium Payment Date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Counterparty nor Parent is and, after consummation of the transactions contemplated hereby, neither will be required to register as an “investment company” as such term is defined in the Investment Company Act of 1940,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Counterparty and Parent is an “eligible contract participant” (as such term is defined in Section 1a(18) of the Commodity Exchange Act, as amended, other than a person that is an eligible contract participant under Section 1a(18)(C) of the Commodity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Counterparty nor Parent is, on the date hereof, in possession of any material non-public information with respect to Counterparty, Parent or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knowledge of each of Counterparty and Parent, other than pursuant to the Charter,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hAnsi="Times New Roman"/>
                <w:i/>
                <w:sz w:val="20"/>
              </w:rPr>
              <w:t>provided</w:t>
            </w:r>
            <w:r>
              <w:rPr>
                <w:rFonts w:ascii="Times New Roman" w:hAnsi="Times New Roman"/>
                <w:sz w:val="20"/>
              </w:rPr>
              <w:t xml:space="preserve"> that neither Counterparty nor Parent makes any representation or warranty regarding any such requirement that is applicable generally to the ownership of equity securities by Dealer or any of its affiliates solely as a result of it or any of such affiliates being financial institutions or 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Counterparty and Parent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Dealer’s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each of Counterparty and Parent, on and immediately after the Trade Date and the Premium Payment Date, (A) the value of the total assets of such person is greater than the sum of the total liabilities (including contingent liabilities) and the capital of such person, (B) the capital of such person is adequate to conduct the business of such person, and such person’s entry into the Transaction will not impair its capital, (C) such person has the ability to pay its debts and obligations as such debts mature and does not intend to, or does not believe that it will, incur debt beyond its ability to pay as such debts mature, (D) such person will be able to continue as a going concern, (E) such person is not “insolvent” (as such term is defined under Section 101(32) of the U.S. Bankruptcy Code (Title 11 of the United States Code) (the “</w:t>
            </w:r>
            <w:r>
              <w:rPr>
                <w:rFonts w:ascii="Times New Roman" w:hAnsi="Times New Roman"/>
                <w:b/>
                <w:sz w:val="20"/>
              </w:rPr>
              <w:t>Bankruptcy Code</w:t>
            </w:r>
            <w:r>
              <w:rPr>
                <w:rFonts w:ascii="Times New Roman" w:hAnsi="Times New Roman"/>
                <w:sz w:val="20"/>
              </w:rPr>
              <w:t xml:space="preserve">”)) and (F) such person would be able to purchase the number of Shares with respect to the Transaction in compliance with the laws of the jurisdiction of such person’s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Counterparty and Parent has received, read and understands the OTC Options Risk Disclosure Statement and a copy of the most recent disclosure pamphlet prepared by The Options Clearing Corporation entitled “Characteristics and Risks of Standardized Options”.]20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Other Provisions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Opinions</w:t>
            </w:r>
            <w:r>
              <w:rPr>
                <w:rFonts w:ascii="Times New Roman" w:hAnsi="Times New Roman"/>
                <w:sz w:val="20"/>
              </w:rPr>
              <w:t xml:space="preserve">. Counterparty and Parent shall deliver to Dealer an opinion of counsel, dated as of the Trade Date, with respect to the matters set forth in Section 3(a) of the Agreement, subject to customary assumptions, qualifications, and exceptions. Delivery of such opinion to Dealer shall be a condition precedent for the purpose of Section 2(a)(iii) of the Agreement with respect to each obligation of Dealer under Section 2(a)(i)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Repurchase Notices</w:t>
            </w:r>
            <w:r>
              <w:rPr>
                <w:rFonts w:ascii="Times New Roman" w:hAnsi="Times New Roman"/>
                <w:sz w:val="20"/>
              </w:rPr>
              <w:t>. Each of Counterparty and Parent shall, at least one Scheduled Valid Day prior to any day on which Counterparty or Parent intends to effect any repurchase of Shares, give Dealer a written notice of such repurchase (a “</w:t>
            </w:r>
            <w:r>
              <w:rPr>
                <w:rFonts w:ascii="Times New Roman" w:hAnsi="Times New Roman"/>
                <w:b/>
                <w:sz w:val="20"/>
              </w:rPr>
              <w:t>Repurchase Notice</w:t>
            </w:r>
            <w:r>
              <w:rPr>
                <w:rFonts w:ascii="Times New Roman" w:hAnsi="Times New Roman"/>
                <w:sz w:val="20"/>
              </w:rPr>
              <w:t>”) if following such repurchase, the number of outstanding Shares as determined on such day is (i) less than [__]21 million (in the case of the first such notice) or (ii) thereafter more than [__]22 million less than the number of Shares included in the immediately preceding Repurchase Notice. Counterparty and Parent jointly and severally agree to indemnify and hold harmless Dealer and its affiliates and their respective officers, directors, employees, affiliates, advisors, agents and controlling persons (each, an “</w:t>
            </w:r>
            <w:r>
              <w:rPr>
                <w:rFonts w:ascii="Times New Roman" w:hAnsi="Times New Roman"/>
                <w:b/>
                <w:sz w:val="20"/>
              </w:rPr>
              <w:t>Indemnified Person</w:t>
            </w:r>
            <w:r>
              <w:rPr>
                <w:rFonts w:ascii="Times New Roman" w:hAnsi="Times New Roman"/>
                <w:sz w:val="20"/>
              </w:rPr>
              <w:t xml:space="preserve">”)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under or resulting from the operation of any ownership limitations contained in the Charter and, in each case, any losses in connection therewith with respect to the Transaction), claims, damages, judgments, liabilities and commercially reasonable and documented out-of-pocket expenses (including reasonable external attorney’s fees), joint or several, which an Indemnified Person may become subject to, as a result of Counterparty’s or Parent’s failure to provide Dealer with a Repurchase Notice when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applicable Dealers.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number of Shares outstanding that would cause Dealer’s current position in the Shares underlying the Transaction (including the number of Shares underlying any additional transaction if the greenshoe is exercised in full) to increase by 0.5%. To be determined based on Dealer with highest Applicable Percentage.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number of Shares that, if repurchased, would cause Dealer’s current position in the Shares underlying the Transaction (including the number of Shares underlying any additional transaction if the greenshoe is exercised in full) to increase by a further 0.5% from the threshold for the first Repurchase Notice. To be determined based on Dealer with highest Applicable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Counterparty’s or Parent’s failure to provide Dealer with a Repurchase Notice in accordance with this paragraph, such Indemnified Person shall promptly notify Counterparty and Parent in writing, and Counterparty and/or Parent, upon request of the Indemnified Person, shall retain counsel reasonably satisfactory to the Indemnified Person to represent the Indemnified Person and any others Counterparty and/or Parent may designate in such proceeding and shall pay the reasonable and documented fees and expenses of such counsel related to such proceeding. Counterparty and Parent shall be relieved from liability to the extent that any Indemnified Person fails to promptly notify Counterparty and Parent of any action commenced against it in respect of which indemnity may be sought hereunder to the extent Counterparty and/or Parent are materially prejudiced as a result thereof. Counterparty and Parent shall not be liable for any settlement of any proceeding contemplated by this paragraph that is effected without its written consent, but if settled with such consent or if there be a final judgment for the plaintiff, Counterparty and Parent jointly and severally agree to indemnify any Indemnified Person from and against any loss or liability by reason of such settlement or judgment. Counterparty and Parent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and Parent hereunder, in lieu of indemnifying such Indemnified Person thereunder, shall contribute, jointly and severally,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Regulation M</w:t>
            </w:r>
            <w:r>
              <w:rPr>
                <w:rFonts w:ascii="Times New Roman" w:hAnsi="Times New Roman"/>
                <w:sz w:val="20"/>
              </w:rPr>
              <w:t>. Neither Counterparty nor Parent is on the Trade Date engaged in a distribution, as such term is used in Regulation M under the Securities Exchange Act of 1934, as amended (the “</w:t>
            </w:r>
            <w:r>
              <w:rPr>
                <w:rFonts w:ascii="Times New Roman" w:hAnsi="Times New Roman"/>
                <w:b/>
                <w:sz w:val="20"/>
              </w:rPr>
              <w:t>Exchange Act</w:t>
            </w:r>
            <w:r>
              <w:rPr>
                <w:rFonts w:ascii="Times New Roman" w:hAnsi="Times New Roman"/>
                <w:sz w:val="20"/>
              </w:rPr>
              <w:t xml:space="preserve">”), of any securities of Counterparty or Parent, as applicable, other than a distribution meeting the requirements of the exception set forth in Rules 101(b)(10) and 102(b)(7) of Regulation M. Neither Counterparty nor Parent shall, until the second Scheduled Trading Day immediately following the Effective Date, engage in any such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No Manipulation</w:t>
            </w:r>
            <w:r>
              <w:rPr>
                <w:rFonts w:ascii="Times New Roman" w:hAnsi="Times New Roman"/>
                <w:sz w:val="20"/>
              </w:rPr>
              <w:t xml:space="preserve">. Neither Counterparty nor Parent is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in violation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Transfer or Assignment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Parent may not transfer any of its rights or obligations under the Transaction without the prior written consent of Dealer. Counterparty shall have the right to transfer or assign its rights and obligations hereunder with respect to all, but not less than all, of the Options hereunder (such Options, the “</w:t>
            </w:r>
            <w:r>
              <w:rPr>
                <w:rFonts w:ascii="Times New Roman" w:hAnsi="Times New Roman"/>
                <w:b/>
                <w:sz w:val="20"/>
              </w:rPr>
              <w:t>Transfer Options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transfer or assignment shall be subject to reasonable conditions that Dealer may impose, including but not limited, to the following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Transfer Options, Counterparty shall not be released from its notice and indemnification obligations pursuant to Section 9(b) of this Confirmation or any obligations under Section 9(n) or 9(s) of this Confirmation;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Any Transfer Options shall only be transferred or assigned to a third party that is a United States person (as defined in the Internal Revenue Code of 1986, as amended) (the “</w:t>
            </w:r>
            <w:r>
              <w:rPr>
                <w:rFonts w:ascii="Times New Roman" w:hAnsi="Times New Roman"/>
                <w:b/>
                <w:sz w:val="20"/>
              </w:rPr>
              <w:t>Code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by and reasonably satisfactory to Dealer;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 will not, as a result of such transfer and assignment, have an obligation to pay the transferee on any payment date an amount under Section 2(d)(i)(4) of the Agreement greater than an amount that Dealer would have been required to pay to Counterparty in the absence of such transfer and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Potential Event of Default or Termination Event will occur as a result of such transfer and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Counterparty shall be responsible for all reasonable costs and expenses, including reasonable counsel fees, incurred by Dealer in connection with such transfer or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Dealer may transfer or assign all or any part of its rights or obligations under the Transaction without Counterparty’s or Parent’s consent, (A) to any affiliate of Dealer whose obligations would be guaranteed, pursuant to the terms of a customary guarantee in a form used by Dealer generally for similar transactions, by Dealer [or Dealer’s ultimate parent] or (B) to any person (including any affiliate of Dealer whose obligations are not guaranteed in the manner described in clause (A)) or any person whose obligations would be guaranteed by a person (a “</w:t>
            </w:r>
            <w:r>
              <w:rPr>
                <w:rFonts w:ascii="Times New Roman" w:hAnsi="Times New Roman"/>
                <w:b/>
                <w:sz w:val="20"/>
              </w:rPr>
              <w:t>Designated Transferee</w:t>
            </w:r>
            <w:r>
              <w:rPr>
                <w:rFonts w:ascii="Times New Roman" w:hAnsi="Times New Roman"/>
                <w:sz w:val="20"/>
              </w:rPr>
              <w:t xml:space="preserve">”), in either case under this clause (B), with a rating for its long-term, unsecured and unsubordinated indebtedness at least equivalent to Dealer’s (or its guarantor’s),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this clause (B), in no event shall the credit rating of the Designated Transferee or of its guarantor (whichever is higher) be lower than A3 from Moody’s Investor Service, Inc. or its successor or A- from Standard and Poor’s Rating Group, Inc. or its successor (or, if either S&amp;P or Moody’s ceases to rate such debt, at least an equivalent rating or better by a substitute rating agency mutually agreed by Counterparty and Dealer); </w:t>
            </w:r>
            <w:r>
              <w:rPr>
                <w:rFonts w:ascii="Times New Roman" w:hAnsi="Times New Roman"/>
                <w:i/>
                <w:sz w:val="20"/>
              </w:rPr>
              <w:t>provided</w:t>
            </w:r>
            <w:r>
              <w:rPr>
                <w:rFonts w:ascii="Times New Roman" w:hAnsi="Times New Roman"/>
                <w:sz w:val="20"/>
              </w:rPr>
              <w:t xml:space="preserve">, however, Dealer may transfer or assign pursuant to this paragraph only if (A) either (i) the transferee is a “dealer in securities” within the meaning of Section 475(c)(1) of the Code, or (ii) the transfer or assignment does not otherwise constitute a “deemed exchange” by Counterparty within the meaning of Section 1001 of the Code, (B) immediately after any such transfer or assignment,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or assignment and (C) no Event of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Potential Event of Default or Termination Event will occur as a result of such transfer and assignment. If at any time at which (A) the Section 16 Percentage exceeds 8.0%, (B) the Option Equity Percentage exceeds 14.5%, (C) the Charter Percentage exceeds 8.0% or (D) the Share Amount exceeds the Applicable Share Limit (if any applies) (any such condition described in clauses (A), (B), (C) or (D), an “</w:t>
            </w:r>
            <w:r>
              <w:rPr>
                <w:b/>
              </w:rPr>
              <w:t>Excess Ownership Position</w:t>
            </w:r>
            <w:r>
              <w:rPr/>
              <w:t>”), Dealer, acting in good faith,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b/>
              </w:rPr>
              <w:t>Terminated Portion</w:t>
            </w:r>
            <w:r>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of this Confirmation shall apply to any amount that is payable by Dealer to Counterparty pursuant to this sentence as if Counterparty was not the Affected Party). The “</w:t>
            </w:r>
            <w:r>
              <w:rPr>
                <w:b/>
              </w:rPr>
              <w:t>Section</w:t>
            </w:r>
            <w:r>
              <w:rPr/>
              <w:t> </w:t>
            </w:r>
            <w:r>
              <w:rPr>
                <w:b/>
              </w:rPr>
              <w:t>16 Percentage</w:t>
            </w:r>
            <w:r>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b/>
              </w:rPr>
              <w:t>Option Equity Percentage</w:t>
            </w:r>
            <w:r>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b/>
              </w:rPr>
              <w:t>Share Amount</w:t>
            </w:r>
            <w:r>
              <w:rPr/>
              <w:t>” as of any day is the number of Shares that Dealer and any person whose ownership position would be aggregated with that of Dealer (Dealer or any such person, a “</w:t>
            </w:r>
            <w:r>
              <w:rPr>
                <w:b/>
              </w:rPr>
              <w:t>Dealer</w:t>
            </w:r>
            <w:r>
              <w:rPr/>
              <w:t xml:space="preserve"> </w:t>
            </w:r>
            <w:r>
              <w:rPr>
                <w:b/>
              </w:rPr>
              <w:t>Person</w:t>
            </w:r>
            <w:r>
              <w:rPr/>
              <w:t>”) under any law, rule, regulation, regulatory order or organizational documents or contracts of Counterparty or Parent that are, in each case, applicable to ownership of Shares (“</w:t>
            </w:r>
            <w:r>
              <w:rPr>
                <w:b/>
              </w:rPr>
              <w:t>Applicable Restrictions</w:t>
            </w:r>
            <w:r>
              <w:rPr/>
              <w:t>”), owns, beneficially owns, constructively owns, controls, holds the power to vote or otherwise meets a relevant definition of ownership under any Applicable Restriction, as determined by Dealer in its reasonable discretion. The “</w:t>
            </w:r>
            <w:r>
              <w:rPr>
                <w:b/>
              </w:rPr>
              <w:t>Applicable Share Limit</w:t>
            </w:r>
            <w:r>
              <w:rPr/>
              <w:t xml:space="preserve">” means a number of Shares equal to (A) the minimum number of Shares that, in Dealer’s reasonable judgment based on advice of counsel, could give rise to reporting or registration obligations (except for filings on Form 13F, Schedule 13D or Schedule 13G,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i/>
              </w:rPr>
              <w:t>minus</w:t>
            </w:r>
            <w:r>
              <w:rPr/>
              <w:t xml:space="preserve"> (B) 1% of the number of Shares outstanding. The “</w:t>
            </w:r>
            <w:r>
              <w:rPr>
                <w:b/>
              </w:rPr>
              <w:t>Charter Percentage</w:t>
            </w:r>
            <w:r>
              <w:rPr/>
              <w:t xml:space="preserve">” as of any day is the fraction, expressed as a percentage, (A) the numerator of which is the number of Shares that Dealer “Beneficially Owns” and “Constructively Owns” (within the meaning of the Charter) and (B) the denominator of which is the aggregate number of the outstanding Shares on such day. Dealer shall provide Counterparty with written notice of any transfer or assignment on the date of or as promptly as practicable after the date of such transfer or assignment.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Staggered Settlement</w:t>
            </w:r>
            <w:r>
              <w:rPr>
                <w:rFonts w:ascii="Times New Roman" w:hAnsi="Times New Roman"/>
                <w:sz w:val="20"/>
              </w:rPr>
              <w:t>. If upon advice of counsel with respect to applicable legal and regulatory requirements, including any requirements relating to Dealer’s commercially reasonable hedging activities hereunder, Dealer reasonably determines, based on the advice of counsel,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hAnsi="Times New Roman"/>
                <w:b/>
                <w:sz w:val="20"/>
              </w:rPr>
              <w:t>Nominal Settlement Date</w:t>
            </w:r>
            <w:r>
              <w:rPr>
                <w:rFonts w:ascii="Times New Roman" w:hAnsi="Times New Roman"/>
                <w:sz w:val="20"/>
              </w:rPr>
              <w:t>”), elect to deliver the Shares on two or more dates (each, a “</w:t>
            </w:r>
            <w:r>
              <w:rPr>
                <w:rFonts w:ascii="Times New Roman" w:hAnsi="Times New Roman"/>
                <w:b/>
                <w:sz w:val="20"/>
              </w:rPr>
              <w:t>Staggered Settlement Date</w:t>
            </w:r>
            <w:r>
              <w:rPr>
                <w:rFonts w:ascii="Times New Roman" w:hAnsi="Times New Roman"/>
                <w:sz w:val="20"/>
              </w:rPr>
              <w:t xml:space="preserv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that Dealer will deliver to Counterparty hereunder on all such Staggered Settlement Dates will equal the number of Shares that Dealer would otherwise be required to deliver on such Nominal Settlement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Dividends</w:t>
            </w:r>
            <w:r>
              <w:rPr>
                <w:rFonts w:ascii="Times New Roman" w:hAnsi="Times New Roman"/>
                <w:sz w:val="20"/>
              </w:rPr>
              <w:t>. If at any time during the period from and including the Trade Date, to but excluding the Expiration Date, (i) an ex-dividend date for a regular quarterly cash dividend occurs with respect to the Shares (an “</w:t>
            </w:r>
            <w:r>
              <w:rPr>
                <w:rFonts w:ascii="Times New Roman" w:hAnsi="Times New Roman"/>
                <w:b/>
                <w:sz w:val="20"/>
              </w:rPr>
              <w:t>Ex-Dividend Date</w:t>
            </w:r>
            <w:r>
              <w:rPr>
                <w:rFonts w:ascii="Times New Roman" w:hAnsi="Times New Roman"/>
                <w:sz w:val="20"/>
              </w:rPr>
              <w:t>”), and that dividend is less than the Regular Dividend on a per Share basis or (ii) if no Ex-Dividend Date for a regular quarterly cash dividend occurs with respect to the Shares in any quarterly dividend period of Parent, then the Calculation Agent will adjust the Cap Price to preserve the fair value of the Options to Dealer after taking into account such dividend or lack thereof. “</w:t>
            </w:r>
            <w:r>
              <w:rPr>
                <w:rFonts w:ascii="Times New Roman" w:hAnsi="Times New Roman"/>
                <w:b/>
                <w:sz w:val="20"/>
              </w:rPr>
              <w:t>Regular Dividend</w:t>
            </w:r>
            <w:r>
              <w:rPr>
                <w:rFonts w:ascii="Times New Roman" w:hAnsi="Times New Roman"/>
                <w:sz w:val="20"/>
              </w:rPr>
              <w:t xml:space="preserve">” shall mean USD 1.16 per Share per quarter. Upon any adjustment to the Initial Dividend Threshold (as defined in the Indenture) for the Exchangeable Notes pursuant to the Indenture, the Calculation Agent will make a corresponding adjustment to the Regular Dividend for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t>
            </w:r>
            <w:r>
              <w:rPr>
                <w:rFonts w:ascii="Times New Roman" w:hAnsi="Times New Roman"/>
                <w:i/>
                <w:sz w:val="20"/>
                <w:u w:val="single"/>
              </w:rPr>
              <w:t>Conduct Rules</w:t>
            </w:r>
            <w:r>
              <w:rPr>
                <w:rFonts w:ascii="Times New Roman" w:hAnsi="Times New Roman"/>
                <w:sz w:val="20"/>
              </w:rPr>
              <w:t>. Each party acknowledges and agrees to be bound by the Conduct Rules of the Financial Industry Regulatory Authority applicable to transactions in options, and further agrees not to violate the position and exercise limits set forth therein.]23[</w:t>
            </w:r>
            <w:r>
              <w:rPr>
                <w:rFonts w:ascii="Times New Roman" w:hAnsi="Times New Roman"/>
                <w:i/>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Additional Termination Events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this Confirmation, upon any Early Exchange in respect of which a Notice of Exchange that is effective as to Counterparty has been delivered by the relevant exchanging “Holder” (as such term is defined in the Indenture):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for applicable Dealers.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Counterparty shall, within five Scheduled Trading Days of the Exchange Date for such Early Exchange, provide written notice (an “</w:t>
            </w:r>
            <w:r>
              <w:rPr>
                <w:rFonts w:ascii="Times New Roman" w:hAnsi="Times New Roman"/>
                <w:b/>
                <w:sz w:val="20"/>
              </w:rPr>
              <w:t>Early Exchange Notice</w:t>
            </w:r>
            <w:r>
              <w:rPr>
                <w:rFonts w:ascii="Times New Roman" w:hAnsi="Times New Roman"/>
                <w:sz w:val="20"/>
              </w:rPr>
              <w:t>”) to Dealer specifying the number of Exchangeable Notes surrendered for exchange on such Exchange Date (such Exchangeable Notes, the “</w:t>
            </w:r>
            <w:r>
              <w:rPr>
                <w:rFonts w:ascii="Times New Roman" w:hAnsi="Times New Roman"/>
                <w:b/>
                <w:sz w:val="20"/>
              </w:rPr>
              <w:t>Affected Exchangeable Notes</w:t>
            </w:r>
            <w:r>
              <w:rPr>
                <w:rFonts w:ascii="Times New Roman" w:hAnsi="Times New Roman"/>
                <w:sz w:val="20"/>
              </w:rPr>
              <w:t xml:space="preserve">”), and the giving of such Early Exchange Notice shall constitute an Additional Termination Event as provided in this clause (i)[; </w:t>
            </w:r>
            <w:r>
              <w:rPr>
                <w:rFonts w:ascii="Times New Roman" w:hAnsi="Times New Roman"/>
                <w:i/>
                <w:sz w:val="20"/>
              </w:rPr>
              <w:t xml:space="preserve">provided </w:t>
            </w:r>
            <w:r>
              <w:rPr>
                <w:rFonts w:ascii="Times New Roman" w:hAnsi="Times New Roman"/>
                <w:sz w:val="20"/>
              </w:rPr>
              <w:t xml:space="preserve">that any “Early Exchange Notice” delivered to Dealer pursuant to the Base Call Option Confirmation shall be deemed to be an Early Exchange Notice pursuant to this Confirmation and the terms of such Early Exchange Notice shall apply, </w:t>
            </w:r>
            <w:r>
              <w:rPr>
                <w:rFonts w:ascii="Times New Roman" w:hAnsi="Times New Roman"/>
                <w:i/>
                <w:sz w:val="20"/>
              </w:rPr>
              <w:t>mutatis mutandis</w:t>
            </w:r>
            <w:r>
              <w:rPr>
                <w:rFonts w:ascii="Times New Roman" w:hAnsi="Times New Roman"/>
                <w:sz w:val="20"/>
              </w:rPr>
              <w:t xml:space="preserve">, to this Confirmation]24;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upon receipt of any such Early Exchange Notice, Dealer shall designate an Exchange Business Day as an Early Termination Date (which Exchange Business Day shall be on or as promptly as reasonably practicable after the related settlement date for the exchange of such Affected Exchangeable Notes) with respect to the portion of the Transaction corresponding to a number of Options (the “</w:t>
            </w:r>
            <w:r>
              <w:rPr>
                <w:rFonts w:ascii="Times New Roman" w:hAnsi="Times New Roman"/>
                <w:b/>
                <w:sz w:val="20"/>
              </w:rPr>
              <w:t>Affected Number of Options</w:t>
            </w:r>
            <w:r>
              <w:rPr>
                <w:rFonts w:ascii="Times New Roman" w:hAnsi="Times New Roman"/>
                <w:sz w:val="20"/>
              </w:rPr>
              <w:t>”) equal to the lesser of (x) the number of Affected Exchangeable Notes [</w:t>
            </w:r>
            <w:r>
              <w:rPr>
                <w:rFonts w:ascii="Times New Roman" w:hAnsi="Times New Roman"/>
                <w:i/>
                <w:sz w:val="20"/>
              </w:rPr>
              <w:t xml:space="preserve">minus </w:t>
            </w:r>
            <w:r>
              <w:rPr>
                <w:rFonts w:ascii="Times New Roman" w:hAnsi="Times New Roman"/>
                <w:sz w:val="20"/>
              </w:rPr>
              <w:t xml:space="preserve">the “Affected Number of Options” (as defined in the Base Call Option Confirmation), if any, that relate to such Affected Exchangeable Notes (and for the purposes of determining whether any Options under this Confirmation or under the Base Call Option Confirmation will be among the Affected Number of Options hereunder or under, and as defined in, the Base Call Option Confirmation, the Affected Exchangeable Notes specified in such Early Exchange Notice shall be allocated first to the Base Call Option Confirmation until all Options thereunder are exercised or terminated)]25 and (y) the Number of Options as of the Exchange Date for such Early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hAnsi="Times New Roman"/>
                <w:i/>
                <w:sz w:val="20"/>
              </w:rPr>
              <w:t>provided</w:t>
            </w:r>
            <w:r>
              <w:rPr>
                <w:rFonts w:ascii="Times New Roman" w:hAnsi="Times New Roman"/>
                <w:sz w:val="20"/>
              </w:rPr>
              <w:t xml:space="preserve"> that the amount payable with respect to such termination shall not be greater than (1) the Applicable Percentage, </w:t>
            </w:r>
            <w:r>
              <w:rPr>
                <w:rFonts w:ascii="Times New Roman" w:hAnsi="Times New Roman"/>
                <w:i/>
                <w:sz w:val="20"/>
              </w:rPr>
              <w:t>multiplied by</w:t>
            </w:r>
            <w:r>
              <w:rPr>
                <w:rFonts w:ascii="Times New Roman" w:hAnsi="Times New Roman"/>
                <w:sz w:val="20"/>
              </w:rPr>
              <w:t xml:space="preserve"> (2) the Affected Number of Options, </w:t>
            </w:r>
            <w:r>
              <w:rPr>
                <w:rFonts w:ascii="Times New Roman" w:hAnsi="Times New Roman"/>
                <w:i/>
                <w:sz w:val="20"/>
              </w:rPr>
              <w:t xml:space="preserve">multiplied by </w:t>
            </w:r>
            <w:r>
              <w:rPr>
                <w:rFonts w:ascii="Times New Roman" w:hAnsi="Times New Roman"/>
                <w:sz w:val="20"/>
              </w:rPr>
              <w:t xml:space="preserve">(3) (x) the sum of (i) the amount of cash paid to the “Holder” (as such term is defined in the Indenture) of an Affected Exchangeable Note upon exchange of such Affected Exchangeable Note and (ii) the number of Shares delivered (if any) to the “Holder” (as such term is defined in the Indenture) of an Affected Exchangeable Note upon exchange of such Affected Exchangeable Note, </w:t>
            </w:r>
            <w:r>
              <w:rPr>
                <w:rFonts w:ascii="Times New Roman" w:hAnsi="Times New Roman"/>
                <w:i/>
                <w:sz w:val="20"/>
              </w:rPr>
              <w:t>multiplied by</w:t>
            </w:r>
            <w:r>
              <w:rPr>
                <w:rFonts w:ascii="Times New Roman" w:hAnsi="Times New Roman"/>
                <w:sz w:val="20"/>
              </w:rPr>
              <w:t xml:space="preserve"> the Applicable Limit Price on the relevant date of payment, </w:t>
            </w:r>
            <w:r>
              <w:rPr>
                <w:rFonts w:ascii="Times New Roman" w:hAnsi="Times New Roman"/>
                <w:i/>
                <w:sz w:val="20"/>
              </w:rPr>
              <w:t>minus</w:t>
            </w:r>
            <w:r>
              <w:rPr>
                <w:rFonts w:ascii="Times New Roman" w:hAnsi="Times New Roman"/>
                <w:sz w:val="20"/>
              </w:rPr>
              <w:t xml:space="preserve"> (y) the Synthetic Instrument Adjusted Issue Price per Exchangeable Note, as determined by the Calculation Agent in good faith and in a commercially reasonable manner. “</w:t>
            </w:r>
            <w:r>
              <w:rPr>
                <w:rFonts w:ascii="Times New Roman" w:hAnsi="Times New Roman"/>
                <w:b/>
                <w:sz w:val="20"/>
              </w:rPr>
              <w:t>Synthetic Instrument Adjusted Issue Price per Exchangeable Note</w:t>
            </w:r>
            <w:r>
              <w:rPr>
                <w:rFonts w:ascii="Times New Roman" w:hAnsi="Times New Roman"/>
                <w:sz w:val="20"/>
              </w:rPr>
              <w:t>” shall mean the amount determined by the Calculation Agent utilizing the numbers in the table set forth below based on the date of payment of the amount due with respect to the relevant Affected Number of Options (the “</w:t>
            </w:r>
            <w:r>
              <w:rPr>
                <w:rFonts w:ascii="Times New Roman" w:hAnsi="Times New Roman"/>
                <w:b/>
                <w:sz w:val="20"/>
              </w:rPr>
              <w:t>Affected Unwind Date</w:t>
            </w:r>
            <w:r>
              <w:rPr>
                <w:rFonts w:ascii="Times New Roman" w:hAnsi="Times New Roman"/>
                <w:sz w:val="20"/>
              </w:rPr>
              <w:t xml:space="preserve">”). If the Affected Unwind Date is not listed below, the amount in the preceding sentence shall be determined by the Calculation Agent by reference to the table below using a linear interpolation between the lower and higher Synthetic Instrument Adjusted Issue Prices per Exchangeable Note for the dates immediately preceding and immediately following the Affected Unwind Date. For the avoidance of doubt, any payment pursuant to this paragraph shall be subject to Section 9(l) of this Confirmation.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Additional Call Option Confirmation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2701"/>
        <w:gridCol w:w="685"/>
        <w:gridCol w:w="3553"/>
      </w:tblGrid>
      <w:tr>
        <w:trPr/>
        <w:tc>
          <w:tcPr>
            <w:tcW w:w="2701"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Affected Unwind Date</w:t>
            </w:r>
          </w:p>
        </w:tc>
        <w:tc>
          <w:tcPr>
            <w:tcW w:w="685" w:type="dxa"/>
            <w:tcBorders/>
            <w:vAlign w:val="bottom"/>
          </w:tcPr>
          <w:p>
            <w:pPr>
              <w:pStyle w:val="TableContents"/>
              <w:bidi w:val="0"/>
              <w:spacing w:before="0" w:after="283"/>
              <w:jc w:val="left"/>
              <w:rPr/>
            </w:pPr>
            <w:r>
              <w:rPr/>
              <w:t>  </w:t>
            </w:r>
          </w:p>
        </w:tc>
        <w:tc>
          <w:tcPr>
            <w:tcW w:w="3553" w:type="dxa"/>
            <w:tcBorders>
              <w:bottom w:val="single" w:sz="8" w:space="0" w:color="000000"/>
            </w:tcBorders>
            <w:tcMar>
              <w:bottom w:w="28" w:type="dxa"/>
            </w:tcMar>
            <w:vAlign w:val="bottom"/>
          </w:tcPr>
          <w:p>
            <w:pPr>
              <w:pStyle w:val="TableContents"/>
              <w:bidi w:val="0"/>
              <w:spacing w:before="0" w:after="283"/>
              <w:jc w:val="center"/>
              <w:rPr>
                <w:b/>
              </w:rPr>
            </w:pPr>
            <w:r>
              <w:rPr>
                <w:b/>
              </w:rPr>
              <w:t>Synthetic Instrument Adjusted</w:t>
              <w:br/>
              <w:t>Issue Price per Exchangeable Note</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2027</w:t>
            </w:r>
          </w:p>
        </w:tc>
        <w:tc>
          <w:tcPr>
            <w:tcW w:w="685" w:type="dxa"/>
            <w:tcBorders/>
            <w:vAlign w:val="bottom"/>
          </w:tcPr>
          <w:p>
            <w:pPr>
              <w:pStyle w:val="TableContents"/>
              <w:bidi w:val="0"/>
              <w:spacing w:before="0" w:after="283"/>
              <w:jc w:val="left"/>
              <w:rPr/>
            </w:pPr>
            <w:r>
              <w:rPr/>
              <w:t>  </w:t>
            </w:r>
          </w:p>
        </w:tc>
        <w:tc>
          <w:tcPr>
            <w:tcW w:w="3553" w:type="dxa"/>
            <w:tcBorders/>
            <w:vAlign w:val="bottom"/>
          </w:tcPr>
          <w:p>
            <w:pPr>
              <w:pStyle w:val="TableContents"/>
              <w:bidi w:val="0"/>
              <w:spacing w:before="0" w:after="283"/>
              <w:jc w:val="center"/>
              <w:rPr/>
            </w:pPr>
            <w:r>
              <w:rPr/>
              <w:t>USD [_______]</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2028</w:t>
            </w:r>
          </w:p>
        </w:tc>
        <w:tc>
          <w:tcPr>
            <w:tcW w:w="685" w:type="dxa"/>
            <w:tcBorders/>
            <w:vAlign w:val="bottom"/>
          </w:tcPr>
          <w:p>
            <w:pPr>
              <w:pStyle w:val="TableContents"/>
              <w:bidi w:val="0"/>
              <w:spacing w:before="0" w:after="283"/>
              <w:jc w:val="left"/>
              <w:rPr/>
            </w:pPr>
            <w:r>
              <w:rPr/>
              <w:t>  </w:t>
            </w:r>
          </w:p>
        </w:tc>
        <w:tc>
          <w:tcPr>
            <w:tcW w:w="3553" w:type="dxa"/>
            <w:tcBorders/>
            <w:vAlign w:val="bottom"/>
          </w:tcPr>
          <w:p>
            <w:pPr>
              <w:pStyle w:val="TableContents"/>
              <w:bidi w:val="0"/>
              <w:spacing w:before="0" w:after="283"/>
              <w:jc w:val="center"/>
              <w:rPr/>
            </w:pPr>
            <w:r>
              <w:rPr/>
              <w:t>USD [_______]</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2029</w:t>
            </w:r>
          </w:p>
        </w:tc>
        <w:tc>
          <w:tcPr>
            <w:tcW w:w="685" w:type="dxa"/>
            <w:tcBorders/>
            <w:vAlign w:val="bottom"/>
          </w:tcPr>
          <w:p>
            <w:pPr>
              <w:pStyle w:val="TableContents"/>
              <w:bidi w:val="0"/>
              <w:spacing w:before="0" w:after="283"/>
              <w:jc w:val="left"/>
              <w:rPr/>
            </w:pPr>
            <w:r>
              <w:rPr/>
              <w:t>  </w:t>
            </w:r>
          </w:p>
        </w:tc>
        <w:tc>
          <w:tcPr>
            <w:tcW w:w="3553" w:type="dxa"/>
            <w:tcBorders/>
            <w:vAlign w:val="bottom"/>
          </w:tcPr>
          <w:p>
            <w:pPr>
              <w:pStyle w:val="TableContents"/>
              <w:bidi w:val="0"/>
              <w:spacing w:before="0" w:after="283"/>
              <w:jc w:val="center"/>
              <w:rPr/>
            </w:pPr>
            <w:r>
              <w:rPr/>
              <w:t>USD [_______]</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2030</w:t>
            </w:r>
          </w:p>
        </w:tc>
        <w:tc>
          <w:tcPr>
            <w:tcW w:w="685" w:type="dxa"/>
            <w:tcBorders/>
            <w:vAlign w:val="bottom"/>
          </w:tcPr>
          <w:p>
            <w:pPr>
              <w:pStyle w:val="TableContents"/>
              <w:bidi w:val="0"/>
              <w:spacing w:before="0" w:after="283"/>
              <w:jc w:val="left"/>
              <w:rPr/>
            </w:pPr>
            <w:r>
              <w:rPr/>
              <w:t>  </w:t>
            </w:r>
          </w:p>
        </w:tc>
        <w:tc>
          <w:tcPr>
            <w:tcW w:w="3553" w:type="dxa"/>
            <w:tcBorders/>
            <w:vAlign w:val="bottom"/>
          </w:tcPr>
          <w:p>
            <w:pPr>
              <w:pStyle w:val="TableContents"/>
              <w:bidi w:val="0"/>
              <w:spacing w:before="0" w:after="283"/>
              <w:jc w:val="center"/>
              <w:rPr/>
            </w:pPr>
            <w:r>
              <w:rPr/>
              <w:t>USD [_______]</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2031</w:t>
            </w:r>
          </w:p>
        </w:tc>
        <w:tc>
          <w:tcPr>
            <w:tcW w:w="685" w:type="dxa"/>
            <w:tcBorders/>
            <w:vAlign w:val="bottom"/>
          </w:tcPr>
          <w:p>
            <w:pPr>
              <w:pStyle w:val="TableContents"/>
              <w:bidi w:val="0"/>
              <w:spacing w:before="0" w:after="283"/>
              <w:jc w:val="left"/>
              <w:rPr/>
            </w:pPr>
            <w:r>
              <w:rPr/>
              <w:t>  </w:t>
            </w:r>
          </w:p>
        </w:tc>
        <w:tc>
          <w:tcPr>
            <w:tcW w:w="3553" w:type="dxa"/>
            <w:tcBorders/>
            <w:vAlign w:val="bottom"/>
          </w:tcPr>
          <w:p>
            <w:pPr>
              <w:pStyle w:val="TableContents"/>
              <w:bidi w:val="0"/>
              <w:spacing w:before="0" w:after="283"/>
              <w:jc w:val="center"/>
              <w:rPr/>
            </w:pPr>
            <w:r>
              <w:rPr/>
              <w:t>USD [_______]</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685" w:type="dxa"/>
            <w:tcBorders/>
            <w:shd w:fill="CCEEFF" w:val="clear"/>
            <w:vAlign w:val="bottom"/>
          </w:tcPr>
          <w:p>
            <w:pPr>
              <w:pStyle w:val="TableContents"/>
              <w:bidi w:val="0"/>
              <w:spacing w:before="0" w:after="283"/>
              <w:jc w:val="left"/>
              <w:rPr/>
            </w:pPr>
            <w:r>
              <w:rPr/>
              <w:t>  </w:t>
            </w:r>
          </w:p>
        </w:tc>
        <w:tc>
          <w:tcPr>
            <w:tcW w:w="3553" w:type="dxa"/>
            <w:tcBorders/>
            <w:shd w:fill="CCEEFF" w:val="clear"/>
            <w:vAlign w:val="bottom"/>
          </w:tcPr>
          <w:p>
            <w:pPr>
              <w:pStyle w:val="TableContents"/>
              <w:bidi w:val="0"/>
              <w:spacing w:before="0" w:after="283"/>
              <w:jc w:val="center"/>
              <w:rPr/>
            </w:pPr>
            <w:r>
              <w:rPr/>
              <w:t>USD [_______]</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in determining the amount payable in respect of such Affected Transaction pursuant to Section 6 of the Agreement, the Calculation Agent shall assume that (x) the relevant Early Exchange and any exchanges, adjustments, agreements, payments, deliveries or acquisitions by or on behalf of Counterparty or Parent leading thereto had not occurred, (y) no adjustments to the “Exchange Rate” (as such term is defined in the Indenture) have occurred pursuant to any Excluded Provision and (z) the corresponding Exchangeable Notes remain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shall remain in full force and effect, except that, as of the Exchange Date for such Early Exchange, the Number of Options shall be reduced by the Affected Number of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this Confirmation, if an event of default with respect to Counterparty or Parent occurs under the terms of the Exchangeable Notes as set forth in Section 6.01 of the Indenture and the Exchangeable Notes are declared due and payable as a result thereof,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Times New Roman" w:hAnsi="Times New Roman"/>
                <w:b/>
                <w:sz w:val="20"/>
              </w:rPr>
              <w:t>Amendment Event</w:t>
            </w:r>
            <w:r>
              <w:rPr>
                <w:rFonts w:ascii="Times New Roman" w:hAnsi="Times New Roman"/>
                <w:sz w:val="20"/>
              </w:rPr>
              <w:t xml:space="preserve">” means that Counterparty and/or Parent amends, modifies, supplements, waives or obtains a waiver in respect of any term of the Indenture or the Exchangeable Notes governing the principal amount, coupon, maturity, repurchase obligation of Counterparty, redemption right of Counterparty, any term relating to exchange of the Exchangeable Notes (including changes to the exchange rate, exchange rate adjustment provisions, exchange settlement dates or exchange conditions), or any term that would require consent of the holders of not less than 100% of the principal amount of the Exchangeable Notes to amend (other than, in each case, any amendment or supplement (x) pursuant to Section 10.01(a) of the Indenture that, as determined by the Calculation Agent, conforms the Indenture to the description of Exchangeable Notes in the Offering Memorandum or (y) pursuant to Section 14.07 of the Indenture), in each case, without the consent of Dealer.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Scheduled Trading Days following any Repayment Event (as defined below), Counterparty (i) shall (solely to the extent that such Repayment Event results directly from a “Fundamental Change” (as such term is defined in the Indenture) or any redemption of Exchangeable Notes pursuant to Article 16 of the Indenture), and (ii) otherwise may, but shall not be obligated to, notify Dealer of such Repayment Event and the aggregate principal amount of Exchangeable Notes subject to such Repayment Event (any such notice, a “</w:t>
            </w:r>
            <w:r>
              <w:rPr>
                <w:rFonts w:ascii="Times New Roman" w:hAnsi="Times New Roman"/>
                <w:b/>
                <w:sz w:val="20"/>
              </w:rPr>
              <w:t>Repayment Notice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(ii) only, such Repayment Notice shall contain the representation and warranty by each of Counterparty and Parent that each such person is not, on the date thereof, aware of any material non-public information with respect to Counterparty, Parent or the Shares[; </w:t>
            </w:r>
            <w:r>
              <w:rPr>
                <w:rFonts w:ascii="Times New Roman" w:hAnsi="Times New Roman"/>
                <w:i/>
                <w:sz w:val="20"/>
              </w:rPr>
              <w:t>provided, further</w:t>
            </w:r>
            <w:r>
              <w:rPr>
                <w:rFonts w:ascii="Times New Roman" w:hAnsi="Times New Roman"/>
                <w:sz w:val="20"/>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hAnsi="Times New Roman"/>
                <w:i/>
                <w:sz w:val="20"/>
              </w:rPr>
              <w:t>mutatis mutandis</w:t>
            </w:r>
            <w:r>
              <w:rPr>
                <w:rFonts w:ascii="Times New Roman" w:hAnsi="Times New Roman"/>
                <w:sz w:val="20"/>
              </w:rPr>
              <w:t>, to this Confirmation]26. The receipt by Dealer from Counterparty of any Repayment Notice, within the applicable time period set forth in the preceding sentence, 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in no event shall be earlier than the date on which the relevant Repayment Event occurs or is consummated) as an Early Termination Date with respect to the portion of the Transaction corresponding to a number of Options (the “</w:t>
            </w:r>
            <w:r>
              <w:rPr>
                <w:rFonts w:ascii="Times New Roman" w:hAnsi="Times New Roman"/>
                <w:b/>
                <w:sz w:val="20"/>
              </w:rPr>
              <w:t>Repayment Options</w:t>
            </w:r>
            <w:r>
              <w:rPr>
                <w:rFonts w:ascii="Times New Roman" w:hAnsi="Times New Roman"/>
                <w:sz w:val="20"/>
              </w:rPr>
              <w:t xml:space="preserve">”) equal to the lesser of (A) [(x)] the aggregate principal amount of such Exchangeable Notes specified in such Repayment Notice, </w:t>
            </w:r>
            <w:r>
              <w:rPr>
                <w:rFonts w:ascii="Times New Roman" w:hAnsi="Times New Roman"/>
                <w:i/>
                <w:sz w:val="20"/>
              </w:rPr>
              <w:t>divided by</w:t>
            </w:r>
            <w:r>
              <w:rPr>
                <w:rFonts w:ascii="Times New Roman" w:hAnsi="Times New Roman"/>
                <w:sz w:val="20"/>
              </w:rPr>
              <w:t xml:space="preserve"> USD 1,000, [</w:t>
            </w:r>
            <w:r>
              <w:rPr>
                <w:rFonts w:ascii="Times New Roman" w:hAnsi="Times New Roman"/>
                <w:i/>
                <w:sz w:val="20"/>
              </w:rPr>
              <w:t>minus</w:t>
            </w:r>
            <w:r>
              <w:rPr>
                <w:rFonts w:ascii="Times New Roman" w:hAnsi="Times New Roman"/>
                <w:sz w:val="20"/>
              </w:rPr>
              <w:t xml:space="preserve"> (y) the number of “Repayment Options” (as defined in the Base Call Option Confirmation), if any, that relate to such Exchangeable Notes (and for the purposes of determining whether any Options under this Confirmation or under the Base Call Option Confirmation will be among the Repayment Options hereunder or under, and as defined in, the Base Call Option Confirmation, the Exchangeable Notes specified in such Repayment Notice shall be allocated first to the Base Call Option Confirmation until all Options thereunder are exercised or terminated)]27,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hAnsi="Times New Roman"/>
                <w:b/>
                <w:sz w:val="20"/>
              </w:rPr>
              <w:t>Repayment Unwind Payment</w:t>
            </w:r>
            <w:r>
              <w:rPr>
                <w:rFonts w:ascii="Times New Roman" w:hAnsi="Times New Roman"/>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was the sole Affected Transaction, </w:t>
            </w:r>
            <w:r>
              <w:rPr>
                <w:rFonts w:ascii="Times New Roman" w:hAnsi="Times New Roman"/>
                <w:i/>
                <w:sz w:val="20"/>
              </w:rPr>
              <w:t>provided</w:t>
            </w:r>
            <w:r>
              <w:rPr>
                <w:rFonts w:ascii="Times New Roman" w:hAnsi="Times New Roman"/>
                <w:sz w:val="20"/>
              </w:rPr>
              <w:t xml:space="preserve"> that, in the event of a Repayment Event resulting from a “Fundamental Change” (as such term is defined in the Indenture) or any redemption of Exchangeable Notes pursuant to Article 16 of the Indenture, the Repayment Unwind Payment shall not be greater than (x) the number of Repayment Options </w:t>
            </w:r>
            <w:r>
              <w:rPr>
                <w:rFonts w:ascii="Times New Roman" w:hAnsi="Times New Roman"/>
                <w:i/>
                <w:sz w:val="20"/>
              </w:rPr>
              <w:t>multiplied by</w:t>
            </w:r>
            <w:r>
              <w:rPr>
                <w:rFonts w:ascii="Times New Roman" w:hAnsi="Times New Roman"/>
                <w:sz w:val="20"/>
              </w:rPr>
              <w:t xml:space="preserve"> (y) the product of (A) the Applicable Percentage and (B) (x) the amount paid by Counterparty per Exchangeable Note in connection with the relevant Repayment Event pursuant to the relevant sections of the Indenture </w:t>
            </w:r>
            <w:r>
              <w:rPr>
                <w:rFonts w:ascii="Times New Roman" w:hAnsi="Times New Roman"/>
                <w:i/>
                <w:sz w:val="20"/>
              </w:rPr>
              <w:t>minus</w:t>
            </w:r>
            <w:r>
              <w:rPr>
                <w:rFonts w:ascii="Times New Roman" w:hAnsi="Times New Roman"/>
                <w:sz w:val="20"/>
              </w:rPr>
              <w:t xml:space="preserve"> (y) the Repayment Synthetic Instrument Adjusted Issue Price per Exchangeable Note, as determined by the Calculation Agent in good faith and in a commercially reasonable manner. “</w:t>
            </w:r>
            <w:r>
              <w:rPr>
                <w:rFonts w:ascii="Times New Roman" w:hAnsi="Times New Roman"/>
                <w:b/>
                <w:sz w:val="20"/>
              </w:rPr>
              <w:t>Repayment Synthetic Instrument Adjusted Issue Price per Exchangeable Note</w:t>
            </w:r>
            <w:r>
              <w:rPr>
                <w:rFonts w:ascii="Times New Roman" w:hAnsi="Times New Roman"/>
                <w:sz w:val="20"/>
              </w:rPr>
              <w:t>” shall mean the amount determined by the Calculation Agent utilizing the numbers in the table set forth below based on the date of payment of the amount due with respect to the relevant Repayment Options (the “</w:t>
            </w:r>
            <w:r>
              <w:rPr>
                <w:rFonts w:ascii="Times New Roman" w:hAnsi="Times New Roman"/>
                <w:b/>
                <w:sz w:val="20"/>
              </w:rPr>
              <w:t>Repayment Unwind Date</w:t>
            </w:r>
            <w:r>
              <w:rPr>
                <w:rFonts w:ascii="Times New Roman" w:hAnsi="Times New Roman"/>
                <w:sz w:val="20"/>
              </w:rPr>
              <w:t xml:space="preserve">”). If the Repayment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Unwind Date is not listed below, the amount in the preceding sentence shall be determined by the Calculation Agent by reference to the table below using a linear interpolation between the lower and higher Repayment Synthetic Instrument Adjusted Issue Prices per Exchangeable Note for the dates immediately preceding and immediately following the Repayment Unwind Date. For the avoidance of doubt, any payment pursuant to this paragraph shall be subject to Section 9(l) of this Confirmation. </w:t>
            </w:r>
          </w:p>
        </w:tc>
      </w:tr>
    </w:tbl>
    <w:p>
      <w:pPr>
        <w:pStyle w:val="TextBody"/>
        <w:bidi w:val="0"/>
        <w:spacing w:before="0" w:after="0"/>
        <w:jc w:val="left"/>
        <w:rPr/>
      </w:pPr>
      <w:r>
        <w:rPr/>
        <w:t> </w:t>
      </w:r>
    </w:p>
    <w:tbl>
      <w:tblPr>
        <w:tblW w:w="7000" w:type="dxa"/>
        <w:jc w:val="center"/>
        <w:tblInd w:w="0" w:type="dxa"/>
        <w:tblLayout w:type="fixed"/>
        <w:tblCellMar>
          <w:top w:w="0" w:type="dxa"/>
          <w:left w:w="0" w:type="dxa"/>
          <w:bottom w:w="0" w:type="dxa"/>
          <w:right w:w="0" w:type="dxa"/>
        </w:tblCellMar>
      </w:tblPr>
      <w:tblGrid>
        <w:gridCol w:w="2495"/>
        <w:gridCol w:w="120"/>
        <w:gridCol w:w="438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8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Repayment Affected Unwind Date</w:t>
            </w:r>
          </w:p>
        </w:tc>
        <w:tc>
          <w:tcPr>
            <w:tcW w:w="120" w:type="dxa"/>
            <w:tcBorders/>
            <w:vAlign w:val="bottom"/>
          </w:tcPr>
          <w:p>
            <w:pPr>
              <w:pStyle w:val="TableContents"/>
              <w:bidi w:val="0"/>
              <w:spacing w:before="0" w:after="283"/>
              <w:jc w:val="left"/>
              <w:rPr/>
            </w:pPr>
            <w:r>
              <w:rPr/>
              <w:t>  </w:t>
            </w:r>
          </w:p>
        </w:tc>
        <w:tc>
          <w:tcPr>
            <w:tcW w:w="4385" w:type="dxa"/>
            <w:tcBorders>
              <w:bottom w:val="single" w:sz="8" w:space="0" w:color="000000"/>
            </w:tcBorders>
            <w:tcMar>
              <w:bottom w:w="28" w:type="dxa"/>
            </w:tcMar>
            <w:vAlign w:val="bottom"/>
          </w:tcPr>
          <w:p>
            <w:pPr>
              <w:pStyle w:val="TableContents"/>
              <w:bidi w:val="0"/>
              <w:spacing w:before="0" w:after="283"/>
              <w:jc w:val="center"/>
              <w:rPr>
                <w:b/>
              </w:rPr>
            </w:pPr>
            <w:r>
              <w:rPr>
                <w:b/>
              </w:rPr>
              <w:t>Repayment Synthetic Instrument Adjusted</w:t>
              <w:br/>
              <w:t>Issue Price per Exchangeable Note</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r>
        <w:trPr/>
        <w:tc>
          <w:tcPr>
            <w:tcW w:w="2495"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2027</w:t>
            </w:r>
          </w:p>
        </w:tc>
        <w:tc>
          <w:tcPr>
            <w:tcW w:w="120" w:type="dxa"/>
            <w:tcBorders/>
            <w:vAlign w:val="bottom"/>
          </w:tcPr>
          <w:p>
            <w:pPr>
              <w:pStyle w:val="TableContents"/>
              <w:bidi w:val="0"/>
              <w:spacing w:before="0" w:after="283"/>
              <w:jc w:val="left"/>
              <w:rPr/>
            </w:pPr>
            <w:r>
              <w:rPr/>
              <w:t>  </w:t>
            </w:r>
          </w:p>
        </w:tc>
        <w:tc>
          <w:tcPr>
            <w:tcW w:w="4385" w:type="dxa"/>
            <w:tcBorders/>
            <w:vAlign w:val="bottom"/>
          </w:tcPr>
          <w:p>
            <w:pPr>
              <w:pStyle w:val="TableContents"/>
              <w:bidi w:val="0"/>
              <w:spacing w:before="0" w:after="283"/>
              <w:jc w:val="center"/>
              <w:rPr/>
            </w:pPr>
            <w:r>
              <w:rPr/>
              <w:t>USD [_______]</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r>
        <w:trPr/>
        <w:tc>
          <w:tcPr>
            <w:tcW w:w="2495"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2028</w:t>
            </w:r>
          </w:p>
        </w:tc>
        <w:tc>
          <w:tcPr>
            <w:tcW w:w="120" w:type="dxa"/>
            <w:tcBorders/>
            <w:vAlign w:val="bottom"/>
          </w:tcPr>
          <w:p>
            <w:pPr>
              <w:pStyle w:val="TableContents"/>
              <w:bidi w:val="0"/>
              <w:spacing w:before="0" w:after="283"/>
              <w:jc w:val="left"/>
              <w:rPr/>
            </w:pPr>
            <w:r>
              <w:rPr/>
              <w:t>  </w:t>
            </w:r>
          </w:p>
        </w:tc>
        <w:tc>
          <w:tcPr>
            <w:tcW w:w="4385" w:type="dxa"/>
            <w:tcBorders/>
            <w:vAlign w:val="bottom"/>
          </w:tcPr>
          <w:p>
            <w:pPr>
              <w:pStyle w:val="TableContents"/>
              <w:bidi w:val="0"/>
              <w:spacing w:before="0" w:after="283"/>
              <w:jc w:val="center"/>
              <w:rPr/>
            </w:pPr>
            <w:r>
              <w:rPr/>
              <w:t>USD [_______]</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r>
        <w:trPr/>
        <w:tc>
          <w:tcPr>
            <w:tcW w:w="2495"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2029</w:t>
            </w:r>
          </w:p>
        </w:tc>
        <w:tc>
          <w:tcPr>
            <w:tcW w:w="120" w:type="dxa"/>
            <w:tcBorders/>
            <w:vAlign w:val="bottom"/>
          </w:tcPr>
          <w:p>
            <w:pPr>
              <w:pStyle w:val="TableContents"/>
              <w:bidi w:val="0"/>
              <w:spacing w:before="0" w:after="283"/>
              <w:jc w:val="left"/>
              <w:rPr/>
            </w:pPr>
            <w:r>
              <w:rPr/>
              <w:t>  </w:t>
            </w:r>
          </w:p>
        </w:tc>
        <w:tc>
          <w:tcPr>
            <w:tcW w:w="4385" w:type="dxa"/>
            <w:tcBorders/>
            <w:vAlign w:val="bottom"/>
          </w:tcPr>
          <w:p>
            <w:pPr>
              <w:pStyle w:val="TableContents"/>
              <w:bidi w:val="0"/>
              <w:spacing w:before="0" w:after="283"/>
              <w:jc w:val="center"/>
              <w:rPr/>
            </w:pPr>
            <w:r>
              <w:rPr/>
              <w:t>USD [_______]</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r>
        <w:trPr/>
        <w:tc>
          <w:tcPr>
            <w:tcW w:w="2495"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2030</w:t>
            </w:r>
          </w:p>
        </w:tc>
        <w:tc>
          <w:tcPr>
            <w:tcW w:w="120" w:type="dxa"/>
            <w:tcBorders/>
            <w:vAlign w:val="bottom"/>
          </w:tcPr>
          <w:p>
            <w:pPr>
              <w:pStyle w:val="TableContents"/>
              <w:bidi w:val="0"/>
              <w:spacing w:before="0" w:after="283"/>
              <w:jc w:val="left"/>
              <w:rPr/>
            </w:pPr>
            <w:r>
              <w:rPr/>
              <w:t>  </w:t>
            </w:r>
          </w:p>
        </w:tc>
        <w:tc>
          <w:tcPr>
            <w:tcW w:w="4385" w:type="dxa"/>
            <w:tcBorders/>
            <w:vAlign w:val="bottom"/>
          </w:tcPr>
          <w:p>
            <w:pPr>
              <w:pStyle w:val="TableContents"/>
              <w:bidi w:val="0"/>
              <w:spacing w:before="0" w:after="283"/>
              <w:jc w:val="center"/>
              <w:rPr/>
            </w:pPr>
            <w:r>
              <w:rPr/>
              <w:t>USD [_______]</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r>
        <w:trPr/>
        <w:tc>
          <w:tcPr>
            <w:tcW w:w="2495" w:type="dxa"/>
            <w:tcBorders/>
          </w:tcPr>
          <w:p>
            <w:pPr>
              <w:pStyle w:val="TableContents"/>
              <w:bidi w:val="0"/>
              <w:spacing w:before="0" w:after="0"/>
              <w:jc w:val="left"/>
              <w:rPr>
                <w:rFonts w:ascii="Times New Roman" w:hAnsi="Times New Roman"/>
                <w:sz w:val="20"/>
              </w:rPr>
            </w:pPr>
            <w:r>
              <w:rPr>
                <w:rFonts w:ascii="Times New Roman" w:hAnsi="Times New Roman"/>
                <w:sz w:val="20"/>
              </w:rPr>
              <w:t>February 15, 2031</w:t>
            </w:r>
          </w:p>
        </w:tc>
        <w:tc>
          <w:tcPr>
            <w:tcW w:w="120" w:type="dxa"/>
            <w:tcBorders/>
            <w:vAlign w:val="bottom"/>
          </w:tcPr>
          <w:p>
            <w:pPr>
              <w:pStyle w:val="TableContents"/>
              <w:bidi w:val="0"/>
              <w:spacing w:before="0" w:after="283"/>
              <w:jc w:val="left"/>
              <w:rPr/>
            </w:pPr>
            <w:r>
              <w:rPr/>
              <w:t>  </w:t>
            </w:r>
          </w:p>
        </w:tc>
        <w:tc>
          <w:tcPr>
            <w:tcW w:w="4385" w:type="dxa"/>
            <w:tcBorders/>
            <w:vAlign w:val="bottom"/>
          </w:tcPr>
          <w:p>
            <w:pPr>
              <w:pStyle w:val="TableContents"/>
              <w:bidi w:val="0"/>
              <w:spacing w:before="0" w:after="283"/>
              <w:jc w:val="center"/>
              <w:rPr/>
            </w:pPr>
            <w:r>
              <w:rPr/>
              <w:t>USD [_______]</w:t>
            </w:r>
          </w:p>
        </w:tc>
      </w:tr>
      <w:tr>
        <w:trPr/>
        <w:tc>
          <w:tcPr>
            <w:tcW w:w="2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120" w:type="dxa"/>
            <w:tcBorders/>
            <w:shd w:fill="CCEEFF" w:val="clear"/>
            <w:vAlign w:val="bottom"/>
          </w:tcPr>
          <w:p>
            <w:pPr>
              <w:pStyle w:val="TableContents"/>
              <w:bidi w:val="0"/>
              <w:spacing w:before="0" w:after="283"/>
              <w:jc w:val="left"/>
              <w:rPr/>
            </w:pPr>
            <w:r>
              <w:rPr/>
              <w:t>  </w:t>
            </w:r>
          </w:p>
        </w:tc>
        <w:tc>
          <w:tcPr>
            <w:tcW w:w="4385" w:type="dxa"/>
            <w:tcBorders/>
            <w:shd w:fill="CCEEFF" w:val="clear"/>
            <w:vAlign w:val="bottom"/>
          </w:tcPr>
          <w:p>
            <w:pPr>
              <w:pStyle w:val="TableContents"/>
              <w:bidi w:val="0"/>
              <w:spacing w:before="0" w:after="283"/>
              <w:jc w:val="center"/>
              <w:rPr/>
            </w:pPr>
            <w:r>
              <w:rPr/>
              <w:t>USD [_______]</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For the avoidance of doubt, solely for purposes of calculating the amount payable pursuant to Section 6 of the Agreement pursuant to the immediately preceding sentence, Dealer shall assume that the relevant Repayment Event (and, if applicable, the related “Fundamental Change” (as such term is defined in the Indenture) and the announcement of such “Fundamental Change” (as such term is defined in the Indenture)) had not occurred. “</w:t>
            </w:r>
            <w:r>
              <w:rPr>
                <w:rFonts w:ascii="Times New Roman" w:hAnsi="Times New Roman"/>
                <w:b/>
                <w:sz w:val="20"/>
              </w:rPr>
              <w:t>Repayment Event</w:t>
            </w:r>
            <w:r>
              <w:rPr>
                <w:rFonts w:ascii="Times New Roman" w:hAnsi="Times New Roman"/>
                <w:sz w:val="20"/>
              </w:rPr>
              <w:t xml:space="preserve">” means that (i) any Exchangeable Notes are repurchased and cancelled in accordance with the Indenture (whether in connection with or as a result of a “Fundamental Change” (as such term is defined in the Indenture), upon any redemption of Exchangeable Notes pursuant to Article 16 of the Indenture or for any other reason) by Counterparty, Parent or any of their respective subsidiaries, (ii) any Exchangeable Notes are delivered to Counterparty, Parent or any of their respective subsidiaries in exchange for delivery of any property or assets of such party (howsoever described), (iii) any principal of any of the Exchangeable Notes is repaid prior to the final maturity date of the Exchangeable Notes (for any reason other than as a result of an acceleration of the Exchangeable Notes that results in an Additional Termination Event pursuant to the preceding Section 9(i)(ii)), or (iv) any Exchangeable Notes are exchanged by or for the benefit of the holders thereof for any other securities of Counterparty, Parent or any of their respective subsidiaries (or any other property, or any combination thereof) pursuant to any exchange offer or similar transaction. For the avoidance of doubt, any exchange of Exchangeable Notes (whether into cash, Shares, reference property or any combination thereof) pursuant to the terms of the Indenture shall not constitute a Repayment Event. In addition, each of Counterparty and Parent acknowledges, based on advice of outside counsel, its responsibilities under applicable securities laws, including, in particular, Sections 9 and 10(b) of the Exchange Act and the rules and regulations thereunder in respect of the Repayment Event, including, without limitation, the delivery of a Repayment Notice 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Amendments to Equity Definitions,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the Options; </w:t>
            </w:r>
            <w:r>
              <w:rPr>
                <w:rFonts w:ascii="Times New Roman" w:hAnsi="Times New Roman"/>
                <w:i/>
                <w:sz w:val="20"/>
              </w:rPr>
              <w:t>provided</w:t>
            </w:r>
            <w:r>
              <w:rPr>
                <w:rFonts w:ascii="Times New Roman" w:hAnsi="Times New Roman"/>
                <w:sz w:val="20"/>
              </w:rPr>
              <w:t xml:space="preserve"> that such event is not based on (a) an observable market, other than the market for Issuer’s own stock or (b) an observable index, other than an index calculated and measured solely by reference to Issuer’s own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12.9(b)(i) of the Equity Definitions is hereby amended by (1) replacing “either party may elect” with “Dealer may elect” and (2) replacing “notice to the other party” with “notice to Counterparty” in the first sentence of such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Setoff.</w:t>
            </w:r>
            <w:r>
              <w:rPr>
                <w:rFonts w:ascii="Times New Roman" w:hAnsi="Times New Roman"/>
                <w:sz w:val="20"/>
              </w:rPr>
              <w:t xml:space="preserve"> Notwithstanding any provision of the Agreement and this Confirmation (including without limitation this Section 9(k)) or any other 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Alternative Calculations and Payment on Early Termination and on Certain Extraordinary Events</w:t>
            </w:r>
            <w:r>
              <w:rPr>
                <w:rFonts w:ascii="Times New Roman" w:hAnsi="Times New Roman"/>
                <w:sz w:val="20"/>
              </w:rPr>
              <w:t>.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hAnsi="Times New Roman"/>
                <w:b/>
                <w:sz w:val="20"/>
              </w:rPr>
              <w:t>Payment Obligation</w:t>
            </w:r>
            <w:r>
              <w:rPr>
                <w:rFonts w:ascii="Times New Roman" w:hAnsi="Times New Roman"/>
                <w:sz w:val="20"/>
              </w:rPr>
              <w:t xml:space="preserve">”),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each of Counterparty and Parent remakes the representation set forth in Section 8(c) of this Confirmation as of the date of such election and (c) Dealer agrees, in its sole discretion, to such election, in which case the provisions of Section 12.7 or Section 12.9 of the Equity Definitions, or the provisions of Section 6(d)(ii) of the Agreement, as the case may be, shall apply. </w:t>
            </w:r>
          </w:p>
        </w:tc>
      </w:tr>
    </w:tbl>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2739"/>
        <w:gridCol w:w="122"/>
        <w:gridCol w:w="6425"/>
      </w:tblGrid>
      <w:tr>
        <w:trPr/>
        <w:tc>
          <w:tcPr>
            <w:tcW w:w="273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2739" w:type="dxa"/>
            <w:tcBorders/>
          </w:tcPr>
          <w:p>
            <w:pPr>
              <w:pStyle w:val="TableContents"/>
              <w:bidi w:val="0"/>
              <w:spacing w:before="0" w:after="283"/>
              <w:jc w:val="left"/>
              <w:rPr/>
            </w:pPr>
            <w:r>
              <w:rPr/>
              <w:t>Share Termination Alternative:</w:t>
            </w:r>
          </w:p>
        </w:tc>
        <w:tc>
          <w:tcPr>
            <w:tcW w:w="122" w:type="dxa"/>
            <w:tcBorders/>
            <w:vAlign w:val="bottom"/>
          </w:tcPr>
          <w:p>
            <w:pPr>
              <w:pStyle w:val="TableContents"/>
              <w:bidi w:val="0"/>
              <w:spacing w:before="0" w:after="283"/>
              <w:jc w:val="left"/>
              <w:rPr/>
            </w:pPr>
            <w:r>
              <w:rPr/>
              <w:t>  </w:t>
            </w:r>
          </w:p>
        </w:tc>
        <w:tc>
          <w:tcPr>
            <w:tcW w:w="6425" w:type="dxa"/>
            <w:tcBorders/>
          </w:tcPr>
          <w:p>
            <w:pPr>
              <w:pStyle w:val="TableContents"/>
              <w:bidi w:val="0"/>
              <w:spacing w:before="0" w:after="283"/>
              <w:jc w:val="left"/>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4550" w:type="pct"/>
        <w:jc w:val="right"/>
        <w:tblInd w:w="0" w:type="dxa"/>
        <w:tblLayout w:type="fixed"/>
        <w:tblCellMar>
          <w:top w:w="0" w:type="dxa"/>
          <w:left w:w="0" w:type="dxa"/>
          <w:bottom w:w="0" w:type="dxa"/>
          <w:right w:w="0" w:type="dxa"/>
        </w:tblCellMar>
      </w:tblPr>
      <w:tblGrid>
        <w:gridCol w:w="2691"/>
        <w:gridCol w:w="121"/>
        <w:gridCol w:w="6474"/>
      </w:tblGrid>
      <w:tr>
        <w:trPr/>
        <w:tc>
          <w:tcPr>
            <w:tcW w:w="26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74" w:type="dxa"/>
            <w:tcBorders/>
            <w:vAlign w:val="center"/>
          </w:tcPr>
          <w:p>
            <w:pPr>
              <w:pStyle w:val="TableContents"/>
              <w:bidi w:val="0"/>
              <w:spacing w:before="0" w:after="283"/>
              <w:jc w:val="left"/>
              <w:rPr>
                <w:sz w:val="4"/>
                <w:szCs w:val="4"/>
              </w:rPr>
            </w:pPr>
            <w:r>
              <w:rPr>
                <w:sz w:val="4"/>
                <w:szCs w:val="4"/>
              </w:rPr>
            </w:r>
          </w:p>
        </w:tc>
      </w:tr>
      <w:tr>
        <w:trPr/>
        <w:tc>
          <w:tcPr>
            <w:tcW w:w="2691" w:type="dxa"/>
            <w:tcBorders/>
          </w:tcPr>
          <w:p>
            <w:pPr>
              <w:pStyle w:val="TableContents"/>
              <w:bidi w:val="0"/>
              <w:spacing w:before="0" w:after="283"/>
              <w:jc w:val="left"/>
              <w:rPr/>
            </w:pPr>
            <w:r>
              <w:rPr/>
              <w:t>Share Termination Delivery Property:</w:t>
            </w:r>
          </w:p>
        </w:tc>
        <w:tc>
          <w:tcPr>
            <w:tcW w:w="121" w:type="dxa"/>
            <w:tcBorders/>
            <w:vAlign w:val="bottom"/>
          </w:tcPr>
          <w:p>
            <w:pPr>
              <w:pStyle w:val="TableContents"/>
              <w:bidi w:val="0"/>
              <w:spacing w:before="0" w:after="283"/>
              <w:jc w:val="left"/>
              <w:rPr/>
            </w:pPr>
            <w:r>
              <w:rPr/>
              <w:t>  </w:t>
            </w:r>
          </w:p>
        </w:tc>
        <w:tc>
          <w:tcPr>
            <w:tcW w:w="6474" w:type="dxa"/>
            <w:tcBorders/>
          </w:tcPr>
          <w:p>
            <w:pPr>
              <w:pStyle w:val="TableContents"/>
              <w:bidi w:val="0"/>
              <w:spacing w:before="0" w:after="283"/>
              <w:jc w:val="left"/>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tc>
      </w:tr>
      <w:tr>
        <w:trPr>
          <w:trHeight w:val="120" w:hRule="atLeast"/>
        </w:trPr>
        <w:tc>
          <w:tcPr>
            <w:tcW w:w="2691" w:type="dxa"/>
            <w:tcBorders/>
            <w:vAlign w:val="center"/>
          </w:tcPr>
          <w:p>
            <w:pPr>
              <w:pStyle w:val="TableContents"/>
              <w:bidi w:val="0"/>
              <w:spacing w:before="0" w:after="283"/>
              <w:jc w:val="left"/>
              <w:rPr>
                <w:sz w:val="4"/>
                <w:szCs w:val="4"/>
              </w:rPr>
            </w:pPr>
            <w:r>
              <w:rPr>
                <w:sz w:val="4"/>
                <w:szCs w:val="4"/>
              </w:rPr>
            </w:r>
          </w:p>
        </w:tc>
        <w:tc>
          <w:tcPr>
            <w:tcW w:w="6595" w:type="dxa"/>
            <w:gridSpan w:val="2"/>
            <w:tcBorders/>
            <w:vAlign w:val="center"/>
          </w:tcPr>
          <w:p>
            <w:pPr>
              <w:pStyle w:val="TableContents"/>
              <w:bidi w:val="0"/>
              <w:spacing w:before="0" w:after="283"/>
              <w:jc w:val="left"/>
              <w:rPr>
                <w:sz w:val="4"/>
                <w:szCs w:val="4"/>
              </w:rPr>
            </w:pPr>
            <w:r>
              <w:rPr>
                <w:sz w:val="4"/>
                <w:szCs w:val="4"/>
              </w:rPr>
            </w:r>
          </w:p>
        </w:tc>
      </w:tr>
      <w:tr>
        <w:trPr/>
        <w:tc>
          <w:tcPr>
            <w:tcW w:w="2691" w:type="dxa"/>
            <w:tcBorders/>
          </w:tcPr>
          <w:p>
            <w:pPr>
              <w:pStyle w:val="TableContents"/>
              <w:bidi w:val="0"/>
              <w:spacing w:before="0" w:after="283"/>
              <w:jc w:val="left"/>
              <w:rPr/>
            </w:pPr>
            <w:r>
              <w:rPr/>
              <w:t>Share Termination Delivery Unit:</w:t>
            </w:r>
          </w:p>
        </w:tc>
        <w:tc>
          <w:tcPr>
            <w:tcW w:w="121" w:type="dxa"/>
            <w:tcBorders/>
            <w:vAlign w:val="bottom"/>
          </w:tcPr>
          <w:p>
            <w:pPr>
              <w:pStyle w:val="TableContents"/>
              <w:bidi w:val="0"/>
              <w:spacing w:before="0" w:after="283"/>
              <w:jc w:val="left"/>
              <w:rPr/>
            </w:pPr>
            <w:r>
              <w:rPr/>
              <w:t>  </w:t>
            </w:r>
          </w:p>
        </w:tc>
        <w:tc>
          <w:tcPr>
            <w:tcW w:w="6474" w:type="dxa"/>
            <w:tcBorders/>
          </w:tcPr>
          <w:p>
            <w:pPr>
              <w:pStyle w:val="TableContents"/>
              <w:bidi w:val="0"/>
              <w:spacing w:before="0" w:after="283"/>
              <w:jc w:val="left"/>
              <w:rPr/>
            </w:pPr>
            <w:r>
              <w:rPr/>
              <w:t>One Share or, if the Shares have changed into cash or any other property or the right to receive cash or any other property as the result of a Nationalization, Insolvency or Merger Event (any such cash or other property, the “</w:t>
            </w:r>
            <w:r>
              <w:rPr>
                <w:b/>
              </w:rPr>
              <w:t>Exchange Property</w:t>
            </w:r>
            <w:r>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rHeight w:val="120" w:hRule="atLeast"/>
        </w:trPr>
        <w:tc>
          <w:tcPr>
            <w:tcW w:w="2691" w:type="dxa"/>
            <w:tcBorders/>
            <w:vAlign w:val="center"/>
          </w:tcPr>
          <w:p>
            <w:pPr>
              <w:pStyle w:val="TableContents"/>
              <w:bidi w:val="0"/>
              <w:spacing w:before="0" w:after="283"/>
              <w:jc w:val="left"/>
              <w:rPr>
                <w:sz w:val="4"/>
                <w:szCs w:val="4"/>
              </w:rPr>
            </w:pPr>
            <w:r>
              <w:rPr>
                <w:sz w:val="4"/>
                <w:szCs w:val="4"/>
              </w:rPr>
            </w:r>
          </w:p>
        </w:tc>
        <w:tc>
          <w:tcPr>
            <w:tcW w:w="6595" w:type="dxa"/>
            <w:gridSpan w:val="2"/>
            <w:tcBorders/>
            <w:vAlign w:val="center"/>
          </w:tcPr>
          <w:p>
            <w:pPr>
              <w:pStyle w:val="TableContents"/>
              <w:bidi w:val="0"/>
              <w:spacing w:before="0" w:after="283"/>
              <w:jc w:val="left"/>
              <w:rPr>
                <w:sz w:val="4"/>
                <w:szCs w:val="4"/>
              </w:rPr>
            </w:pPr>
            <w:r>
              <w:rPr>
                <w:sz w:val="4"/>
                <w:szCs w:val="4"/>
              </w:rPr>
            </w:r>
          </w:p>
        </w:tc>
      </w:tr>
      <w:tr>
        <w:trPr/>
        <w:tc>
          <w:tcPr>
            <w:tcW w:w="2691" w:type="dxa"/>
            <w:tcBorders/>
          </w:tcPr>
          <w:p>
            <w:pPr>
              <w:pStyle w:val="TableContents"/>
              <w:bidi w:val="0"/>
              <w:spacing w:before="0" w:after="283"/>
              <w:jc w:val="left"/>
              <w:rPr/>
            </w:pPr>
            <w:r>
              <w:rPr/>
              <w:t>Share Termination Unit Price:</w:t>
            </w:r>
          </w:p>
        </w:tc>
        <w:tc>
          <w:tcPr>
            <w:tcW w:w="121" w:type="dxa"/>
            <w:tcBorders/>
            <w:vAlign w:val="bottom"/>
          </w:tcPr>
          <w:p>
            <w:pPr>
              <w:pStyle w:val="TableContents"/>
              <w:bidi w:val="0"/>
              <w:spacing w:before="0" w:after="283"/>
              <w:jc w:val="left"/>
              <w:rPr/>
            </w:pPr>
            <w:r>
              <w:rPr/>
              <w:t>  </w:t>
            </w:r>
          </w:p>
        </w:tc>
        <w:tc>
          <w:tcPr>
            <w:tcW w:w="6474" w:type="dxa"/>
            <w:tcBorders/>
          </w:tcPr>
          <w:p>
            <w:pPr>
              <w:pStyle w:val="TableContents"/>
              <w:bidi w:val="0"/>
              <w:spacing w:before="0" w:after="283"/>
              <w:jc w:val="left"/>
              <w:rPr/>
            </w:pPr>
            <w:r>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the purchase price paid in connection with the purchase of Share Termination Delivery Property that was purchased in connection with the delivery of the Share Termination Delivery Units.</w:t>
            </w:r>
          </w:p>
        </w:tc>
      </w:tr>
      <w:tr>
        <w:trPr>
          <w:trHeight w:val="120" w:hRule="atLeast"/>
        </w:trPr>
        <w:tc>
          <w:tcPr>
            <w:tcW w:w="2691" w:type="dxa"/>
            <w:tcBorders/>
            <w:vAlign w:val="center"/>
          </w:tcPr>
          <w:p>
            <w:pPr>
              <w:pStyle w:val="TableContents"/>
              <w:bidi w:val="0"/>
              <w:spacing w:before="0" w:after="283"/>
              <w:jc w:val="left"/>
              <w:rPr>
                <w:sz w:val="4"/>
                <w:szCs w:val="4"/>
              </w:rPr>
            </w:pPr>
            <w:r>
              <w:rPr>
                <w:sz w:val="4"/>
                <w:szCs w:val="4"/>
              </w:rPr>
            </w:r>
          </w:p>
        </w:tc>
        <w:tc>
          <w:tcPr>
            <w:tcW w:w="6595" w:type="dxa"/>
            <w:gridSpan w:val="2"/>
            <w:tcBorders/>
            <w:vAlign w:val="center"/>
          </w:tcPr>
          <w:p>
            <w:pPr>
              <w:pStyle w:val="TableContents"/>
              <w:bidi w:val="0"/>
              <w:spacing w:before="0" w:after="283"/>
              <w:jc w:val="left"/>
              <w:rPr>
                <w:sz w:val="4"/>
                <w:szCs w:val="4"/>
              </w:rPr>
            </w:pPr>
            <w:r>
              <w:rPr>
                <w:sz w:val="4"/>
                <w:szCs w:val="4"/>
              </w:rPr>
            </w:r>
          </w:p>
        </w:tc>
      </w:tr>
      <w:tr>
        <w:trPr/>
        <w:tc>
          <w:tcPr>
            <w:tcW w:w="2691" w:type="dxa"/>
            <w:tcBorders/>
          </w:tcPr>
          <w:p>
            <w:pPr>
              <w:pStyle w:val="TableContents"/>
              <w:bidi w:val="0"/>
              <w:spacing w:before="0" w:after="283"/>
              <w:jc w:val="left"/>
              <w:rPr/>
            </w:pPr>
            <w:r>
              <w:rPr/>
              <w:t>Failure to Deliver:</w:t>
            </w:r>
          </w:p>
        </w:tc>
        <w:tc>
          <w:tcPr>
            <w:tcW w:w="121" w:type="dxa"/>
            <w:tcBorders/>
            <w:vAlign w:val="bottom"/>
          </w:tcPr>
          <w:p>
            <w:pPr>
              <w:pStyle w:val="TableContents"/>
              <w:bidi w:val="0"/>
              <w:spacing w:before="0" w:after="283"/>
              <w:jc w:val="left"/>
              <w:rPr/>
            </w:pPr>
            <w:r>
              <w:rPr/>
              <w:t>  </w:t>
            </w:r>
          </w:p>
        </w:tc>
        <w:tc>
          <w:tcPr>
            <w:tcW w:w="6474" w:type="dxa"/>
            <w:tcBorders/>
          </w:tcPr>
          <w:p>
            <w:pPr>
              <w:pStyle w:val="TableContents"/>
              <w:bidi w:val="0"/>
              <w:spacing w:before="0" w:after="283"/>
              <w:jc w:val="left"/>
              <w:rPr/>
            </w:pPr>
            <w:r>
              <w:rPr/>
              <w:t>Applicable</w:t>
            </w:r>
          </w:p>
        </w:tc>
      </w:tr>
      <w:tr>
        <w:trPr>
          <w:trHeight w:val="120" w:hRule="atLeast"/>
        </w:trPr>
        <w:tc>
          <w:tcPr>
            <w:tcW w:w="2691" w:type="dxa"/>
            <w:tcBorders/>
            <w:vAlign w:val="center"/>
          </w:tcPr>
          <w:p>
            <w:pPr>
              <w:pStyle w:val="TableContents"/>
              <w:bidi w:val="0"/>
              <w:spacing w:before="0" w:after="283"/>
              <w:jc w:val="left"/>
              <w:rPr>
                <w:sz w:val="4"/>
                <w:szCs w:val="4"/>
              </w:rPr>
            </w:pPr>
            <w:r>
              <w:rPr>
                <w:sz w:val="4"/>
                <w:szCs w:val="4"/>
              </w:rPr>
            </w:r>
          </w:p>
        </w:tc>
        <w:tc>
          <w:tcPr>
            <w:tcW w:w="6595" w:type="dxa"/>
            <w:gridSpan w:val="2"/>
            <w:tcBorders/>
            <w:vAlign w:val="center"/>
          </w:tcPr>
          <w:p>
            <w:pPr>
              <w:pStyle w:val="TableContents"/>
              <w:bidi w:val="0"/>
              <w:spacing w:before="0" w:after="283"/>
              <w:jc w:val="left"/>
              <w:rPr>
                <w:sz w:val="4"/>
                <w:szCs w:val="4"/>
              </w:rPr>
            </w:pPr>
            <w:r>
              <w:rPr>
                <w:sz w:val="4"/>
                <w:szCs w:val="4"/>
              </w:rPr>
            </w:r>
          </w:p>
        </w:tc>
      </w:tr>
      <w:tr>
        <w:trPr/>
        <w:tc>
          <w:tcPr>
            <w:tcW w:w="2691" w:type="dxa"/>
            <w:tcBorders/>
          </w:tcPr>
          <w:p>
            <w:pPr>
              <w:pStyle w:val="TableContents"/>
              <w:bidi w:val="0"/>
              <w:spacing w:before="0" w:after="283"/>
              <w:jc w:val="left"/>
              <w:rPr/>
            </w:pPr>
            <w:r>
              <w:rPr/>
              <w:t>Other applicable provisions:</w:t>
            </w:r>
          </w:p>
        </w:tc>
        <w:tc>
          <w:tcPr>
            <w:tcW w:w="121" w:type="dxa"/>
            <w:tcBorders/>
            <w:vAlign w:val="bottom"/>
          </w:tcPr>
          <w:p>
            <w:pPr>
              <w:pStyle w:val="TableContents"/>
              <w:bidi w:val="0"/>
              <w:spacing w:before="0" w:after="283"/>
              <w:jc w:val="left"/>
              <w:rPr/>
            </w:pPr>
            <w:r>
              <w:rPr/>
              <w:t>  </w:t>
            </w:r>
          </w:p>
        </w:tc>
        <w:tc>
          <w:tcPr>
            <w:tcW w:w="6474" w:type="dxa"/>
            <w:tcBorders/>
          </w:tcPr>
          <w:p>
            <w:pPr>
              <w:pStyle w:val="TableContents"/>
              <w:bidi w:val="0"/>
              <w:spacing w:before="0" w:after="283"/>
              <w:jc w:val="left"/>
              <w:rPr/>
            </w:pPr>
            <w:r>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 Settlement” or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Waiver of Jury Trial</w:t>
            </w:r>
            <w:r>
              <w:rPr>
                <w:rFonts w:ascii="Times New Roman" w:hAnsi="Times New Roman"/>
                <w:sz w:val="20"/>
              </w:rPr>
              <w:t xml:space="preserve">.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(n)</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Registration.</w:t>
            </w:r>
            <w:r>
              <w:rPr>
                <w:rFonts w:ascii="Times New Roman" w:hAnsi="Times New Roman"/>
                <w:sz w:val="20"/>
              </w:rPr>
              <w:t xml:space="preserve"> Each of Counterparty and Parent hereby agrees that if, in the good faith reasonable judgment of Dealer, based on the advice of counsel, the Shares acquired and held by Dealer for the purpose of effecting a commercially reasonable hedge of its obligations pursuant to the Transaction (“</w:t>
            </w:r>
            <w:r>
              <w:rPr>
                <w:rFonts w:ascii="Times New Roman" w:hAnsi="Times New Roman"/>
                <w:b/>
                <w:sz w:val="20"/>
              </w:rPr>
              <w:t>Hedge Shares</w:t>
            </w:r>
            <w:r>
              <w:rPr>
                <w:rFonts w:ascii="Times New Roman" w:hAnsi="Times New Roman"/>
                <w:sz w:val="20"/>
              </w:rPr>
              <w:t xml:space="preserve">”) cannot be sold in the public market by Dealer without registration under the Securities Act (other than any such Hedge Shares that were, at the time of acquisition by Dealer, “restricted securities” (as defined in Rule 144 under the Securities Act)), Counterparty and Parent shall, at Counterparty’s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 and in the amounts and at such time(s), requested by Dealer (which agreement of Counterparty and Parent shall be joint and several).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Tax Disclosure</w:t>
            </w:r>
            <w:r>
              <w:rPr>
                <w:rFonts w:ascii="Times New Roman" w:hAnsi="Times New Roman"/>
                <w:sz w:val="20"/>
              </w:rPr>
              <w:t xml:space="preserve">. Effective from the date of commencement of discussions concerning the Transaction, Counterparty, Parent and each of their respective employees, representatives, or other agents may disclose to any and all persons, without limitation of any kind, the tax treatment and tax structure of the Transaction and all materials of any kind (including opinions or other tax analyses) that are provided to Counterparty or Parent relating to such tax treatment and tax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Right to Extend</w:t>
            </w:r>
            <w:r>
              <w:rPr>
                <w:rFonts w:ascii="Times New Roman" w:hAnsi="Times New Roman"/>
                <w:sz w:val="20"/>
              </w:rPr>
              <w:t xml:space="preserve">. Dealer may postpone or add, in a commercially reasonable manner, in whole or in part, any Valid Day or Valid Days during the Settlement Averaging Period or any other date of valuation, payment or delivery by Dealer, with respect to some or all of the Options hereunder, to the extent Dealer reasonably determines (and in the case of clause (ii) below, based on the advice of counsel), that such action is reasonably necessary or appropriate (i) to preserve Dealer’s commercially reasonable hedging or hedge unwind activity hereunder in light of existing liquidity conditions (but only if there is a material decrease in liquidity relative to Dealer’s expectations on the Trade Date) or (ii) to enable Dealer to effect purchases or sales of Shares in connection with its commercially reasonable hedging, hedge unwind or settlement activity hereunder in a manner that would, if Dealer were Parent or an affiliated purchaser of Parent, be in compliance with applicable legal, regulatory or self-regulatory requirements, or with related policies and procedures applicable to Dealer (so long as such policies or procedures have been adopted by Dealer in good faith and are consistently applied to transactions similar to the Transaction); </w:t>
            </w:r>
            <w:r>
              <w:rPr>
                <w:rFonts w:ascii="Times New Roman" w:hAnsi="Times New Roman"/>
                <w:i/>
                <w:sz w:val="20"/>
              </w:rPr>
              <w:t>provided</w:t>
            </w:r>
            <w:r>
              <w:rPr>
                <w:rFonts w:ascii="Times New Roman" w:hAnsi="Times New Roman"/>
                <w:sz w:val="20"/>
              </w:rPr>
              <w:t xml:space="preserve"> that no such Valid Day or other date of valuation, payment or delivery may be postponed or added more than 40 Valid Days after the original Valid Day or other date of valuation, payment or delivery,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(q)</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Status of Claims in Bankruptcy</w:t>
            </w:r>
            <w:r>
              <w:rPr>
                <w:rFonts w:ascii="Times New Roman" w:hAnsi="Times New Roman"/>
                <w:sz w:val="20"/>
              </w:rPr>
              <w:t xml:space="preserve">. Dealer acknowledges and agrees that this Confirmation is not intended to convey to Dealer rights against Counterparty or Parent with respect to the Transaction that are senior to the claims of unitholders of Counterparty or common shareholders of Parent, as the case may be, in any United States bankruptcy proceedings of Counterparty or Parent, as applicable; </w:t>
            </w:r>
            <w:r>
              <w:rPr>
                <w:rFonts w:ascii="Times New Roman" w:hAnsi="Times New Roman"/>
                <w:i/>
                <w:sz w:val="20"/>
              </w:rPr>
              <w:t>provided</w:t>
            </w:r>
            <w:r>
              <w:rPr>
                <w:rFonts w:ascii="Times New Roman" w:hAnsi="Times New Roman"/>
                <w:sz w:val="20"/>
              </w:rPr>
              <w:t xml:space="preserve"> that nothing herein shall limit or shall be deemed to limit Dealer’s right to pursue remedies in the event of a breach by Counterparty or Parent of their respective obligations and agreements with respect to the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nothing herein shall limit or shall be deemed to limit Dealer’s rights in respect of any transactions other than the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Securities Contract; Swap Agreement</w:t>
            </w:r>
            <w:r>
              <w:rPr>
                <w:rFonts w:ascii="Times New Roman" w:hAnsi="Times New Roman"/>
                <w:sz w:val="20"/>
              </w:rPr>
              <w:t xml:space="preserve">. The parties hereto intend for (i) the Transaction to be a “securities contract” and a “swap 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(s)</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Notice of Certain Other Events</w:t>
            </w:r>
            <w:r>
              <w:rPr>
                <w:rFonts w:ascii="Times New Roman" w:hAnsi="Times New Roman"/>
                <w:sz w:val="20"/>
              </w:rPr>
              <w:t xml:space="preserve">. Counterparty and Parent jointly and severally covenant and agree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promptly following the public announcement of the results of any election by the holders of Shares with respect to the consideration due upon consummation of any Merger Event, Counterparty and Parent shall give Dealer written notice of the types and amounts of consideration actually received by holders of Shares pursuant to such Merger Event (the date of such notification, the “</w:t>
            </w:r>
            <w:r>
              <w:rPr>
                <w:rFonts w:ascii="Times New Roman" w:hAnsi="Times New Roman"/>
                <w:b/>
                <w:sz w:val="20"/>
              </w:rPr>
              <w:t>Consideration Notification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Consideration Notification Date be later than the date on which such Merger Event is consummated;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Counterparty and Parent shall give Dealer commercially reasonable advance (but in no event less than one Exchange Business Day) written notice of the section or sections of the Indenture and, if applicable, the formula therein, pursuant to which any adjustment will be made to the Exchangeable Notes in connection with any Potential Adjustment Event, Merger Event or Tender Offer and (B) promptly following any such adjustment, Counterparty and Parent shall give Dealer written notice of the details of such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Wall Street Transparency and Accountability Act</w:t>
            </w:r>
            <w:r>
              <w:rPr>
                <w:rFonts w:ascii="Times New Roman" w:hAnsi="Times New Roman"/>
                <w:sz w:val="20"/>
              </w:rPr>
              <w:t>. In connection with Section 739 of the Wall Street Transparency and Accountability Act of 2010 (“</w:t>
            </w:r>
            <w:r>
              <w:rPr>
                <w:rFonts w:ascii="Times New Roman" w:hAnsi="Times New Roman"/>
                <w:b/>
                <w:sz w:val="20"/>
              </w:rPr>
              <w:t>WSTAA</w:t>
            </w:r>
            <w:r>
              <w:rPr>
                <w:rFonts w:ascii="Times New Roman" w:hAnsi="Times New Roman"/>
                <w:sz w:val="20"/>
              </w:rPr>
              <w:t xml:space="preserve">”),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(u)</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Agreements and Acknowledgements Regarding Hedging</w:t>
            </w:r>
            <w:r>
              <w:rPr>
                <w:rFonts w:ascii="Times New Roman" w:hAnsi="Times New Roman"/>
                <w:sz w:val="20"/>
              </w:rPr>
              <w:t xml:space="preserve">. Each of Counterparty and Parent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 and Parent.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Early Unwind</w:t>
            </w:r>
            <w:r>
              <w:rPr>
                <w:rFonts w:ascii="Times New Roman" w:hAnsi="Times New Roman"/>
                <w:i/>
                <w:sz w:val="20"/>
              </w:rPr>
              <w:t xml:space="preserve">. </w:t>
            </w:r>
            <w:r>
              <w:rPr>
                <w:rFonts w:ascii="Times New Roman" w:hAnsi="Times New Roman"/>
                <w:sz w:val="20"/>
              </w:rPr>
              <w:t>In the event the sale of the [“Initial Notes”]28 [“Additional Notes”]29 (as defined in the Purchase Agreement) is not consummated with the Initial Purchasers for any reason, or Counterparty and Parent fail to deliver to Dealer an opinion of counsel as required pursuant to Section 9(a) of this Confirmation, in each case by 5:00 p.m. (New York City time) on the Premium Payment Date, or such later date as agreed upon by the parties (the Premium Payment Date or such later date, the “</w:t>
            </w:r>
            <w:r>
              <w:rPr>
                <w:rFonts w:ascii="Times New Roman" w:hAnsi="Times New Roman"/>
                <w:b/>
                <w:sz w:val="20"/>
              </w:rPr>
              <w:t>Early Unwind Date</w:t>
            </w:r>
            <w:r>
              <w:rPr>
                <w:rFonts w:ascii="Times New Roman" w:hAnsi="Times New Roman"/>
                <w:sz w:val="20"/>
              </w:rPr>
              <w:t>”), the Transaction shall automatically terminate (the “</w:t>
            </w:r>
            <w:r>
              <w:rPr>
                <w:rFonts w:ascii="Times New Roman" w:hAnsi="Times New Roman"/>
                <w:b/>
                <w:sz w:val="20"/>
              </w:rPr>
              <w:t>Early Unwind</w:t>
            </w:r>
            <w:r>
              <w:rPr>
                <w:rFonts w:ascii="Times New Roman" w:hAnsi="Times New Roman"/>
                <w:sz w:val="20"/>
              </w:rPr>
              <w:t xml:space="preserve">”) on the Early Unwind Date and (i) the Transaction and all of the respective rights and obligations of Dealer, Counterparty and Parent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Counterparty and Parent represents and acknowledges to the other that upon an Early Unwind, all obligations with respect to the Transaction shall be deemed fully and finally discharged.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Tax Matters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Withholding Tax imposed on payments to non-U.S. counterparties under the United States Foreign Account Tax Compliance provisions of the HIRE Act</w:t>
      </w:r>
      <w:r>
        <w:rPr>
          <w:rFonts w:ascii="Times New Roman" w:hAnsi="Times New Roman"/>
          <w:sz w:val="20"/>
        </w:rPr>
        <w:t>. The parties hereto agree that for the Transaction the term “Indemnifiable Tax” as defined in Section 14 of the Agreement, shall not include any Tax imposed pursuant to Sections 1471 through 1474 of the Code, as amended,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hAnsi="Times New Roman"/>
          <w:b/>
          <w:sz w:val="20"/>
        </w:rPr>
        <w:t>FATCA Withholding Tax</w:t>
      </w:r>
      <w:r>
        <w:rPr>
          <w:rFonts w:ascii="Times New Roman" w:hAnsi="Times New Roman"/>
          <w:sz w:val="20"/>
        </w:rPr>
        <w:t xml:space="preserve">”). For the avoidance of doubt, a FATCA Withholding Tax is a Tax the deduction or withholding of which is required by applicable law for the purposes of Section 2(d)(i)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Tax Documentation</w:t>
      </w:r>
      <w:r>
        <w:rPr>
          <w:rFonts w:ascii="Times New Roman" w:hAnsi="Times New Roman"/>
          <w:sz w:val="20"/>
        </w:rPr>
        <w:t xml:space="preserve">. For purposes of Section 4(a)(i) and (ii) of the Agreement, (i) Counterparty agrees to deliver to Dealer one duly executed and completed United States Internal Revenue Service Form W-9 (or successor thereto) and (ii) Dealer agrees to deliver to Counterparty [one duly executed and completed applicable Internal Revenue Service Form W-9 (or successor thereto)]30, in each case, (A) on or before the date of execution of this Confirmation and (B) promptly upon learning that any such tax form previously provided by it has become obsolete or incorrect. Additionally, each party shall, promptly, provide such other tax forms and documents reasonably requested by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Payee Tax Representations</w:t>
      </w:r>
      <w:r>
        <w:rPr>
          <w:rFonts w:ascii="Times New Roman" w:hAnsi="Times New Roman"/>
          <w:sz w:val="20"/>
        </w:rPr>
        <w:t xml:space="preserve">. Counterparty is an entity disregarded as separate from Parent for U.S. federal income tax purposes and is organized under the laws of the State of Delaware. Parent is a corporation for U.S. federal income tax purposes and is organized under the laws of the State of Maryland. Parent is a “U.S. person” (as that term is used in section 1.1441-4(a)(3)(ii) of United States Treasury Regulations) for U.S. federal income tax purposes. [Dealer is a “U.S. person” (as that term is used in section 1.1441-4(a)(3)(ii) of United States Treasury Regulations) for U.S. federal income tax purposes and an exempt recipient under Treasury Regulation Section 1.6049-4(c)(1)(ii).]31 Each party agrees to give notice of any failure of a representation made by it under this Section 9(w)(iii) to be accurate and true promptly upon learning of such failure.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Section</w:t>
      </w:r>
      <w:r>
        <w:rPr>
          <w:rFonts w:ascii="Times New Roman" w:hAnsi="Times New Roman"/>
          <w:sz w:val="20"/>
        </w:rPr>
        <w:t> </w:t>
      </w:r>
      <w:r>
        <w:rPr>
          <w:rFonts w:ascii="Times New Roman" w:hAnsi="Times New Roman"/>
          <w:i/>
          <w:sz w:val="20"/>
        </w:rPr>
        <w:t>871(m)</w:t>
      </w:r>
      <w:r>
        <w:rPr>
          <w:rFonts w:ascii="Times New Roman" w:hAnsi="Times New Roman"/>
          <w:sz w:val="20"/>
        </w:rPr>
        <w:t xml:space="preserve">. The parties hereto agree that for the Transaction the term “Indemnifiable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or any regulations thereunder is a Tax the deduction or withholding of which is required by applicable law for the purposes of Section 2(d)(i) of the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Base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Additional Call Option Confirmation.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updated as appropriate for Dealer.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updated as appropriate for Dealer.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Payment by Counterparty</w:t>
            </w:r>
            <w:r>
              <w:rPr>
                <w:rFonts w:ascii="Times New Roman" w:hAnsi="Times New Roman"/>
                <w:sz w:val="20"/>
              </w:rPr>
              <w:t xml:space="preserve">.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Other Adjustments Pursuant to the Equity Definitions</w:t>
            </w:r>
            <w:r>
              <w:rPr>
                <w:rFonts w:ascii="Times New Roman" w:hAnsi="Times New Roman"/>
                <w:sz w:val="20"/>
              </w:rPr>
              <w:t>. Notwithstanding anything to the contrary in the Agreement, the Equity Definitions or this Confirmation, upon the occurrence of a Merger Date, the occurrence of a Tender Offer Date, or declaration by Counterparty or Parent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account for the economic effect on the Transaction of such occurrence or declaration (</w:t>
            </w:r>
            <w:r>
              <w:rPr>
                <w:rFonts w:ascii="Times New Roman" w:hAnsi="Times New Roman"/>
                <w:i/>
                <w:sz w:val="20"/>
              </w:rPr>
              <w:t>provided</w:t>
            </w:r>
            <w:r>
              <w:rPr>
                <w:rFonts w:ascii="Times New Roman" w:hAnsi="Times New Roman"/>
                <w:sz w:val="20"/>
              </w:rPr>
              <w:t xml:space="preserve"> that in no event shall the Cap Price be less than the Strike Price; and </w:t>
            </w:r>
            <w:r>
              <w:rPr>
                <w:rFonts w:ascii="Times New Roman" w:hAnsi="Times New Roman"/>
                <w:i/>
                <w:sz w:val="20"/>
              </w:rPr>
              <w:t>provided further</w:t>
            </w:r>
            <w:r>
              <w:rPr>
                <w:rFonts w:ascii="Times New Roman" w:hAnsi="Times New Roman"/>
                <w:sz w:val="20"/>
              </w:rPr>
              <w:t xml:space="preserve"> that any adjustment to the Cap Price made pursuant to this section shall be made without duplication of any other adjustment hereunder). Solely for purposes of this Section 9(y): (x) the terms “Potential Adjustment Event,” “Merger Event,” and “Tender Offer” shall each have the meanings assigned to each such term in the Equity Definitions (in the case of the definition of “Potential Adjustment Event”, as amended by Section 9(j)(i) of this Confirmation, and in the case of the definition of “Tender Offer”, as amended by the provisions opposite the caption “Announcement Event” in Section 3 of this Confirmation) and (y) “Extraordinary Dividend” means any cash dividend on the Shares in an amount per Share in excess of the Regular Dividend (for the avoidance of doubt, determined on a per quarter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CARES Act</w:t>
            </w:r>
            <w:r>
              <w:rPr>
                <w:rFonts w:ascii="Times New Roman" w:hAnsi="Times New Roman"/>
                <w:i/>
                <w:sz w:val="20"/>
              </w:rPr>
              <w:t>.</w:t>
            </w:r>
            <w:r>
              <w:rPr>
                <w:rFonts w:ascii="Times New Roman" w:hAnsi="Times New Roman"/>
                <w:sz w:val="20"/>
              </w:rPr>
              <w:t xml:space="preserve"> Each of Counterparty and Parent acknowledges that the Transaction may constitute a purchase of Parent’s equity securities or a capital distribution. Each of Counterparty and Parent further acknowledges that, pursuant to the provisions of the Coronavirus Aid, Relief and Economic Security Act (the “</w:t>
            </w:r>
            <w:r>
              <w:rPr>
                <w:rFonts w:ascii="Times New Roman" w:hAnsi="Times New Roman"/>
                <w:b/>
                <w:sz w:val="20"/>
              </w:rPr>
              <w:t>CARES Act</w:t>
            </w:r>
            <w:r>
              <w:rPr>
                <w:rFonts w:ascii="Times New Roman" w:hAnsi="Times New Roman"/>
                <w:sz w:val="20"/>
              </w:rPr>
              <w:t xml:space="preserve">”), it will be required to agree to certain time-bound restrictions on its ability to purchase either of their equity securities or make capital distributions if it receives loans, loan guarantees or direct loans (as that term is defined in the CARES Act) under section 4003(b) of the CARES Act. Each of Counterparty and Parent further acknowledges that it may be required to agree to certain time-bound restrictions on its ability to purchase either of their equity securities or make capital distributions if it receives loans, loan guarantees or direct loans (as that term is defined in the CARES Act) under programs or facilities established by the Board of Governors of the Federal Reserve System, the U.S. Department of Treasury or similar governmental entity for the purpose of providing liquidity to the financial system. Accordingly, each of Counterparty and Parent represents and warrants that neither it, nor any of its subsidiaries have applied, and have no present intention to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it comply with any requirement to, or otherwise agree, attest, certify or warrant that it has not, as of the date specified in such condition, repurchased, or will not repurchase, any equity security of Parent; </w:t>
            </w:r>
            <w:r>
              <w:rPr>
                <w:rFonts w:ascii="Times New Roman" w:hAnsi="Times New Roman"/>
                <w:i/>
                <w:sz w:val="20"/>
              </w:rPr>
              <w:t>provided</w:t>
            </w:r>
            <w:r>
              <w:rPr>
                <w:rFonts w:ascii="Times New Roman" w:hAnsi="Times New Roman"/>
                <w:sz w:val="20"/>
              </w:rPr>
              <w:t xml:space="preserve"> that Counterparty or Parent may apply for any such governmental assistance if such person determines based on the advice of nationally recognized outside counsel that the terms of the Transaction would not cause such person to fail to satisfy any condition for application for or receipt or retention of such governmental assistance based on the terms of the relevant program or facility as of the date of such advice. Each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Counterparty and Parent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this Transaction (either by specific reference to this Transaction or by general reference to transactions with the attributes of this Transaction in all relevant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REIT Matters</w:t>
            </w:r>
            <w:r>
              <w:rPr>
                <w:rFonts w:ascii="Times New Roman" w:hAnsi="Times New Roman"/>
                <w:sz w:val="20"/>
              </w:rPr>
              <w:t xml:space="preserve">. The parties agree that for all purposes of the Agreement and this Confirmation, (A) the terms “Beneficial Ownership” and “Constructive Ownership” in Article VII of Parent’s Charter on the date hereof shall not include shares held by Dealer, its affiliates, or any person whose ownership of shares is attributed to Dealer under the definitions of “Beneficial Ownership” or “Constructive Ownership” in Article VII of the Charter to the extent such shares are held in a purely fiduciary capacity or otherwise not held by such person as principal, and (B) the shares described in clause (A) above shall not be considered Beneficially Owned or Constructively Owned by Dealer or its affiliates under the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Counterparts</w:t>
            </w:r>
            <w:r>
              <w:rPr>
                <w:rFonts w:ascii="Times New Roman" w:hAnsi="Times New Roman"/>
                <w:sz w:val="20"/>
              </w:rPr>
              <w:t>. This Confirmation may be executed in several counterparts, each of which shall be deemed to be an original but all of which together shall constitute one and the same instrument, and any party hereto may execute this Confirmation by signing and delivering one or more counterparts. Counterparts may be delivered via facsimile, electronic mail or other transmission method (including any electronic signature covered by the U.S. federal ESIGN Act of 2000, Uniform Electronic Transactions Act, the Electronic Signatures and Records Act or other applicable law, e.g., DocuSign and AdobeSign (any such signature, an “</w:t>
            </w:r>
            <w:r>
              <w:rPr>
                <w:rFonts w:ascii="Times New Roman" w:hAnsi="Times New Roman"/>
                <w:b/>
                <w:sz w:val="20"/>
              </w:rPr>
              <w:t>Electronic Signature</w:t>
            </w:r>
            <w:r>
              <w:rPr>
                <w:rFonts w:ascii="Times New Roman" w:hAnsi="Times New Roman"/>
                <w:sz w:val="20"/>
              </w:rPr>
              <w:t xml:space="preserve">”))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Insert Dealer agency boilerplate, if applicable.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Insert preferred form of US QFC Stay Rule language for each Dealer, as applicable.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Insert additional Dealer boilerplate, if applicable.</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that the foregoing correctly sets forth the terms of the agreement among Dealer, Counterparty and Parent with respect to the Transaction, by signing this Confirmation or this page hereof as evidence of agreement to such terms and providing the other information requested herein and returning an executed copy to Dealer.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8"/>
        <w:gridCol w:w="75"/>
        <w:gridCol w:w="3559"/>
      </w:tblGrid>
      <w:tr>
        <w:trPr/>
        <w:tc>
          <w:tcPr>
            <w:tcW w:w="44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[DEALER]32</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3559" w:type="dxa"/>
            <w:tcBorders/>
          </w:tcPr>
          <w:p>
            <w:pPr>
              <w:pStyle w:val="TableContents"/>
              <w:pBdr>
                <w:bottom w:val="single" w:sz="2" w:space="1" w:color="000000"/>
              </w:pBdr>
              <w:bidi w:val="0"/>
              <w:spacing w:before="0" w:after="20"/>
              <w:jc w:val="left"/>
              <w:rPr/>
            </w:pPr>
            <w:r>
              <w:rPr/>
              <w:t> </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tcPr>
          <w:p>
            <w:pPr>
              <w:pStyle w:val="TableContents"/>
              <w:bidi w:val="0"/>
              <w:spacing w:before="0" w:after="283"/>
              <w:jc w:val="left"/>
              <w:rPr/>
            </w:pPr>
            <w:r>
              <w:rPr/>
              <w:t>Name:</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Dealer preferred signature page information,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[Base][Additional] Capped Call Confirmation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confirmed </w:t>
      </w:r>
    </w:p>
    <w:p>
      <w:pPr>
        <w:pStyle w:val="TextBody"/>
        <w:bidi w:val="0"/>
        <w:spacing w:before="0" w:after="0"/>
        <w:jc w:val="left"/>
        <w:rPr>
          <w:rFonts w:ascii="Times New Roman" w:hAnsi="Times New Roman"/>
          <w:sz w:val="20"/>
        </w:rPr>
      </w:pPr>
      <w:r>
        <w:rPr>
          <w:rFonts w:ascii="Times New Roman" w:hAnsi="Times New Roman"/>
          <w:sz w:val="20"/>
        </w:rPr>
        <w:t xml:space="preserve">as of the Trade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58"/>
        <w:gridCol w:w="86"/>
        <w:gridCol w:w="3138"/>
      </w:tblGrid>
      <w:tr>
        <w:trPr/>
        <w:tc>
          <w:tcPr>
            <w:tcW w:w="858"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FEDERAL REALTY OP LP</w:t>
            </w:r>
          </w:p>
        </w:tc>
      </w:tr>
      <w:tr>
        <w:trPr>
          <w:trHeight w:val="240" w:hRule="atLeast"/>
        </w:trPr>
        <w:tc>
          <w:tcPr>
            <w:tcW w:w="858" w:type="dxa"/>
            <w:tcBorders/>
            <w:vAlign w:val="center"/>
          </w:tcPr>
          <w:p>
            <w:pPr>
              <w:pStyle w:val="TableContents"/>
              <w:bidi w:val="0"/>
              <w:spacing w:before="0" w:after="283"/>
              <w:jc w:val="left"/>
              <w:rPr>
                <w:sz w:val="4"/>
                <w:szCs w:val="4"/>
              </w:rPr>
            </w:pPr>
            <w:r>
              <w:rPr>
                <w:sz w:val="4"/>
                <w:szCs w:val="4"/>
              </w:rPr>
            </w:r>
          </w:p>
        </w:tc>
        <w:tc>
          <w:tcPr>
            <w:tcW w:w="3224" w:type="dxa"/>
            <w:gridSpan w:val="2"/>
            <w:tcBorders/>
            <w:vAlign w:val="center"/>
          </w:tcPr>
          <w:p>
            <w:pPr>
              <w:pStyle w:val="TableContents"/>
              <w:bidi w:val="0"/>
              <w:spacing w:before="0" w:after="283"/>
              <w:jc w:val="left"/>
              <w:rPr>
                <w:sz w:val="4"/>
                <w:szCs w:val="4"/>
              </w:rPr>
            </w:pPr>
            <w:r>
              <w:rPr>
                <w:sz w:val="4"/>
                <w:szCs w:val="4"/>
              </w:rPr>
            </w:r>
          </w:p>
        </w:tc>
      </w:tr>
      <w:tr>
        <w:trPr/>
        <w:tc>
          <w:tcPr>
            <w:tcW w:w="858" w:type="dxa"/>
            <w:tcBorders/>
          </w:tcPr>
          <w:p>
            <w:pPr>
              <w:pStyle w:val="TableContents"/>
              <w:bidi w:val="0"/>
              <w:spacing w:before="0" w:after="283"/>
              <w:jc w:val="left"/>
              <w:rPr/>
            </w:pPr>
            <w:r>
              <w:rPr/>
              <w:t>By:</w:t>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pBdr>
                <w:bottom w:val="single" w:sz="2" w:space="1" w:color="000000"/>
              </w:pBdr>
              <w:bidi w:val="0"/>
              <w:spacing w:before="0" w:after="20"/>
              <w:jc w:val="left"/>
              <w:rPr/>
            </w:pPr>
            <w:r>
              <w:rPr/>
              <w:t> </w:t>
            </w:r>
          </w:p>
        </w:tc>
      </w:tr>
      <w:tr>
        <w:trPr/>
        <w:tc>
          <w:tcPr>
            <w:tcW w:w="858"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Name:</w:t>
            </w:r>
          </w:p>
        </w:tc>
      </w:tr>
      <w:tr>
        <w:trPr/>
        <w:tc>
          <w:tcPr>
            <w:tcW w:w="858"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FEDERAL REALTY INVESTMENT TRUST</w:t>
            </w:r>
          </w:p>
        </w:tc>
      </w:tr>
      <w:tr>
        <w:trPr>
          <w:trHeight w:val="240" w:hRule="atLeast"/>
        </w:trPr>
        <w:tc>
          <w:tcPr>
            <w:tcW w:w="858" w:type="dxa"/>
            <w:tcBorders/>
            <w:vAlign w:val="center"/>
          </w:tcPr>
          <w:p>
            <w:pPr>
              <w:pStyle w:val="TableContents"/>
              <w:bidi w:val="0"/>
              <w:spacing w:before="0" w:after="283"/>
              <w:jc w:val="left"/>
              <w:rPr>
                <w:sz w:val="4"/>
                <w:szCs w:val="4"/>
              </w:rPr>
            </w:pPr>
            <w:r>
              <w:rPr>
                <w:sz w:val="4"/>
                <w:szCs w:val="4"/>
              </w:rPr>
            </w:r>
          </w:p>
        </w:tc>
        <w:tc>
          <w:tcPr>
            <w:tcW w:w="3224" w:type="dxa"/>
            <w:gridSpan w:val="2"/>
            <w:tcBorders/>
            <w:vAlign w:val="center"/>
          </w:tcPr>
          <w:p>
            <w:pPr>
              <w:pStyle w:val="TableContents"/>
              <w:bidi w:val="0"/>
              <w:spacing w:before="0" w:after="283"/>
              <w:jc w:val="left"/>
              <w:rPr>
                <w:sz w:val="4"/>
                <w:szCs w:val="4"/>
              </w:rPr>
            </w:pPr>
            <w:r>
              <w:rPr>
                <w:sz w:val="4"/>
                <w:szCs w:val="4"/>
              </w:rPr>
            </w:r>
          </w:p>
        </w:tc>
      </w:tr>
      <w:tr>
        <w:trPr/>
        <w:tc>
          <w:tcPr>
            <w:tcW w:w="858" w:type="dxa"/>
            <w:tcBorders/>
          </w:tcPr>
          <w:p>
            <w:pPr>
              <w:pStyle w:val="TableContents"/>
              <w:bidi w:val="0"/>
              <w:spacing w:before="0" w:after="283"/>
              <w:jc w:val="left"/>
              <w:rPr/>
            </w:pPr>
            <w:r>
              <w:rPr/>
              <w:t>By:</w:t>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pBdr>
                <w:bottom w:val="single" w:sz="2" w:space="1" w:color="000000"/>
              </w:pBdr>
              <w:bidi w:val="0"/>
              <w:spacing w:before="0" w:after="20"/>
              <w:jc w:val="left"/>
              <w:rPr/>
            </w:pPr>
            <w:r>
              <w:rPr/>
              <w:t> </w:t>
            </w:r>
          </w:p>
        </w:tc>
      </w:tr>
      <w:tr>
        <w:trPr/>
        <w:tc>
          <w:tcPr>
            <w:tcW w:w="858"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Name:</w:t>
            </w:r>
          </w:p>
        </w:tc>
      </w:tr>
      <w:tr>
        <w:trPr/>
        <w:tc>
          <w:tcPr>
            <w:tcW w:w="858"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[Base][Additional] Capped Call Confirmation</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172</Pages>
  <Words>84751</Words>
  <Characters>436717</Characters>
  <CharactersWithSpaces>522688</CharactersWithSpaces>
  <Paragraphs>4133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