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left="4140" w:right="1300" w:hanging="2826"/>
        <w:spacing w:after="0" w:line="254" w:lineRule="auto"/>
        <w:tabs>
          <w:tab w:leader="none" w:pos="152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THE SECTION 13 OR 15(D) OF THE SECURITIES EXCHANGE ACT OF 1934 For the fiscal year ended December 31, 2009</w:t>
      </w:r>
    </w:p>
    <w:p>
      <w:pPr>
        <w:ind w:left="56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ind w:left="1560" w:hanging="209"/>
        <w:spacing w:after="0"/>
        <w:tabs>
          <w:tab w:leader="none" w:pos="15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 w:lineRule="exact"/>
        <w:rPr>
          <w:sz w:val="24"/>
          <w:szCs w:val="24"/>
          <w:color w:val="auto"/>
        </w:rPr>
      </w:pPr>
    </w:p>
    <w:p>
      <w:pPr>
        <w:ind w:left="400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1-07533</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FEDERAL REALTY INVESTMENT TRUST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Declaration of Trust)</w:t>
      </w:r>
    </w:p>
    <w:p>
      <w:pPr>
        <w:spacing w:after="0" w:line="64" w:lineRule="exact"/>
        <w:rPr>
          <w:sz w:val="24"/>
          <w:szCs w:val="24"/>
          <w:color w:val="auto"/>
        </w:rPr>
      </w:pPr>
    </w:p>
    <w:tbl>
      <w:tblPr>
        <w:tblLayout w:type="fixed"/>
        <w:tblInd w:w="1180" w:type="dxa"/>
        <w:tblCellMar>
          <w:top w:w="0" w:type="dxa"/>
          <w:left w:w="0" w:type="dxa"/>
          <w:bottom w:w="0" w:type="dxa"/>
          <w:right w:w="0" w:type="dxa"/>
        </w:tblCellMar>
      </w:tblPr>
      <w:tr>
        <w:trPr>
          <w:trHeight w:val="212"/>
        </w:trPr>
        <w:tc>
          <w:tcPr>
            <w:tcW w:w="3680" w:type="dxa"/>
            <w:vAlign w:val="bottom"/>
          </w:tcPr>
          <w:p>
            <w:pPr>
              <w:jc w:val="center"/>
              <w:ind w:right="242"/>
              <w:spacing w:after="0"/>
              <w:rPr>
                <w:sz w:val="20"/>
                <w:szCs w:val="20"/>
                <w:color w:val="auto"/>
              </w:rPr>
            </w:pPr>
            <w:r>
              <w:rPr>
                <w:rFonts w:ascii="Arial" w:cs="Arial" w:eastAsia="Arial" w:hAnsi="Arial"/>
                <w:sz w:val="18"/>
                <w:szCs w:val="18"/>
                <w:color w:val="auto"/>
                <w:w w:val="91"/>
              </w:rPr>
              <w:t>Maryland</w:t>
            </w:r>
          </w:p>
        </w:tc>
        <w:tc>
          <w:tcPr>
            <w:tcW w:w="4800" w:type="dxa"/>
            <w:vAlign w:val="bottom"/>
          </w:tcPr>
          <w:p>
            <w:pPr>
              <w:jc w:val="right"/>
              <w:ind w:right="480"/>
              <w:spacing w:after="0"/>
              <w:rPr>
                <w:sz w:val="20"/>
                <w:szCs w:val="20"/>
                <w:color w:val="auto"/>
              </w:rPr>
            </w:pPr>
            <w:r>
              <w:rPr>
                <w:rFonts w:ascii="Arial" w:cs="Arial" w:eastAsia="Arial" w:hAnsi="Arial"/>
                <w:sz w:val="18"/>
                <w:szCs w:val="18"/>
                <w:color w:val="auto"/>
              </w:rPr>
              <w:t>52-0782497</w:t>
            </w:r>
          </w:p>
        </w:tc>
      </w:tr>
      <w:tr>
        <w:trPr>
          <w:trHeight w:val="174"/>
        </w:trPr>
        <w:tc>
          <w:tcPr>
            <w:tcW w:w="3680" w:type="dxa"/>
            <w:vAlign w:val="bottom"/>
          </w:tcPr>
          <w:p>
            <w:pPr>
              <w:jc w:val="center"/>
              <w:ind w:right="242"/>
              <w:spacing w:after="0"/>
              <w:rPr>
                <w:sz w:val="20"/>
                <w:szCs w:val="20"/>
                <w:color w:val="auto"/>
              </w:rPr>
            </w:pPr>
            <w:r>
              <w:rPr>
                <w:rFonts w:ascii="Arial" w:cs="Arial" w:eastAsia="Arial" w:hAnsi="Arial"/>
                <w:sz w:val="14"/>
                <w:szCs w:val="14"/>
                <w:b w:val="1"/>
                <w:bCs w:val="1"/>
                <w:color w:val="auto"/>
                <w:w w:val="87"/>
              </w:rPr>
              <w:t>(State of Organization)</w:t>
            </w:r>
          </w:p>
        </w:tc>
        <w:tc>
          <w:tcPr>
            <w:tcW w:w="4800" w:type="dxa"/>
            <w:vAlign w:val="bottom"/>
          </w:tcPr>
          <w:p>
            <w:pPr>
              <w:jc w:val="center"/>
              <w:ind w:left="2760"/>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3680" w:type="dxa"/>
            <w:vAlign w:val="bottom"/>
          </w:tcPr>
          <w:p>
            <w:pPr>
              <w:jc w:val="center"/>
              <w:ind w:right="222"/>
              <w:spacing w:after="0"/>
              <w:rPr>
                <w:sz w:val="20"/>
                <w:szCs w:val="20"/>
                <w:color w:val="auto"/>
              </w:rPr>
            </w:pPr>
            <w:r>
              <w:rPr>
                <w:rFonts w:ascii="Arial" w:cs="Arial" w:eastAsia="Arial" w:hAnsi="Arial"/>
                <w:sz w:val="18"/>
                <w:szCs w:val="18"/>
                <w:color w:val="auto"/>
                <w:w w:val="89"/>
              </w:rPr>
              <w:t>1626 East Jefferson Street, Rockville, Maryland</w:t>
            </w:r>
          </w:p>
        </w:tc>
        <w:tc>
          <w:tcPr>
            <w:tcW w:w="4800" w:type="dxa"/>
            <w:vAlign w:val="bottom"/>
          </w:tcPr>
          <w:p>
            <w:pPr>
              <w:jc w:val="right"/>
              <w:ind w:right="680"/>
              <w:spacing w:after="0"/>
              <w:rPr>
                <w:sz w:val="20"/>
                <w:szCs w:val="20"/>
                <w:color w:val="auto"/>
              </w:rPr>
            </w:pPr>
            <w:r>
              <w:rPr>
                <w:rFonts w:ascii="Arial" w:cs="Arial" w:eastAsia="Arial" w:hAnsi="Arial"/>
                <w:sz w:val="18"/>
                <w:szCs w:val="18"/>
                <w:color w:val="auto"/>
              </w:rPr>
              <w:t>20852</w:t>
            </w:r>
          </w:p>
        </w:tc>
      </w:tr>
      <w:tr>
        <w:trPr>
          <w:trHeight w:val="153"/>
        </w:trPr>
        <w:tc>
          <w:tcPr>
            <w:tcW w:w="3680" w:type="dxa"/>
            <w:vAlign w:val="bottom"/>
          </w:tcPr>
          <w:p>
            <w:pPr>
              <w:jc w:val="center"/>
              <w:ind w:right="222"/>
              <w:spacing w:after="0" w:line="153" w:lineRule="exact"/>
              <w:rPr>
                <w:sz w:val="20"/>
                <w:szCs w:val="20"/>
                <w:color w:val="auto"/>
              </w:rPr>
            </w:pPr>
            <w:r>
              <w:rPr>
                <w:rFonts w:ascii="Arial" w:cs="Arial" w:eastAsia="Arial" w:hAnsi="Arial"/>
                <w:sz w:val="14"/>
                <w:szCs w:val="14"/>
                <w:b w:val="1"/>
                <w:bCs w:val="1"/>
                <w:color w:val="auto"/>
                <w:w w:val="86"/>
              </w:rPr>
              <w:t>(Address of Principal Executive Offices)</w:t>
            </w:r>
          </w:p>
        </w:tc>
        <w:tc>
          <w:tcPr>
            <w:tcW w:w="4800" w:type="dxa"/>
            <w:vAlign w:val="bottom"/>
          </w:tcPr>
          <w:p>
            <w:pPr>
              <w:jc w:val="center"/>
              <w:ind w:left="2780"/>
              <w:spacing w:after="0" w:line="153" w:lineRule="exact"/>
              <w:rPr>
                <w:sz w:val="20"/>
                <w:szCs w:val="20"/>
                <w:color w:val="auto"/>
              </w:rPr>
            </w:pPr>
            <w:r>
              <w:rPr>
                <w:rFonts w:ascii="Arial" w:cs="Arial" w:eastAsia="Arial" w:hAnsi="Arial"/>
                <w:sz w:val="14"/>
                <w:szCs w:val="14"/>
                <w:b w:val="1"/>
                <w:bCs w:val="1"/>
                <w:color w:val="auto"/>
                <w:w w:val="89"/>
              </w:rPr>
              <w:t>(Zip Code)</w:t>
            </w:r>
          </w:p>
        </w:tc>
      </w:tr>
      <w:tr>
        <w:trPr>
          <w:trHeight w:val="222"/>
        </w:trPr>
        <w:tc>
          <w:tcPr>
            <w:tcW w:w="3680" w:type="dxa"/>
            <w:vAlign w:val="bottom"/>
          </w:tcPr>
          <w:p>
            <w:pPr>
              <w:spacing w:after="0"/>
              <w:rPr>
                <w:sz w:val="19"/>
                <w:szCs w:val="19"/>
                <w:color w:val="auto"/>
              </w:rPr>
            </w:pPr>
          </w:p>
        </w:tc>
        <w:tc>
          <w:tcPr>
            <w:tcW w:w="4800" w:type="dxa"/>
            <w:vAlign w:val="bottom"/>
          </w:tcPr>
          <w:p>
            <w:pPr>
              <w:jc w:val="right"/>
              <w:ind w:right="3320"/>
              <w:spacing w:after="0"/>
              <w:rPr>
                <w:sz w:val="20"/>
                <w:szCs w:val="20"/>
                <w:color w:val="auto"/>
              </w:rPr>
            </w:pPr>
            <w:r>
              <w:rPr>
                <w:rFonts w:ascii="Arial" w:cs="Arial" w:eastAsia="Arial" w:hAnsi="Arial"/>
                <w:sz w:val="18"/>
                <w:szCs w:val="18"/>
                <w:color w:val="auto"/>
              </w:rPr>
              <w:t>(301) 998-8100</w:t>
            </w: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140" w:type="dxa"/>
            <w:vAlign w:val="bottom"/>
          </w:tcPr>
          <w:p>
            <w:pPr>
              <w:spacing w:after="0"/>
              <w:rPr>
                <w:sz w:val="21"/>
                <w:szCs w:val="21"/>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7"/>
              </w:rPr>
              <w:t>Title of Each Class</w:t>
            </w:r>
          </w:p>
        </w:tc>
        <w:tc>
          <w:tcPr>
            <w:tcW w:w="2380" w:type="dxa"/>
            <w:vAlign w:val="bottom"/>
          </w:tcPr>
          <w:p>
            <w:pPr>
              <w:spacing w:after="0"/>
              <w:rPr>
                <w:sz w:val="21"/>
                <w:szCs w:val="21"/>
                <w:color w:val="auto"/>
              </w:rPr>
            </w:pPr>
          </w:p>
        </w:tc>
        <w:tc>
          <w:tcPr>
            <w:tcW w:w="5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2"/>
        </w:trPr>
        <w:tc>
          <w:tcPr>
            <w:tcW w:w="2140" w:type="dxa"/>
            <w:vAlign w:val="bottom"/>
          </w:tcPr>
          <w:p>
            <w:pPr>
              <w:spacing w:after="0" w:line="202" w:lineRule="exact"/>
              <w:rPr>
                <w:sz w:val="20"/>
                <w:szCs w:val="20"/>
                <w:color w:val="auto"/>
              </w:rPr>
            </w:pPr>
            <w:r>
              <w:rPr>
                <w:rFonts w:ascii="Arial" w:cs="Arial" w:eastAsia="Arial" w:hAnsi="Arial"/>
                <w:sz w:val="18"/>
                <w:szCs w:val="18"/>
                <w:color w:val="auto"/>
                <w:w w:val="89"/>
              </w:rPr>
              <w:t>Common Shares of Beneficial</w:t>
            </w:r>
          </w:p>
        </w:tc>
        <w:tc>
          <w:tcPr>
            <w:tcW w:w="382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4"/>
              </w:rPr>
              <w:t>Interest, $.01 par value per share, with associated</w:t>
            </w:r>
          </w:p>
        </w:tc>
        <w:tc>
          <w:tcPr>
            <w:tcW w:w="54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New York Stock Exchange</w:t>
            </w:r>
          </w:p>
        </w:tc>
      </w:tr>
      <w:tr>
        <w:trPr>
          <w:trHeight w:val="222"/>
        </w:trPr>
        <w:tc>
          <w:tcPr>
            <w:tcW w:w="5960" w:type="dxa"/>
            <w:vAlign w:val="bottom"/>
            <w:gridSpan w:val="3"/>
          </w:tcPr>
          <w:p>
            <w:pPr>
              <w:ind w:left="220"/>
              <w:spacing w:after="0"/>
              <w:rPr>
                <w:sz w:val="20"/>
                <w:szCs w:val="20"/>
                <w:color w:val="auto"/>
              </w:rPr>
            </w:pPr>
            <w:r>
              <w:rPr>
                <w:rFonts w:ascii="Arial" w:cs="Arial" w:eastAsia="Arial" w:hAnsi="Arial"/>
                <w:sz w:val="18"/>
                <w:szCs w:val="18"/>
                <w:color w:val="auto"/>
              </w:rPr>
              <w:t>Common Share Purchase Rights</w:t>
            </w:r>
          </w:p>
        </w:tc>
        <w:tc>
          <w:tcPr>
            <w:tcW w:w="30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70"/>
        </w:trPr>
        <w:tc>
          <w:tcPr>
            <w:tcW w:w="59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302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85"/>
        </w:trPr>
        <w:tc>
          <w:tcPr>
            <w:tcW w:w="8980" w:type="dxa"/>
            <w:vAlign w:val="bottom"/>
            <w:gridSpan w:val="4"/>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a well-known seasoned issuer, as defined in Rule 405 of the Securities Act. </w:t>
            </w: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Yes</w:t>
            </w:r>
          </w:p>
        </w:tc>
        <w:tc>
          <w:tcPr>
            <w:tcW w:w="24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r>
        <w:trPr>
          <w:trHeight w:val="275"/>
        </w:trPr>
        <w:tc>
          <w:tcPr>
            <w:tcW w:w="8980" w:type="dxa"/>
            <w:vAlign w:val="bottom"/>
            <w:gridSpan w:val="4"/>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not required to file reports pursuant to Section 13 or Section 15(d) of the Act. </w:t>
            </w: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Yes</w:t>
            </w:r>
          </w:p>
        </w:tc>
        <w:tc>
          <w:tcPr>
            <w:tcW w:w="244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bl>
    <w:p>
      <w:pPr>
        <w:spacing w:after="0" w:line="2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0" w:lineRule="exact"/>
        <w:rPr>
          <w:sz w:val="24"/>
          <w:szCs w:val="24"/>
          <w:color w:val="auto"/>
        </w:rPr>
      </w:pPr>
    </w:p>
    <w:p>
      <w:pPr>
        <w:ind w:right="1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0" w:lineRule="exact"/>
        <w:rPr>
          <w:sz w:val="24"/>
          <w:szCs w:val="24"/>
          <w:color w:val="auto"/>
        </w:rPr>
      </w:pPr>
    </w:p>
    <w:p>
      <w:pPr>
        <w:ind w:right="10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2"/>
        <w:spacing w:after="0" w:line="207" w:lineRule="exact"/>
        <w:tabs>
          <w:tab w:leader="none" w:pos="2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sz w:val="24"/>
          <w:szCs w:val="24"/>
          <w:color w:val="auto"/>
        </w:rPr>
      </w:pPr>
    </w:p>
    <w:p>
      <w:pPr>
        <w:ind w:right="640"/>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ind w:right="120"/>
        <w:spacing w:after="0" w:line="299"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sectPr>
          <w:pgSz w:w="11900" w:h="16838" w:orient="portrait"/>
          <w:cols w:equalWidth="0" w:num="5">
            <w:col w:w="1780" w:space="720"/>
            <w:col w:w="160" w:space="180"/>
            <w:col w:w="4620" w:space="720"/>
            <w:col w:w="2340" w:space="720"/>
            <w:col w:w="180"/>
          </w:cols>
          <w:pgMar w:left="240" w:top="230" w:right="239" w:bottom="1440" w:gutter="0" w:footer="0" w:header="0"/>
          <w:type w:val="continuous"/>
        </w:sectPr>
      </w:pPr>
    </w:p>
    <w:p>
      <w:pPr>
        <w:spacing w:after="0" w:line="184" w:lineRule="exact"/>
        <w:tabs>
          <w:tab w:leader="none" w:pos="87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14"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The aggregate market value of the Registrant’s common shares held by non-affiliates of the Registrant, based upon the closing sales price of the Registrant’s common shares on June 30, 2009 was $3.0 billion.</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Registrant’s common shares outstanding on February 12, 2010 was 61,258,482.</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31, 2009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the Registrant’s 2010 annual meeting of shareholders to be held in May 2010 will be incorporated by reference into Part III hereof.</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4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19"/>
                <w:szCs w:val="19"/>
                <w:color w:val="auto"/>
              </w:rPr>
            </w:pPr>
          </w:p>
        </w:tc>
      </w:tr>
      <w:tr>
        <w:trPr>
          <w:trHeight w:val="380"/>
        </w:trPr>
        <w:tc>
          <w:tcPr>
            <w:tcW w:w="11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w w:val="90"/>
              </w:rPr>
              <w:t>Item 1.</w:t>
            </w:r>
          </w:p>
        </w:tc>
        <w:tc>
          <w:tcPr>
            <w:tcW w:w="600" w:type="dxa"/>
            <w:vAlign w:val="bottom"/>
            <w:gridSpan w:val="5"/>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220" w:type="dxa"/>
            <w:vAlign w:val="bottom"/>
            <w:gridSpan w:val="2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7960" w:type="dxa"/>
            <w:vAlign w:val="bottom"/>
            <w:gridSpan w:val="1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886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6860" w:type="dxa"/>
            <w:vAlign w:val="bottom"/>
            <w:gridSpan w:val="1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Legal Proceedings</w:t>
              </w:r>
            </w:hyperlink>
          </w:p>
        </w:tc>
        <w:tc>
          <w:tcPr>
            <w:tcW w:w="7540" w:type="dxa"/>
            <w:vAlign w:val="bottom"/>
            <w:gridSpan w:val="1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886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Shareholders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PART II</w:t>
              </w:r>
            </w:hyperlink>
          </w:p>
        </w:tc>
        <w:tc>
          <w:tcPr>
            <w:tcW w:w="52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886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Market for Our Common Equity and Related Shareholder Matters and Issuer Purchases of Equity Securities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Selected Financial Data</w:t>
              </w:r>
            </w:hyperlink>
          </w:p>
        </w:tc>
        <w:tc>
          <w:tcPr>
            <w:tcW w:w="5900" w:type="dxa"/>
            <w:vAlign w:val="bottom"/>
            <w:tcBorders>
              <w:top w:val="single" w:sz="8" w:color="0000EE"/>
            </w:tcBorders>
            <w:gridSpan w:val="14"/>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886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4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5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Financial Statements and Supplementary Data</w:t>
              </w:r>
            </w:hyperlink>
          </w:p>
        </w:tc>
        <w:tc>
          <w:tcPr>
            <w:tcW w:w="560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634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Changes In and Disagreements with Accountants on Accounting and Financial Disclosure</w:t>
              </w:r>
            </w:hyperlink>
          </w:p>
        </w:tc>
        <w:tc>
          <w:tcPr>
            <w:tcW w:w="252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57">
              <w:r>
                <w:rPr>
                  <w:rFonts w:ascii="Arial" w:cs="Arial" w:eastAsia="Arial" w:hAnsi="Arial"/>
                  <w:sz w:val="18"/>
                  <w:szCs w:val="18"/>
                  <w:color w:val="0000EE"/>
                  <w:w w:val="86"/>
                </w:rPr>
                <w:t>Controls and Procedures</w:t>
              </w:r>
            </w:hyperlink>
          </w:p>
        </w:tc>
        <w:tc>
          <w:tcPr>
            <w:tcW w:w="7120" w:type="dxa"/>
            <w:vAlign w:val="bottom"/>
            <w:gridSpan w:val="1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886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304"/>
        </w:trPr>
        <w:tc>
          <w:tcPr>
            <w:tcW w:w="1120" w:type="dxa"/>
            <w:vAlign w:val="bottom"/>
            <w:gridSpan w:val="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6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5"/>
              </w:rPr>
              <w:t>Item 10.</w:t>
            </w:r>
          </w:p>
        </w:tc>
        <w:tc>
          <w:tcPr>
            <w:tcW w:w="480" w:type="dxa"/>
            <w:vAlign w:val="bottom"/>
            <w:gridSpan w:val="3"/>
          </w:tcPr>
          <w:p>
            <w:pPr>
              <w:spacing w:after="0"/>
              <w:rPr>
                <w:sz w:val="17"/>
                <w:szCs w:val="17"/>
                <w:color w:val="auto"/>
              </w:rPr>
            </w:pPr>
          </w:p>
        </w:tc>
        <w:tc>
          <w:tcPr>
            <w:tcW w:w="394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Trustees, Executive Officers and Corporate Governance</w:t>
              </w:r>
            </w:hyperlink>
          </w:p>
        </w:tc>
        <w:tc>
          <w:tcPr>
            <w:tcW w:w="492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886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Executive Compensation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886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 Related Shareholder Matters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Trustee Independence</w:t>
              </w:r>
            </w:hyperlink>
          </w:p>
        </w:tc>
        <w:tc>
          <w:tcPr>
            <w:tcW w:w="174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52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3600" w:type="dxa"/>
            <w:vAlign w:val="bottom"/>
            <w:gridSpan w:val="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PART IV</w:t>
              </w:r>
            </w:hyperlink>
          </w:p>
        </w:tc>
        <w:tc>
          <w:tcPr>
            <w:tcW w:w="4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886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Exhibits and Financial Statement Schedules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304"/>
        </w:trPr>
        <w:tc>
          <w:tcPr>
            <w:tcW w:w="1120" w:type="dxa"/>
            <w:vAlign w:val="bottom"/>
            <w:gridSpan w:val="6"/>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8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16"/>
          </w:tcPr>
          <w:p>
            <w:pPr>
              <w:ind w:left="456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References to “we,” “us,” “our” or the “Trust” refer to Federal Realty Investment Trust and our business and operations conducted through our directly or indirectly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2009, we owned or had a majority interest in community and neighborhood shopping centers and mixed-use properties which are operated as 84 predominantly retail real estate projects comprising approximately 18.2 million square feet. In total, the real estate projects were 94.5% leased and 93.2% occupied at December 31, 2009. A joint venture in which we own a 30% interest owned seven retail real estate projects totaling approximately 1.0 million square feet as of December 31, 2009. In total, the joint venture properties in which we own an interest were 85.0% leased and occupied at December 31, 2009. We have paid quarterly dividends to our shareholders continuously since our founding in 1962 and have increased our dividends per common share for 42 consecutive years.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primary business objective is to own, manage, acquire and redevelop a portfolio of high quality retail properties, with the most prevalent property type being grocery anchored community and neighborhood shopping centers, that will:</w:t>
      </w:r>
    </w:p>
    <w:p>
      <w:pPr>
        <w:spacing w:after="0" w:line="51"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 higher internal growth than our peers;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increasing cash flow for distributions to shareholders;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potential for capital appreciation.</w:t>
      </w:r>
    </w:p>
    <w:p>
      <w:pPr>
        <w:spacing w:after="0" w:line="171"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Our traditional focus has been and remains on grocery anchored community and neighborhood shopping centers. Late in 1994, recognizing a trend of increased consumer acceptance of retailer expansion to main streets, we expanded our investment strategy to include mixed-use properties. The mixed-use properties are typically centered around a retail component but also include office, residential and/or hotel components.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Strategies</w:t>
      </w:r>
    </w:p>
    <w:p>
      <w:pPr>
        <w:spacing w:after="0" w:line="9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Our core operating strategy is to actively manage our properties to maximize rents and maintain occupancy levels by attracting and retaining a strong and diverse base of tenants and replacing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17" w:lineRule="exact"/>
        <w:rPr>
          <w:sz w:val="20"/>
          <w:szCs w:val="20"/>
          <w:color w:val="auto"/>
        </w:rPr>
      </w:pPr>
    </w:p>
    <w:p>
      <w:pPr>
        <w:ind w:left="780" w:right="2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rental rates through the renewal of expiring leases or the leasing of space to new tenants at higher rental rates while limiting vacancy and down-time;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difficulties;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monitoring the merchandising mix of our tenant base to achieve a balance of strong national and regional tenants with local specialty tenants;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90" w:lineRule="exact"/>
        <w:rPr>
          <w:rFonts w:ascii="Arial" w:cs="Arial" w:eastAsia="Arial" w:hAnsi="Arial"/>
          <w:sz w:val="18"/>
          <w:szCs w:val="18"/>
          <w:color w:val="auto"/>
        </w:rPr>
      </w:pPr>
    </w:p>
    <w:p>
      <w:pPr>
        <w:ind w:left="780" w:right="50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 investors and financing sources;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exceptional customer service.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Strategies</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Our investment strategy is to deploy capital at risk-adjusted rates of return that exceed our long-term weighted average cost of capital in projects that have potential for future income growth. Our investments primarily fall into one of the following five categories:</w:t>
      </w:r>
    </w:p>
    <w:p>
      <w:pPr>
        <w:spacing w:after="0" w:line="51" w:lineRule="exact"/>
        <w:rPr>
          <w:sz w:val="20"/>
          <w:szCs w:val="20"/>
          <w:color w:val="auto"/>
        </w:rPr>
      </w:pPr>
    </w:p>
    <w:p>
      <w:pPr>
        <w:ind w:left="780" w:right="20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revenue;</w:t>
      </w:r>
    </w:p>
    <w:p>
      <w:pPr>
        <w:spacing w:after="0" w:line="50" w:lineRule="exact"/>
        <w:rPr>
          <w:rFonts w:ascii="Arial" w:cs="Arial" w:eastAsia="Arial" w:hAnsi="Arial"/>
          <w:sz w:val="18"/>
          <w:szCs w:val="18"/>
          <w:color w:val="auto"/>
        </w:rPr>
      </w:pPr>
    </w:p>
    <w:p>
      <w:pPr>
        <w:ind w:left="780" w:right="34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renovating or expanding tenant spaces for tenants capable of producing higher sales, and therefore, paying higher rents, including expanding space available to an existing tenant that is performing well but is operating out of an old or otherwise inefficient store format;</w:t>
      </w:r>
    </w:p>
    <w:p>
      <w:pPr>
        <w:spacing w:after="0" w:line="4" w:lineRule="exact"/>
        <w:rPr>
          <w:rFonts w:ascii="Arial" w:cs="Arial" w:eastAsia="Arial" w:hAnsi="Arial"/>
          <w:sz w:val="16"/>
          <w:szCs w:val="16"/>
          <w:color w:val="auto"/>
        </w:rPr>
      </w:pPr>
    </w:p>
    <w:p>
      <w:pPr>
        <w:ind w:left="780" w:right="40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community and neighborhood shopping centers and other quality retail properties, located in densely populated or affluent areas where barriers to entry for further development are high, and that have possibilities for enhancing operating performance through renovation, expansion, reconfiguration and/or retenanting;</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the retail portions of mixed-use properties and developing other portions of mixed-use properties we already own; and</w:t>
      </w:r>
    </w:p>
    <w:p>
      <w:pPr>
        <w:spacing w:after="0" w:line="90" w:lineRule="exact"/>
        <w:rPr>
          <w:rFonts w:ascii="Arial" w:cs="Arial" w:eastAsia="Arial" w:hAnsi="Arial"/>
          <w:sz w:val="18"/>
          <w:szCs w:val="18"/>
          <w:color w:val="auto"/>
        </w:rPr>
      </w:pPr>
    </w:p>
    <w:p>
      <w:pPr>
        <w:ind w:left="780" w:hanging="326"/>
        <w:spacing w:after="0" w:line="370"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acquiring, in partnership with longer term investors who contribute a substantial portion of the equity needed to acquire those properties, stabilized community and neighborhood shopping centers, located in densely populated or affluent areas where barriers to entry for further development are high.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Criteria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we evaluate potential redevelopment, retenanting, expansion and acquisition opportunities, we consider such factors as:</w:t>
      </w:r>
    </w:p>
    <w:p>
      <w:pPr>
        <w:spacing w:after="0" w:line="9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returns in relation to our cost of capital as well as the anticipated risk we will face in achieving the expected returns;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geographic area in which the property is located, including the population density and household incomes, as well as the population and income trends in that geographic area;</w:t>
      </w:r>
    </w:p>
    <w:p>
      <w:pPr>
        <w:spacing w:after="0" w:line="50"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competition for tenants and the ability to create competing properties through redevelopment, new construction or renovation;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Strategies</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financing strategies are designed to enable us to maintain a strong balance sheet while retaining sufficient flexibility to fund our operating and investing activities in the most cost-efficient way possible. Our financing strategies include:</w:t>
      </w:r>
    </w:p>
    <w:p>
      <w:pPr>
        <w:spacing w:after="0" w:line="51" w:lineRule="exact"/>
        <w:rPr>
          <w:sz w:val="20"/>
          <w:szCs w:val="20"/>
          <w:color w:val="auto"/>
        </w:rPr>
      </w:pPr>
    </w:p>
    <w:p>
      <w:pPr>
        <w:ind w:left="780" w:right="6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appropriate pool of unencumbered properties that is sufficient to support our unsecured borrowings;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our exposure to variable-rate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an available line of credit to fund short-term operating needs;</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so that a significant portion of our debt does not mature in any one year;</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utilizing the most advantageous long-term source of capital available to us to finance redevelopment and acquisition opportunities, which may include: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of our equity or debt securities through public offerings or private placements,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incurrence of indebtedness through secured or unsecured borrowings,</w:t>
      </w:r>
    </w:p>
    <w:p>
      <w:pPr>
        <w:spacing w:after="0" w:line="90" w:lineRule="exact"/>
        <w:rPr>
          <w:rFonts w:ascii="Arial" w:cs="Arial" w:eastAsia="Arial" w:hAnsi="Arial"/>
          <w:sz w:val="18"/>
          <w:szCs w:val="18"/>
          <w:color w:val="auto"/>
        </w:rPr>
      </w:pPr>
    </w:p>
    <w:p>
      <w:pPr>
        <w:ind w:left="780" w:right="120" w:hanging="326"/>
        <w:spacing w:after="0" w:line="335"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issuance of operating units in a new or existing “downREIT partnership” that is controlled and consolidated by us (generally operating units in a “downREIT” partnership are issued in exchange for a tax deferred contribution of property; these units receive the same distributions as our common shares and the holders of these units have the right to exchange their units for cash or the same number of our common shares, at our option), or</w:t>
      </w:r>
    </w:p>
    <w:p>
      <w:pPr>
        <w:spacing w:after="0" w:line="7" w:lineRule="exact"/>
        <w:rPr>
          <w:rFonts w:ascii="Arial" w:cs="Arial" w:eastAsia="Arial" w:hAnsi="Arial"/>
          <w:sz w:val="15"/>
          <w:szCs w:val="15"/>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February 12, 2010, we had 239 full-time employees and 137 part-time employees. None of our employees are represented by a collective bargaining unit. We believe that our relationship with our employees is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federal income tax on our taxable income (including any applicable alternative minimum tax) at regular corporate rates if we fail to qualify as a REIT for tax purposes in any taxable year, or to the extent we distribute less than 100% of our taxable income. We will also generally not be permitted to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In 2009, 2008, and 2007, our TRS incurred net income taxes/(refunds) of approximately $0.5 million, $(0.8) million and $(0.3) million, respectively, primarily related to sales of condominiums at Santana Row, sales of three properties in 2007, and our investment in certain restaurant joint ventures at Santana Row.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and our properties are subject to a variety of federal, state and local environmental, health, safety and similar laws, including:</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which we refer to as CERCLA;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Resource Conservation &amp; Recovery Act;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Water Act;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Air Act;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Toxic Substances Control Act;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Occupational Safety &amp; Health Act;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Americans with Disabilities Act.</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2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59"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and/or reduced rents;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7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Retailers at our properties also face increasing competition from outlet stores, discount shopping clubs, superstores, and other forms of marketing of goods and services, such as direct mail, internet marketing and telemarketing. This competition could contribute to lease defaults and insolvency of tenants.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 Information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as soon as reasonably practicable after we electronically file the material with, or furnish the material to, the Securities and Exchange Commission, or the SEC.</w:t>
      </w:r>
    </w:p>
    <w:p>
      <w:pPr>
        <w:spacing w:after="0" w:line="143"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 Information section of our website.</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that section of our website as well.</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You may obtain a printed copy of any of the foregoing materials from us by writing to us at Investor Relations, Federal Realty Investment Trust, 1626 East Jefferson Street, Rockville, Maryland 20852.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The current downturn in the economy may impact the success of our tenants’ retail operations and therefore the amount of rent and expense reimbursements we receive from our tenants. We have seen some tenants experiencing declining sales, vacating early, failing to pay rent on a timely basis or filing for bankruptcy, as well as seeking rent relief from us as landlord. Any reduction in our tenants’ abilities to pay base rent, percentage rent or other charges on a timely basis, including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As a result of the current downturn in the economy, we have seen a decrease in the number of tenants available to fill anchor spaces due to recent bankruptcies. Therefore, tenant demand for certain of our anchor spaces may decrease and as a result, we may see an increase in vacancy and/or a decrease in rents for those spaces that could have a negative impact to our net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that filed for bankruptcy protection.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owing to us for the remainder of the lease term, which could adversely affect our financial condition and results of operation.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most of our revenue directly or indirectly from rent received from our tenants. We are subject to the risks that, upon expiration or termination of leases, whether by their terms, as a result of a tenant bankruptcy, the downturn in the economy or otherwise, leases for space in our properties may not be renewed, space may not 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re-leased, or the terms of renewal or re-lease, including the cost of required renovations or concessions to tenants, may be less favorable than current lease terms which may include decreases in rental rates. As a result, our results of operations and our net income could be reduced.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December 31, 2009, we had approximately $1.8 billion of debt outstanding. Of that outstanding debt, approximately $516.2 million was secured by all or a portion of 21 of our real estate projects and approximately $62.3 million represented capital lease obligations on four of our properties. In addition, we own a 30% interest in a joint venture that had $57.8 million of debt secured by four properties as of December 31, 2009. Approximately $1.5 billion (86%) of our debt as of December 31, 2009, which includes all of our property secured debt and our capital lease obligations, is fixed rate debt. Our joint venture’s debt of $57.8 million is also fixed rate debt. Our organizational documents do not limit the level or amount of debt that we may incur. The amount of our debt outstanding from time to time could have important consequences to our shareholders. For example, it could:</w:t>
      </w:r>
    </w:p>
    <w:p>
      <w:pPr>
        <w:spacing w:after="0" w:line="39" w:lineRule="exact"/>
        <w:rPr>
          <w:sz w:val="20"/>
          <w:szCs w:val="20"/>
          <w:color w:val="auto"/>
        </w:rPr>
      </w:pPr>
    </w:p>
    <w:p>
      <w:pPr>
        <w:ind w:left="780" w:right="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increased amounts of our cash flow from operations to payments on debt upon refinancing or on our variable rate, unhedged debt, if interest rates rise;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90" w:lineRule="exact"/>
        <w:rPr>
          <w:rFonts w:ascii="Arial" w:cs="Arial" w:eastAsia="Arial" w:hAnsi="Arial"/>
          <w:sz w:val="18"/>
          <w:szCs w:val="18"/>
          <w:color w:val="auto"/>
        </w:rPr>
      </w:pPr>
    </w:p>
    <w:p>
      <w:pPr>
        <w:ind w:left="780" w:right="4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spacing w:after="0" w:line="4" w:lineRule="exact"/>
        <w:rPr>
          <w:rFonts w:ascii="Arial" w:cs="Arial" w:eastAsia="Arial" w:hAnsi="Arial"/>
          <w:sz w:val="16"/>
          <w:szCs w:val="16"/>
          <w:color w:val="auto"/>
        </w:rPr>
      </w:pPr>
    </w:p>
    <w:p>
      <w:pPr>
        <w:ind w:left="780" w:right="6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9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w:t>
      </w:r>
    </w:p>
    <w:p>
      <w:pPr>
        <w:spacing w:after="0" w:line="4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revolving credit facility, term loan and certain series of notes include financial covenants that may limit our operating activities in the future. We are also required to comply with additional covenants that include, among other things, provisions:</w:t>
      </w:r>
    </w:p>
    <w:p>
      <w:pPr>
        <w:spacing w:after="0" w:line="5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December 31, 2009, we were in compliance with all of our financial covenants. If we were to breach any of our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have inherent risks.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ground-up development of improvements on real property, as opposed to the renovation and redevelopment of existing improvements, presents substantial risks. We generally do not intend to undertake on our own construction of any new large-scale mixed-use, ground-up development projects; however, we do intend to complete the development and construction of remaining phases of projects we already have started, such as Santana Row in San Jose, California and Assembly Square in Somerville, Massachusetts. We may undertake development of these and other projects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the risks associated with our remaining development activities include:</w:t>
      </w:r>
    </w:p>
    <w:p>
      <w:pPr>
        <w:spacing w:after="0" w:line="51"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time lag between commencement and stabilization subjects us to greater risks due to fluctuations in the general economy;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than estimated construction or operating costs, including labor and material costs; and</w:t>
      </w:r>
    </w:p>
    <w:p>
      <w:pPr>
        <w:spacing w:after="0" w:line="90" w:lineRule="exact"/>
        <w:rPr>
          <w:rFonts w:ascii="Arial" w:cs="Arial" w:eastAsia="Arial" w:hAnsi="Arial"/>
          <w:sz w:val="18"/>
          <w:szCs w:val="18"/>
          <w:color w:val="auto"/>
        </w:rPr>
      </w:pPr>
    </w:p>
    <w:p>
      <w:pPr>
        <w:ind w:left="780" w:right="12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investment strategy includes the redevelopment and acquisition of community and neighborhood shopping centers in densely populated areas with high average household incomes and significant barriers to adding competitive retail supply. The redevelopment and acquisition of properties entails risks that include the following, any of which could adversely affect our results of operations and our ability to meet our obligations:</w:t>
      </w:r>
    </w:p>
    <w:p>
      <w:pPr>
        <w:spacing w:after="0" w:line="26" w:lineRule="exact"/>
        <w:rPr>
          <w:sz w:val="20"/>
          <w:szCs w:val="20"/>
          <w:color w:val="auto"/>
        </w:rPr>
      </w:pPr>
    </w:p>
    <w:p>
      <w:pPr>
        <w:ind w:left="7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result, the property may fail to achieve the returns we have projected, either temporarily or for a longer time;</w:t>
      </w:r>
    </w:p>
    <w:p>
      <w:pPr>
        <w:spacing w:after="0" w:line="104"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not be able to identify suitable properties to acquire or may be unable to complete the acquisition of the properties we identify;</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spacing w:after="0" w:line="50" w:lineRule="exact"/>
        <w:rPr>
          <w:rFonts w:ascii="Arial" w:cs="Arial" w:eastAsia="Arial" w:hAnsi="Arial"/>
          <w:sz w:val="18"/>
          <w:szCs w:val="18"/>
          <w:color w:val="auto"/>
        </w:rPr>
      </w:pPr>
    </w:p>
    <w:p>
      <w:pPr>
        <w:ind w:left="780" w:right="120" w:hanging="326"/>
        <w:spacing w:after="0" w:line="332"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4" w:lineRule="exact"/>
        <w:rPr>
          <w:rFonts w:ascii="Arial" w:cs="Arial" w:eastAsia="Arial" w:hAnsi="Arial"/>
          <w:sz w:val="16"/>
          <w:szCs w:val="16"/>
          <w:color w:val="auto"/>
        </w:rPr>
      </w:pPr>
    </w:p>
    <w:p>
      <w:pPr>
        <w:ind w:left="780" w:hanging="326"/>
        <w:spacing w:after="0" w:line="332"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The debt could include mortgage loans from third parties or the sale of debt securities. While we were able to consummate financings during 2009, the current poor economic environment and volatility in the capital markets could result in less favorable terms and availability than in recent years for debt financings.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as well as the impact of the current poor economic environment, we could experience delay or difficulty in implementing our growth strategy on satisfactory terms, or be unable to implement this strategy.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Of our approximately $1.8 billion of debt outstanding as of December 31, 2009, approximately $259.4 million bears interest at variable rates and was unhedged. Our term loan bears interest at LIBOR, subject to a 1.5% floor, plus 300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our debt and equity securities is subject to various factors that may cause significant fluctuations or volatility.</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59"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financial market conditions, including the current poor economic environment;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and trend of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access the capital markets to raise additional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additional equity or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funds from operations (“FFO”) or earnings estimates;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debt or analyst ratings;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financial condition and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perception of our business compared to other REITs; and/or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perception of REITs, in general, compared to other investment sectors.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26"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downturns in general, or in the areas where our properties are located;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an oversupply or reduction in demand;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9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Each of these risks could result in decreases in market rental rates and increases in vacancy rates, which could adversely affect our financial condition and results of operation.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leased.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Numerous commercial developers and real estate companies compete with us in seeking tenants for our existing properties and properties for acquisition. This competition may:</w:t>
      </w:r>
    </w:p>
    <w:p>
      <w:pPr>
        <w:spacing w:after="0" w:line="51"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9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current economic environment. Our inability to respond quickly to adverse changes in the performance of our investments could have an adverse effect on our ability to meet our obligations and make distributions to our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9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currently carry comprehensive insurance on all of our properties, including insurance for liability, fire, flood, rental loss and acts of terrorism. We also currently carry earthquake insurance on all of our properties in California and environmental insurance on most of our properties.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1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availability of insurance coverage may decrease and the prices for insurance may increase as a consequence of significant losses incurred by the insurance industry.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disrupt seriously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jointly with other persons or entities and as of December 31, 2009, excluding our joint venture with affiliates of a discretionary fund created and advised by ING Clarion Partners (“Clarion”) and properties owned in a “downREIT” structure, we hold three predominantly retail real estate projects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we hold the managing general partnership or membership interest in all of our existing co-investments as of December 31, 2009, we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on July 1, 2004, we entered into a joint venture with Clarion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32"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new anchor tenant leases, modify existing anchor tenant leases or enforce remedies against anchor tenants;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repairs, renovations or other changes or improvements to properties;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or finance the property with secured debt.</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terms of our partnership require that certain acquisition opportunities be presented first to the joint venture, which limits our ability to acquire properties for our own account which could, in turn, limit our ability to grow. Our joint venture with Clarion is subject to a buy-sell provision which is customary for real estate joint venture agreements and the industry. Either partner may initiate these provisions at any time, which could result in either the sale of our interest or the use of available cash or borrowings to acquire Clarion’s interest. Our investment in this joint venture is also subject to the risks described above for jointly owned investments. As of December 31, 2009, this joint venture owned seven properties.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Americans with Disabilities Act of 1990 could require us to take remedial steps with respect to existing or newly acquired properties.</w:t>
      </w:r>
    </w:p>
    <w:p>
      <w:pPr>
        <w:spacing w:after="0" w:line="11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revenues generated by our tenants could be negatively affected by various federal, state and local laws to which they are subject.</w:t>
      </w:r>
    </w:p>
    <w:p>
      <w:pPr>
        <w:spacing w:after="0" w:line="11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45"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If we fail to qualify as a REIT:</w:t>
      </w:r>
    </w:p>
    <w:p>
      <w:pPr>
        <w:spacing w:after="0" w:line="90"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REIT, we must make generally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62"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income may not be matched by our related expenses at the time the income is considered received for purposes of determining taxable income; and</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non-deductible capital expenditures, creation of reserves, or debt service requirements may reduce available cash but not taxable income.</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9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or ownership would be void or the shares would be transferred to a charitable trust and then sold to someone who can own those shares without violating the 9.8% ownership limit.</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4"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7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62"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5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 and</w:t>
      </w:r>
    </w:p>
    <w:p>
      <w:pPr>
        <w:spacing w:after="0" w:line="90" w:lineRule="exact"/>
        <w:rPr>
          <w:rFonts w:ascii="Arial" w:cs="Arial" w:eastAsia="Arial" w:hAnsi="Arial"/>
          <w:sz w:val="18"/>
          <w:szCs w:val="18"/>
          <w:color w:val="auto"/>
        </w:rPr>
      </w:pPr>
    </w:p>
    <w:p>
      <w:pPr>
        <w:ind w:left="780" w:right="80" w:hanging="326"/>
        <w:spacing w:after="0" w:line="370" w:lineRule="auto"/>
        <w:tabs>
          <w:tab w:leader="none" w:pos="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6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amend or revise our business policies without your approval.</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43"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current business plan adopted by our Board of Trustees focuses on our investment in neighborhood and community shopping centers, principally through redevelopments and acquisitions. If this business plan is not successful, it could have a material adverse effect on our financial condition and results of operations.</w:t>
      </w:r>
    </w:p>
    <w:p>
      <w:pPr>
        <w:spacing w:after="0" w:line="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1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2009, we owned or had a majority ownership interest in community and neighborhood shopping centers and mixed-used properties which are operated as 84 predominantly retail real estate projects comprising approximately 18.2 million square feet. These properties are located primarily in densely populated and affluent communities in strategic metropolitan markets in the Northeast and Mid-Atlantic regions of the United States, as well as California. No single property accounted for over 10% of our 2009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December 31, 2009, we had approximately 2,400 leases, with tenants ranging from sole proprietors to major national and international retailers. No one tenant or affiliated group of tenants accounted for more than 2.6% of our annualized base rent as of December 31, 2009. As a result of our tenant diversification, we believe our exposure to any one bankruptcy filing in the retail sector has not been and will not be significant, however, multiple filings by a number of retailers could have a significant impact.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9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Our 84 real estate projects are located in 13 states and the District of Columbia. The following table shows the number of projects, the gross leasable area of commercial space and the percentage of total portfolio gross leasable area of commercial space in each state as of December 31, 2009.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of 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5"/>
              </w:rPr>
              <w:t>Number of</w:t>
            </w:r>
          </w:p>
        </w:tc>
        <w:tc>
          <w:tcPr>
            <w:tcW w:w="15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Gross Leasable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Leasable</w:t>
            </w:r>
          </w:p>
        </w:tc>
        <w:tc>
          <w:tcPr>
            <w:tcW w:w="0" w:type="dxa"/>
            <w:vAlign w:val="bottom"/>
          </w:tcPr>
          <w:p>
            <w:pPr>
              <w:spacing w:after="0"/>
              <w:rPr>
                <w:sz w:val="1"/>
                <w:szCs w:val="1"/>
                <w:color w:val="auto"/>
              </w:rPr>
            </w:pPr>
          </w:p>
        </w:tc>
      </w:tr>
      <w:tr>
        <w:trPr>
          <w:trHeight w:val="161"/>
        </w:trPr>
        <w:tc>
          <w:tcPr>
            <w:tcW w:w="7780" w:type="dxa"/>
            <w:vAlign w:val="bottom"/>
            <w:gridSpan w:val="4"/>
          </w:tcPr>
          <w:p>
            <w:pPr>
              <w:spacing w:after="0"/>
              <w:rPr>
                <w:sz w:val="20"/>
                <w:szCs w:val="20"/>
                <w:color w:val="auto"/>
              </w:rPr>
            </w:pPr>
            <w:r>
              <w:rPr>
                <w:rFonts w:ascii="Arial" w:cs="Arial" w:eastAsia="Arial" w:hAnsi="Arial"/>
                <w:sz w:val="14"/>
                <w:szCs w:val="14"/>
                <w:b w:val="1"/>
                <w:bCs w:val="1"/>
                <w:color w:val="auto"/>
              </w:rPr>
              <w:t>State</w:t>
            </w: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4"/>
              </w:rPr>
              <w:t>Projects</w:t>
            </w:r>
          </w:p>
        </w:tc>
        <w:tc>
          <w:tcPr>
            <w:tcW w:w="15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Area</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Area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Maryland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3,701,000</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Virginia</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3,612,000</w:t>
            </w:r>
          </w:p>
        </w:tc>
        <w:tc>
          <w:tcPr>
            <w:tcW w:w="6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California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2,456,000</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Pennsylvania(1)</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2,409,000</w:t>
            </w:r>
          </w:p>
        </w:tc>
        <w:tc>
          <w:tcPr>
            <w:tcW w:w="6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Jersey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1,385,000</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Massachusetts</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1,381,000</w:t>
            </w:r>
          </w:p>
        </w:tc>
        <w:tc>
          <w:tcPr>
            <w:tcW w:w="6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1,124,000</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752,000</w:t>
            </w:r>
          </w:p>
        </w:tc>
        <w:tc>
          <w:tcPr>
            <w:tcW w:w="6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Connecticut(1)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308,000</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Florida</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308,000</w:t>
            </w:r>
          </w:p>
        </w:tc>
        <w:tc>
          <w:tcPr>
            <w:tcW w:w="6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Texas</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196,000</w:t>
            </w:r>
          </w:p>
        </w:tc>
        <w:tc>
          <w:tcPr>
            <w:tcW w:w="6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District of Columbia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167,000</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North Carolina</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153,000</w:t>
            </w:r>
          </w:p>
        </w:tc>
        <w:tc>
          <w:tcPr>
            <w:tcW w:w="6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all states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18,169,000</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Additionally, we own two participating mortgages totaling approximately $29.1 million secured by multiple buildings in Manayunk, Pennsylvania, and one $7.2 million loan secured by two properties in Norwalk, Connecticut.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Lease Terms and Lease Expirations</w:t>
      </w:r>
    </w:p>
    <w:p>
      <w:pPr>
        <w:spacing w:after="0" w:line="96"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8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Commercial property leases generally range from 3 to 10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2009, represented approximately 4.1% of total rental income.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2009 for each of the 10 years beginning with 2010 and after 2019 in the aggregate assuming that none of the tenants exercise future renewal options. Annualized base rents reflect in-place contractual rents as of December 31, 2009.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Leased</w:t>
            </w:r>
          </w:p>
        </w:tc>
        <w:tc>
          <w:tcPr>
            <w:tcW w:w="68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Percentage of</w:t>
            </w:r>
          </w:p>
        </w:tc>
        <w:tc>
          <w:tcPr>
            <w:tcW w:w="4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Annualized</w:t>
            </w: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Square</w:t>
            </w:r>
          </w:p>
        </w:tc>
        <w:tc>
          <w:tcPr>
            <w:tcW w:w="68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Leased Square</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Base Rent</w:t>
            </w:r>
          </w:p>
        </w:tc>
        <w:tc>
          <w:tcPr>
            <w:tcW w:w="76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Percentage of Annualized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Footage</w:t>
            </w:r>
          </w:p>
        </w:tc>
        <w:tc>
          <w:tcPr>
            <w:tcW w:w="68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Footage</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Represented by</w:t>
            </w:r>
          </w:p>
        </w:tc>
        <w:tc>
          <w:tcPr>
            <w:tcW w:w="76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Base Rent Represented</w:t>
            </w:r>
          </w:p>
        </w:tc>
        <w:tc>
          <w:tcPr>
            <w:tcW w:w="0" w:type="dxa"/>
            <w:vAlign w:val="bottom"/>
          </w:tcPr>
          <w:p>
            <w:pPr>
              <w:spacing w:after="0"/>
              <w:rPr>
                <w:sz w:val="1"/>
                <w:szCs w:val="1"/>
                <w:color w:val="auto"/>
              </w:rPr>
            </w:pPr>
          </w:p>
        </w:tc>
      </w:tr>
      <w:tr>
        <w:trPr>
          <w:trHeight w:val="161"/>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w w:val="92"/>
              </w:rPr>
              <w:t>Year of Lease Expiration</w:t>
            </w:r>
          </w:p>
        </w:tc>
        <w:tc>
          <w:tcPr>
            <w:tcW w:w="31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Expiring</w:t>
            </w:r>
          </w:p>
        </w:tc>
        <w:tc>
          <w:tcPr>
            <w:tcW w:w="68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Expiring</w:t>
            </w:r>
          </w:p>
        </w:tc>
        <w:tc>
          <w:tcPr>
            <w:tcW w:w="4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Expiring Leases</w:t>
            </w:r>
          </w:p>
        </w:tc>
        <w:tc>
          <w:tcPr>
            <w:tcW w:w="76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by Expiring 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983,000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23,394,000</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2011</w:t>
            </w:r>
          </w:p>
        </w:tc>
        <w:tc>
          <w:tcPr>
            <w:tcW w:w="4000" w:type="dxa"/>
            <w:vAlign w:val="bottom"/>
            <w:gridSpan w:val="3"/>
          </w:tcPr>
          <w:p>
            <w:pPr>
              <w:jc w:val="right"/>
              <w:ind w:right="80"/>
              <w:spacing w:after="0"/>
              <w:rPr>
                <w:sz w:val="20"/>
                <w:szCs w:val="20"/>
                <w:color w:val="auto"/>
              </w:rPr>
            </w:pPr>
            <w:r>
              <w:rPr>
                <w:rFonts w:ascii="Arial" w:cs="Arial" w:eastAsia="Arial" w:hAnsi="Arial"/>
                <w:sz w:val="18"/>
                <w:szCs w:val="18"/>
                <w:color w:val="auto"/>
              </w:rPr>
              <w:t>2,011,000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45,894,000</w:t>
            </w:r>
          </w:p>
        </w:tc>
        <w:tc>
          <w:tcPr>
            <w:tcW w:w="244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2,128,000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48,128,000</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2013</w:t>
            </w:r>
          </w:p>
        </w:tc>
        <w:tc>
          <w:tcPr>
            <w:tcW w:w="4000" w:type="dxa"/>
            <w:vAlign w:val="bottom"/>
            <w:gridSpan w:val="3"/>
          </w:tcPr>
          <w:p>
            <w:pPr>
              <w:jc w:val="right"/>
              <w:ind w:right="80"/>
              <w:spacing w:after="0"/>
              <w:rPr>
                <w:sz w:val="20"/>
                <w:szCs w:val="20"/>
                <w:color w:val="auto"/>
              </w:rPr>
            </w:pPr>
            <w:r>
              <w:rPr>
                <w:rFonts w:ascii="Arial" w:cs="Arial" w:eastAsia="Arial" w:hAnsi="Arial"/>
                <w:sz w:val="18"/>
                <w:szCs w:val="18"/>
                <w:color w:val="auto"/>
              </w:rPr>
              <w:t>2,063,000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48,464,000</w:t>
            </w:r>
          </w:p>
        </w:tc>
        <w:tc>
          <w:tcPr>
            <w:tcW w:w="244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2,257,000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51,032,000</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2015</w:t>
            </w:r>
          </w:p>
        </w:tc>
        <w:tc>
          <w:tcPr>
            <w:tcW w:w="4000" w:type="dxa"/>
            <w:vAlign w:val="bottom"/>
            <w:gridSpan w:val="3"/>
          </w:tcPr>
          <w:p>
            <w:pPr>
              <w:jc w:val="right"/>
              <w:ind w:right="80"/>
              <w:spacing w:after="0"/>
              <w:rPr>
                <w:sz w:val="20"/>
                <w:szCs w:val="20"/>
                <w:color w:val="auto"/>
              </w:rPr>
            </w:pPr>
            <w:r>
              <w:rPr>
                <w:rFonts w:ascii="Arial" w:cs="Arial" w:eastAsia="Arial" w:hAnsi="Arial"/>
                <w:sz w:val="18"/>
                <w:szCs w:val="18"/>
                <w:color w:val="auto"/>
              </w:rPr>
              <w:t>1,437,000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29,542,000</w:t>
            </w:r>
          </w:p>
        </w:tc>
        <w:tc>
          <w:tcPr>
            <w:tcW w:w="244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1,014,000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24,588,000</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2017</w:t>
            </w:r>
          </w:p>
        </w:tc>
        <w:tc>
          <w:tcPr>
            <w:tcW w:w="4000" w:type="dxa"/>
            <w:vAlign w:val="bottom"/>
            <w:gridSpan w:val="3"/>
          </w:tcPr>
          <w:p>
            <w:pPr>
              <w:jc w:val="right"/>
              <w:ind w:right="80"/>
              <w:spacing w:after="0"/>
              <w:rPr>
                <w:sz w:val="20"/>
                <w:szCs w:val="20"/>
                <w:color w:val="auto"/>
              </w:rPr>
            </w:pPr>
            <w:r>
              <w:rPr>
                <w:rFonts w:ascii="Arial" w:cs="Arial" w:eastAsia="Arial" w:hAnsi="Arial"/>
                <w:sz w:val="18"/>
                <w:szCs w:val="18"/>
                <w:color w:val="auto"/>
              </w:rPr>
              <w:t>1,034,000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23,126,000</w:t>
            </w:r>
          </w:p>
        </w:tc>
        <w:tc>
          <w:tcPr>
            <w:tcW w:w="244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968,000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17,993,000</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2019</w:t>
            </w:r>
          </w:p>
        </w:tc>
        <w:tc>
          <w:tcPr>
            <w:tcW w:w="4000" w:type="dxa"/>
            <w:vAlign w:val="bottom"/>
            <w:gridSpan w:val="3"/>
          </w:tcPr>
          <w:p>
            <w:pPr>
              <w:jc w:val="right"/>
              <w:ind w:right="80"/>
              <w:spacing w:after="0"/>
              <w:rPr>
                <w:sz w:val="20"/>
                <w:szCs w:val="20"/>
                <w:color w:val="auto"/>
              </w:rPr>
            </w:pPr>
            <w:r>
              <w:rPr>
                <w:rFonts w:ascii="Arial" w:cs="Arial" w:eastAsia="Arial" w:hAnsi="Arial"/>
                <w:sz w:val="18"/>
                <w:szCs w:val="18"/>
                <w:color w:val="auto"/>
              </w:rPr>
              <w:t>685,000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16,554,000</w:t>
            </w:r>
          </w:p>
        </w:tc>
        <w:tc>
          <w:tcPr>
            <w:tcW w:w="244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2,317,000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45,306,000</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3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3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16,897,000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374,021,000</w:t>
            </w:r>
          </w:p>
        </w:tc>
        <w:tc>
          <w:tcPr>
            <w:tcW w:w="24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vMerge w:val="restart"/>
          </w:tcPr>
          <w:p>
            <w:pPr>
              <w:jc w:val="right"/>
              <w:ind w:right="332"/>
              <w:spacing w:after="0"/>
              <w:rPr>
                <w:sz w:val="20"/>
                <w:szCs w:val="20"/>
                <w:color w:val="auto"/>
              </w:rPr>
            </w:pPr>
            <w:r>
              <w:rPr>
                <w:rFonts w:ascii="Arial" w:cs="Arial" w:eastAsia="Arial" w:hAnsi="Arial"/>
                <w:sz w:val="18"/>
                <w:szCs w:val="18"/>
                <w:color w:val="auto"/>
              </w:rPr>
              <w:t>20</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2009. Except as otherwise noted, we are the sole owner of our retail real estate projects. Principal tenants are the largest tenants in the project based on square feet leased or are tenants important to a project’s success due to their ability to attract retail customers.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Square Feet(1)</w:t>
            </w:r>
          </w:p>
        </w:tc>
        <w:tc>
          <w:tcPr>
            <w:tcW w:w="3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Average Rent</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Square</w:t>
            </w:r>
          </w:p>
        </w:tc>
        <w:tc>
          <w:tcPr>
            <w:tcW w:w="340" w:type="dxa"/>
            <w:vAlign w:val="bottom"/>
          </w:tcPr>
          <w:p>
            <w:pPr>
              <w:spacing w:after="0"/>
              <w:rPr>
                <w:sz w:val="12"/>
                <w:szCs w:val="12"/>
                <w:color w:val="auto"/>
              </w:rPr>
            </w:pPr>
          </w:p>
        </w:tc>
        <w:tc>
          <w:tcPr>
            <w:tcW w:w="74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0"/>
              </w:rPr>
              <w:t>Percentage</w:t>
            </w: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20" w:type="dxa"/>
            <w:vAlign w:val="bottom"/>
            <w:gridSpan w:val="5"/>
          </w:tcPr>
          <w:p>
            <w:pPr>
              <w:spacing w:after="0"/>
              <w:rPr>
                <w:sz w:val="20"/>
                <w:szCs w:val="20"/>
                <w:color w:val="auto"/>
              </w:rPr>
            </w:pPr>
            <w:r>
              <w:rPr>
                <w:rFonts w:ascii="Arial" w:cs="Arial" w:eastAsia="Arial" w:hAnsi="Arial"/>
                <w:sz w:val="14"/>
                <w:szCs w:val="14"/>
                <w:b w:val="1"/>
                <w:bCs w:val="1"/>
                <w:color w:val="auto"/>
                <w:w w:val="94"/>
              </w:rPr>
              <w:t>Property, City, State, Zip Code</w:t>
            </w:r>
          </w:p>
        </w:tc>
        <w:tc>
          <w:tcPr>
            <w:tcW w:w="2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Completed</w:t>
            </w:r>
          </w:p>
        </w:tc>
        <w:tc>
          <w:tcPr>
            <w:tcW w:w="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Acquired</w:t>
            </w: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3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Foot</w:t>
            </w:r>
          </w:p>
        </w:tc>
        <w:tc>
          <w:tcPr>
            <w:tcW w:w="3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Leased(2)</w:t>
            </w:r>
          </w:p>
        </w:tc>
        <w:tc>
          <w:tcPr>
            <w:tcW w:w="320" w:type="dxa"/>
            <w:vAlign w:val="bottom"/>
          </w:tcPr>
          <w:p>
            <w:pPr>
              <w:spacing w:after="0"/>
              <w:rPr>
                <w:sz w:val="14"/>
                <w:szCs w:val="14"/>
                <w:color w:val="auto"/>
              </w:rPr>
            </w:pPr>
          </w:p>
        </w:tc>
        <w:tc>
          <w:tcPr>
            <w:tcW w:w="1440" w:type="dxa"/>
            <w:vAlign w:val="bottom"/>
          </w:tcPr>
          <w:p>
            <w:pPr>
              <w:ind w:left="180"/>
              <w:spacing w:after="0"/>
              <w:rPr>
                <w:sz w:val="20"/>
                <w:szCs w:val="20"/>
                <w:color w:val="auto"/>
              </w:rPr>
            </w:pPr>
            <w:r>
              <w:rPr>
                <w:rFonts w:ascii="Arial" w:cs="Arial" w:eastAsia="Arial" w:hAnsi="Arial"/>
                <w:sz w:val="14"/>
                <w:szCs w:val="14"/>
                <w:b w:val="1"/>
                <w:bCs w:val="1"/>
                <w:color w:val="auto"/>
                <w:w w:val="98"/>
              </w:rPr>
              <w:t>Principal Tenant(s)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00" w:type="dxa"/>
            <w:vAlign w:val="bottom"/>
            <w:tcBorders>
              <w:top w:val="single" w:sz="8" w:color="auto"/>
            </w:tcBorders>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California</w:t>
            </w:r>
          </w:p>
        </w:tc>
        <w:tc>
          <w:tcPr>
            <w:tcW w:w="240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00" w:type="dxa"/>
            <w:vAlign w:val="bottom"/>
            <w:gridSpan w:val="4"/>
          </w:tcPr>
          <w:p>
            <w:pPr>
              <w:spacing w:after="0" w:line="131" w:lineRule="exact"/>
              <w:rPr>
                <w:sz w:val="20"/>
                <w:szCs w:val="20"/>
                <w:color w:val="auto"/>
              </w:rPr>
            </w:pPr>
            <w:r>
              <w:rPr>
                <w:rFonts w:ascii="Arial" w:cs="Arial" w:eastAsia="Arial" w:hAnsi="Arial"/>
                <w:sz w:val="14"/>
                <w:szCs w:val="14"/>
                <w:color w:val="auto"/>
              </w:rPr>
              <w:t>150 Post Street</w:t>
            </w:r>
          </w:p>
        </w:tc>
        <w:tc>
          <w:tcPr>
            <w:tcW w:w="3120" w:type="dxa"/>
            <w:vAlign w:val="bottom"/>
            <w:gridSpan w:val="2"/>
          </w:tcPr>
          <w:p>
            <w:pPr>
              <w:jc w:val="center"/>
              <w:ind w:left="2352"/>
              <w:spacing w:after="0" w:line="131" w:lineRule="exact"/>
              <w:rPr>
                <w:sz w:val="20"/>
                <w:szCs w:val="20"/>
                <w:color w:val="auto"/>
              </w:rPr>
            </w:pPr>
            <w:r>
              <w:rPr>
                <w:rFonts w:ascii="Arial" w:cs="Arial" w:eastAsia="Arial" w:hAnsi="Arial"/>
                <w:sz w:val="14"/>
                <w:szCs w:val="14"/>
                <w:color w:val="auto"/>
                <w:w w:val="83"/>
              </w:rPr>
              <w:t>1965</w:t>
            </w:r>
          </w:p>
        </w:tc>
        <w:tc>
          <w:tcPr>
            <w:tcW w:w="1020" w:type="dxa"/>
            <w:vAlign w:val="bottom"/>
            <w:gridSpan w:val="2"/>
          </w:tcPr>
          <w:p>
            <w:pPr>
              <w:jc w:val="center"/>
              <w:ind w:left="272"/>
              <w:spacing w:after="0" w:line="131" w:lineRule="exact"/>
              <w:rPr>
                <w:sz w:val="20"/>
                <w:szCs w:val="20"/>
                <w:color w:val="auto"/>
              </w:rPr>
            </w:pPr>
            <w:r>
              <w:rPr>
                <w:rFonts w:ascii="Arial" w:cs="Arial" w:eastAsia="Arial" w:hAnsi="Arial"/>
                <w:sz w:val="14"/>
                <w:szCs w:val="14"/>
                <w:color w:val="auto"/>
                <w:w w:val="89"/>
              </w:rPr>
              <w:t>1997</w:t>
            </w:r>
          </w:p>
        </w:tc>
        <w:tc>
          <w:tcPr>
            <w:tcW w:w="1300" w:type="dxa"/>
            <w:vAlign w:val="bottom"/>
            <w:gridSpan w:val="2"/>
          </w:tcPr>
          <w:p>
            <w:pPr>
              <w:jc w:val="center"/>
              <w:ind w:left="272"/>
              <w:spacing w:after="0" w:line="131" w:lineRule="exact"/>
              <w:rPr>
                <w:sz w:val="20"/>
                <w:szCs w:val="20"/>
                <w:color w:val="auto"/>
              </w:rPr>
            </w:pPr>
            <w:r>
              <w:rPr>
                <w:rFonts w:ascii="Arial" w:cs="Arial" w:eastAsia="Arial" w:hAnsi="Arial"/>
                <w:sz w:val="14"/>
                <w:szCs w:val="14"/>
                <w:color w:val="auto"/>
                <w:w w:val="86"/>
              </w:rPr>
              <w:t>101,000</w:t>
            </w:r>
          </w:p>
        </w:tc>
        <w:tc>
          <w:tcPr>
            <w:tcW w:w="1220" w:type="dxa"/>
            <w:vAlign w:val="bottom"/>
            <w:gridSpan w:val="2"/>
          </w:tcPr>
          <w:p>
            <w:pPr>
              <w:jc w:val="center"/>
              <w:ind w:left="272"/>
              <w:spacing w:after="0" w:line="131" w:lineRule="exact"/>
              <w:rPr>
                <w:sz w:val="20"/>
                <w:szCs w:val="20"/>
                <w:color w:val="auto"/>
              </w:rPr>
            </w:pPr>
            <w:r>
              <w:rPr>
                <w:rFonts w:ascii="Arial" w:cs="Arial" w:eastAsia="Arial" w:hAnsi="Arial"/>
                <w:sz w:val="14"/>
                <w:szCs w:val="14"/>
                <w:color w:val="auto"/>
                <w:w w:val="83"/>
              </w:rPr>
              <w:t>$42.75</w:t>
            </w:r>
          </w:p>
        </w:tc>
        <w:tc>
          <w:tcPr>
            <w:tcW w:w="1080" w:type="dxa"/>
            <w:vAlign w:val="bottom"/>
            <w:gridSpan w:val="2"/>
          </w:tcPr>
          <w:p>
            <w:pPr>
              <w:jc w:val="center"/>
              <w:ind w:left="252"/>
              <w:spacing w:after="0" w:line="131" w:lineRule="exact"/>
              <w:rPr>
                <w:sz w:val="20"/>
                <w:szCs w:val="20"/>
                <w:color w:val="auto"/>
              </w:rPr>
            </w:pPr>
            <w:r>
              <w:rPr>
                <w:rFonts w:ascii="Arial" w:cs="Arial" w:eastAsia="Arial" w:hAnsi="Arial"/>
                <w:sz w:val="14"/>
                <w:szCs w:val="14"/>
                <w:color w:val="auto"/>
                <w:w w:val="85"/>
              </w:rPr>
              <w:t>99%</w:t>
            </w:r>
          </w:p>
        </w:tc>
        <w:tc>
          <w:tcPr>
            <w:tcW w:w="176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Brooks Brothers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color w:val="auto"/>
              </w:rPr>
              <w:t>San Francisco, CA 94108</w:t>
            </w: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H &amp; 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Colorado Blvd</w:t>
            </w:r>
          </w:p>
        </w:tc>
        <w:tc>
          <w:tcPr>
            <w:tcW w:w="3120" w:type="dxa"/>
            <w:vAlign w:val="bottom"/>
            <w:gridSpan w:val="2"/>
            <w:shd w:val="clear" w:color="auto" w:fill="CCEEFF"/>
          </w:tcPr>
          <w:p>
            <w:pPr>
              <w:jc w:val="center"/>
              <w:ind w:left="2352"/>
              <w:spacing w:after="0" w:line="139" w:lineRule="exact"/>
              <w:rPr>
                <w:sz w:val="20"/>
                <w:szCs w:val="20"/>
                <w:color w:val="auto"/>
              </w:rPr>
            </w:pPr>
            <w:r>
              <w:rPr>
                <w:rFonts w:ascii="Arial" w:cs="Arial" w:eastAsia="Arial" w:hAnsi="Arial"/>
                <w:sz w:val="14"/>
                <w:szCs w:val="14"/>
                <w:color w:val="auto"/>
                <w:w w:val="83"/>
              </w:rPr>
              <w:t>1922</w:t>
            </w:r>
          </w:p>
        </w:tc>
        <w:tc>
          <w:tcPr>
            <w:tcW w:w="10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1996-1998</w:t>
            </w:r>
          </w:p>
        </w:tc>
        <w:tc>
          <w:tcPr>
            <w:tcW w:w="130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8"/>
              </w:rPr>
              <w:t>69,000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$37.07</w:t>
            </w:r>
          </w:p>
        </w:tc>
        <w:tc>
          <w:tcPr>
            <w:tcW w:w="10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5"/>
              </w:rPr>
              <w:t>97%</w:t>
            </w:r>
          </w:p>
        </w:tc>
        <w:tc>
          <w:tcPr>
            <w:tcW w:w="1760" w:type="dxa"/>
            <w:vAlign w:val="bottom"/>
            <w:gridSpan w:val="2"/>
            <w:shd w:val="clear" w:color="auto" w:fill="CCEEFF"/>
          </w:tcPr>
          <w:p>
            <w:pPr>
              <w:ind w:left="320"/>
              <w:spacing w:after="0" w:line="139"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Pasadena, CA(3)</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Crow Canyon Commons</w:t>
            </w:r>
          </w:p>
        </w:tc>
        <w:tc>
          <w:tcPr>
            <w:tcW w:w="3120" w:type="dxa"/>
            <w:vAlign w:val="bottom"/>
            <w:gridSpan w:val="2"/>
          </w:tcPr>
          <w:p>
            <w:pPr>
              <w:jc w:val="center"/>
              <w:ind w:left="2352"/>
              <w:spacing w:after="0" w:line="138" w:lineRule="exact"/>
              <w:rPr>
                <w:sz w:val="20"/>
                <w:szCs w:val="20"/>
                <w:color w:val="auto"/>
              </w:rPr>
            </w:pPr>
            <w:r>
              <w:rPr>
                <w:rFonts w:ascii="Arial" w:cs="Arial" w:eastAsia="Arial" w:hAnsi="Arial"/>
                <w:sz w:val="14"/>
                <w:szCs w:val="14"/>
                <w:color w:val="auto"/>
                <w:w w:val="86"/>
              </w:rPr>
              <w:t>1980-2006</w:t>
            </w:r>
          </w:p>
        </w:tc>
        <w:tc>
          <w:tcPr>
            <w:tcW w:w="10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2005-2007</w:t>
            </w:r>
          </w:p>
        </w:tc>
        <w:tc>
          <w:tcPr>
            <w:tcW w:w="13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6"/>
              </w:rPr>
              <w:t>242,000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$19.24</w:t>
            </w:r>
          </w:p>
        </w:tc>
        <w:tc>
          <w:tcPr>
            <w:tcW w:w="10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5"/>
              </w:rPr>
              <w:t>92%</w:t>
            </w:r>
          </w:p>
        </w:tc>
        <w:tc>
          <w:tcPr>
            <w:tcW w:w="176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Lucky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San Ramon, CA(3)</w:t>
            </w: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Loehmann’s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Escondido Promenade</w:t>
            </w:r>
          </w:p>
        </w:tc>
        <w:tc>
          <w:tcPr>
            <w:tcW w:w="3120" w:type="dxa"/>
            <w:vAlign w:val="bottom"/>
            <w:gridSpan w:val="2"/>
            <w:shd w:val="clear" w:color="auto" w:fill="CCEEFF"/>
          </w:tcPr>
          <w:p>
            <w:pPr>
              <w:jc w:val="center"/>
              <w:ind w:left="2352"/>
              <w:spacing w:after="0" w:line="139" w:lineRule="exact"/>
              <w:rPr>
                <w:sz w:val="20"/>
                <w:szCs w:val="20"/>
                <w:color w:val="auto"/>
              </w:rPr>
            </w:pPr>
            <w:r>
              <w:rPr>
                <w:rFonts w:ascii="Arial" w:cs="Arial" w:eastAsia="Arial" w:hAnsi="Arial"/>
                <w:sz w:val="14"/>
                <w:szCs w:val="14"/>
                <w:color w:val="auto"/>
                <w:w w:val="83"/>
              </w:rPr>
              <w:t>1987</w:t>
            </w:r>
          </w:p>
        </w:tc>
        <w:tc>
          <w:tcPr>
            <w:tcW w:w="10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1996</w:t>
            </w:r>
          </w:p>
        </w:tc>
        <w:tc>
          <w:tcPr>
            <w:tcW w:w="13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6"/>
              </w:rPr>
              <w:t>222,000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$23.24</w:t>
            </w:r>
          </w:p>
        </w:tc>
        <w:tc>
          <w:tcPr>
            <w:tcW w:w="10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5"/>
              </w:rPr>
              <w:t>94%</w:t>
            </w:r>
          </w:p>
        </w:tc>
        <w:tc>
          <w:tcPr>
            <w:tcW w:w="1760" w:type="dxa"/>
            <w:vAlign w:val="bottom"/>
            <w:gridSpan w:val="2"/>
            <w:shd w:val="clear" w:color="auto" w:fill="CCEEFF"/>
          </w:tcPr>
          <w:p>
            <w:pPr>
              <w:ind w:left="320"/>
              <w:spacing w:after="0" w:line="13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Escondido, CA 92029(4)</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Fifth Avenue</w:t>
            </w:r>
          </w:p>
        </w:tc>
        <w:tc>
          <w:tcPr>
            <w:tcW w:w="3120" w:type="dxa"/>
            <w:vAlign w:val="bottom"/>
            <w:gridSpan w:val="2"/>
          </w:tcPr>
          <w:p>
            <w:pPr>
              <w:jc w:val="center"/>
              <w:ind w:left="2352"/>
              <w:spacing w:after="0" w:line="138" w:lineRule="exact"/>
              <w:rPr>
                <w:sz w:val="20"/>
                <w:szCs w:val="20"/>
                <w:color w:val="auto"/>
              </w:rPr>
            </w:pPr>
            <w:r>
              <w:rPr>
                <w:rFonts w:ascii="Arial" w:cs="Arial" w:eastAsia="Arial" w:hAnsi="Arial"/>
                <w:sz w:val="14"/>
                <w:szCs w:val="14"/>
                <w:color w:val="auto"/>
                <w:w w:val="86"/>
              </w:rPr>
              <w:t>1888-1995</w:t>
            </w:r>
          </w:p>
        </w:tc>
        <w:tc>
          <w:tcPr>
            <w:tcW w:w="10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1996-1997</w:t>
            </w:r>
          </w:p>
        </w:tc>
        <w:tc>
          <w:tcPr>
            <w:tcW w:w="130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8"/>
              </w:rPr>
              <w:t>51,000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$27.50</w:t>
            </w:r>
          </w:p>
        </w:tc>
        <w:tc>
          <w:tcPr>
            <w:tcW w:w="10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5"/>
              </w:rPr>
              <w:t>91%</w:t>
            </w:r>
          </w:p>
        </w:tc>
        <w:tc>
          <w:tcPr>
            <w:tcW w:w="176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color w:val="auto"/>
              </w:rPr>
              <w:t>San Diego, CA</w:t>
            </w: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Hermosa Avenue</w:t>
            </w:r>
          </w:p>
        </w:tc>
        <w:tc>
          <w:tcPr>
            <w:tcW w:w="3120" w:type="dxa"/>
            <w:vAlign w:val="bottom"/>
            <w:gridSpan w:val="2"/>
            <w:shd w:val="clear" w:color="auto" w:fill="CCEEFF"/>
          </w:tcPr>
          <w:p>
            <w:pPr>
              <w:jc w:val="center"/>
              <w:ind w:left="2352"/>
              <w:spacing w:after="0" w:line="139" w:lineRule="exact"/>
              <w:rPr>
                <w:sz w:val="20"/>
                <w:szCs w:val="20"/>
                <w:color w:val="auto"/>
              </w:rPr>
            </w:pPr>
            <w:r>
              <w:rPr>
                <w:rFonts w:ascii="Arial" w:cs="Arial" w:eastAsia="Arial" w:hAnsi="Arial"/>
                <w:sz w:val="14"/>
                <w:szCs w:val="14"/>
                <w:color w:val="auto"/>
                <w:w w:val="83"/>
              </w:rPr>
              <w:t>1922</w:t>
            </w:r>
          </w:p>
        </w:tc>
        <w:tc>
          <w:tcPr>
            <w:tcW w:w="10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1997</w:t>
            </w:r>
          </w:p>
        </w:tc>
        <w:tc>
          <w:tcPr>
            <w:tcW w:w="130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8"/>
              </w:rPr>
              <w:t>22,000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$33.98</w:t>
            </w:r>
          </w:p>
        </w:tc>
        <w:tc>
          <w:tcPr>
            <w:tcW w:w="10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5"/>
              </w:rPr>
              <w:t>72%</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Hermosa Beach, CA</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Hollywood Blvd</w:t>
            </w:r>
          </w:p>
        </w:tc>
        <w:tc>
          <w:tcPr>
            <w:tcW w:w="3120" w:type="dxa"/>
            <w:vAlign w:val="bottom"/>
            <w:gridSpan w:val="2"/>
          </w:tcPr>
          <w:p>
            <w:pPr>
              <w:jc w:val="center"/>
              <w:ind w:left="2352"/>
              <w:spacing w:after="0" w:line="138" w:lineRule="exact"/>
              <w:rPr>
                <w:sz w:val="20"/>
                <w:szCs w:val="20"/>
                <w:color w:val="auto"/>
              </w:rPr>
            </w:pPr>
            <w:r>
              <w:rPr>
                <w:rFonts w:ascii="Arial" w:cs="Arial" w:eastAsia="Arial" w:hAnsi="Arial"/>
                <w:sz w:val="14"/>
                <w:szCs w:val="14"/>
                <w:color w:val="auto"/>
                <w:w w:val="86"/>
              </w:rPr>
              <w:t>1921-1991</w:t>
            </w:r>
          </w:p>
        </w:tc>
        <w:tc>
          <w:tcPr>
            <w:tcW w:w="10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1999</w:t>
            </w:r>
          </w:p>
        </w:tc>
        <w:tc>
          <w:tcPr>
            <w:tcW w:w="13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6"/>
              </w:rPr>
              <w:t>153,000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$21.84</w:t>
            </w:r>
          </w:p>
        </w:tc>
        <w:tc>
          <w:tcPr>
            <w:tcW w:w="10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5"/>
              </w:rPr>
              <w:t>75%</w:t>
            </w:r>
          </w:p>
        </w:tc>
        <w:tc>
          <w:tcPr>
            <w:tcW w:w="176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Hollywood, CA(5)</w:t>
            </w: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Fresh &amp; Easy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Kings Court</w:t>
            </w:r>
          </w:p>
        </w:tc>
        <w:tc>
          <w:tcPr>
            <w:tcW w:w="3120" w:type="dxa"/>
            <w:vAlign w:val="bottom"/>
            <w:gridSpan w:val="2"/>
            <w:shd w:val="clear" w:color="auto" w:fill="CCEEFF"/>
          </w:tcPr>
          <w:p>
            <w:pPr>
              <w:jc w:val="center"/>
              <w:ind w:left="2352"/>
              <w:spacing w:after="0" w:line="139" w:lineRule="exact"/>
              <w:rPr>
                <w:sz w:val="20"/>
                <w:szCs w:val="20"/>
                <w:color w:val="auto"/>
              </w:rPr>
            </w:pPr>
            <w:r>
              <w:rPr>
                <w:rFonts w:ascii="Arial" w:cs="Arial" w:eastAsia="Arial" w:hAnsi="Arial"/>
                <w:sz w:val="14"/>
                <w:szCs w:val="14"/>
                <w:color w:val="auto"/>
                <w:w w:val="83"/>
              </w:rPr>
              <w:t>1960</w:t>
            </w:r>
          </w:p>
        </w:tc>
        <w:tc>
          <w:tcPr>
            <w:tcW w:w="10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1998</w:t>
            </w:r>
          </w:p>
        </w:tc>
        <w:tc>
          <w:tcPr>
            <w:tcW w:w="130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8"/>
              </w:rPr>
              <w:t>79,000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$28.27</w:t>
            </w:r>
          </w:p>
        </w:tc>
        <w:tc>
          <w:tcPr>
            <w:tcW w:w="10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9"/>
              </w:rPr>
              <w:t>100%</w:t>
            </w:r>
          </w:p>
        </w:tc>
        <w:tc>
          <w:tcPr>
            <w:tcW w:w="1760" w:type="dxa"/>
            <w:vAlign w:val="bottom"/>
            <w:gridSpan w:val="2"/>
            <w:shd w:val="clear" w:color="auto" w:fill="CCEEFF"/>
          </w:tcPr>
          <w:p>
            <w:pPr>
              <w:ind w:left="320"/>
              <w:spacing w:after="0" w:line="139" w:lineRule="exact"/>
              <w:rPr>
                <w:sz w:val="20"/>
                <w:szCs w:val="20"/>
                <w:color w:val="auto"/>
              </w:rPr>
            </w:pPr>
            <w:r>
              <w:rPr>
                <w:rFonts w:ascii="Arial" w:cs="Arial" w:eastAsia="Arial" w:hAnsi="Arial"/>
                <w:sz w:val="14"/>
                <w:szCs w:val="14"/>
                <w:color w:val="auto"/>
              </w:rPr>
              <w:t>Lunardi’s Supermarket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Los Gatos, CA 95032(3)(6)</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Old Town Center</w:t>
            </w:r>
          </w:p>
        </w:tc>
        <w:tc>
          <w:tcPr>
            <w:tcW w:w="3120" w:type="dxa"/>
            <w:vAlign w:val="bottom"/>
            <w:gridSpan w:val="2"/>
          </w:tcPr>
          <w:p>
            <w:pPr>
              <w:jc w:val="center"/>
              <w:ind w:left="2352"/>
              <w:spacing w:after="0" w:line="138" w:lineRule="exact"/>
              <w:rPr>
                <w:sz w:val="20"/>
                <w:szCs w:val="20"/>
                <w:color w:val="auto"/>
              </w:rPr>
            </w:pPr>
            <w:r>
              <w:rPr>
                <w:rFonts w:ascii="Arial" w:cs="Arial" w:eastAsia="Arial" w:hAnsi="Arial"/>
                <w:sz w:val="14"/>
                <w:szCs w:val="14"/>
                <w:color w:val="auto"/>
                <w:w w:val="88"/>
              </w:rPr>
              <w:t>1962, 1998</w:t>
            </w:r>
          </w:p>
        </w:tc>
        <w:tc>
          <w:tcPr>
            <w:tcW w:w="10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1997</w:t>
            </w:r>
          </w:p>
        </w:tc>
        <w:tc>
          <w:tcPr>
            <w:tcW w:w="130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8"/>
              </w:rPr>
              <w:t>96,000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$29.88</w:t>
            </w:r>
          </w:p>
        </w:tc>
        <w:tc>
          <w:tcPr>
            <w:tcW w:w="10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5"/>
              </w:rPr>
              <w:t>97%</w:t>
            </w:r>
          </w:p>
        </w:tc>
        <w:tc>
          <w:tcPr>
            <w:tcW w:w="176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Borders Books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Los Gatos, CA 95030</w:t>
            </w: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Gap Kids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Santana Row—Retail</w:t>
            </w:r>
          </w:p>
        </w:tc>
        <w:tc>
          <w:tcPr>
            <w:tcW w:w="3120" w:type="dxa"/>
            <w:vAlign w:val="bottom"/>
            <w:gridSpan w:val="2"/>
            <w:shd w:val="clear" w:color="auto" w:fill="CCEEFF"/>
          </w:tcPr>
          <w:p>
            <w:pPr>
              <w:jc w:val="center"/>
              <w:ind w:left="2352"/>
              <w:spacing w:after="0" w:line="139" w:lineRule="exact"/>
              <w:rPr>
                <w:sz w:val="20"/>
                <w:szCs w:val="20"/>
                <w:color w:val="auto"/>
              </w:rPr>
            </w:pPr>
            <w:r>
              <w:rPr>
                <w:rFonts w:ascii="Arial" w:cs="Arial" w:eastAsia="Arial" w:hAnsi="Arial"/>
                <w:sz w:val="14"/>
                <w:szCs w:val="14"/>
                <w:color w:val="auto"/>
                <w:w w:val="83"/>
              </w:rPr>
              <w:t>2002</w:t>
            </w:r>
          </w:p>
        </w:tc>
        <w:tc>
          <w:tcPr>
            <w:tcW w:w="10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1997</w:t>
            </w:r>
          </w:p>
        </w:tc>
        <w:tc>
          <w:tcPr>
            <w:tcW w:w="13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6"/>
              </w:rPr>
              <w:t>565,000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$42.97</w:t>
            </w:r>
          </w:p>
        </w:tc>
        <w:tc>
          <w:tcPr>
            <w:tcW w:w="10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5"/>
              </w:rPr>
              <w:t>98%</w:t>
            </w:r>
          </w:p>
        </w:tc>
        <w:tc>
          <w:tcPr>
            <w:tcW w:w="1760" w:type="dxa"/>
            <w:vAlign w:val="bottom"/>
            <w:gridSpan w:val="2"/>
            <w:shd w:val="clear" w:color="auto" w:fill="CCEEFF"/>
          </w:tcPr>
          <w:p>
            <w:pPr>
              <w:ind w:left="320"/>
              <w:spacing w:after="0" w:line="139" w:lineRule="exact"/>
              <w:rPr>
                <w:sz w:val="20"/>
                <w:szCs w:val="20"/>
                <w:color w:val="auto"/>
              </w:rPr>
            </w:pPr>
            <w:r>
              <w:rPr>
                <w:rFonts w:ascii="Arial" w:cs="Arial" w:eastAsia="Arial" w:hAnsi="Arial"/>
                <w:sz w:val="14"/>
                <w:szCs w:val="14"/>
                <w:color w:val="auto"/>
              </w:rPr>
              <w:t>Crate &amp; Barrel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San Jose, CA 95128</w:t>
            </w: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Borders Books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CineArts Theatre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Santana Row—Residential</w:t>
            </w:r>
          </w:p>
        </w:tc>
        <w:tc>
          <w:tcPr>
            <w:tcW w:w="3120" w:type="dxa"/>
            <w:vAlign w:val="bottom"/>
            <w:gridSpan w:val="2"/>
          </w:tcPr>
          <w:p>
            <w:pPr>
              <w:jc w:val="center"/>
              <w:ind w:left="2352"/>
              <w:spacing w:after="0" w:line="138" w:lineRule="exact"/>
              <w:rPr>
                <w:sz w:val="20"/>
                <w:szCs w:val="20"/>
                <w:color w:val="auto"/>
              </w:rPr>
            </w:pPr>
            <w:r>
              <w:rPr>
                <w:rFonts w:ascii="Arial" w:cs="Arial" w:eastAsia="Arial" w:hAnsi="Arial"/>
                <w:sz w:val="14"/>
                <w:szCs w:val="14"/>
                <w:color w:val="auto"/>
                <w:w w:val="86"/>
              </w:rPr>
              <w:t>2003-2006</w:t>
            </w:r>
          </w:p>
        </w:tc>
        <w:tc>
          <w:tcPr>
            <w:tcW w:w="10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1997</w:t>
            </w:r>
          </w:p>
        </w:tc>
        <w:tc>
          <w:tcPr>
            <w:tcW w:w="340" w:type="dxa"/>
            <w:vAlign w:val="bottom"/>
          </w:tcPr>
          <w:p>
            <w:pPr>
              <w:spacing w:after="0"/>
              <w:rPr>
                <w:sz w:val="11"/>
                <w:szCs w:val="11"/>
                <w:color w:val="auto"/>
              </w:rPr>
            </w:pPr>
          </w:p>
        </w:tc>
        <w:tc>
          <w:tcPr>
            <w:tcW w:w="960" w:type="dxa"/>
            <w:vAlign w:val="bottom"/>
          </w:tcPr>
          <w:p>
            <w:pPr>
              <w:jc w:val="center"/>
              <w:spacing w:after="0" w:line="138" w:lineRule="exact"/>
              <w:rPr>
                <w:sz w:val="20"/>
                <w:szCs w:val="20"/>
                <w:color w:val="auto"/>
              </w:rPr>
            </w:pPr>
            <w:r>
              <w:rPr>
                <w:rFonts w:ascii="Arial" w:cs="Arial" w:eastAsia="Arial" w:hAnsi="Arial"/>
                <w:sz w:val="14"/>
                <w:szCs w:val="14"/>
                <w:color w:val="auto"/>
                <w:w w:val="87"/>
              </w:rPr>
              <w:t>295 units</w:t>
            </w:r>
          </w:p>
        </w:tc>
        <w:tc>
          <w:tcPr>
            <w:tcW w:w="34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4"/>
                <w:szCs w:val="14"/>
                <w:color w:val="auto"/>
              </w:rPr>
              <w:t>N/A</w:t>
            </w:r>
          </w:p>
        </w:tc>
        <w:tc>
          <w:tcPr>
            <w:tcW w:w="10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5"/>
              </w:rPr>
              <w:t>96%</w:t>
            </w: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color w:val="auto"/>
              </w:rPr>
              <w:t>San Jose, CA 95128</w:t>
            </w: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Third Street Promenade</w:t>
            </w:r>
          </w:p>
        </w:tc>
        <w:tc>
          <w:tcPr>
            <w:tcW w:w="3120" w:type="dxa"/>
            <w:vAlign w:val="bottom"/>
            <w:gridSpan w:val="2"/>
            <w:shd w:val="clear" w:color="auto" w:fill="CCEEFF"/>
          </w:tcPr>
          <w:p>
            <w:pPr>
              <w:jc w:val="center"/>
              <w:ind w:left="2352"/>
              <w:spacing w:after="0" w:line="139" w:lineRule="exact"/>
              <w:rPr>
                <w:sz w:val="20"/>
                <w:szCs w:val="20"/>
                <w:color w:val="auto"/>
              </w:rPr>
            </w:pPr>
            <w:r>
              <w:rPr>
                <w:rFonts w:ascii="Arial" w:cs="Arial" w:eastAsia="Arial" w:hAnsi="Arial"/>
                <w:sz w:val="14"/>
                <w:szCs w:val="14"/>
                <w:color w:val="auto"/>
                <w:w w:val="86"/>
              </w:rPr>
              <w:t>1888-2000</w:t>
            </w:r>
          </w:p>
        </w:tc>
        <w:tc>
          <w:tcPr>
            <w:tcW w:w="10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1996-2000</w:t>
            </w:r>
          </w:p>
        </w:tc>
        <w:tc>
          <w:tcPr>
            <w:tcW w:w="13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6"/>
              </w:rPr>
              <w:t>211,000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$60.44</w:t>
            </w:r>
          </w:p>
        </w:tc>
        <w:tc>
          <w:tcPr>
            <w:tcW w:w="10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5"/>
              </w:rPr>
              <w:t>97%</w:t>
            </w:r>
          </w:p>
        </w:tc>
        <w:tc>
          <w:tcPr>
            <w:tcW w:w="1760" w:type="dxa"/>
            <w:vAlign w:val="bottom"/>
            <w:gridSpan w:val="2"/>
            <w:shd w:val="clear" w:color="auto" w:fill="CCEEFF"/>
          </w:tcPr>
          <w:p>
            <w:pPr>
              <w:ind w:left="320"/>
              <w:spacing w:after="0" w:line="139" w:lineRule="exact"/>
              <w:rPr>
                <w:sz w:val="20"/>
                <w:szCs w:val="20"/>
                <w:color w:val="auto"/>
              </w:rPr>
            </w:pPr>
            <w:r>
              <w:rPr>
                <w:rFonts w:ascii="Arial" w:cs="Arial" w:eastAsia="Arial" w:hAnsi="Arial"/>
                <w:sz w:val="14"/>
                <w:szCs w:val="14"/>
                <w:color w:val="auto"/>
              </w:rPr>
              <w:t>Abercrombie &amp; Fitch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Santa Monica, CA</w:t>
            </w: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Westgate</w:t>
            </w:r>
          </w:p>
        </w:tc>
        <w:tc>
          <w:tcPr>
            <w:tcW w:w="3120" w:type="dxa"/>
            <w:vAlign w:val="bottom"/>
            <w:gridSpan w:val="2"/>
          </w:tcPr>
          <w:p>
            <w:pPr>
              <w:jc w:val="center"/>
              <w:ind w:left="2352"/>
              <w:spacing w:after="0" w:line="138" w:lineRule="exact"/>
              <w:rPr>
                <w:sz w:val="20"/>
                <w:szCs w:val="20"/>
                <w:color w:val="auto"/>
              </w:rPr>
            </w:pPr>
            <w:r>
              <w:rPr>
                <w:rFonts w:ascii="Arial" w:cs="Arial" w:eastAsia="Arial" w:hAnsi="Arial"/>
                <w:sz w:val="14"/>
                <w:szCs w:val="14"/>
                <w:color w:val="auto"/>
                <w:w w:val="86"/>
              </w:rPr>
              <w:t>1960-1966</w:t>
            </w:r>
          </w:p>
        </w:tc>
        <w:tc>
          <w:tcPr>
            <w:tcW w:w="10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2004</w:t>
            </w:r>
          </w:p>
        </w:tc>
        <w:tc>
          <w:tcPr>
            <w:tcW w:w="13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6"/>
              </w:rPr>
              <w:t>645,000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$13.14</w:t>
            </w:r>
          </w:p>
        </w:tc>
        <w:tc>
          <w:tcPr>
            <w:tcW w:w="10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5"/>
              </w:rPr>
              <w:t>95%</w:t>
            </w:r>
          </w:p>
        </w:tc>
        <w:tc>
          <w:tcPr>
            <w:tcW w:w="176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San Jose, CA</w:t>
            </w: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Ross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00" w:type="dxa"/>
            <w:vAlign w:val="bottom"/>
            <w:gridSpan w:val="4"/>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Connecticut</w:t>
            </w:r>
          </w:p>
        </w:tc>
        <w:tc>
          <w:tcPr>
            <w:tcW w:w="2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rPr>
              <w:t>Bristol</w:t>
            </w:r>
          </w:p>
        </w:tc>
        <w:tc>
          <w:tcPr>
            <w:tcW w:w="1220" w:type="dxa"/>
            <w:vAlign w:val="bottom"/>
            <w:tcBorders>
              <w:top w:val="single" w:sz="8" w:color="CCEEFF"/>
            </w:tcBorders>
            <w:gridSpan w:val="2"/>
          </w:tcPr>
          <w:p>
            <w:pPr>
              <w:spacing w:after="0"/>
              <w:rPr>
                <w:sz w:val="11"/>
                <w:szCs w:val="11"/>
                <w:color w:val="auto"/>
              </w:rPr>
            </w:pPr>
          </w:p>
        </w:tc>
        <w:tc>
          <w:tcPr>
            <w:tcW w:w="3120" w:type="dxa"/>
            <w:vAlign w:val="bottom"/>
            <w:tcBorders>
              <w:top w:val="single" w:sz="8" w:color="CCEEFF"/>
            </w:tcBorders>
            <w:gridSpan w:val="2"/>
          </w:tcPr>
          <w:p>
            <w:pPr>
              <w:jc w:val="center"/>
              <w:ind w:left="2352"/>
              <w:spacing w:after="0" w:line="131" w:lineRule="exact"/>
              <w:rPr>
                <w:sz w:val="20"/>
                <w:szCs w:val="20"/>
                <w:color w:val="auto"/>
              </w:rPr>
            </w:pPr>
            <w:r>
              <w:rPr>
                <w:rFonts w:ascii="Arial" w:cs="Arial" w:eastAsia="Arial" w:hAnsi="Arial"/>
                <w:sz w:val="14"/>
                <w:szCs w:val="14"/>
                <w:color w:val="auto"/>
                <w:w w:val="83"/>
              </w:rPr>
              <w:t>1959</w:t>
            </w:r>
          </w:p>
        </w:tc>
        <w:tc>
          <w:tcPr>
            <w:tcW w:w="1020" w:type="dxa"/>
            <w:vAlign w:val="bottom"/>
            <w:tcBorders>
              <w:top w:val="single" w:sz="8" w:color="CCEEFF"/>
            </w:tcBorders>
            <w:gridSpan w:val="2"/>
          </w:tcPr>
          <w:p>
            <w:pPr>
              <w:jc w:val="center"/>
              <w:ind w:left="272"/>
              <w:spacing w:after="0" w:line="131" w:lineRule="exact"/>
              <w:rPr>
                <w:sz w:val="20"/>
                <w:szCs w:val="20"/>
                <w:color w:val="auto"/>
              </w:rPr>
            </w:pPr>
            <w:r>
              <w:rPr>
                <w:rFonts w:ascii="Arial" w:cs="Arial" w:eastAsia="Arial" w:hAnsi="Arial"/>
                <w:sz w:val="14"/>
                <w:szCs w:val="14"/>
                <w:color w:val="auto"/>
                <w:w w:val="89"/>
              </w:rPr>
              <w:t>1995</w:t>
            </w:r>
          </w:p>
        </w:tc>
        <w:tc>
          <w:tcPr>
            <w:tcW w:w="1300" w:type="dxa"/>
            <w:vAlign w:val="bottom"/>
            <w:tcBorders>
              <w:top w:val="single" w:sz="8" w:color="CCEEFF"/>
            </w:tcBorders>
            <w:gridSpan w:val="2"/>
          </w:tcPr>
          <w:p>
            <w:pPr>
              <w:jc w:val="center"/>
              <w:ind w:left="272"/>
              <w:spacing w:after="0" w:line="131" w:lineRule="exact"/>
              <w:rPr>
                <w:sz w:val="20"/>
                <w:szCs w:val="20"/>
                <w:color w:val="auto"/>
              </w:rPr>
            </w:pPr>
            <w:r>
              <w:rPr>
                <w:rFonts w:ascii="Arial" w:cs="Arial" w:eastAsia="Arial" w:hAnsi="Arial"/>
                <w:sz w:val="14"/>
                <w:szCs w:val="14"/>
                <w:color w:val="auto"/>
                <w:w w:val="86"/>
              </w:rPr>
              <w:t>272,000</w:t>
            </w:r>
          </w:p>
        </w:tc>
        <w:tc>
          <w:tcPr>
            <w:tcW w:w="1220" w:type="dxa"/>
            <w:vAlign w:val="bottom"/>
            <w:tcBorders>
              <w:top w:val="single" w:sz="8" w:color="CCEEFF"/>
            </w:tcBorders>
            <w:gridSpan w:val="2"/>
          </w:tcPr>
          <w:p>
            <w:pPr>
              <w:jc w:val="center"/>
              <w:ind w:left="272"/>
              <w:spacing w:after="0" w:line="131" w:lineRule="exact"/>
              <w:rPr>
                <w:sz w:val="20"/>
                <w:szCs w:val="20"/>
                <w:color w:val="auto"/>
              </w:rPr>
            </w:pPr>
            <w:r>
              <w:rPr>
                <w:rFonts w:ascii="Arial" w:cs="Arial" w:eastAsia="Arial" w:hAnsi="Arial"/>
                <w:sz w:val="14"/>
                <w:szCs w:val="14"/>
                <w:color w:val="auto"/>
                <w:w w:val="83"/>
              </w:rPr>
              <w:t>$12.32</w:t>
            </w:r>
          </w:p>
        </w:tc>
        <w:tc>
          <w:tcPr>
            <w:tcW w:w="1080" w:type="dxa"/>
            <w:vAlign w:val="bottom"/>
            <w:tcBorders>
              <w:top w:val="single" w:sz="8" w:color="CCEEFF"/>
            </w:tcBorders>
            <w:gridSpan w:val="2"/>
          </w:tcPr>
          <w:p>
            <w:pPr>
              <w:jc w:val="center"/>
              <w:ind w:left="252"/>
              <w:spacing w:after="0" w:line="131" w:lineRule="exact"/>
              <w:rPr>
                <w:sz w:val="20"/>
                <w:szCs w:val="20"/>
                <w:color w:val="auto"/>
              </w:rPr>
            </w:pPr>
            <w:r>
              <w:rPr>
                <w:rFonts w:ascii="Arial" w:cs="Arial" w:eastAsia="Arial" w:hAnsi="Arial"/>
                <w:sz w:val="14"/>
                <w:szCs w:val="14"/>
                <w:color w:val="auto"/>
                <w:w w:val="85"/>
              </w:rPr>
              <w:t>85%</w:t>
            </w:r>
          </w:p>
        </w:tc>
        <w:tc>
          <w:tcPr>
            <w:tcW w:w="1760" w:type="dxa"/>
            <w:vAlign w:val="bottom"/>
            <w:tcBorders>
              <w:top w:val="single" w:sz="8" w:color="CCEEFF"/>
            </w:tcBorders>
            <w:gridSpan w:val="2"/>
          </w:tcPr>
          <w:p>
            <w:pPr>
              <w:ind w:left="320"/>
              <w:spacing w:after="0" w:line="131"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color w:val="auto"/>
              </w:rPr>
              <w:t>Bristol, CT 06010</w:t>
            </w: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Greenwich Avenue</w:t>
            </w:r>
          </w:p>
        </w:tc>
        <w:tc>
          <w:tcPr>
            <w:tcW w:w="3120" w:type="dxa"/>
            <w:vAlign w:val="bottom"/>
            <w:gridSpan w:val="2"/>
            <w:shd w:val="clear" w:color="auto" w:fill="CCEEFF"/>
          </w:tcPr>
          <w:p>
            <w:pPr>
              <w:jc w:val="center"/>
              <w:ind w:left="2352"/>
              <w:spacing w:after="0" w:line="139" w:lineRule="exact"/>
              <w:rPr>
                <w:sz w:val="20"/>
                <w:szCs w:val="20"/>
                <w:color w:val="auto"/>
              </w:rPr>
            </w:pPr>
            <w:r>
              <w:rPr>
                <w:rFonts w:ascii="Arial" w:cs="Arial" w:eastAsia="Arial" w:hAnsi="Arial"/>
                <w:sz w:val="14"/>
                <w:szCs w:val="14"/>
                <w:color w:val="auto"/>
                <w:w w:val="83"/>
              </w:rPr>
              <w:t>1993</w:t>
            </w:r>
          </w:p>
        </w:tc>
        <w:tc>
          <w:tcPr>
            <w:tcW w:w="10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1995</w:t>
            </w:r>
          </w:p>
        </w:tc>
        <w:tc>
          <w:tcPr>
            <w:tcW w:w="130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8"/>
              </w:rPr>
              <w:t>36,000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$53.00</w:t>
            </w:r>
          </w:p>
        </w:tc>
        <w:tc>
          <w:tcPr>
            <w:tcW w:w="10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9"/>
              </w:rPr>
              <w:t>100%</w:t>
            </w:r>
          </w:p>
        </w:tc>
        <w:tc>
          <w:tcPr>
            <w:tcW w:w="1760" w:type="dxa"/>
            <w:vAlign w:val="bottom"/>
            <w:gridSpan w:val="2"/>
            <w:shd w:val="clear" w:color="auto" w:fill="CCEEFF"/>
          </w:tcPr>
          <w:p>
            <w:pPr>
              <w:ind w:left="320"/>
              <w:spacing w:after="0" w:line="139"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Greenwich Avenue, CT</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7"/>
              </w:rPr>
              <w:t>District of Columbia</w:t>
            </w:r>
          </w:p>
        </w:tc>
        <w:tc>
          <w:tcPr>
            <w:tcW w:w="7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gridSpan w:val="4"/>
            <w:shd w:val="clear" w:color="auto" w:fill="CCEEFF"/>
          </w:tcPr>
          <w:p>
            <w:pPr>
              <w:spacing w:after="0" w:line="131" w:lineRule="exact"/>
              <w:rPr>
                <w:sz w:val="20"/>
                <w:szCs w:val="20"/>
                <w:color w:val="auto"/>
              </w:rPr>
            </w:pPr>
            <w:r>
              <w:rPr>
                <w:rFonts w:ascii="Arial" w:cs="Arial" w:eastAsia="Arial" w:hAnsi="Arial"/>
                <w:sz w:val="14"/>
                <w:szCs w:val="14"/>
                <w:color w:val="auto"/>
              </w:rPr>
              <w:t>Friendship Center</w:t>
            </w:r>
          </w:p>
        </w:tc>
        <w:tc>
          <w:tcPr>
            <w:tcW w:w="3120" w:type="dxa"/>
            <w:vAlign w:val="bottom"/>
            <w:gridSpan w:val="2"/>
            <w:shd w:val="clear" w:color="auto" w:fill="CCEEFF"/>
          </w:tcPr>
          <w:p>
            <w:pPr>
              <w:jc w:val="center"/>
              <w:ind w:left="2352"/>
              <w:spacing w:after="0" w:line="131" w:lineRule="exact"/>
              <w:rPr>
                <w:sz w:val="20"/>
                <w:szCs w:val="20"/>
                <w:color w:val="auto"/>
              </w:rPr>
            </w:pPr>
            <w:r>
              <w:rPr>
                <w:rFonts w:ascii="Arial" w:cs="Arial" w:eastAsia="Arial" w:hAnsi="Arial"/>
                <w:sz w:val="14"/>
                <w:szCs w:val="14"/>
                <w:color w:val="auto"/>
                <w:w w:val="83"/>
              </w:rPr>
              <w:t>1998</w:t>
            </w:r>
          </w:p>
        </w:tc>
        <w:tc>
          <w:tcPr>
            <w:tcW w:w="102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9"/>
              </w:rPr>
              <w:t>2001</w:t>
            </w:r>
          </w:p>
        </w:tc>
        <w:tc>
          <w:tcPr>
            <w:tcW w:w="130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6"/>
              </w:rPr>
              <w:t>118,000</w:t>
            </w:r>
          </w:p>
        </w:tc>
        <w:tc>
          <w:tcPr>
            <w:tcW w:w="122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3"/>
              </w:rPr>
              <w:t>$33.33</w:t>
            </w:r>
          </w:p>
        </w:tc>
        <w:tc>
          <w:tcPr>
            <w:tcW w:w="1080" w:type="dxa"/>
            <w:vAlign w:val="bottom"/>
            <w:gridSpan w:val="2"/>
            <w:shd w:val="clear" w:color="auto" w:fill="CCEEFF"/>
          </w:tcPr>
          <w:p>
            <w:pPr>
              <w:jc w:val="center"/>
              <w:ind w:left="252"/>
              <w:spacing w:after="0" w:line="131" w:lineRule="exact"/>
              <w:rPr>
                <w:sz w:val="20"/>
                <w:szCs w:val="20"/>
                <w:color w:val="auto"/>
              </w:rPr>
            </w:pPr>
            <w:r>
              <w:rPr>
                <w:rFonts w:ascii="Arial" w:cs="Arial" w:eastAsia="Arial" w:hAnsi="Arial"/>
                <w:sz w:val="14"/>
                <w:szCs w:val="14"/>
                <w:color w:val="auto"/>
                <w:w w:val="85"/>
              </w:rPr>
              <w:t>66%</w:t>
            </w:r>
          </w:p>
        </w:tc>
        <w:tc>
          <w:tcPr>
            <w:tcW w:w="1760" w:type="dxa"/>
            <w:vAlign w:val="bottom"/>
            <w:gridSpan w:val="2"/>
            <w:shd w:val="clear" w:color="auto" w:fill="CCEEFF"/>
          </w:tcPr>
          <w:p>
            <w:pPr>
              <w:ind w:left="320"/>
              <w:spacing w:after="0" w:line="131" w:lineRule="exact"/>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Washington, D.C 20015</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Borders Books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Sam’s Park &amp; Shop</w:t>
            </w:r>
          </w:p>
        </w:tc>
        <w:tc>
          <w:tcPr>
            <w:tcW w:w="3120" w:type="dxa"/>
            <w:vAlign w:val="bottom"/>
            <w:gridSpan w:val="2"/>
          </w:tcPr>
          <w:p>
            <w:pPr>
              <w:jc w:val="center"/>
              <w:ind w:left="2352"/>
              <w:spacing w:after="0" w:line="138" w:lineRule="exact"/>
              <w:rPr>
                <w:sz w:val="20"/>
                <w:szCs w:val="20"/>
                <w:color w:val="auto"/>
              </w:rPr>
            </w:pPr>
            <w:r>
              <w:rPr>
                <w:rFonts w:ascii="Arial" w:cs="Arial" w:eastAsia="Arial" w:hAnsi="Arial"/>
                <w:sz w:val="14"/>
                <w:szCs w:val="14"/>
                <w:color w:val="auto"/>
                <w:w w:val="83"/>
              </w:rPr>
              <w:t>1930</w:t>
            </w:r>
          </w:p>
        </w:tc>
        <w:tc>
          <w:tcPr>
            <w:tcW w:w="10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1995</w:t>
            </w:r>
          </w:p>
        </w:tc>
        <w:tc>
          <w:tcPr>
            <w:tcW w:w="130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8"/>
              </w:rPr>
              <w:t>49,000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$36.28</w:t>
            </w:r>
          </w:p>
        </w:tc>
        <w:tc>
          <w:tcPr>
            <w:tcW w:w="10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9"/>
              </w:rPr>
              <w:t>100%</w:t>
            </w:r>
          </w:p>
        </w:tc>
        <w:tc>
          <w:tcPr>
            <w:tcW w:w="176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color w:val="auto"/>
              </w:rPr>
              <w:t>Washington, DC 20008</w:t>
            </w: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Retail and Residential Properties—continued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Square Feet(1)</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 Rent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/Apartment</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Square</w:t>
            </w:r>
          </w:p>
        </w:tc>
        <w:tc>
          <w:tcPr>
            <w:tcW w:w="220" w:type="dxa"/>
            <w:vAlign w:val="bottom"/>
          </w:tcPr>
          <w:p>
            <w:pPr>
              <w:spacing w:after="0"/>
              <w:rPr>
                <w:sz w:val="12"/>
                <w:szCs w:val="12"/>
                <w:color w:val="auto"/>
              </w:rPr>
            </w:pPr>
          </w:p>
        </w:tc>
        <w:tc>
          <w:tcPr>
            <w:tcW w:w="78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20" w:type="dxa"/>
            <w:vAlign w:val="bottom"/>
            <w:gridSpan w:val="5"/>
          </w:tcPr>
          <w:p>
            <w:pPr>
              <w:spacing w:after="0"/>
              <w:rPr>
                <w:sz w:val="20"/>
                <w:szCs w:val="20"/>
                <w:color w:val="auto"/>
              </w:rPr>
            </w:pPr>
            <w:r>
              <w:rPr>
                <w:rFonts w:ascii="Arial" w:cs="Arial" w:eastAsia="Arial" w:hAnsi="Arial"/>
                <w:sz w:val="14"/>
                <w:szCs w:val="14"/>
                <w:b w:val="1"/>
                <w:bCs w:val="1"/>
                <w:color w:val="auto"/>
                <w:w w:val="94"/>
              </w:rPr>
              <w:t>Property, City, State, Zip Code</w:t>
            </w:r>
          </w:p>
        </w:tc>
        <w:tc>
          <w:tcPr>
            <w:tcW w:w="19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Acquired</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Foot</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Leased(2)</w:t>
            </w:r>
          </w:p>
        </w:tc>
        <w:tc>
          <w:tcPr>
            <w:tcW w:w="220" w:type="dxa"/>
            <w:vAlign w:val="bottom"/>
          </w:tcPr>
          <w:p>
            <w:pPr>
              <w:spacing w:after="0"/>
              <w:rPr>
                <w:sz w:val="14"/>
                <w:szCs w:val="14"/>
                <w:color w:val="auto"/>
              </w:rPr>
            </w:pPr>
          </w:p>
        </w:tc>
        <w:tc>
          <w:tcPr>
            <w:tcW w:w="1760" w:type="dxa"/>
            <w:vAlign w:val="bottom"/>
          </w:tcPr>
          <w:p>
            <w:pPr>
              <w:ind w:left="3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Florida</w:t>
            </w:r>
          </w:p>
        </w:tc>
        <w:tc>
          <w:tcPr>
            <w:tcW w:w="148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196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76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gridSpan w:val="4"/>
          </w:tcPr>
          <w:p>
            <w:pPr>
              <w:spacing w:after="0" w:line="131" w:lineRule="exact"/>
              <w:rPr>
                <w:sz w:val="20"/>
                <w:szCs w:val="20"/>
                <w:color w:val="auto"/>
              </w:rPr>
            </w:pPr>
            <w:r>
              <w:rPr>
                <w:rFonts w:ascii="Arial" w:cs="Arial" w:eastAsia="Arial" w:hAnsi="Arial"/>
                <w:sz w:val="14"/>
                <w:szCs w:val="14"/>
                <w:color w:val="auto"/>
              </w:rPr>
              <w:t>Courtyard Shops</w:t>
            </w:r>
          </w:p>
        </w:tc>
        <w:tc>
          <w:tcPr>
            <w:tcW w:w="3200" w:type="dxa"/>
            <w:vAlign w:val="bottom"/>
            <w:gridSpan w:val="2"/>
          </w:tcPr>
          <w:p>
            <w:pPr>
              <w:jc w:val="center"/>
              <w:ind w:left="1892"/>
              <w:spacing w:after="0" w:line="131" w:lineRule="exact"/>
              <w:rPr>
                <w:sz w:val="20"/>
                <w:szCs w:val="20"/>
                <w:color w:val="auto"/>
              </w:rPr>
            </w:pPr>
            <w:r>
              <w:rPr>
                <w:rFonts w:ascii="Arial" w:cs="Arial" w:eastAsia="Arial" w:hAnsi="Arial"/>
                <w:sz w:val="14"/>
                <w:szCs w:val="14"/>
                <w:color w:val="auto"/>
                <w:w w:val="85"/>
              </w:rPr>
              <w:t>1990, 1998</w:t>
            </w:r>
          </w:p>
        </w:tc>
        <w:tc>
          <w:tcPr>
            <w:tcW w:w="94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9"/>
              </w:rPr>
              <w:t>2008</w:t>
            </w:r>
          </w:p>
        </w:tc>
        <w:tc>
          <w:tcPr>
            <w:tcW w:w="1240" w:type="dxa"/>
            <w:vAlign w:val="bottom"/>
            <w:gridSpan w:val="2"/>
          </w:tcPr>
          <w:p>
            <w:pPr>
              <w:jc w:val="center"/>
              <w:ind w:left="132"/>
              <w:spacing w:after="0" w:line="131" w:lineRule="exact"/>
              <w:rPr>
                <w:sz w:val="20"/>
                <w:szCs w:val="20"/>
                <w:color w:val="auto"/>
              </w:rPr>
            </w:pPr>
            <w:r>
              <w:rPr>
                <w:rFonts w:ascii="Arial" w:cs="Arial" w:eastAsia="Arial" w:hAnsi="Arial"/>
                <w:sz w:val="14"/>
                <w:szCs w:val="14"/>
                <w:color w:val="auto"/>
                <w:w w:val="86"/>
              </w:rPr>
              <w:t>130,000</w:t>
            </w:r>
          </w:p>
        </w:tc>
        <w:tc>
          <w:tcPr>
            <w:tcW w:w="114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3"/>
              </w:rPr>
              <w:t>$18.21</w:t>
            </w:r>
          </w:p>
        </w:tc>
        <w:tc>
          <w:tcPr>
            <w:tcW w:w="1000" w:type="dxa"/>
            <w:vAlign w:val="bottom"/>
            <w:gridSpan w:val="2"/>
          </w:tcPr>
          <w:p>
            <w:pPr>
              <w:jc w:val="center"/>
              <w:ind w:left="172"/>
              <w:spacing w:after="0" w:line="131" w:lineRule="exact"/>
              <w:rPr>
                <w:sz w:val="20"/>
                <w:szCs w:val="20"/>
                <w:color w:val="auto"/>
              </w:rPr>
            </w:pPr>
            <w:r>
              <w:rPr>
                <w:rFonts w:ascii="Arial" w:cs="Arial" w:eastAsia="Arial" w:hAnsi="Arial"/>
                <w:sz w:val="14"/>
                <w:szCs w:val="14"/>
                <w:color w:val="auto"/>
                <w:w w:val="85"/>
              </w:rPr>
              <w:t>92%</w:t>
            </w:r>
          </w:p>
        </w:tc>
        <w:tc>
          <w:tcPr>
            <w:tcW w:w="1980" w:type="dxa"/>
            <w:vAlign w:val="bottom"/>
            <w:gridSpan w:val="2"/>
          </w:tcPr>
          <w:p>
            <w:pPr>
              <w:ind w:left="220"/>
              <w:spacing w:after="0" w:line="131" w:lineRule="exact"/>
              <w:rPr>
                <w:sz w:val="20"/>
                <w:szCs w:val="20"/>
                <w:color w:val="auto"/>
              </w:rPr>
            </w:pPr>
            <w:r>
              <w:rPr>
                <w:rFonts w:ascii="Arial" w:cs="Arial" w:eastAsia="Arial" w:hAnsi="Arial"/>
                <w:sz w:val="14"/>
                <w:szCs w:val="14"/>
                <w:color w:val="auto"/>
              </w:rPr>
              <w:t>Publix</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color w:val="auto"/>
              </w:rPr>
              <w:t>Wellington, FL 33414</w:t>
            </w: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Del Mar Village</w:t>
            </w:r>
          </w:p>
        </w:tc>
        <w:tc>
          <w:tcPr>
            <w:tcW w:w="3200" w:type="dxa"/>
            <w:vAlign w:val="bottom"/>
            <w:gridSpan w:val="2"/>
            <w:shd w:val="clear" w:color="auto" w:fill="CCEEFF"/>
          </w:tcPr>
          <w:p>
            <w:pPr>
              <w:jc w:val="center"/>
              <w:ind w:left="1892"/>
              <w:spacing w:after="0" w:line="139" w:lineRule="exact"/>
              <w:rPr>
                <w:sz w:val="20"/>
                <w:szCs w:val="20"/>
                <w:color w:val="auto"/>
              </w:rPr>
            </w:pPr>
            <w:r>
              <w:rPr>
                <w:rFonts w:ascii="Arial" w:cs="Arial" w:eastAsia="Arial" w:hAnsi="Arial"/>
                <w:sz w:val="14"/>
                <w:szCs w:val="14"/>
                <w:color w:val="auto"/>
                <w:w w:val="87"/>
              </w:rPr>
              <w:t>1982, 1994 &amp; 2007</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2008</w:t>
            </w:r>
          </w:p>
        </w:tc>
        <w:tc>
          <w:tcPr>
            <w:tcW w:w="124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6"/>
              </w:rPr>
              <w:t>178,000</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$16.93</w:t>
            </w:r>
          </w:p>
        </w:tc>
        <w:tc>
          <w:tcPr>
            <w:tcW w:w="1000" w:type="dxa"/>
            <w:vAlign w:val="bottom"/>
            <w:gridSpan w:val="2"/>
            <w:shd w:val="clear" w:color="auto" w:fill="CCEEFF"/>
          </w:tcPr>
          <w:p>
            <w:pPr>
              <w:jc w:val="center"/>
              <w:ind w:left="172"/>
              <w:spacing w:after="0" w:line="139" w:lineRule="exact"/>
              <w:rPr>
                <w:sz w:val="20"/>
                <w:szCs w:val="20"/>
                <w:color w:val="auto"/>
              </w:rPr>
            </w:pPr>
            <w:r>
              <w:rPr>
                <w:rFonts w:ascii="Arial" w:cs="Arial" w:eastAsia="Arial" w:hAnsi="Arial"/>
                <w:sz w:val="14"/>
                <w:szCs w:val="14"/>
                <w:color w:val="auto"/>
                <w:w w:val="85"/>
              </w:rPr>
              <w:t>95%</w:t>
            </w:r>
          </w:p>
        </w:tc>
        <w:tc>
          <w:tcPr>
            <w:tcW w:w="198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Boca Raton, FL 33433</w:t>
            </w:r>
          </w:p>
        </w:tc>
        <w:tc>
          <w:tcPr>
            <w:tcW w:w="1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Illinois</w:t>
            </w:r>
          </w:p>
        </w:tc>
        <w:tc>
          <w:tcPr>
            <w:tcW w:w="1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00" w:type="dxa"/>
            <w:vAlign w:val="bottom"/>
            <w:gridSpan w:val="4"/>
            <w:shd w:val="clear" w:color="auto" w:fill="CCEEFF"/>
          </w:tcPr>
          <w:p>
            <w:pPr>
              <w:spacing w:after="0" w:line="131" w:lineRule="exact"/>
              <w:rPr>
                <w:sz w:val="20"/>
                <w:szCs w:val="20"/>
                <w:color w:val="auto"/>
              </w:rPr>
            </w:pPr>
            <w:r>
              <w:rPr>
                <w:rFonts w:ascii="Arial" w:cs="Arial" w:eastAsia="Arial" w:hAnsi="Arial"/>
                <w:sz w:val="14"/>
                <w:szCs w:val="14"/>
                <w:color w:val="auto"/>
              </w:rPr>
              <w:t>Crossroads</w:t>
            </w:r>
          </w:p>
        </w:tc>
        <w:tc>
          <w:tcPr>
            <w:tcW w:w="3200" w:type="dxa"/>
            <w:vAlign w:val="bottom"/>
            <w:gridSpan w:val="2"/>
            <w:shd w:val="clear" w:color="auto" w:fill="CCEEFF"/>
          </w:tcPr>
          <w:p>
            <w:pPr>
              <w:jc w:val="center"/>
              <w:ind w:left="1892"/>
              <w:spacing w:after="0" w:line="131" w:lineRule="exact"/>
              <w:rPr>
                <w:sz w:val="20"/>
                <w:szCs w:val="20"/>
                <w:color w:val="auto"/>
              </w:rPr>
            </w:pPr>
            <w:r>
              <w:rPr>
                <w:rFonts w:ascii="Arial" w:cs="Arial" w:eastAsia="Arial" w:hAnsi="Arial"/>
                <w:sz w:val="14"/>
                <w:szCs w:val="14"/>
                <w:color w:val="auto"/>
                <w:w w:val="89"/>
              </w:rPr>
              <w:t>1959</w:t>
            </w:r>
          </w:p>
        </w:tc>
        <w:tc>
          <w:tcPr>
            <w:tcW w:w="940" w:type="dxa"/>
            <w:vAlign w:val="bottom"/>
            <w:gridSpan w:val="2"/>
            <w:shd w:val="clear" w:color="auto" w:fill="CCEEFF"/>
          </w:tcPr>
          <w:p>
            <w:pPr>
              <w:jc w:val="center"/>
              <w:ind w:left="152"/>
              <w:spacing w:after="0" w:line="131" w:lineRule="exact"/>
              <w:rPr>
                <w:sz w:val="20"/>
                <w:szCs w:val="20"/>
                <w:color w:val="auto"/>
              </w:rPr>
            </w:pPr>
            <w:r>
              <w:rPr>
                <w:rFonts w:ascii="Arial" w:cs="Arial" w:eastAsia="Arial" w:hAnsi="Arial"/>
                <w:sz w:val="14"/>
                <w:szCs w:val="14"/>
                <w:color w:val="auto"/>
                <w:w w:val="89"/>
              </w:rPr>
              <w:t>1993</w:t>
            </w:r>
          </w:p>
        </w:tc>
        <w:tc>
          <w:tcPr>
            <w:tcW w:w="1240" w:type="dxa"/>
            <w:vAlign w:val="bottom"/>
            <w:gridSpan w:val="2"/>
            <w:shd w:val="clear" w:color="auto" w:fill="CCEEFF"/>
          </w:tcPr>
          <w:p>
            <w:pPr>
              <w:jc w:val="center"/>
              <w:ind w:left="132"/>
              <w:spacing w:after="0" w:line="131" w:lineRule="exact"/>
              <w:rPr>
                <w:sz w:val="20"/>
                <w:szCs w:val="20"/>
                <w:color w:val="auto"/>
              </w:rPr>
            </w:pPr>
            <w:r>
              <w:rPr>
                <w:rFonts w:ascii="Arial" w:cs="Arial" w:eastAsia="Arial" w:hAnsi="Arial"/>
                <w:sz w:val="14"/>
                <w:szCs w:val="14"/>
                <w:color w:val="auto"/>
                <w:w w:val="86"/>
              </w:rPr>
              <w:t>168,000</w:t>
            </w:r>
          </w:p>
        </w:tc>
        <w:tc>
          <w:tcPr>
            <w:tcW w:w="1140" w:type="dxa"/>
            <w:vAlign w:val="bottom"/>
            <w:gridSpan w:val="2"/>
            <w:shd w:val="clear" w:color="auto" w:fill="CCEEFF"/>
          </w:tcPr>
          <w:p>
            <w:pPr>
              <w:jc w:val="center"/>
              <w:ind w:left="152"/>
              <w:spacing w:after="0" w:line="131" w:lineRule="exact"/>
              <w:rPr>
                <w:sz w:val="20"/>
                <w:szCs w:val="20"/>
                <w:color w:val="auto"/>
              </w:rPr>
            </w:pPr>
            <w:r>
              <w:rPr>
                <w:rFonts w:ascii="Arial" w:cs="Arial" w:eastAsia="Arial" w:hAnsi="Arial"/>
                <w:sz w:val="14"/>
                <w:szCs w:val="14"/>
                <w:color w:val="auto"/>
                <w:w w:val="83"/>
              </w:rPr>
              <w:t>$20.81</w:t>
            </w:r>
          </w:p>
        </w:tc>
        <w:tc>
          <w:tcPr>
            <w:tcW w:w="1000" w:type="dxa"/>
            <w:vAlign w:val="bottom"/>
            <w:gridSpan w:val="2"/>
            <w:shd w:val="clear" w:color="auto" w:fill="CCEEFF"/>
          </w:tcPr>
          <w:p>
            <w:pPr>
              <w:jc w:val="center"/>
              <w:ind w:left="172"/>
              <w:spacing w:after="0" w:line="131" w:lineRule="exact"/>
              <w:rPr>
                <w:sz w:val="20"/>
                <w:szCs w:val="20"/>
                <w:color w:val="auto"/>
              </w:rPr>
            </w:pPr>
            <w:r>
              <w:rPr>
                <w:rFonts w:ascii="Arial" w:cs="Arial" w:eastAsia="Arial" w:hAnsi="Arial"/>
                <w:sz w:val="14"/>
                <w:szCs w:val="14"/>
                <w:color w:val="auto"/>
                <w:w w:val="85"/>
              </w:rPr>
              <w:t>94%</w:t>
            </w:r>
          </w:p>
        </w:tc>
        <w:tc>
          <w:tcPr>
            <w:tcW w:w="1980" w:type="dxa"/>
            <w:vAlign w:val="bottom"/>
            <w:gridSpan w:val="2"/>
            <w:shd w:val="clear" w:color="auto" w:fill="CCEEFF"/>
          </w:tcPr>
          <w:p>
            <w:pPr>
              <w:ind w:left="220"/>
              <w:spacing w:after="0" w:line="131" w:lineRule="exact"/>
              <w:rPr>
                <w:sz w:val="20"/>
                <w:szCs w:val="20"/>
                <w:color w:val="auto"/>
              </w:rPr>
            </w:pPr>
            <w:r>
              <w:rPr>
                <w:rFonts w:ascii="Arial" w:cs="Arial" w:eastAsia="Arial" w:hAnsi="Arial"/>
                <w:sz w:val="14"/>
                <w:szCs w:val="14"/>
                <w:color w:val="auto"/>
              </w:rPr>
              <w:t>Golfsmith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Highland Park, IL 60035</w:t>
            </w:r>
          </w:p>
        </w:tc>
        <w:tc>
          <w:tcPr>
            <w:tcW w:w="1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Guitar Center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Finley Square</w:t>
            </w:r>
          </w:p>
        </w:tc>
        <w:tc>
          <w:tcPr>
            <w:tcW w:w="3200" w:type="dxa"/>
            <w:vAlign w:val="bottom"/>
            <w:gridSpan w:val="2"/>
          </w:tcPr>
          <w:p>
            <w:pPr>
              <w:jc w:val="center"/>
              <w:ind w:left="1892"/>
              <w:spacing w:after="0" w:line="138" w:lineRule="exact"/>
              <w:rPr>
                <w:sz w:val="20"/>
                <w:szCs w:val="20"/>
                <w:color w:val="auto"/>
              </w:rPr>
            </w:pPr>
            <w:r>
              <w:rPr>
                <w:rFonts w:ascii="Arial" w:cs="Arial" w:eastAsia="Arial" w:hAnsi="Arial"/>
                <w:sz w:val="14"/>
                <w:szCs w:val="14"/>
                <w:color w:val="auto"/>
                <w:w w:val="89"/>
              </w:rPr>
              <w:t>1974</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1995</w:t>
            </w:r>
          </w:p>
        </w:tc>
        <w:tc>
          <w:tcPr>
            <w:tcW w:w="124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315,000</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$10.59</w:t>
            </w:r>
          </w:p>
        </w:tc>
        <w:tc>
          <w:tcPr>
            <w:tcW w:w="1000" w:type="dxa"/>
            <w:vAlign w:val="bottom"/>
            <w:gridSpan w:val="2"/>
          </w:tcPr>
          <w:p>
            <w:pPr>
              <w:jc w:val="center"/>
              <w:ind w:left="172"/>
              <w:spacing w:after="0" w:line="138" w:lineRule="exact"/>
              <w:rPr>
                <w:sz w:val="20"/>
                <w:szCs w:val="20"/>
                <w:color w:val="auto"/>
              </w:rPr>
            </w:pPr>
            <w:r>
              <w:rPr>
                <w:rFonts w:ascii="Arial" w:cs="Arial" w:eastAsia="Arial" w:hAnsi="Arial"/>
                <w:sz w:val="14"/>
                <w:szCs w:val="14"/>
                <w:color w:val="auto"/>
                <w:w w:val="85"/>
              </w:rPr>
              <w:t>99%</w:t>
            </w:r>
          </w:p>
        </w:tc>
        <w:tc>
          <w:tcPr>
            <w:tcW w:w="19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Downers Grove, IL 60515</w:t>
            </w:r>
          </w:p>
        </w:tc>
        <w:tc>
          <w:tcPr>
            <w:tcW w:w="1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Garden Market</w:t>
            </w:r>
          </w:p>
        </w:tc>
        <w:tc>
          <w:tcPr>
            <w:tcW w:w="3200" w:type="dxa"/>
            <w:vAlign w:val="bottom"/>
            <w:gridSpan w:val="2"/>
            <w:shd w:val="clear" w:color="auto" w:fill="CCEEFF"/>
          </w:tcPr>
          <w:p>
            <w:pPr>
              <w:jc w:val="center"/>
              <w:ind w:left="1892"/>
              <w:spacing w:after="0" w:line="139" w:lineRule="exact"/>
              <w:rPr>
                <w:sz w:val="20"/>
                <w:szCs w:val="20"/>
                <w:color w:val="auto"/>
              </w:rPr>
            </w:pPr>
            <w:r>
              <w:rPr>
                <w:rFonts w:ascii="Arial" w:cs="Arial" w:eastAsia="Arial" w:hAnsi="Arial"/>
                <w:sz w:val="14"/>
                <w:szCs w:val="14"/>
                <w:color w:val="auto"/>
                <w:w w:val="89"/>
              </w:rPr>
              <w:t>1958</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1994</w:t>
            </w:r>
          </w:p>
        </w:tc>
        <w:tc>
          <w:tcPr>
            <w:tcW w:w="124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6"/>
              </w:rPr>
              <w:t>140,000</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$12.45</w:t>
            </w:r>
          </w:p>
        </w:tc>
        <w:tc>
          <w:tcPr>
            <w:tcW w:w="1000" w:type="dxa"/>
            <w:vAlign w:val="bottom"/>
            <w:gridSpan w:val="2"/>
            <w:shd w:val="clear" w:color="auto" w:fill="CCEEFF"/>
          </w:tcPr>
          <w:p>
            <w:pPr>
              <w:jc w:val="center"/>
              <w:ind w:left="172"/>
              <w:spacing w:after="0" w:line="139" w:lineRule="exact"/>
              <w:rPr>
                <w:sz w:val="20"/>
                <w:szCs w:val="20"/>
                <w:color w:val="auto"/>
              </w:rPr>
            </w:pPr>
            <w:r>
              <w:rPr>
                <w:rFonts w:ascii="Arial" w:cs="Arial" w:eastAsia="Arial" w:hAnsi="Arial"/>
                <w:sz w:val="14"/>
                <w:szCs w:val="14"/>
                <w:color w:val="auto"/>
                <w:w w:val="85"/>
              </w:rPr>
              <w:t>96%</w:t>
            </w:r>
          </w:p>
        </w:tc>
        <w:tc>
          <w:tcPr>
            <w:tcW w:w="198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Dominick’s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Western Springs, IL 60558</w:t>
            </w:r>
          </w:p>
        </w:tc>
        <w:tc>
          <w:tcPr>
            <w:tcW w:w="1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North Lake Commons</w:t>
            </w:r>
          </w:p>
        </w:tc>
        <w:tc>
          <w:tcPr>
            <w:tcW w:w="3200" w:type="dxa"/>
            <w:vAlign w:val="bottom"/>
            <w:gridSpan w:val="2"/>
          </w:tcPr>
          <w:p>
            <w:pPr>
              <w:jc w:val="center"/>
              <w:ind w:left="1892"/>
              <w:spacing w:after="0" w:line="138" w:lineRule="exact"/>
              <w:rPr>
                <w:sz w:val="20"/>
                <w:szCs w:val="20"/>
                <w:color w:val="auto"/>
              </w:rPr>
            </w:pPr>
            <w:r>
              <w:rPr>
                <w:rFonts w:ascii="Arial" w:cs="Arial" w:eastAsia="Arial" w:hAnsi="Arial"/>
                <w:sz w:val="14"/>
                <w:szCs w:val="14"/>
                <w:color w:val="auto"/>
                <w:w w:val="89"/>
              </w:rPr>
              <w:t>1989</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1994</w:t>
            </w:r>
          </w:p>
        </w:tc>
        <w:tc>
          <w:tcPr>
            <w:tcW w:w="124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129,000</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$13.25</w:t>
            </w:r>
          </w:p>
        </w:tc>
        <w:tc>
          <w:tcPr>
            <w:tcW w:w="1000" w:type="dxa"/>
            <w:vAlign w:val="bottom"/>
            <w:gridSpan w:val="2"/>
          </w:tcPr>
          <w:p>
            <w:pPr>
              <w:jc w:val="center"/>
              <w:ind w:left="172"/>
              <w:spacing w:after="0" w:line="138" w:lineRule="exact"/>
              <w:rPr>
                <w:sz w:val="20"/>
                <w:szCs w:val="20"/>
                <w:color w:val="auto"/>
              </w:rPr>
            </w:pPr>
            <w:r>
              <w:rPr>
                <w:rFonts w:ascii="Arial" w:cs="Arial" w:eastAsia="Arial" w:hAnsi="Arial"/>
                <w:sz w:val="14"/>
                <w:szCs w:val="14"/>
                <w:color w:val="auto"/>
                <w:w w:val="85"/>
              </w:rPr>
              <w:t>89%</w:t>
            </w:r>
          </w:p>
        </w:tc>
        <w:tc>
          <w:tcPr>
            <w:tcW w:w="19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Dominick’s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color w:val="auto"/>
              </w:rPr>
              <w:t>Lake Zurich, IL 60047</w:t>
            </w: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00" w:type="dxa"/>
            <w:vAlign w:val="bottom"/>
            <w:gridSpan w:val="4"/>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Maryland</w:t>
            </w:r>
          </w:p>
        </w:tc>
        <w:tc>
          <w:tcPr>
            <w:tcW w:w="1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00" w:type="dxa"/>
            <w:vAlign w:val="bottom"/>
            <w:gridSpan w:val="4"/>
          </w:tcPr>
          <w:p>
            <w:pPr>
              <w:spacing w:after="0" w:line="131" w:lineRule="exact"/>
              <w:rPr>
                <w:sz w:val="20"/>
                <w:szCs w:val="20"/>
                <w:color w:val="auto"/>
              </w:rPr>
            </w:pPr>
            <w:r>
              <w:rPr>
                <w:rFonts w:ascii="Arial" w:cs="Arial" w:eastAsia="Arial" w:hAnsi="Arial"/>
                <w:sz w:val="14"/>
                <w:szCs w:val="14"/>
                <w:color w:val="auto"/>
              </w:rPr>
              <w:t>Bethesda Row</w:t>
            </w:r>
          </w:p>
        </w:tc>
        <w:tc>
          <w:tcPr>
            <w:tcW w:w="3200" w:type="dxa"/>
            <w:vAlign w:val="bottom"/>
            <w:gridSpan w:val="2"/>
          </w:tcPr>
          <w:p>
            <w:pPr>
              <w:jc w:val="center"/>
              <w:ind w:left="1892"/>
              <w:spacing w:after="0" w:line="131" w:lineRule="exact"/>
              <w:rPr>
                <w:sz w:val="20"/>
                <w:szCs w:val="20"/>
                <w:color w:val="auto"/>
              </w:rPr>
            </w:pPr>
            <w:r>
              <w:rPr>
                <w:rFonts w:ascii="Arial" w:cs="Arial" w:eastAsia="Arial" w:hAnsi="Arial"/>
                <w:sz w:val="14"/>
                <w:szCs w:val="14"/>
                <w:color w:val="auto"/>
                <w:w w:val="89"/>
              </w:rPr>
              <w:t>1945-1991</w:t>
            </w:r>
          </w:p>
        </w:tc>
        <w:tc>
          <w:tcPr>
            <w:tcW w:w="94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9"/>
              </w:rPr>
              <w:t>1993-2006</w:t>
            </w:r>
          </w:p>
        </w:tc>
        <w:tc>
          <w:tcPr>
            <w:tcW w:w="1240" w:type="dxa"/>
            <w:vAlign w:val="bottom"/>
            <w:gridSpan w:val="2"/>
          </w:tcPr>
          <w:p>
            <w:pPr>
              <w:jc w:val="center"/>
              <w:ind w:left="132"/>
              <w:spacing w:after="0" w:line="131" w:lineRule="exact"/>
              <w:rPr>
                <w:sz w:val="20"/>
                <w:szCs w:val="20"/>
                <w:color w:val="auto"/>
              </w:rPr>
            </w:pPr>
            <w:r>
              <w:rPr>
                <w:rFonts w:ascii="Arial" w:cs="Arial" w:eastAsia="Arial" w:hAnsi="Arial"/>
                <w:sz w:val="14"/>
                <w:szCs w:val="14"/>
                <w:color w:val="auto"/>
                <w:w w:val="86"/>
              </w:rPr>
              <w:t>519,000</w:t>
            </w:r>
          </w:p>
        </w:tc>
        <w:tc>
          <w:tcPr>
            <w:tcW w:w="114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3"/>
              </w:rPr>
              <w:t>$42.32</w:t>
            </w:r>
          </w:p>
        </w:tc>
        <w:tc>
          <w:tcPr>
            <w:tcW w:w="1000" w:type="dxa"/>
            <w:vAlign w:val="bottom"/>
            <w:gridSpan w:val="2"/>
          </w:tcPr>
          <w:p>
            <w:pPr>
              <w:jc w:val="center"/>
              <w:ind w:left="172"/>
              <w:spacing w:after="0" w:line="131" w:lineRule="exact"/>
              <w:rPr>
                <w:sz w:val="20"/>
                <w:szCs w:val="20"/>
                <w:color w:val="auto"/>
              </w:rPr>
            </w:pPr>
            <w:r>
              <w:rPr>
                <w:rFonts w:ascii="Arial" w:cs="Arial" w:eastAsia="Arial" w:hAnsi="Arial"/>
                <w:sz w:val="14"/>
                <w:szCs w:val="14"/>
                <w:color w:val="auto"/>
                <w:w w:val="85"/>
              </w:rPr>
              <w:t>96%</w:t>
            </w:r>
          </w:p>
        </w:tc>
        <w:tc>
          <w:tcPr>
            <w:tcW w:w="1980" w:type="dxa"/>
            <w:vAlign w:val="bottom"/>
            <w:gridSpan w:val="2"/>
          </w:tcPr>
          <w:p>
            <w:pPr>
              <w:ind w:left="220"/>
              <w:spacing w:after="0" w:line="131"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Bethesda, MD 20814(3)(7)</w:t>
            </w:r>
          </w:p>
        </w:tc>
        <w:tc>
          <w:tcPr>
            <w:tcW w:w="3200" w:type="dxa"/>
            <w:vAlign w:val="bottom"/>
            <w:gridSpan w:val="2"/>
          </w:tcPr>
          <w:p>
            <w:pPr>
              <w:jc w:val="center"/>
              <w:ind w:left="1892"/>
              <w:spacing w:after="0" w:line="149" w:lineRule="exact"/>
              <w:rPr>
                <w:sz w:val="20"/>
                <w:szCs w:val="20"/>
                <w:color w:val="auto"/>
              </w:rPr>
            </w:pPr>
            <w:r>
              <w:rPr>
                <w:rFonts w:ascii="Arial" w:cs="Arial" w:eastAsia="Arial" w:hAnsi="Arial"/>
                <w:sz w:val="14"/>
                <w:szCs w:val="14"/>
                <w:color w:val="auto"/>
                <w:w w:val="89"/>
              </w:rPr>
              <w:t>2001</w:t>
            </w:r>
          </w:p>
        </w:tc>
        <w:tc>
          <w:tcPr>
            <w:tcW w:w="940" w:type="dxa"/>
            <w:vAlign w:val="bottom"/>
            <w:gridSpan w:val="2"/>
          </w:tcPr>
          <w:p>
            <w:pPr>
              <w:jc w:val="center"/>
              <w:ind w:left="152"/>
              <w:spacing w:after="0" w:line="149" w:lineRule="exact"/>
              <w:rPr>
                <w:sz w:val="20"/>
                <w:szCs w:val="20"/>
                <w:color w:val="auto"/>
              </w:rPr>
            </w:pPr>
            <w:r>
              <w:rPr>
                <w:rFonts w:ascii="Arial" w:cs="Arial" w:eastAsia="Arial" w:hAnsi="Arial"/>
                <w:sz w:val="14"/>
                <w:szCs w:val="14"/>
                <w:color w:val="auto"/>
                <w:w w:val="89"/>
              </w:rPr>
              <w:t>2008</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Landmark Theater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Bethesda Row Residential</w:t>
            </w:r>
          </w:p>
        </w:tc>
        <w:tc>
          <w:tcPr>
            <w:tcW w:w="3200" w:type="dxa"/>
            <w:vAlign w:val="bottom"/>
            <w:gridSpan w:val="2"/>
            <w:shd w:val="clear" w:color="auto" w:fill="CCEEFF"/>
          </w:tcPr>
          <w:p>
            <w:pPr>
              <w:jc w:val="center"/>
              <w:ind w:left="1892"/>
              <w:spacing w:after="0" w:line="139" w:lineRule="exact"/>
              <w:rPr>
                <w:sz w:val="20"/>
                <w:szCs w:val="20"/>
                <w:color w:val="auto"/>
              </w:rPr>
            </w:pPr>
            <w:r>
              <w:rPr>
                <w:rFonts w:ascii="Arial" w:cs="Arial" w:eastAsia="Arial" w:hAnsi="Arial"/>
                <w:sz w:val="14"/>
                <w:szCs w:val="14"/>
                <w:color w:val="auto"/>
                <w:w w:val="89"/>
              </w:rPr>
              <w:t>2008</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1993</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7"/>
              </w:rPr>
              <w:t>180 units</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center"/>
              <w:ind w:left="172"/>
              <w:spacing w:after="0" w:line="139" w:lineRule="exact"/>
              <w:rPr>
                <w:sz w:val="20"/>
                <w:szCs w:val="20"/>
                <w:color w:val="auto"/>
              </w:rPr>
            </w:pPr>
            <w:r>
              <w:rPr>
                <w:rFonts w:ascii="Arial" w:cs="Arial" w:eastAsia="Arial" w:hAnsi="Arial"/>
                <w:sz w:val="14"/>
                <w:szCs w:val="14"/>
                <w:color w:val="auto"/>
                <w:w w:val="85"/>
              </w:rPr>
              <w:t>99%</w:t>
            </w: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Bethesda, MD 20814</w:t>
            </w:r>
          </w:p>
        </w:tc>
        <w:tc>
          <w:tcPr>
            <w:tcW w:w="1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Congressional Plaza</w:t>
            </w:r>
          </w:p>
        </w:tc>
        <w:tc>
          <w:tcPr>
            <w:tcW w:w="3200" w:type="dxa"/>
            <w:vAlign w:val="bottom"/>
            <w:gridSpan w:val="2"/>
          </w:tcPr>
          <w:p>
            <w:pPr>
              <w:jc w:val="center"/>
              <w:ind w:left="1892"/>
              <w:spacing w:after="0" w:line="138" w:lineRule="exact"/>
              <w:rPr>
                <w:sz w:val="20"/>
                <w:szCs w:val="20"/>
                <w:color w:val="auto"/>
              </w:rPr>
            </w:pPr>
            <w:r>
              <w:rPr>
                <w:rFonts w:ascii="Arial" w:cs="Arial" w:eastAsia="Arial" w:hAnsi="Arial"/>
                <w:sz w:val="14"/>
                <w:szCs w:val="14"/>
                <w:color w:val="auto"/>
                <w:w w:val="89"/>
              </w:rPr>
              <w:t>1965</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1965</w:t>
            </w:r>
          </w:p>
        </w:tc>
        <w:tc>
          <w:tcPr>
            <w:tcW w:w="124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332,000</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$30.78</w:t>
            </w:r>
          </w:p>
        </w:tc>
        <w:tc>
          <w:tcPr>
            <w:tcW w:w="1000" w:type="dxa"/>
            <w:vAlign w:val="bottom"/>
            <w:gridSpan w:val="2"/>
          </w:tcPr>
          <w:p>
            <w:pPr>
              <w:jc w:val="center"/>
              <w:ind w:left="172"/>
              <w:spacing w:after="0" w:line="138" w:lineRule="exact"/>
              <w:rPr>
                <w:sz w:val="20"/>
                <w:szCs w:val="20"/>
                <w:color w:val="auto"/>
              </w:rPr>
            </w:pPr>
            <w:r>
              <w:rPr>
                <w:rFonts w:ascii="Arial" w:cs="Arial" w:eastAsia="Arial" w:hAnsi="Arial"/>
                <w:sz w:val="14"/>
                <w:szCs w:val="14"/>
                <w:color w:val="auto"/>
                <w:w w:val="89"/>
              </w:rPr>
              <w:t>100%</w:t>
            </w:r>
          </w:p>
        </w:tc>
        <w:tc>
          <w:tcPr>
            <w:tcW w:w="19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Rockville, MD 20852(8)</w:t>
            </w:r>
          </w:p>
        </w:tc>
        <w:tc>
          <w:tcPr>
            <w:tcW w:w="1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w w:val="93"/>
              </w:rPr>
              <w:t>Congressional Plaza Residential</w:t>
            </w:r>
          </w:p>
        </w:tc>
        <w:tc>
          <w:tcPr>
            <w:tcW w:w="3200" w:type="dxa"/>
            <w:vAlign w:val="bottom"/>
            <w:gridSpan w:val="2"/>
            <w:shd w:val="clear" w:color="auto" w:fill="CCEEFF"/>
          </w:tcPr>
          <w:p>
            <w:pPr>
              <w:jc w:val="center"/>
              <w:ind w:left="1892"/>
              <w:spacing w:after="0" w:line="139" w:lineRule="exact"/>
              <w:rPr>
                <w:sz w:val="20"/>
                <w:szCs w:val="20"/>
                <w:color w:val="auto"/>
              </w:rPr>
            </w:pPr>
            <w:r>
              <w:rPr>
                <w:rFonts w:ascii="Arial" w:cs="Arial" w:eastAsia="Arial" w:hAnsi="Arial"/>
                <w:sz w:val="14"/>
                <w:szCs w:val="14"/>
                <w:color w:val="auto"/>
                <w:w w:val="89"/>
              </w:rPr>
              <w:t>2003</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1965</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7"/>
              </w:rPr>
              <w:t>146 units</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center"/>
              <w:ind w:left="172"/>
              <w:spacing w:after="0" w:line="139" w:lineRule="exact"/>
              <w:rPr>
                <w:sz w:val="20"/>
                <w:szCs w:val="20"/>
                <w:color w:val="auto"/>
              </w:rPr>
            </w:pPr>
            <w:r>
              <w:rPr>
                <w:rFonts w:ascii="Arial" w:cs="Arial" w:eastAsia="Arial" w:hAnsi="Arial"/>
                <w:sz w:val="14"/>
                <w:szCs w:val="14"/>
                <w:color w:val="auto"/>
                <w:w w:val="85"/>
              </w:rPr>
              <w:t>98%</w:t>
            </w: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Rockville, MD 20852(8)</w:t>
            </w:r>
          </w:p>
        </w:tc>
        <w:tc>
          <w:tcPr>
            <w:tcW w:w="1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Courthouse Center</w:t>
            </w:r>
          </w:p>
        </w:tc>
        <w:tc>
          <w:tcPr>
            <w:tcW w:w="3200" w:type="dxa"/>
            <w:vAlign w:val="bottom"/>
            <w:gridSpan w:val="2"/>
          </w:tcPr>
          <w:p>
            <w:pPr>
              <w:jc w:val="center"/>
              <w:ind w:left="1892"/>
              <w:spacing w:after="0" w:line="138" w:lineRule="exact"/>
              <w:rPr>
                <w:sz w:val="20"/>
                <w:szCs w:val="20"/>
                <w:color w:val="auto"/>
              </w:rPr>
            </w:pPr>
            <w:r>
              <w:rPr>
                <w:rFonts w:ascii="Arial" w:cs="Arial" w:eastAsia="Arial" w:hAnsi="Arial"/>
                <w:sz w:val="14"/>
                <w:szCs w:val="14"/>
                <w:color w:val="auto"/>
                <w:w w:val="89"/>
              </w:rPr>
              <w:t>1970</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1997</w:t>
            </w:r>
          </w:p>
        </w:tc>
        <w:tc>
          <w:tcPr>
            <w:tcW w:w="12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36,000</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$16.98</w:t>
            </w:r>
          </w:p>
        </w:tc>
        <w:tc>
          <w:tcPr>
            <w:tcW w:w="1000" w:type="dxa"/>
            <w:vAlign w:val="bottom"/>
            <w:gridSpan w:val="2"/>
          </w:tcPr>
          <w:p>
            <w:pPr>
              <w:jc w:val="center"/>
              <w:ind w:left="172"/>
              <w:spacing w:after="0" w:line="138" w:lineRule="exact"/>
              <w:rPr>
                <w:sz w:val="20"/>
                <w:szCs w:val="20"/>
                <w:color w:val="auto"/>
              </w:rPr>
            </w:pPr>
            <w:r>
              <w:rPr>
                <w:rFonts w:ascii="Arial" w:cs="Arial" w:eastAsia="Arial" w:hAnsi="Arial"/>
                <w:sz w:val="14"/>
                <w:szCs w:val="14"/>
                <w:color w:val="auto"/>
                <w:w w:val="85"/>
              </w:rPr>
              <w:t>89%</w:t>
            </w: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color w:val="auto"/>
              </w:rPr>
              <w:t>Rockville, MD 20852</w:t>
            </w: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Federal Plaza</w:t>
            </w:r>
          </w:p>
        </w:tc>
        <w:tc>
          <w:tcPr>
            <w:tcW w:w="3200" w:type="dxa"/>
            <w:vAlign w:val="bottom"/>
            <w:gridSpan w:val="2"/>
            <w:shd w:val="clear" w:color="auto" w:fill="CCEEFF"/>
          </w:tcPr>
          <w:p>
            <w:pPr>
              <w:jc w:val="center"/>
              <w:ind w:left="1892"/>
              <w:spacing w:after="0" w:line="139" w:lineRule="exact"/>
              <w:rPr>
                <w:sz w:val="20"/>
                <w:szCs w:val="20"/>
                <w:color w:val="auto"/>
              </w:rPr>
            </w:pPr>
            <w:r>
              <w:rPr>
                <w:rFonts w:ascii="Arial" w:cs="Arial" w:eastAsia="Arial" w:hAnsi="Arial"/>
                <w:sz w:val="14"/>
                <w:szCs w:val="14"/>
                <w:color w:val="auto"/>
                <w:w w:val="89"/>
              </w:rPr>
              <w:t>1970</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1989</w:t>
            </w:r>
          </w:p>
        </w:tc>
        <w:tc>
          <w:tcPr>
            <w:tcW w:w="124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6"/>
              </w:rPr>
              <w:t>248,000</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$29.88</w:t>
            </w:r>
          </w:p>
        </w:tc>
        <w:tc>
          <w:tcPr>
            <w:tcW w:w="1000" w:type="dxa"/>
            <w:vAlign w:val="bottom"/>
            <w:gridSpan w:val="2"/>
            <w:shd w:val="clear" w:color="auto" w:fill="CCEEFF"/>
          </w:tcPr>
          <w:p>
            <w:pPr>
              <w:jc w:val="center"/>
              <w:ind w:left="172"/>
              <w:spacing w:after="0" w:line="139" w:lineRule="exact"/>
              <w:rPr>
                <w:sz w:val="20"/>
                <w:szCs w:val="20"/>
                <w:color w:val="auto"/>
              </w:rPr>
            </w:pPr>
            <w:r>
              <w:rPr>
                <w:rFonts w:ascii="Arial" w:cs="Arial" w:eastAsia="Arial" w:hAnsi="Arial"/>
                <w:sz w:val="14"/>
                <w:szCs w:val="14"/>
                <w:color w:val="auto"/>
                <w:w w:val="85"/>
              </w:rPr>
              <w:t>94%</w:t>
            </w:r>
          </w:p>
        </w:tc>
        <w:tc>
          <w:tcPr>
            <w:tcW w:w="198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Rockville, MD 20852</w:t>
            </w:r>
          </w:p>
        </w:tc>
        <w:tc>
          <w:tcPr>
            <w:tcW w:w="1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Gaithersburg Square</w:t>
            </w:r>
          </w:p>
        </w:tc>
        <w:tc>
          <w:tcPr>
            <w:tcW w:w="3200" w:type="dxa"/>
            <w:vAlign w:val="bottom"/>
            <w:gridSpan w:val="2"/>
          </w:tcPr>
          <w:p>
            <w:pPr>
              <w:jc w:val="center"/>
              <w:ind w:left="1892"/>
              <w:spacing w:after="0" w:line="138" w:lineRule="exact"/>
              <w:rPr>
                <w:sz w:val="20"/>
                <w:szCs w:val="20"/>
                <w:color w:val="auto"/>
              </w:rPr>
            </w:pPr>
            <w:r>
              <w:rPr>
                <w:rFonts w:ascii="Arial" w:cs="Arial" w:eastAsia="Arial" w:hAnsi="Arial"/>
                <w:sz w:val="14"/>
                <w:szCs w:val="14"/>
                <w:color w:val="auto"/>
                <w:w w:val="89"/>
              </w:rPr>
              <w:t>1966</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1993</w:t>
            </w:r>
          </w:p>
        </w:tc>
        <w:tc>
          <w:tcPr>
            <w:tcW w:w="124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209,000</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$25.46</w:t>
            </w:r>
          </w:p>
        </w:tc>
        <w:tc>
          <w:tcPr>
            <w:tcW w:w="1000" w:type="dxa"/>
            <w:vAlign w:val="bottom"/>
            <w:gridSpan w:val="2"/>
          </w:tcPr>
          <w:p>
            <w:pPr>
              <w:jc w:val="center"/>
              <w:ind w:left="172"/>
              <w:spacing w:after="0" w:line="138" w:lineRule="exact"/>
              <w:rPr>
                <w:sz w:val="20"/>
                <w:szCs w:val="20"/>
                <w:color w:val="auto"/>
              </w:rPr>
            </w:pPr>
            <w:r>
              <w:rPr>
                <w:rFonts w:ascii="Arial" w:cs="Arial" w:eastAsia="Arial" w:hAnsi="Arial"/>
                <w:sz w:val="14"/>
                <w:szCs w:val="14"/>
                <w:color w:val="auto"/>
                <w:w w:val="85"/>
              </w:rPr>
              <w:t>76%</w:t>
            </w:r>
          </w:p>
        </w:tc>
        <w:tc>
          <w:tcPr>
            <w:tcW w:w="19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color w:val="auto"/>
              </w:rPr>
              <w:t>Gaithersburg, MD 20878</w:t>
            </w: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Governor Plaza</w:t>
            </w:r>
          </w:p>
        </w:tc>
        <w:tc>
          <w:tcPr>
            <w:tcW w:w="3200" w:type="dxa"/>
            <w:vAlign w:val="bottom"/>
            <w:gridSpan w:val="2"/>
            <w:shd w:val="clear" w:color="auto" w:fill="CCEEFF"/>
          </w:tcPr>
          <w:p>
            <w:pPr>
              <w:jc w:val="center"/>
              <w:ind w:left="1892"/>
              <w:spacing w:after="0" w:line="139" w:lineRule="exact"/>
              <w:rPr>
                <w:sz w:val="20"/>
                <w:szCs w:val="20"/>
                <w:color w:val="auto"/>
              </w:rPr>
            </w:pPr>
            <w:r>
              <w:rPr>
                <w:rFonts w:ascii="Arial" w:cs="Arial" w:eastAsia="Arial" w:hAnsi="Arial"/>
                <w:sz w:val="14"/>
                <w:szCs w:val="14"/>
                <w:color w:val="auto"/>
                <w:w w:val="89"/>
              </w:rPr>
              <w:t>1963</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1985</w:t>
            </w:r>
          </w:p>
        </w:tc>
        <w:tc>
          <w:tcPr>
            <w:tcW w:w="124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6"/>
              </w:rPr>
              <w:t>267,000</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$15.34</w:t>
            </w:r>
          </w:p>
        </w:tc>
        <w:tc>
          <w:tcPr>
            <w:tcW w:w="1000" w:type="dxa"/>
            <w:vAlign w:val="bottom"/>
            <w:gridSpan w:val="2"/>
            <w:shd w:val="clear" w:color="auto" w:fill="CCEEFF"/>
          </w:tcPr>
          <w:p>
            <w:pPr>
              <w:jc w:val="center"/>
              <w:ind w:left="172"/>
              <w:spacing w:after="0" w:line="139" w:lineRule="exact"/>
              <w:rPr>
                <w:sz w:val="20"/>
                <w:szCs w:val="20"/>
                <w:color w:val="auto"/>
              </w:rPr>
            </w:pPr>
            <w:r>
              <w:rPr>
                <w:rFonts w:ascii="Arial" w:cs="Arial" w:eastAsia="Arial" w:hAnsi="Arial"/>
                <w:sz w:val="14"/>
                <w:szCs w:val="14"/>
                <w:color w:val="auto"/>
                <w:w w:val="89"/>
              </w:rPr>
              <w:t>100%</w:t>
            </w:r>
          </w:p>
        </w:tc>
        <w:tc>
          <w:tcPr>
            <w:tcW w:w="198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Glen Burnie, MD 21961</w:t>
            </w:r>
          </w:p>
        </w:tc>
        <w:tc>
          <w:tcPr>
            <w:tcW w:w="1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Bally Total Fitness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Laurel Centre</w:t>
            </w:r>
          </w:p>
        </w:tc>
        <w:tc>
          <w:tcPr>
            <w:tcW w:w="3200" w:type="dxa"/>
            <w:vAlign w:val="bottom"/>
            <w:gridSpan w:val="2"/>
          </w:tcPr>
          <w:p>
            <w:pPr>
              <w:jc w:val="center"/>
              <w:ind w:left="1892"/>
              <w:spacing w:after="0" w:line="138" w:lineRule="exact"/>
              <w:rPr>
                <w:sz w:val="20"/>
                <w:szCs w:val="20"/>
                <w:color w:val="auto"/>
              </w:rPr>
            </w:pPr>
            <w:r>
              <w:rPr>
                <w:rFonts w:ascii="Arial" w:cs="Arial" w:eastAsia="Arial" w:hAnsi="Arial"/>
                <w:sz w:val="14"/>
                <w:szCs w:val="14"/>
                <w:color w:val="auto"/>
                <w:w w:val="89"/>
              </w:rPr>
              <w:t>1956</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1986</w:t>
            </w:r>
          </w:p>
        </w:tc>
        <w:tc>
          <w:tcPr>
            <w:tcW w:w="124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386,000</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$17.29</w:t>
            </w:r>
          </w:p>
        </w:tc>
        <w:tc>
          <w:tcPr>
            <w:tcW w:w="1000" w:type="dxa"/>
            <w:vAlign w:val="bottom"/>
            <w:gridSpan w:val="2"/>
          </w:tcPr>
          <w:p>
            <w:pPr>
              <w:jc w:val="center"/>
              <w:ind w:left="172"/>
              <w:spacing w:after="0" w:line="138" w:lineRule="exact"/>
              <w:rPr>
                <w:sz w:val="20"/>
                <w:szCs w:val="20"/>
                <w:color w:val="auto"/>
              </w:rPr>
            </w:pPr>
            <w:r>
              <w:rPr>
                <w:rFonts w:ascii="Arial" w:cs="Arial" w:eastAsia="Arial" w:hAnsi="Arial"/>
                <w:sz w:val="14"/>
                <w:szCs w:val="14"/>
                <w:color w:val="auto"/>
                <w:w w:val="85"/>
              </w:rPr>
              <w:t>97%</w:t>
            </w:r>
          </w:p>
        </w:tc>
        <w:tc>
          <w:tcPr>
            <w:tcW w:w="19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color w:val="auto"/>
              </w:rPr>
              <w:t>Laurel, MD 20707</w:t>
            </w: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Mid-Pike Plaza</w:t>
            </w:r>
          </w:p>
        </w:tc>
        <w:tc>
          <w:tcPr>
            <w:tcW w:w="3200" w:type="dxa"/>
            <w:vAlign w:val="bottom"/>
            <w:gridSpan w:val="2"/>
            <w:shd w:val="clear" w:color="auto" w:fill="CCEEFF"/>
          </w:tcPr>
          <w:p>
            <w:pPr>
              <w:jc w:val="center"/>
              <w:ind w:left="1892"/>
              <w:spacing w:after="0" w:line="139" w:lineRule="exact"/>
              <w:rPr>
                <w:sz w:val="20"/>
                <w:szCs w:val="20"/>
                <w:color w:val="auto"/>
              </w:rPr>
            </w:pPr>
            <w:r>
              <w:rPr>
                <w:rFonts w:ascii="Arial" w:cs="Arial" w:eastAsia="Arial" w:hAnsi="Arial"/>
                <w:sz w:val="14"/>
                <w:szCs w:val="14"/>
                <w:color w:val="auto"/>
                <w:w w:val="89"/>
              </w:rPr>
              <w:t>1963</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4"/>
              </w:rPr>
              <w:t>1982/2007</w:t>
            </w:r>
          </w:p>
        </w:tc>
        <w:tc>
          <w:tcPr>
            <w:tcW w:w="124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6"/>
              </w:rPr>
              <w:t>309,000</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$27.31</w:t>
            </w:r>
          </w:p>
        </w:tc>
        <w:tc>
          <w:tcPr>
            <w:tcW w:w="1000" w:type="dxa"/>
            <w:vAlign w:val="bottom"/>
            <w:gridSpan w:val="2"/>
            <w:shd w:val="clear" w:color="auto" w:fill="CCEEFF"/>
          </w:tcPr>
          <w:p>
            <w:pPr>
              <w:jc w:val="center"/>
              <w:ind w:left="172"/>
              <w:spacing w:after="0" w:line="139" w:lineRule="exact"/>
              <w:rPr>
                <w:sz w:val="20"/>
                <w:szCs w:val="20"/>
                <w:color w:val="auto"/>
              </w:rPr>
            </w:pPr>
            <w:r>
              <w:rPr>
                <w:rFonts w:ascii="Arial" w:cs="Arial" w:eastAsia="Arial" w:hAnsi="Arial"/>
                <w:sz w:val="14"/>
                <w:szCs w:val="14"/>
                <w:color w:val="auto"/>
                <w:w w:val="85"/>
              </w:rPr>
              <w:t>85%</w:t>
            </w:r>
          </w:p>
        </w:tc>
        <w:tc>
          <w:tcPr>
            <w:tcW w:w="198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Bally Total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Rockville, MD 20852</w:t>
            </w:r>
          </w:p>
        </w:tc>
        <w:tc>
          <w:tcPr>
            <w:tcW w:w="1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Perring Plaza</w:t>
            </w:r>
          </w:p>
        </w:tc>
        <w:tc>
          <w:tcPr>
            <w:tcW w:w="3200" w:type="dxa"/>
            <w:vAlign w:val="bottom"/>
            <w:gridSpan w:val="2"/>
          </w:tcPr>
          <w:p>
            <w:pPr>
              <w:jc w:val="center"/>
              <w:ind w:left="1892"/>
              <w:spacing w:after="0" w:line="138" w:lineRule="exact"/>
              <w:rPr>
                <w:sz w:val="20"/>
                <w:szCs w:val="20"/>
                <w:color w:val="auto"/>
              </w:rPr>
            </w:pPr>
            <w:r>
              <w:rPr>
                <w:rFonts w:ascii="Arial" w:cs="Arial" w:eastAsia="Arial" w:hAnsi="Arial"/>
                <w:sz w:val="14"/>
                <w:szCs w:val="14"/>
                <w:color w:val="auto"/>
                <w:w w:val="89"/>
              </w:rPr>
              <w:t>1963</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1985</w:t>
            </w:r>
          </w:p>
        </w:tc>
        <w:tc>
          <w:tcPr>
            <w:tcW w:w="124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401,000</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$12.22</w:t>
            </w:r>
          </w:p>
        </w:tc>
        <w:tc>
          <w:tcPr>
            <w:tcW w:w="1000" w:type="dxa"/>
            <w:vAlign w:val="bottom"/>
            <w:gridSpan w:val="2"/>
          </w:tcPr>
          <w:p>
            <w:pPr>
              <w:jc w:val="center"/>
              <w:ind w:left="172"/>
              <w:spacing w:after="0" w:line="138" w:lineRule="exact"/>
              <w:rPr>
                <w:sz w:val="20"/>
                <w:szCs w:val="20"/>
                <w:color w:val="auto"/>
              </w:rPr>
            </w:pPr>
            <w:r>
              <w:rPr>
                <w:rFonts w:ascii="Arial" w:cs="Arial" w:eastAsia="Arial" w:hAnsi="Arial"/>
                <w:sz w:val="14"/>
                <w:szCs w:val="14"/>
                <w:color w:val="auto"/>
                <w:w w:val="85"/>
              </w:rPr>
              <w:t>98%</w:t>
            </w:r>
          </w:p>
        </w:tc>
        <w:tc>
          <w:tcPr>
            <w:tcW w:w="19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Baltimore, MD 21134</w:t>
            </w:r>
          </w:p>
        </w:tc>
        <w:tc>
          <w:tcPr>
            <w:tcW w:w="1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Jo-Ann Stores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Quince Orchard</w:t>
            </w:r>
          </w:p>
        </w:tc>
        <w:tc>
          <w:tcPr>
            <w:tcW w:w="3200" w:type="dxa"/>
            <w:vAlign w:val="bottom"/>
            <w:gridSpan w:val="2"/>
            <w:shd w:val="clear" w:color="auto" w:fill="CCEEFF"/>
          </w:tcPr>
          <w:p>
            <w:pPr>
              <w:jc w:val="center"/>
              <w:ind w:left="1892"/>
              <w:spacing w:after="0" w:line="139" w:lineRule="exact"/>
              <w:rPr>
                <w:sz w:val="20"/>
                <w:szCs w:val="20"/>
                <w:color w:val="auto"/>
              </w:rPr>
            </w:pPr>
            <w:r>
              <w:rPr>
                <w:rFonts w:ascii="Arial" w:cs="Arial" w:eastAsia="Arial" w:hAnsi="Arial"/>
                <w:sz w:val="14"/>
                <w:szCs w:val="14"/>
                <w:color w:val="auto"/>
                <w:w w:val="89"/>
              </w:rPr>
              <w:t>1975</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1993</w:t>
            </w:r>
          </w:p>
        </w:tc>
        <w:tc>
          <w:tcPr>
            <w:tcW w:w="124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6"/>
              </w:rPr>
              <w:t>248,000</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$20.21</w:t>
            </w:r>
          </w:p>
        </w:tc>
        <w:tc>
          <w:tcPr>
            <w:tcW w:w="1000" w:type="dxa"/>
            <w:vAlign w:val="bottom"/>
            <w:gridSpan w:val="2"/>
            <w:shd w:val="clear" w:color="auto" w:fill="CCEEFF"/>
          </w:tcPr>
          <w:p>
            <w:pPr>
              <w:jc w:val="center"/>
              <w:ind w:left="172"/>
              <w:spacing w:after="0" w:line="139" w:lineRule="exact"/>
              <w:rPr>
                <w:sz w:val="20"/>
                <w:szCs w:val="20"/>
                <w:color w:val="auto"/>
              </w:rPr>
            </w:pPr>
            <w:r>
              <w:rPr>
                <w:rFonts w:ascii="Arial" w:cs="Arial" w:eastAsia="Arial" w:hAnsi="Arial"/>
                <w:sz w:val="14"/>
                <w:szCs w:val="14"/>
                <w:color w:val="auto"/>
                <w:w w:val="85"/>
              </w:rPr>
              <w:t>70%</w:t>
            </w:r>
          </w:p>
        </w:tc>
        <w:tc>
          <w:tcPr>
            <w:tcW w:w="198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Magruders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Gaithersburg, MD 20877(3)</w:t>
            </w:r>
          </w:p>
        </w:tc>
        <w:tc>
          <w:tcPr>
            <w:tcW w:w="1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4"/>
          </w:tcPr>
          <w:p>
            <w:pPr>
              <w:spacing w:after="0" w:line="138" w:lineRule="exact"/>
              <w:rPr>
                <w:sz w:val="20"/>
                <w:szCs w:val="20"/>
                <w:color w:val="auto"/>
              </w:rPr>
            </w:pPr>
            <w:r>
              <w:rPr>
                <w:rFonts w:ascii="Arial" w:cs="Arial" w:eastAsia="Arial" w:hAnsi="Arial"/>
                <w:sz w:val="14"/>
                <w:szCs w:val="14"/>
                <w:color w:val="auto"/>
              </w:rPr>
              <w:t>Rockville Town Square</w:t>
            </w:r>
          </w:p>
        </w:tc>
        <w:tc>
          <w:tcPr>
            <w:tcW w:w="3200" w:type="dxa"/>
            <w:vAlign w:val="bottom"/>
            <w:gridSpan w:val="2"/>
          </w:tcPr>
          <w:p>
            <w:pPr>
              <w:jc w:val="center"/>
              <w:ind w:left="1892"/>
              <w:spacing w:after="0" w:line="138" w:lineRule="exact"/>
              <w:rPr>
                <w:sz w:val="20"/>
                <w:szCs w:val="20"/>
                <w:color w:val="auto"/>
              </w:rPr>
            </w:pPr>
            <w:r>
              <w:rPr>
                <w:rFonts w:ascii="Arial" w:cs="Arial" w:eastAsia="Arial" w:hAnsi="Arial"/>
                <w:sz w:val="14"/>
                <w:szCs w:val="14"/>
                <w:color w:val="auto"/>
                <w:w w:val="89"/>
              </w:rPr>
              <w:t>2006-2007</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2006-2007</w:t>
            </w:r>
          </w:p>
        </w:tc>
        <w:tc>
          <w:tcPr>
            <w:tcW w:w="124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182,000</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$29.98</w:t>
            </w:r>
          </w:p>
        </w:tc>
        <w:tc>
          <w:tcPr>
            <w:tcW w:w="1000" w:type="dxa"/>
            <w:vAlign w:val="bottom"/>
            <w:gridSpan w:val="2"/>
          </w:tcPr>
          <w:p>
            <w:pPr>
              <w:jc w:val="center"/>
              <w:ind w:left="172"/>
              <w:spacing w:after="0" w:line="138" w:lineRule="exact"/>
              <w:rPr>
                <w:sz w:val="20"/>
                <w:szCs w:val="20"/>
                <w:color w:val="auto"/>
              </w:rPr>
            </w:pPr>
            <w:r>
              <w:rPr>
                <w:rFonts w:ascii="Arial" w:cs="Arial" w:eastAsia="Arial" w:hAnsi="Arial"/>
                <w:sz w:val="14"/>
                <w:szCs w:val="14"/>
                <w:color w:val="auto"/>
                <w:w w:val="85"/>
              </w:rPr>
              <w:t>97%</w:t>
            </w:r>
          </w:p>
        </w:tc>
        <w:tc>
          <w:tcPr>
            <w:tcW w:w="19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color w:val="auto"/>
              </w:rPr>
              <w:t>Rockville, MD 20852</w:t>
            </w: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Rollingwood Apartments</w:t>
            </w:r>
          </w:p>
        </w:tc>
        <w:tc>
          <w:tcPr>
            <w:tcW w:w="3200" w:type="dxa"/>
            <w:vAlign w:val="bottom"/>
            <w:gridSpan w:val="2"/>
            <w:shd w:val="clear" w:color="auto" w:fill="CCEEFF"/>
          </w:tcPr>
          <w:p>
            <w:pPr>
              <w:jc w:val="center"/>
              <w:ind w:left="1892"/>
              <w:spacing w:after="0" w:line="139" w:lineRule="exact"/>
              <w:rPr>
                <w:sz w:val="20"/>
                <w:szCs w:val="20"/>
                <w:color w:val="auto"/>
              </w:rPr>
            </w:pPr>
            <w:r>
              <w:rPr>
                <w:rFonts w:ascii="Arial" w:cs="Arial" w:eastAsia="Arial" w:hAnsi="Arial"/>
                <w:sz w:val="14"/>
                <w:szCs w:val="14"/>
                <w:color w:val="auto"/>
                <w:w w:val="89"/>
              </w:rPr>
              <w:t>1960</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1971</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7"/>
              </w:rPr>
              <w:t>282 units</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center"/>
              <w:ind w:left="172"/>
              <w:spacing w:after="0" w:line="139" w:lineRule="exact"/>
              <w:rPr>
                <w:sz w:val="20"/>
                <w:szCs w:val="20"/>
                <w:color w:val="auto"/>
              </w:rPr>
            </w:pPr>
            <w:r>
              <w:rPr>
                <w:rFonts w:ascii="Arial" w:cs="Arial" w:eastAsia="Arial" w:hAnsi="Arial"/>
                <w:sz w:val="14"/>
                <w:szCs w:val="14"/>
                <w:color w:val="auto"/>
                <w:w w:val="85"/>
              </w:rPr>
              <w:t>93%</w:t>
            </w: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Silver Spring, MD 20910</w:t>
            </w:r>
          </w:p>
        </w:tc>
        <w:tc>
          <w:tcPr>
            <w:tcW w:w="1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9 three-story buildings</w:t>
            </w:r>
          </w:p>
        </w:tc>
        <w:tc>
          <w:tcPr>
            <w:tcW w:w="1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22</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Retail and Residential Properties—continued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Square Feet(1)</w:t>
            </w: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 Rent</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 Square</w:t>
            </w:r>
          </w:p>
        </w:tc>
        <w:tc>
          <w:tcPr>
            <w:tcW w:w="340" w:type="dxa"/>
            <w:vAlign w:val="bottom"/>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87"/>
              </w:rPr>
              <w:t>Percentage</w:t>
            </w: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gridSpan w:val="7"/>
          </w:tcPr>
          <w:p>
            <w:pPr>
              <w:spacing w:after="0"/>
              <w:rPr>
                <w:sz w:val="20"/>
                <w:szCs w:val="20"/>
                <w:color w:val="auto"/>
              </w:rPr>
            </w:pPr>
            <w:r>
              <w:rPr>
                <w:rFonts w:ascii="Arial" w:cs="Arial" w:eastAsia="Arial" w:hAnsi="Arial"/>
                <w:sz w:val="14"/>
                <w:szCs w:val="14"/>
                <w:b w:val="1"/>
                <w:bCs w:val="1"/>
                <w:color w:val="auto"/>
              </w:rPr>
              <w:t>Property, City, State, Zip Code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Completed</w:t>
            </w: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Foot</w:t>
            </w: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Leased(2)</w:t>
            </w:r>
          </w:p>
        </w:tc>
        <w:tc>
          <w:tcPr>
            <w:tcW w:w="340" w:type="dxa"/>
            <w:vAlign w:val="bottom"/>
          </w:tcPr>
          <w:p>
            <w:pPr>
              <w:spacing w:after="0"/>
              <w:rPr>
                <w:sz w:val="14"/>
                <w:szCs w:val="14"/>
                <w:color w:val="auto"/>
              </w:rPr>
            </w:pPr>
          </w:p>
        </w:tc>
        <w:tc>
          <w:tcPr>
            <w:tcW w:w="1780" w:type="dxa"/>
            <w:vAlign w:val="bottom"/>
          </w:tcPr>
          <w:p>
            <w:pPr>
              <w:ind w:left="34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00" w:type="dxa"/>
            <w:vAlign w:val="bottom"/>
            <w:gridSpan w:val="5"/>
            <w:shd w:val="clear" w:color="auto" w:fill="CCEEFF"/>
          </w:tcPr>
          <w:p>
            <w:pPr>
              <w:spacing w:after="0" w:line="131" w:lineRule="exact"/>
              <w:rPr>
                <w:sz w:val="20"/>
                <w:szCs w:val="20"/>
                <w:color w:val="auto"/>
              </w:rPr>
            </w:pPr>
            <w:r>
              <w:rPr>
                <w:rFonts w:ascii="Arial" w:cs="Arial" w:eastAsia="Arial" w:hAnsi="Arial"/>
                <w:sz w:val="14"/>
                <w:szCs w:val="14"/>
                <w:color w:val="auto"/>
              </w:rPr>
              <w:t>THE AVENUE at White Marsh</w:t>
            </w:r>
          </w:p>
        </w:tc>
        <w:tc>
          <w:tcPr>
            <w:tcW w:w="2080" w:type="dxa"/>
            <w:vAlign w:val="bottom"/>
            <w:shd w:val="clear" w:color="auto" w:fill="CCEEFF"/>
          </w:tcPr>
          <w:p>
            <w:pPr>
              <w:spacing w:after="0"/>
              <w:rPr>
                <w:sz w:val="11"/>
                <w:szCs w:val="11"/>
                <w:color w:val="auto"/>
              </w:rPr>
            </w:pPr>
          </w:p>
        </w:tc>
        <w:tc>
          <w:tcPr>
            <w:tcW w:w="7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3"/>
              </w:rPr>
              <w:t>1997</w:t>
            </w: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2007</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298,000</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$20.92</w:t>
            </w: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94%</w:t>
            </w:r>
          </w:p>
        </w:tc>
        <w:tc>
          <w:tcPr>
            <w:tcW w:w="2120" w:type="dxa"/>
            <w:vAlign w:val="bottom"/>
            <w:gridSpan w:val="2"/>
            <w:shd w:val="clear" w:color="auto" w:fill="CCEEFF"/>
          </w:tcPr>
          <w:p>
            <w:pPr>
              <w:ind w:left="340"/>
              <w:spacing w:after="0" w:line="131"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6"/>
            <w:shd w:val="clear" w:color="auto" w:fill="CCEEFF"/>
          </w:tcPr>
          <w:p>
            <w:pPr>
              <w:ind w:left="120"/>
              <w:spacing w:after="0" w:line="149" w:lineRule="exact"/>
              <w:rPr>
                <w:sz w:val="20"/>
                <w:szCs w:val="20"/>
                <w:color w:val="auto"/>
              </w:rPr>
            </w:pPr>
            <w:r>
              <w:rPr>
                <w:rFonts w:ascii="Arial" w:cs="Arial" w:eastAsia="Arial" w:hAnsi="Arial"/>
                <w:sz w:val="14"/>
                <w:szCs w:val="14"/>
                <w:color w:val="auto"/>
              </w:rPr>
              <w:t>Baltimore, MD 21236(9)</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6"/>
          </w:tcPr>
          <w:p>
            <w:pPr>
              <w:spacing w:after="0" w:line="138" w:lineRule="exact"/>
              <w:rPr>
                <w:sz w:val="20"/>
                <w:szCs w:val="20"/>
                <w:color w:val="auto"/>
              </w:rPr>
            </w:pPr>
            <w:r>
              <w:rPr>
                <w:rFonts w:ascii="Arial" w:cs="Arial" w:eastAsia="Arial" w:hAnsi="Arial"/>
                <w:sz w:val="14"/>
                <w:szCs w:val="14"/>
                <w:color w:val="auto"/>
              </w:rPr>
              <w:t>The Shoppes at Nottingham Square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2005-2006</w:t>
            </w:r>
          </w:p>
        </w:tc>
        <w:tc>
          <w:tcPr>
            <w:tcW w:w="10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9"/>
              </w:rPr>
              <w:t>2007</w:t>
            </w:r>
          </w:p>
        </w:tc>
        <w:tc>
          <w:tcPr>
            <w:tcW w:w="13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8"/>
              </w:rPr>
              <w:t>53,000</w:t>
            </w:r>
          </w:p>
        </w:tc>
        <w:tc>
          <w:tcPr>
            <w:tcW w:w="124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$31.61</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100%</w:t>
            </w:r>
          </w:p>
        </w:tc>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gridSpan w:val="6"/>
          </w:tcPr>
          <w:p>
            <w:pPr>
              <w:ind w:left="120"/>
              <w:spacing w:after="0"/>
              <w:rPr>
                <w:sz w:val="20"/>
                <w:szCs w:val="20"/>
                <w:color w:val="auto"/>
              </w:rPr>
            </w:pPr>
            <w:r>
              <w:rPr>
                <w:rFonts w:ascii="Arial" w:cs="Arial" w:eastAsia="Arial" w:hAnsi="Arial"/>
                <w:sz w:val="14"/>
                <w:szCs w:val="14"/>
                <w:color w:val="auto"/>
              </w:rPr>
              <w:t>Baltimore, MD 21236</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80" w:type="dxa"/>
            <w:vAlign w:val="bottom"/>
            <w:gridSpan w:val="6"/>
            <w:shd w:val="clear" w:color="auto" w:fill="CCEEFF"/>
          </w:tcPr>
          <w:p>
            <w:pPr>
              <w:spacing w:after="0" w:line="139" w:lineRule="exact"/>
              <w:rPr>
                <w:sz w:val="20"/>
                <w:szCs w:val="20"/>
                <w:color w:val="auto"/>
              </w:rPr>
            </w:pPr>
            <w:r>
              <w:rPr>
                <w:rFonts w:ascii="Arial" w:cs="Arial" w:eastAsia="Arial" w:hAnsi="Arial"/>
                <w:sz w:val="14"/>
                <w:szCs w:val="14"/>
                <w:color w:val="auto"/>
              </w:rPr>
              <w:t>White Marsh Other</w:t>
            </w:r>
          </w:p>
        </w:tc>
        <w:tc>
          <w:tcPr>
            <w:tcW w:w="7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1985</w:t>
            </w:r>
          </w:p>
        </w:tc>
        <w:tc>
          <w:tcPr>
            <w:tcW w:w="10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9"/>
              </w:rPr>
              <w:t>2007</w:t>
            </w:r>
          </w:p>
        </w:tc>
        <w:tc>
          <w:tcPr>
            <w:tcW w:w="13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8"/>
              </w:rPr>
              <w:t>49,000</w:t>
            </w:r>
          </w:p>
        </w:tc>
        <w:tc>
          <w:tcPr>
            <w:tcW w:w="124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$34.00</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100%</w:t>
            </w:r>
          </w:p>
        </w:tc>
        <w:tc>
          <w:tcPr>
            <w:tcW w:w="3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gridSpan w:val="6"/>
            <w:shd w:val="clear" w:color="auto" w:fill="CCEEFF"/>
          </w:tcPr>
          <w:p>
            <w:pPr>
              <w:ind w:left="120"/>
              <w:spacing w:after="0"/>
              <w:rPr>
                <w:sz w:val="20"/>
                <w:szCs w:val="20"/>
                <w:color w:val="auto"/>
              </w:rPr>
            </w:pPr>
            <w:r>
              <w:rPr>
                <w:rFonts w:ascii="Arial" w:cs="Arial" w:eastAsia="Arial" w:hAnsi="Arial"/>
                <w:sz w:val="14"/>
                <w:szCs w:val="14"/>
                <w:color w:val="auto"/>
              </w:rPr>
              <w:t>Baltimore, MD 21236</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6"/>
          </w:tcPr>
          <w:p>
            <w:pPr>
              <w:spacing w:after="0" w:line="138" w:lineRule="exact"/>
              <w:rPr>
                <w:sz w:val="20"/>
                <w:szCs w:val="20"/>
                <w:color w:val="auto"/>
              </w:rPr>
            </w:pPr>
            <w:r>
              <w:rPr>
                <w:rFonts w:ascii="Arial" w:cs="Arial" w:eastAsia="Arial" w:hAnsi="Arial"/>
                <w:sz w:val="14"/>
                <w:szCs w:val="14"/>
                <w:color w:val="auto"/>
              </w:rPr>
              <w:t>White Marsh Plaza</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3"/>
              </w:rPr>
              <w:t>1987</w:t>
            </w:r>
          </w:p>
        </w:tc>
        <w:tc>
          <w:tcPr>
            <w:tcW w:w="10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9"/>
              </w:rPr>
              <w:t>2007</w:t>
            </w:r>
          </w:p>
        </w:tc>
        <w:tc>
          <w:tcPr>
            <w:tcW w:w="13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8"/>
              </w:rPr>
              <w:t>80,000</w:t>
            </w:r>
          </w:p>
        </w:tc>
        <w:tc>
          <w:tcPr>
            <w:tcW w:w="124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$19.37</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98%</w:t>
            </w:r>
          </w:p>
        </w:tc>
        <w:tc>
          <w:tcPr>
            <w:tcW w:w="21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gridSpan w:val="6"/>
          </w:tcPr>
          <w:p>
            <w:pPr>
              <w:ind w:left="120"/>
              <w:spacing w:after="0"/>
              <w:rPr>
                <w:sz w:val="20"/>
                <w:szCs w:val="20"/>
                <w:color w:val="auto"/>
              </w:rPr>
            </w:pPr>
            <w:r>
              <w:rPr>
                <w:rFonts w:ascii="Arial" w:cs="Arial" w:eastAsia="Arial" w:hAnsi="Arial"/>
                <w:sz w:val="14"/>
                <w:szCs w:val="14"/>
                <w:color w:val="auto"/>
              </w:rPr>
              <w:t>Baltimore, MD 21236</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80" w:type="dxa"/>
            <w:vAlign w:val="bottom"/>
            <w:gridSpan w:val="6"/>
            <w:shd w:val="clear" w:color="auto" w:fill="CCEEFF"/>
          </w:tcPr>
          <w:p>
            <w:pPr>
              <w:spacing w:after="0" w:line="139" w:lineRule="exact"/>
              <w:rPr>
                <w:sz w:val="20"/>
                <w:szCs w:val="20"/>
                <w:color w:val="auto"/>
              </w:rPr>
            </w:pPr>
            <w:r>
              <w:rPr>
                <w:rFonts w:ascii="Arial" w:cs="Arial" w:eastAsia="Arial" w:hAnsi="Arial"/>
                <w:sz w:val="14"/>
                <w:szCs w:val="14"/>
                <w:color w:val="auto"/>
              </w:rPr>
              <w:t>Wildwood</w:t>
            </w:r>
          </w:p>
        </w:tc>
        <w:tc>
          <w:tcPr>
            <w:tcW w:w="7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1958</w:t>
            </w:r>
          </w:p>
        </w:tc>
        <w:tc>
          <w:tcPr>
            <w:tcW w:w="10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9"/>
              </w:rPr>
              <w:t>1969</w:t>
            </w:r>
          </w:p>
        </w:tc>
        <w:tc>
          <w:tcPr>
            <w:tcW w:w="13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8"/>
              </w:rPr>
              <w:t>84,000</w:t>
            </w:r>
          </w:p>
        </w:tc>
        <w:tc>
          <w:tcPr>
            <w:tcW w:w="124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$80.89</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97%</w:t>
            </w:r>
          </w:p>
        </w:tc>
        <w:tc>
          <w:tcPr>
            <w:tcW w:w="212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gridSpan w:val="6"/>
            <w:shd w:val="clear" w:color="auto" w:fill="CCEEFF"/>
          </w:tcPr>
          <w:p>
            <w:pPr>
              <w:ind w:left="120"/>
              <w:spacing w:after="0"/>
              <w:rPr>
                <w:sz w:val="20"/>
                <w:szCs w:val="20"/>
                <w:color w:val="auto"/>
              </w:rPr>
            </w:pPr>
            <w:r>
              <w:rPr>
                <w:rFonts w:ascii="Arial" w:cs="Arial" w:eastAsia="Arial" w:hAnsi="Arial"/>
                <w:sz w:val="14"/>
                <w:szCs w:val="14"/>
                <w:color w:val="auto"/>
              </w:rPr>
              <w:t>Bethesda, MD 20814</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6"/>
          </w:tcPr>
          <w:p>
            <w:pPr>
              <w:spacing w:after="0" w:line="135" w:lineRule="exact"/>
              <w:rPr>
                <w:sz w:val="20"/>
                <w:szCs w:val="20"/>
                <w:color w:val="auto"/>
              </w:rPr>
            </w:pPr>
            <w:r>
              <w:rPr>
                <w:rFonts w:ascii="Arial" w:cs="Arial" w:eastAsia="Arial" w:hAnsi="Arial"/>
                <w:sz w:val="14"/>
                <w:szCs w:val="14"/>
                <w:b w:val="1"/>
                <w:bCs w:val="1"/>
                <w:color w:val="auto"/>
              </w:rPr>
              <w:t>Massachusetts</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980" w:type="dxa"/>
            <w:vAlign w:val="bottom"/>
            <w:gridSpan w:val="6"/>
            <w:shd w:val="clear" w:color="auto" w:fill="CCEEFF"/>
          </w:tcPr>
          <w:p>
            <w:pPr>
              <w:spacing w:after="0" w:line="131" w:lineRule="exact"/>
              <w:rPr>
                <w:sz w:val="20"/>
                <w:szCs w:val="20"/>
                <w:color w:val="auto"/>
              </w:rPr>
            </w:pPr>
            <w:r>
              <w:rPr>
                <w:rFonts w:ascii="Arial" w:cs="Arial" w:eastAsia="Arial" w:hAnsi="Arial"/>
                <w:sz w:val="14"/>
                <w:szCs w:val="14"/>
                <w:color w:val="auto"/>
              </w:rPr>
              <w:t>Assembly Square</w:t>
            </w:r>
          </w:p>
        </w:tc>
        <w:tc>
          <w:tcPr>
            <w:tcW w:w="7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3"/>
              </w:rPr>
              <w:t>2005</w:t>
            </w:r>
          </w:p>
        </w:tc>
        <w:tc>
          <w:tcPr>
            <w:tcW w:w="100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6"/>
              </w:rPr>
              <w:t>2005-2009</w:t>
            </w:r>
          </w:p>
        </w:tc>
        <w:tc>
          <w:tcPr>
            <w:tcW w:w="130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6"/>
              </w:rPr>
              <w:t>332,000</w:t>
            </w:r>
          </w:p>
        </w:tc>
        <w:tc>
          <w:tcPr>
            <w:tcW w:w="124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8"/>
              </w:rPr>
              <w:t>$16.25</w:t>
            </w:r>
          </w:p>
        </w:tc>
        <w:tc>
          <w:tcPr>
            <w:tcW w:w="106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9"/>
              </w:rPr>
              <w:t>100%</w:t>
            </w:r>
          </w:p>
        </w:tc>
        <w:tc>
          <w:tcPr>
            <w:tcW w:w="2120" w:type="dxa"/>
            <w:vAlign w:val="bottom"/>
            <w:gridSpan w:val="2"/>
            <w:shd w:val="clear" w:color="auto" w:fill="CCEEFF"/>
          </w:tcPr>
          <w:p>
            <w:pPr>
              <w:ind w:left="340"/>
              <w:spacing w:after="0" w:line="131"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6"/>
            <w:shd w:val="clear" w:color="auto" w:fill="CCEEFF"/>
          </w:tcPr>
          <w:p>
            <w:pPr>
              <w:ind w:left="120"/>
              <w:spacing w:after="0" w:line="149" w:lineRule="exact"/>
              <w:rPr>
                <w:sz w:val="20"/>
                <w:szCs w:val="20"/>
                <w:color w:val="auto"/>
              </w:rPr>
            </w:pPr>
            <w:r>
              <w:rPr>
                <w:rFonts w:ascii="Arial" w:cs="Arial" w:eastAsia="Arial" w:hAnsi="Arial"/>
                <w:sz w:val="14"/>
                <w:szCs w:val="14"/>
                <w:color w:val="auto"/>
              </w:rPr>
              <w:t>Somerville, MA 02145</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Christmas Tree Shops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6"/>
          </w:tcPr>
          <w:p>
            <w:pPr>
              <w:spacing w:after="0" w:line="138" w:lineRule="exact"/>
              <w:rPr>
                <w:sz w:val="20"/>
                <w:szCs w:val="20"/>
                <w:color w:val="auto"/>
              </w:rPr>
            </w:pPr>
            <w:r>
              <w:rPr>
                <w:rFonts w:ascii="Arial" w:cs="Arial" w:eastAsia="Arial" w:hAnsi="Arial"/>
                <w:sz w:val="14"/>
                <w:szCs w:val="14"/>
                <w:color w:val="auto"/>
              </w:rPr>
              <w:t>Chelsea Commons</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1962-1969</w:t>
            </w:r>
          </w:p>
        </w:tc>
        <w:tc>
          <w:tcPr>
            <w:tcW w:w="10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6"/>
              </w:rPr>
              <w:t>2006-2008</w:t>
            </w:r>
          </w:p>
        </w:tc>
        <w:tc>
          <w:tcPr>
            <w:tcW w:w="13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6"/>
              </w:rPr>
              <w:t>222,000</w:t>
            </w:r>
          </w:p>
        </w:tc>
        <w:tc>
          <w:tcPr>
            <w:tcW w:w="124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$10.16</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97%</w:t>
            </w:r>
          </w:p>
        </w:tc>
        <w:tc>
          <w:tcPr>
            <w:tcW w:w="21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Sav-A-Lot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gridSpan w:val="6"/>
          </w:tcPr>
          <w:p>
            <w:pPr>
              <w:ind w:left="120"/>
              <w:spacing w:after="0"/>
              <w:rPr>
                <w:sz w:val="20"/>
                <w:szCs w:val="20"/>
                <w:color w:val="auto"/>
              </w:rPr>
            </w:pPr>
            <w:r>
              <w:rPr>
                <w:rFonts w:ascii="Arial" w:cs="Arial" w:eastAsia="Arial" w:hAnsi="Arial"/>
                <w:sz w:val="14"/>
                <w:szCs w:val="14"/>
                <w:color w:val="auto"/>
              </w:rPr>
              <w:t>Chelsea, MA 02150</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20" w:type="dxa"/>
            <w:vAlign w:val="bottom"/>
            <w:gridSpan w:val="2"/>
          </w:tcPr>
          <w:p>
            <w:pPr>
              <w:ind w:left="340"/>
              <w:spacing w:after="0"/>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80" w:type="dxa"/>
            <w:vAlign w:val="bottom"/>
            <w:gridSpan w:val="6"/>
            <w:shd w:val="clear" w:color="auto" w:fill="CCEEFF"/>
          </w:tcPr>
          <w:p>
            <w:pPr>
              <w:spacing w:after="0" w:line="139" w:lineRule="exact"/>
              <w:rPr>
                <w:sz w:val="20"/>
                <w:szCs w:val="20"/>
                <w:color w:val="auto"/>
              </w:rPr>
            </w:pPr>
            <w:r>
              <w:rPr>
                <w:rFonts w:ascii="Arial" w:cs="Arial" w:eastAsia="Arial" w:hAnsi="Arial"/>
                <w:sz w:val="14"/>
                <w:szCs w:val="14"/>
                <w:color w:val="auto"/>
              </w:rPr>
              <w:t>Dedham</w:t>
            </w:r>
          </w:p>
        </w:tc>
        <w:tc>
          <w:tcPr>
            <w:tcW w:w="7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1959</w:t>
            </w:r>
          </w:p>
        </w:tc>
        <w:tc>
          <w:tcPr>
            <w:tcW w:w="10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9"/>
              </w:rPr>
              <w:t>1993</w:t>
            </w:r>
          </w:p>
        </w:tc>
        <w:tc>
          <w:tcPr>
            <w:tcW w:w="13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6"/>
              </w:rPr>
              <w:t>242,000</w:t>
            </w:r>
          </w:p>
        </w:tc>
        <w:tc>
          <w:tcPr>
            <w:tcW w:w="124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$15.03</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91%</w:t>
            </w:r>
          </w:p>
        </w:tc>
        <w:tc>
          <w:tcPr>
            <w:tcW w:w="212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gridSpan w:val="6"/>
            <w:shd w:val="clear" w:color="auto" w:fill="CCEEFF"/>
          </w:tcPr>
          <w:p>
            <w:pPr>
              <w:ind w:left="120"/>
              <w:spacing w:after="0"/>
              <w:rPr>
                <w:sz w:val="20"/>
                <w:szCs w:val="20"/>
                <w:color w:val="auto"/>
              </w:rPr>
            </w:pPr>
            <w:r>
              <w:rPr>
                <w:rFonts w:ascii="Arial" w:cs="Arial" w:eastAsia="Arial" w:hAnsi="Arial"/>
                <w:sz w:val="14"/>
                <w:szCs w:val="14"/>
                <w:color w:val="auto"/>
              </w:rPr>
              <w:t>Dedham, MA 02026</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6"/>
          </w:tcPr>
          <w:p>
            <w:pPr>
              <w:spacing w:after="0" w:line="138" w:lineRule="exact"/>
              <w:rPr>
                <w:sz w:val="20"/>
                <w:szCs w:val="20"/>
                <w:color w:val="auto"/>
              </w:rPr>
            </w:pPr>
            <w:r>
              <w:rPr>
                <w:rFonts w:ascii="Arial" w:cs="Arial" w:eastAsia="Arial" w:hAnsi="Arial"/>
                <w:sz w:val="14"/>
                <w:szCs w:val="14"/>
                <w:color w:val="auto"/>
              </w:rPr>
              <w:t>Linden Square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3"/>
              </w:rPr>
              <w:t>1960</w:t>
            </w:r>
          </w:p>
        </w:tc>
        <w:tc>
          <w:tcPr>
            <w:tcW w:w="10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9"/>
              </w:rPr>
              <w:t>2006</w:t>
            </w:r>
          </w:p>
        </w:tc>
        <w:tc>
          <w:tcPr>
            <w:tcW w:w="13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6"/>
              </w:rPr>
              <w:t>217,000</w:t>
            </w:r>
          </w:p>
        </w:tc>
        <w:tc>
          <w:tcPr>
            <w:tcW w:w="124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$41.75</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93%</w:t>
            </w:r>
          </w:p>
        </w:tc>
        <w:tc>
          <w:tcPr>
            <w:tcW w:w="21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Roche Brothers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6"/>
          </w:tcPr>
          <w:p>
            <w:pPr>
              <w:ind w:left="120"/>
              <w:spacing w:after="0" w:line="149" w:lineRule="exact"/>
              <w:rPr>
                <w:sz w:val="20"/>
                <w:szCs w:val="20"/>
                <w:color w:val="auto"/>
              </w:rPr>
            </w:pPr>
            <w:r>
              <w:rPr>
                <w:rFonts w:ascii="Arial" w:cs="Arial" w:eastAsia="Arial" w:hAnsi="Arial"/>
                <w:sz w:val="14"/>
                <w:szCs w:val="14"/>
                <w:color w:val="auto"/>
              </w:rPr>
              <w:t>Wellesley, MA 02481</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Supermarket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20" w:type="dxa"/>
            <w:vAlign w:val="bottom"/>
            <w:gridSpan w:val="2"/>
          </w:tcPr>
          <w:p>
            <w:pPr>
              <w:ind w:left="3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80" w:type="dxa"/>
            <w:vAlign w:val="bottom"/>
            <w:gridSpan w:val="6"/>
            <w:shd w:val="clear" w:color="auto" w:fill="CCEEFF"/>
          </w:tcPr>
          <w:p>
            <w:pPr>
              <w:spacing w:after="0" w:line="139" w:lineRule="exact"/>
              <w:rPr>
                <w:sz w:val="20"/>
                <w:szCs w:val="20"/>
                <w:color w:val="auto"/>
              </w:rPr>
            </w:pPr>
            <w:r>
              <w:rPr>
                <w:rFonts w:ascii="Arial" w:cs="Arial" w:eastAsia="Arial" w:hAnsi="Arial"/>
                <w:sz w:val="14"/>
                <w:szCs w:val="14"/>
                <w:color w:val="auto"/>
              </w:rPr>
              <w:t>North Dartmouth</w:t>
            </w:r>
          </w:p>
        </w:tc>
        <w:tc>
          <w:tcPr>
            <w:tcW w:w="7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2004</w:t>
            </w:r>
          </w:p>
        </w:tc>
        <w:tc>
          <w:tcPr>
            <w:tcW w:w="10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9"/>
              </w:rPr>
              <w:t>2006</w:t>
            </w:r>
          </w:p>
        </w:tc>
        <w:tc>
          <w:tcPr>
            <w:tcW w:w="13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8"/>
              </w:rPr>
              <w:t>48,000</w:t>
            </w:r>
          </w:p>
        </w:tc>
        <w:tc>
          <w:tcPr>
            <w:tcW w:w="124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$13.80</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100%</w:t>
            </w:r>
          </w:p>
        </w:tc>
        <w:tc>
          <w:tcPr>
            <w:tcW w:w="212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gridSpan w:val="6"/>
            <w:shd w:val="clear" w:color="auto" w:fill="CCEEFF"/>
          </w:tcPr>
          <w:p>
            <w:pPr>
              <w:ind w:left="120"/>
              <w:spacing w:after="0"/>
              <w:rPr>
                <w:sz w:val="20"/>
                <w:szCs w:val="20"/>
                <w:color w:val="auto"/>
              </w:rPr>
            </w:pPr>
            <w:r>
              <w:rPr>
                <w:rFonts w:ascii="Arial" w:cs="Arial" w:eastAsia="Arial" w:hAnsi="Arial"/>
                <w:sz w:val="14"/>
                <w:szCs w:val="14"/>
                <w:color w:val="auto"/>
              </w:rPr>
              <w:t>North Dartmouth, MA 02747</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6"/>
          </w:tcPr>
          <w:p>
            <w:pPr>
              <w:spacing w:after="0" w:line="138" w:lineRule="exact"/>
              <w:rPr>
                <w:sz w:val="20"/>
                <w:szCs w:val="20"/>
                <w:color w:val="auto"/>
              </w:rPr>
            </w:pPr>
            <w:r>
              <w:rPr>
                <w:rFonts w:ascii="Arial" w:cs="Arial" w:eastAsia="Arial" w:hAnsi="Arial"/>
                <w:sz w:val="14"/>
                <w:szCs w:val="14"/>
                <w:color w:val="auto"/>
              </w:rPr>
              <w:t>Queen Anne Plaza</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3"/>
              </w:rPr>
              <w:t>1967</w:t>
            </w:r>
          </w:p>
        </w:tc>
        <w:tc>
          <w:tcPr>
            <w:tcW w:w="10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9"/>
              </w:rPr>
              <w:t>1994</w:t>
            </w:r>
          </w:p>
        </w:tc>
        <w:tc>
          <w:tcPr>
            <w:tcW w:w="13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6"/>
              </w:rPr>
              <w:t>149,000</w:t>
            </w:r>
          </w:p>
        </w:tc>
        <w:tc>
          <w:tcPr>
            <w:tcW w:w="124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$15.04</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100%</w:t>
            </w:r>
          </w:p>
        </w:tc>
        <w:tc>
          <w:tcPr>
            <w:tcW w:w="21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gridSpan w:val="6"/>
          </w:tcPr>
          <w:p>
            <w:pPr>
              <w:ind w:left="120"/>
              <w:spacing w:after="0"/>
              <w:rPr>
                <w:sz w:val="20"/>
                <w:szCs w:val="20"/>
                <w:color w:val="auto"/>
              </w:rPr>
            </w:pPr>
            <w:r>
              <w:rPr>
                <w:rFonts w:ascii="Arial" w:cs="Arial" w:eastAsia="Arial" w:hAnsi="Arial"/>
                <w:sz w:val="14"/>
                <w:szCs w:val="14"/>
                <w:color w:val="auto"/>
              </w:rPr>
              <w:t>Norwell, MA 02061</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20" w:type="dxa"/>
            <w:vAlign w:val="bottom"/>
            <w:gridSpan w:val="2"/>
          </w:tcPr>
          <w:p>
            <w:pPr>
              <w:ind w:left="340"/>
              <w:spacing w:after="0"/>
              <w:rPr>
                <w:sz w:val="20"/>
                <w:szCs w:val="20"/>
                <w:color w:val="auto"/>
              </w:rPr>
            </w:pPr>
            <w:r>
              <w:rPr>
                <w:rFonts w:ascii="Arial" w:cs="Arial" w:eastAsia="Arial" w:hAnsi="Arial"/>
                <w:sz w:val="14"/>
                <w:szCs w:val="14"/>
                <w:color w:val="auto"/>
              </w:rPr>
              <w:t>Hannaford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80" w:type="dxa"/>
            <w:vAlign w:val="bottom"/>
            <w:gridSpan w:val="6"/>
            <w:shd w:val="clear" w:color="auto" w:fill="CCEEFF"/>
          </w:tcPr>
          <w:p>
            <w:pPr>
              <w:spacing w:after="0" w:line="139" w:lineRule="exact"/>
              <w:rPr>
                <w:sz w:val="20"/>
                <w:szCs w:val="20"/>
                <w:color w:val="auto"/>
              </w:rPr>
            </w:pPr>
            <w:r>
              <w:rPr>
                <w:rFonts w:ascii="Arial" w:cs="Arial" w:eastAsia="Arial" w:hAnsi="Arial"/>
                <w:sz w:val="14"/>
                <w:szCs w:val="14"/>
                <w:color w:val="auto"/>
              </w:rPr>
              <w:t>Saugus Plaza</w:t>
            </w:r>
          </w:p>
        </w:tc>
        <w:tc>
          <w:tcPr>
            <w:tcW w:w="7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1976</w:t>
            </w:r>
          </w:p>
        </w:tc>
        <w:tc>
          <w:tcPr>
            <w:tcW w:w="10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9"/>
              </w:rPr>
              <w:t>1996</w:t>
            </w:r>
          </w:p>
        </w:tc>
        <w:tc>
          <w:tcPr>
            <w:tcW w:w="13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6"/>
              </w:rPr>
              <w:t>171,000</w:t>
            </w:r>
          </w:p>
        </w:tc>
        <w:tc>
          <w:tcPr>
            <w:tcW w:w="124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$10.57</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91%</w:t>
            </w:r>
          </w:p>
        </w:tc>
        <w:tc>
          <w:tcPr>
            <w:tcW w:w="212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gridSpan w:val="6"/>
            <w:shd w:val="clear" w:color="auto" w:fill="CCEEFF"/>
          </w:tcPr>
          <w:p>
            <w:pPr>
              <w:ind w:left="120"/>
              <w:spacing w:after="0"/>
              <w:rPr>
                <w:sz w:val="20"/>
                <w:szCs w:val="20"/>
                <w:color w:val="auto"/>
              </w:rPr>
            </w:pPr>
            <w:r>
              <w:rPr>
                <w:rFonts w:ascii="Arial" w:cs="Arial" w:eastAsia="Arial" w:hAnsi="Arial"/>
                <w:sz w:val="14"/>
                <w:szCs w:val="14"/>
                <w:color w:val="auto"/>
              </w:rPr>
              <w:t>Saugus, MA 01906</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Super Stop &amp; Shop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5"/>
              </w:rPr>
              <w:t>Michigan</w:t>
            </w:r>
          </w:p>
        </w:tc>
        <w:tc>
          <w:tcPr>
            <w:tcW w:w="3440" w:type="dxa"/>
            <w:vAlign w:val="bottom"/>
            <w:gridSpan w:val="5"/>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80" w:type="dxa"/>
            <w:vAlign w:val="bottom"/>
            <w:gridSpan w:val="6"/>
            <w:shd w:val="clear" w:color="auto" w:fill="CCEEFF"/>
          </w:tcPr>
          <w:p>
            <w:pPr>
              <w:spacing w:after="0" w:line="131" w:lineRule="exact"/>
              <w:rPr>
                <w:sz w:val="20"/>
                <w:szCs w:val="20"/>
                <w:color w:val="auto"/>
              </w:rPr>
            </w:pPr>
            <w:r>
              <w:rPr>
                <w:rFonts w:ascii="Arial" w:cs="Arial" w:eastAsia="Arial" w:hAnsi="Arial"/>
                <w:sz w:val="14"/>
                <w:szCs w:val="14"/>
                <w:color w:val="auto"/>
              </w:rPr>
              <w:t>Gratiot Plaza</w:t>
            </w:r>
          </w:p>
        </w:tc>
        <w:tc>
          <w:tcPr>
            <w:tcW w:w="7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3"/>
              </w:rPr>
              <w:t>1964</w:t>
            </w:r>
          </w:p>
        </w:tc>
        <w:tc>
          <w:tcPr>
            <w:tcW w:w="1000" w:type="dxa"/>
            <w:vAlign w:val="bottom"/>
            <w:gridSpan w:val="2"/>
            <w:shd w:val="clear" w:color="auto" w:fill="CCEEFF"/>
          </w:tcPr>
          <w:p>
            <w:pPr>
              <w:jc w:val="center"/>
              <w:ind w:left="292"/>
              <w:spacing w:after="0" w:line="131" w:lineRule="exact"/>
              <w:rPr>
                <w:sz w:val="20"/>
                <w:szCs w:val="20"/>
                <w:color w:val="auto"/>
              </w:rPr>
            </w:pPr>
            <w:r>
              <w:rPr>
                <w:rFonts w:ascii="Arial" w:cs="Arial" w:eastAsia="Arial" w:hAnsi="Arial"/>
                <w:sz w:val="14"/>
                <w:szCs w:val="14"/>
                <w:color w:val="auto"/>
                <w:w w:val="89"/>
              </w:rPr>
              <w:t>1973</w:t>
            </w:r>
          </w:p>
        </w:tc>
        <w:tc>
          <w:tcPr>
            <w:tcW w:w="130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6"/>
              </w:rPr>
              <w:t>217,000</w:t>
            </w:r>
          </w:p>
        </w:tc>
        <w:tc>
          <w:tcPr>
            <w:tcW w:w="124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8"/>
              </w:rPr>
              <w:t>$11.57</w:t>
            </w:r>
          </w:p>
        </w:tc>
        <w:tc>
          <w:tcPr>
            <w:tcW w:w="106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5"/>
              </w:rPr>
              <w:t>99%</w:t>
            </w:r>
          </w:p>
        </w:tc>
        <w:tc>
          <w:tcPr>
            <w:tcW w:w="2120" w:type="dxa"/>
            <w:vAlign w:val="bottom"/>
            <w:gridSpan w:val="2"/>
            <w:shd w:val="clear" w:color="auto" w:fill="CCEEFF"/>
          </w:tcPr>
          <w:p>
            <w:pPr>
              <w:ind w:left="340"/>
              <w:spacing w:after="0" w:line="131"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6"/>
            <w:shd w:val="clear" w:color="auto" w:fill="CCEEFF"/>
          </w:tcPr>
          <w:p>
            <w:pPr>
              <w:ind w:left="120"/>
              <w:spacing w:after="0" w:line="149" w:lineRule="exact"/>
              <w:rPr>
                <w:sz w:val="20"/>
                <w:szCs w:val="20"/>
                <w:color w:val="auto"/>
              </w:rPr>
            </w:pPr>
            <w:r>
              <w:rPr>
                <w:rFonts w:ascii="Arial" w:cs="Arial" w:eastAsia="Arial" w:hAnsi="Arial"/>
                <w:sz w:val="14"/>
                <w:szCs w:val="14"/>
                <w:color w:val="auto"/>
              </w:rPr>
              <w:t>Roseville, MI 48066</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Borders>
              <w:bottom w:val="single" w:sz="8" w:color="auto"/>
            </w:tcBorders>
            <w:gridSpan w:val="4"/>
          </w:tcPr>
          <w:p>
            <w:pPr>
              <w:spacing w:after="0" w:line="135" w:lineRule="exact"/>
              <w:rPr>
                <w:sz w:val="20"/>
                <w:szCs w:val="20"/>
                <w:color w:val="auto"/>
              </w:rPr>
            </w:pPr>
            <w:r>
              <w:rPr>
                <w:rFonts w:ascii="Arial" w:cs="Arial" w:eastAsia="Arial" w:hAnsi="Arial"/>
                <w:sz w:val="14"/>
                <w:szCs w:val="14"/>
                <w:b w:val="1"/>
                <w:bCs w:val="1"/>
                <w:color w:val="auto"/>
                <w:w w:val="88"/>
              </w:rPr>
              <w:t>North Carolina</w:t>
            </w:r>
          </w:p>
        </w:tc>
        <w:tc>
          <w:tcPr>
            <w:tcW w:w="310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80" w:type="dxa"/>
            <w:vAlign w:val="bottom"/>
            <w:gridSpan w:val="6"/>
            <w:shd w:val="clear" w:color="auto" w:fill="CCEEFF"/>
          </w:tcPr>
          <w:p>
            <w:pPr>
              <w:spacing w:after="0" w:line="131" w:lineRule="exact"/>
              <w:rPr>
                <w:sz w:val="20"/>
                <w:szCs w:val="20"/>
                <w:color w:val="auto"/>
              </w:rPr>
            </w:pPr>
            <w:r>
              <w:rPr>
                <w:rFonts w:ascii="Arial" w:cs="Arial" w:eastAsia="Arial" w:hAnsi="Arial"/>
                <w:sz w:val="14"/>
                <w:szCs w:val="14"/>
                <w:color w:val="auto"/>
              </w:rPr>
              <w:t>Eastgate</w:t>
            </w:r>
          </w:p>
        </w:tc>
        <w:tc>
          <w:tcPr>
            <w:tcW w:w="7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3"/>
              </w:rPr>
              <w:t>1963</w:t>
            </w:r>
          </w:p>
        </w:tc>
        <w:tc>
          <w:tcPr>
            <w:tcW w:w="1000" w:type="dxa"/>
            <w:vAlign w:val="bottom"/>
            <w:gridSpan w:val="2"/>
            <w:shd w:val="clear" w:color="auto" w:fill="CCEEFF"/>
          </w:tcPr>
          <w:p>
            <w:pPr>
              <w:jc w:val="center"/>
              <w:ind w:left="292"/>
              <w:spacing w:after="0" w:line="131" w:lineRule="exact"/>
              <w:rPr>
                <w:sz w:val="20"/>
                <w:szCs w:val="20"/>
                <w:color w:val="auto"/>
              </w:rPr>
            </w:pPr>
            <w:r>
              <w:rPr>
                <w:rFonts w:ascii="Arial" w:cs="Arial" w:eastAsia="Arial" w:hAnsi="Arial"/>
                <w:sz w:val="14"/>
                <w:szCs w:val="14"/>
                <w:color w:val="auto"/>
                <w:w w:val="89"/>
              </w:rPr>
              <w:t>1986</w:t>
            </w:r>
          </w:p>
        </w:tc>
        <w:tc>
          <w:tcPr>
            <w:tcW w:w="130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6"/>
              </w:rPr>
              <w:t>153,000</w:t>
            </w:r>
          </w:p>
        </w:tc>
        <w:tc>
          <w:tcPr>
            <w:tcW w:w="124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8"/>
              </w:rPr>
              <w:t>$20.07</w:t>
            </w:r>
          </w:p>
        </w:tc>
        <w:tc>
          <w:tcPr>
            <w:tcW w:w="106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5"/>
              </w:rPr>
              <w:t>99%</w:t>
            </w:r>
          </w:p>
        </w:tc>
        <w:tc>
          <w:tcPr>
            <w:tcW w:w="2120" w:type="dxa"/>
            <w:vAlign w:val="bottom"/>
            <w:gridSpan w:val="2"/>
            <w:shd w:val="clear" w:color="auto" w:fill="CCEEFF"/>
          </w:tcPr>
          <w:p>
            <w:pPr>
              <w:ind w:left="340"/>
              <w:spacing w:after="0" w:line="131"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gridSpan w:val="6"/>
            <w:shd w:val="clear" w:color="auto" w:fill="CCEEFF"/>
          </w:tcPr>
          <w:p>
            <w:pPr>
              <w:ind w:left="120"/>
              <w:spacing w:after="0"/>
              <w:rPr>
                <w:sz w:val="20"/>
                <w:szCs w:val="20"/>
                <w:color w:val="auto"/>
              </w:rPr>
            </w:pPr>
            <w:r>
              <w:rPr>
                <w:rFonts w:ascii="Arial" w:cs="Arial" w:eastAsia="Arial" w:hAnsi="Arial"/>
                <w:sz w:val="14"/>
                <w:szCs w:val="14"/>
                <w:color w:val="auto"/>
              </w:rPr>
              <w:t>Chapel Hill, NC 27514</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6"/>
          </w:tcPr>
          <w:p>
            <w:pPr>
              <w:spacing w:after="0" w:line="135" w:lineRule="exact"/>
              <w:rPr>
                <w:sz w:val="20"/>
                <w:szCs w:val="20"/>
                <w:color w:val="auto"/>
              </w:rPr>
            </w:pPr>
            <w:r>
              <w:rPr>
                <w:rFonts w:ascii="Arial" w:cs="Arial" w:eastAsia="Arial" w:hAnsi="Arial"/>
                <w:sz w:val="14"/>
                <w:szCs w:val="14"/>
                <w:b w:val="1"/>
                <w:bCs w:val="1"/>
                <w:color w:val="auto"/>
              </w:rPr>
              <w:t>New Jersey</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0" w:type="dxa"/>
            <w:vAlign w:val="bottom"/>
            <w:tcBorders>
              <w:top w:val="single" w:sz="8" w:color="auto"/>
            </w:tcBorders>
            <w:gridSpan w:val="2"/>
            <w:shd w:val="clear" w:color="auto" w:fill="CCEEFF"/>
          </w:tcPr>
          <w:p>
            <w:pPr>
              <w:spacing w:after="0" w:line="131" w:lineRule="exact"/>
              <w:rPr>
                <w:sz w:val="20"/>
                <w:szCs w:val="20"/>
                <w:color w:val="auto"/>
              </w:rPr>
            </w:pPr>
            <w:r>
              <w:rPr>
                <w:rFonts w:ascii="Arial" w:cs="Arial" w:eastAsia="Arial" w:hAnsi="Arial"/>
                <w:sz w:val="14"/>
                <w:szCs w:val="14"/>
                <w:color w:val="auto"/>
                <w:w w:val="88"/>
              </w:rPr>
              <w:t>Brick Plaza</w:t>
            </w:r>
          </w:p>
        </w:tc>
        <w:tc>
          <w:tcPr>
            <w:tcW w:w="3340" w:type="dxa"/>
            <w:vAlign w:val="bottom"/>
            <w:gridSpan w:val="4"/>
            <w:shd w:val="clear" w:color="auto" w:fill="CCEEFF"/>
          </w:tcPr>
          <w:p>
            <w:pPr>
              <w:spacing w:after="0"/>
              <w:rPr>
                <w:sz w:val="11"/>
                <w:szCs w:val="11"/>
                <w:color w:val="auto"/>
              </w:rPr>
            </w:pPr>
          </w:p>
        </w:tc>
        <w:tc>
          <w:tcPr>
            <w:tcW w:w="7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3"/>
              </w:rPr>
              <w:t>1958</w:t>
            </w:r>
          </w:p>
        </w:tc>
        <w:tc>
          <w:tcPr>
            <w:tcW w:w="1000" w:type="dxa"/>
            <w:vAlign w:val="bottom"/>
            <w:gridSpan w:val="2"/>
            <w:shd w:val="clear" w:color="auto" w:fill="CCEEFF"/>
          </w:tcPr>
          <w:p>
            <w:pPr>
              <w:jc w:val="center"/>
              <w:ind w:left="292"/>
              <w:spacing w:after="0" w:line="131" w:lineRule="exact"/>
              <w:rPr>
                <w:sz w:val="20"/>
                <w:szCs w:val="20"/>
                <w:color w:val="auto"/>
              </w:rPr>
            </w:pPr>
            <w:r>
              <w:rPr>
                <w:rFonts w:ascii="Arial" w:cs="Arial" w:eastAsia="Arial" w:hAnsi="Arial"/>
                <w:sz w:val="14"/>
                <w:szCs w:val="14"/>
                <w:color w:val="auto"/>
                <w:w w:val="89"/>
              </w:rPr>
              <w:t>1989</w:t>
            </w:r>
          </w:p>
        </w:tc>
        <w:tc>
          <w:tcPr>
            <w:tcW w:w="130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6"/>
              </w:rPr>
              <w:t>409,000</w:t>
            </w:r>
          </w:p>
        </w:tc>
        <w:tc>
          <w:tcPr>
            <w:tcW w:w="124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8"/>
              </w:rPr>
              <w:t>$15.07</w:t>
            </w:r>
          </w:p>
        </w:tc>
        <w:tc>
          <w:tcPr>
            <w:tcW w:w="106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5"/>
              </w:rPr>
              <w:t>98%</w:t>
            </w:r>
          </w:p>
        </w:tc>
        <w:tc>
          <w:tcPr>
            <w:tcW w:w="2120" w:type="dxa"/>
            <w:vAlign w:val="bottom"/>
            <w:gridSpan w:val="2"/>
            <w:shd w:val="clear" w:color="auto" w:fill="CCEEFF"/>
          </w:tcPr>
          <w:p>
            <w:pPr>
              <w:ind w:left="340"/>
              <w:spacing w:after="0" w:line="131" w:lineRule="exact"/>
              <w:rPr>
                <w:sz w:val="20"/>
                <w:szCs w:val="20"/>
                <w:color w:val="auto"/>
              </w:rPr>
            </w:pPr>
            <w:r>
              <w:rPr>
                <w:rFonts w:ascii="Arial" w:cs="Arial" w:eastAsia="Arial" w:hAnsi="Arial"/>
                <w:sz w:val="14"/>
                <w:szCs w:val="14"/>
                <w:color w:val="auto"/>
              </w:rPr>
              <w:t>A&amp;P Supermarket Barnes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6"/>
            <w:shd w:val="clear" w:color="auto" w:fill="CCEEFF"/>
          </w:tcPr>
          <w:p>
            <w:pPr>
              <w:ind w:left="120"/>
              <w:spacing w:after="0" w:line="149" w:lineRule="exact"/>
              <w:rPr>
                <w:sz w:val="20"/>
                <w:szCs w:val="20"/>
                <w:color w:val="auto"/>
              </w:rPr>
            </w:pPr>
            <w:r>
              <w:rPr>
                <w:rFonts w:ascii="Arial" w:cs="Arial" w:eastAsia="Arial" w:hAnsi="Arial"/>
                <w:sz w:val="14"/>
                <w:szCs w:val="14"/>
                <w:color w:val="auto"/>
              </w:rPr>
              <w:t>Brick Township, NJ 08723(3)</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Noble AMC Loews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6"/>
          </w:tcPr>
          <w:p>
            <w:pPr>
              <w:spacing w:after="0" w:line="138" w:lineRule="exact"/>
              <w:rPr>
                <w:sz w:val="20"/>
                <w:szCs w:val="20"/>
                <w:color w:val="auto"/>
              </w:rPr>
            </w:pPr>
            <w:r>
              <w:rPr>
                <w:rFonts w:ascii="Arial" w:cs="Arial" w:eastAsia="Arial" w:hAnsi="Arial"/>
                <w:sz w:val="14"/>
                <w:szCs w:val="14"/>
                <w:color w:val="auto"/>
              </w:rPr>
              <w:t>Ellisburg Circle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3"/>
              </w:rPr>
              <w:t>1959</w:t>
            </w:r>
          </w:p>
        </w:tc>
        <w:tc>
          <w:tcPr>
            <w:tcW w:w="10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9"/>
              </w:rPr>
              <w:t>1992</w:t>
            </w:r>
          </w:p>
        </w:tc>
        <w:tc>
          <w:tcPr>
            <w:tcW w:w="13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6"/>
              </w:rPr>
              <w:t>268,000</w:t>
            </w:r>
          </w:p>
        </w:tc>
        <w:tc>
          <w:tcPr>
            <w:tcW w:w="124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$15.09</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100%</w:t>
            </w:r>
          </w:p>
        </w:tc>
        <w:tc>
          <w:tcPr>
            <w:tcW w:w="21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Genuardi’s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6"/>
          </w:tcPr>
          <w:p>
            <w:pPr>
              <w:ind w:left="120"/>
              <w:spacing w:after="0" w:line="149" w:lineRule="exact"/>
              <w:rPr>
                <w:sz w:val="20"/>
                <w:szCs w:val="20"/>
                <w:color w:val="auto"/>
              </w:rPr>
            </w:pPr>
            <w:r>
              <w:rPr>
                <w:rFonts w:ascii="Arial" w:cs="Arial" w:eastAsia="Arial" w:hAnsi="Arial"/>
                <w:sz w:val="14"/>
                <w:szCs w:val="14"/>
                <w:color w:val="auto"/>
              </w:rPr>
              <w:t>Cherry Hill, NJ 08034</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20" w:type="dxa"/>
            <w:vAlign w:val="bottom"/>
            <w:gridSpan w:val="2"/>
          </w:tcPr>
          <w:p>
            <w:pPr>
              <w:ind w:left="340"/>
              <w:spacing w:after="0"/>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49"/>
        </w:trPr>
        <w:tc>
          <w:tcPr>
            <w:tcW w:w="4000" w:type="dxa"/>
            <w:vAlign w:val="bottom"/>
            <w:gridSpan w:val="7"/>
          </w:tcPr>
          <w:p>
            <w:pPr>
              <w:spacing w:after="0" w:line="149" w:lineRule="exact"/>
              <w:rPr>
                <w:sz w:val="20"/>
                <w:szCs w:val="20"/>
                <w:color w:val="auto"/>
              </w:rPr>
            </w:pPr>
            <w:r>
              <w:rPr>
                <w:rFonts w:ascii="Arial" w:cs="Arial" w:eastAsia="Arial" w:hAnsi="Arial"/>
                <w:sz w:val="14"/>
                <w:szCs w:val="14"/>
                <w:color w:val="auto"/>
              </w:rPr>
              <w:t>Mercer Mall</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3"/>
              </w:rPr>
              <w:t>1975</w:t>
            </w:r>
          </w:p>
        </w:tc>
        <w:tc>
          <w:tcPr>
            <w:tcW w:w="1000" w:type="dxa"/>
            <w:vAlign w:val="bottom"/>
            <w:gridSpan w:val="2"/>
          </w:tcPr>
          <w:p>
            <w:pPr>
              <w:jc w:val="center"/>
              <w:ind w:left="292"/>
              <w:spacing w:after="0" w:line="149" w:lineRule="exact"/>
              <w:rPr>
                <w:sz w:val="20"/>
                <w:szCs w:val="20"/>
                <w:color w:val="auto"/>
              </w:rPr>
            </w:pPr>
            <w:r>
              <w:rPr>
                <w:rFonts w:ascii="Arial" w:cs="Arial" w:eastAsia="Arial" w:hAnsi="Arial"/>
                <w:sz w:val="14"/>
                <w:szCs w:val="14"/>
                <w:color w:val="auto"/>
                <w:w w:val="89"/>
              </w:rPr>
              <w:t>2003</w:t>
            </w:r>
          </w:p>
        </w:tc>
        <w:tc>
          <w:tcPr>
            <w:tcW w:w="1300" w:type="dxa"/>
            <w:vAlign w:val="bottom"/>
            <w:gridSpan w:val="2"/>
          </w:tcPr>
          <w:p>
            <w:pPr>
              <w:jc w:val="center"/>
              <w:ind w:left="272"/>
              <w:spacing w:after="0" w:line="149" w:lineRule="exact"/>
              <w:rPr>
                <w:sz w:val="20"/>
                <w:szCs w:val="20"/>
                <w:color w:val="auto"/>
              </w:rPr>
            </w:pPr>
            <w:r>
              <w:rPr>
                <w:rFonts w:ascii="Arial" w:cs="Arial" w:eastAsia="Arial" w:hAnsi="Arial"/>
                <w:sz w:val="14"/>
                <w:szCs w:val="14"/>
                <w:color w:val="auto"/>
                <w:w w:val="86"/>
              </w:rPr>
              <w:t>501,000</w:t>
            </w:r>
          </w:p>
        </w:tc>
        <w:tc>
          <w:tcPr>
            <w:tcW w:w="1240" w:type="dxa"/>
            <w:vAlign w:val="bottom"/>
            <w:gridSpan w:val="2"/>
          </w:tcPr>
          <w:p>
            <w:pPr>
              <w:jc w:val="center"/>
              <w:ind w:left="272"/>
              <w:spacing w:after="0" w:line="149" w:lineRule="exact"/>
              <w:rPr>
                <w:sz w:val="20"/>
                <w:szCs w:val="20"/>
                <w:color w:val="auto"/>
              </w:rPr>
            </w:pPr>
            <w:r>
              <w:rPr>
                <w:rFonts w:ascii="Arial" w:cs="Arial" w:eastAsia="Arial" w:hAnsi="Arial"/>
                <w:sz w:val="14"/>
                <w:szCs w:val="14"/>
                <w:color w:val="auto"/>
                <w:w w:val="88"/>
              </w:rPr>
              <w:t>$19.71</w:t>
            </w:r>
          </w:p>
        </w:tc>
        <w:tc>
          <w:tcPr>
            <w:tcW w:w="1060" w:type="dxa"/>
            <w:vAlign w:val="bottom"/>
            <w:gridSpan w:val="2"/>
          </w:tcPr>
          <w:p>
            <w:pPr>
              <w:jc w:val="center"/>
              <w:ind w:left="272"/>
              <w:spacing w:after="0" w:line="149" w:lineRule="exact"/>
              <w:rPr>
                <w:sz w:val="20"/>
                <w:szCs w:val="20"/>
                <w:color w:val="auto"/>
              </w:rPr>
            </w:pPr>
            <w:r>
              <w:rPr>
                <w:rFonts w:ascii="Arial" w:cs="Arial" w:eastAsia="Arial" w:hAnsi="Arial"/>
                <w:sz w:val="14"/>
                <w:szCs w:val="14"/>
                <w:color w:val="auto"/>
                <w:w w:val="85"/>
              </w:rPr>
              <w:t>99%</w:t>
            </w:r>
          </w:p>
        </w:tc>
        <w:tc>
          <w:tcPr>
            <w:tcW w:w="21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Raymour &amp; Flanigan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6"/>
          </w:tcPr>
          <w:p>
            <w:pPr>
              <w:ind w:left="120"/>
              <w:spacing w:after="0" w:line="149" w:lineRule="exact"/>
              <w:rPr>
                <w:sz w:val="20"/>
                <w:szCs w:val="20"/>
                <w:color w:val="auto"/>
              </w:rPr>
            </w:pPr>
            <w:r>
              <w:rPr>
                <w:rFonts w:ascii="Arial" w:cs="Arial" w:eastAsia="Arial" w:hAnsi="Arial"/>
                <w:sz w:val="14"/>
                <w:szCs w:val="14"/>
                <w:color w:val="auto"/>
              </w:rPr>
              <w:t>Lawrenceville, NJ 08648(3)(7)</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20" w:type="dxa"/>
            <w:vAlign w:val="bottom"/>
            <w:gridSpan w:val="2"/>
          </w:tcPr>
          <w:p>
            <w:pPr>
              <w:ind w:left="3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480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ind w:left="9640"/>
        <w:spacing w:after="0" w:line="221" w:lineRule="auto"/>
        <w:rPr>
          <w:sz w:val="20"/>
          <w:szCs w:val="20"/>
          <w:color w:val="auto"/>
        </w:rPr>
      </w:pPr>
      <w:r>
        <w:rPr>
          <w:rFonts w:ascii="Arial" w:cs="Arial" w:eastAsia="Arial" w:hAnsi="Arial"/>
          <w:sz w:val="14"/>
          <w:szCs w:val="14"/>
          <w:color w:val="auto"/>
        </w:rPr>
        <w:t>TJ Maxx</w:t>
      </w:r>
    </w:p>
    <w:p>
      <w:pPr>
        <w:ind w:left="9640"/>
        <w:spacing w:after="0"/>
        <w:rPr>
          <w:sz w:val="20"/>
          <w:szCs w:val="20"/>
          <w:color w:val="auto"/>
        </w:rPr>
      </w:pPr>
      <w:r>
        <w:rPr>
          <w:rFonts w:ascii="Arial" w:cs="Arial" w:eastAsia="Arial" w:hAnsi="Arial"/>
          <w:sz w:val="14"/>
          <w:szCs w:val="14"/>
          <w:color w:val="auto"/>
        </w:rPr>
        <w:t>Shop Rite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Retail and Residential Properties—continued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Square Feet(1)</w:t>
            </w:r>
          </w:p>
        </w:tc>
        <w:tc>
          <w:tcPr>
            <w:tcW w:w="3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Average Rent</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3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/Apartment</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Square</w:t>
            </w:r>
          </w:p>
        </w:tc>
        <w:tc>
          <w:tcPr>
            <w:tcW w:w="340" w:type="dxa"/>
            <w:vAlign w:val="bottom"/>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87"/>
              </w:rPr>
              <w:t>Percentage</w:t>
            </w: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20" w:type="dxa"/>
            <w:vAlign w:val="bottom"/>
            <w:gridSpan w:val="6"/>
          </w:tcPr>
          <w:p>
            <w:pPr>
              <w:spacing w:after="0"/>
              <w:rPr>
                <w:sz w:val="20"/>
                <w:szCs w:val="20"/>
                <w:color w:val="auto"/>
              </w:rPr>
            </w:pPr>
            <w:r>
              <w:rPr>
                <w:rFonts w:ascii="Arial" w:cs="Arial" w:eastAsia="Arial" w:hAnsi="Arial"/>
                <w:sz w:val="14"/>
                <w:szCs w:val="14"/>
                <w:b w:val="1"/>
                <w:bCs w:val="1"/>
                <w:color w:val="auto"/>
                <w:w w:val="94"/>
              </w:rPr>
              <w:t>Property, City, State, Zip Code</w:t>
            </w:r>
          </w:p>
        </w:tc>
        <w:tc>
          <w:tcPr>
            <w:tcW w:w="2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3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3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Foot</w:t>
            </w: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Leased(2)</w:t>
            </w:r>
          </w:p>
        </w:tc>
        <w:tc>
          <w:tcPr>
            <w:tcW w:w="340" w:type="dxa"/>
            <w:vAlign w:val="bottom"/>
          </w:tcPr>
          <w:p>
            <w:pPr>
              <w:spacing w:after="0"/>
              <w:rPr>
                <w:sz w:val="14"/>
                <w:szCs w:val="14"/>
                <w:color w:val="auto"/>
              </w:rPr>
            </w:pPr>
          </w:p>
        </w:tc>
        <w:tc>
          <w:tcPr>
            <w:tcW w:w="1500" w:type="dxa"/>
            <w:vAlign w:val="bottom"/>
          </w:tcPr>
          <w:p>
            <w:pPr>
              <w:ind w:left="2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tcBorders>
              <w:top w:val="single" w:sz="8" w:color="auto"/>
            </w:tcBorders>
            <w:gridSpan w:val="5"/>
            <w:shd w:val="clear" w:color="auto" w:fill="CCEEFF"/>
          </w:tcPr>
          <w:p>
            <w:pPr>
              <w:spacing w:after="0" w:line="131" w:lineRule="exact"/>
              <w:rPr>
                <w:sz w:val="20"/>
                <w:szCs w:val="20"/>
                <w:color w:val="auto"/>
              </w:rPr>
            </w:pPr>
            <w:r>
              <w:rPr>
                <w:rFonts w:ascii="Arial" w:cs="Arial" w:eastAsia="Arial" w:hAnsi="Arial"/>
                <w:sz w:val="14"/>
                <w:szCs w:val="14"/>
                <w:color w:val="auto"/>
              </w:rPr>
              <w:t>Troy</w:t>
            </w:r>
          </w:p>
        </w:tc>
        <w:tc>
          <w:tcPr>
            <w:tcW w:w="240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1966</w:t>
            </w: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3"/>
              </w:rPr>
              <w:t>1980</w:t>
            </w:r>
          </w:p>
        </w:tc>
        <w:tc>
          <w:tcPr>
            <w:tcW w:w="34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207,000</w:t>
            </w:r>
          </w:p>
        </w:tc>
        <w:tc>
          <w:tcPr>
            <w:tcW w:w="34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3"/>
              </w:rPr>
              <w:t>$16.16</w:t>
            </w:r>
          </w:p>
        </w:tc>
        <w:tc>
          <w:tcPr>
            <w:tcW w:w="3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86%</w:t>
            </w:r>
          </w:p>
        </w:tc>
        <w:tc>
          <w:tcPr>
            <w:tcW w:w="340" w:type="dxa"/>
            <w:vAlign w:val="bottom"/>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Pathmark</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Parsippany-Troy, NJ 07054</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New York</w:t>
            </w:r>
          </w:p>
        </w:tc>
        <w:tc>
          <w:tcPr>
            <w:tcW w:w="2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00" w:type="dxa"/>
            <w:vAlign w:val="bottom"/>
            <w:gridSpan w:val="5"/>
            <w:shd w:val="clear" w:color="auto" w:fill="CCEEFF"/>
          </w:tcPr>
          <w:p>
            <w:pPr>
              <w:spacing w:after="0" w:line="131" w:lineRule="exact"/>
              <w:rPr>
                <w:sz w:val="20"/>
                <w:szCs w:val="20"/>
                <w:color w:val="auto"/>
              </w:rPr>
            </w:pPr>
            <w:r>
              <w:rPr>
                <w:rFonts w:ascii="Arial" w:cs="Arial" w:eastAsia="Arial" w:hAnsi="Arial"/>
                <w:sz w:val="14"/>
                <w:szCs w:val="14"/>
                <w:color w:val="auto"/>
              </w:rPr>
              <w:t>Forest Hills</w:t>
            </w:r>
          </w:p>
        </w:tc>
        <w:tc>
          <w:tcPr>
            <w:tcW w:w="3120" w:type="dxa"/>
            <w:vAlign w:val="bottom"/>
            <w:gridSpan w:val="2"/>
            <w:shd w:val="clear" w:color="auto" w:fill="CCEEFF"/>
          </w:tcPr>
          <w:p>
            <w:pPr>
              <w:jc w:val="center"/>
              <w:ind w:left="2332"/>
              <w:spacing w:after="0" w:line="131" w:lineRule="exact"/>
              <w:rPr>
                <w:sz w:val="20"/>
                <w:szCs w:val="20"/>
                <w:color w:val="auto"/>
              </w:rPr>
            </w:pPr>
            <w:r>
              <w:rPr>
                <w:rFonts w:ascii="Arial" w:cs="Arial" w:eastAsia="Arial" w:hAnsi="Arial"/>
                <w:sz w:val="14"/>
                <w:szCs w:val="14"/>
                <w:color w:val="auto"/>
                <w:w w:val="89"/>
              </w:rPr>
              <w:t>1937-1987</w:t>
            </w:r>
          </w:p>
        </w:tc>
        <w:tc>
          <w:tcPr>
            <w:tcW w:w="980" w:type="dxa"/>
            <w:vAlign w:val="bottom"/>
            <w:gridSpan w:val="2"/>
            <w:shd w:val="clear" w:color="auto" w:fill="CCEEFF"/>
          </w:tcPr>
          <w:p>
            <w:pPr>
              <w:jc w:val="center"/>
              <w:ind w:left="251"/>
              <w:spacing w:after="0" w:line="131" w:lineRule="exact"/>
              <w:rPr>
                <w:sz w:val="20"/>
                <w:szCs w:val="20"/>
                <w:color w:val="auto"/>
              </w:rPr>
            </w:pPr>
            <w:r>
              <w:rPr>
                <w:rFonts w:ascii="Arial" w:cs="Arial" w:eastAsia="Arial" w:hAnsi="Arial"/>
                <w:sz w:val="14"/>
                <w:szCs w:val="14"/>
                <w:color w:val="auto"/>
                <w:w w:val="83"/>
              </w:rPr>
              <w:t>1997</w:t>
            </w:r>
          </w:p>
        </w:tc>
        <w:tc>
          <w:tcPr>
            <w:tcW w:w="128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8"/>
              </w:rPr>
              <w:t>46,000</w:t>
            </w:r>
          </w:p>
        </w:tc>
        <w:tc>
          <w:tcPr>
            <w:tcW w:w="122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3"/>
              </w:rPr>
              <w:t>$23.29</w:t>
            </w:r>
          </w:p>
        </w:tc>
        <w:tc>
          <w:tcPr>
            <w:tcW w:w="106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9"/>
              </w:rPr>
              <w:t>100%</w:t>
            </w:r>
          </w:p>
        </w:tc>
        <w:tc>
          <w:tcPr>
            <w:tcW w:w="1840" w:type="dxa"/>
            <w:vAlign w:val="bottom"/>
            <w:gridSpan w:val="2"/>
            <w:shd w:val="clear" w:color="auto" w:fill="CCEEFF"/>
          </w:tcPr>
          <w:p>
            <w:pPr>
              <w:ind w:left="340"/>
              <w:spacing w:after="0" w:line="131"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Forest Hills, NY</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5"/>
          </w:tcPr>
          <w:p>
            <w:pPr>
              <w:spacing w:after="0" w:line="138" w:lineRule="exact"/>
              <w:rPr>
                <w:sz w:val="20"/>
                <w:szCs w:val="20"/>
                <w:color w:val="auto"/>
              </w:rPr>
            </w:pPr>
            <w:r>
              <w:rPr>
                <w:rFonts w:ascii="Arial" w:cs="Arial" w:eastAsia="Arial" w:hAnsi="Arial"/>
                <w:sz w:val="14"/>
                <w:szCs w:val="14"/>
                <w:color w:val="auto"/>
              </w:rPr>
              <w:t>Fresh Meadows</w:t>
            </w:r>
          </w:p>
        </w:tc>
        <w:tc>
          <w:tcPr>
            <w:tcW w:w="3120" w:type="dxa"/>
            <w:vAlign w:val="bottom"/>
            <w:gridSpan w:val="2"/>
          </w:tcPr>
          <w:p>
            <w:pPr>
              <w:jc w:val="center"/>
              <w:ind w:left="2332"/>
              <w:spacing w:after="0" w:line="138" w:lineRule="exact"/>
              <w:rPr>
                <w:sz w:val="20"/>
                <w:szCs w:val="20"/>
                <w:color w:val="auto"/>
              </w:rPr>
            </w:pPr>
            <w:r>
              <w:rPr>
                <w:rFonts w:ascii="Arial" w:cs="Arial" w:eastAsia="Arial" w:hAnsi="Arial"/>
                <w:sz w:val="14"/>
                <w:szCs w:val="14"/>
                <w:color w:val="auto"/>
                <w:w w:val="89"/>
              </w:rPr>
              <w:t>1949</w:t>
            </w:r>
          </w:p>
        </w:tc>
        <w:tc>
          <w:tcPr>
            <w:tcW w:w="980" w:type="dxa"/>
            <w:vAlign w:val="bottom"/>
            <w:gridSpan w:val="2"/>
          </w:tcPr>
          <w:p>
            <w:pPr>
              <w:jc w:val="center"/>
              <w:ind w:left="251"/>
              <w:spacing w:after="0" w:line="138" w:lineRule="exact"/>
              <w:rPr>
                <w:sz w:val="20"/>
                <w:szCs w:val="20"/>
                <w:color w:val="auto"/>
              </w:rPr>
            </w:pPr>
            <w:r>
              <w:rPr>
                <w:rFonts w:ascii="Arial" w:cs="Arial" w:eastAsia="Arial" w:hAnsi="Arial"/>
                <w:sz w:val="14"/>
                <w:szCs w:val="14"/>
                <w:color w:val="auto"/>
                <w:w w:val="83"/>
              </w:rPr>
              <w:t>1997</w:t>
            </w:r>
          </w:p>
        </w:tc>
        <w:tc>
          <w:tcPr>
            <w:tcW w:w="12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6"/>
              </w:rPr>
              <w:t>405,000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$24.91</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98%</w:t>
            </w:r>
          </w:p>
        </w:tc>
        <w:tc>
          <w:tcPr>
            <w:tcW w:w="184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color w:val="auto"/>
              </w:rPr>
              <w:t>Queens, NY 11365</w:t>
            </w: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2"/>
          </w:tcPr>
          <w:p>
            <w:pPr>
              <w:ind w:left="340"/>
              <w:spacing w:after="0"/>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Hauppauge</w:t>
            </w:r>
          </w:p>
        </w:tc>
        <w:tc>
          <w:tcPr>
            <w:tcW w:w="3120" w:type="dxa"/>
            <w:vAlign w:val="bottom"/>
            <w:gridSpan w:val="2"/>
            <w:shd w:val="clear" w:color="auto" w:fill="CCEEFF"/>
          </w:tcPr>
          <w:p>
            <w:pPr>
              <w:jc w:val="center"/>
              <w:ind w:left="2332"/>
              <w:spacing w:after="0" w:line="139" w:lineRule="exact"/>
              <w:rPr>
                <w:sz w:val="20"/>
                <w:szCs w:val="20"/>
                <w:color w:val="auto"/>
              </w:rPr>
            </w:pPr>
            <w:r>
              <w:rPr>
                <w:rFonts w:ascii="Arial" w:cs="Arial" w:eastAsia="Arial" w:hAnsi="Arial"/>
                <w:sz w:val="14"/>
                <w:szCs w:val="14"/>
                <w:color w:val="auto"/>
                <w:w w:val="89"/>
              </w:rPr>
              <w:t>1963</w:t>
            </w:r>
          </w:p>
        </w:tc>
        <w:tc>
          <w:tcPr>
            <w:tcW w:w="980" w:type="dxa"/>
            <w:vAlign w:val="bottom"/>
            <w:gridSpan w:val="2"/>
            <w:shd w:val="clear" w:color="auto" w:fill="CCEEFF"/>
          </w:tcPr>
          <w:p>
            <w:pPr>
              <w:jc w:val="center"/>
              <w:ind w:left="251"/>
              <w:spacing w:after="0" w:line="139" w:lineRule="exact"/>
              <w:rPr>
                <w:sz w:val="20"/>
                <w:szCs w:val="20"/>
                <w:color w:val="auto"/>
              </w:rPr>
            </w:pPr>
            <w:r>
              <w:rPr>
                <w:rFonts w:ascii="Arial" w:cs="Arial" w:eastAsia="Arial" w:hAnsi="Arial"/>
                <w:sz w:val="14"/>
                <w:szCs w:val="14"/>
                <w:color w:val="auto"/>
                <w:w w:val="83"/>
              </w:rPr>
              <w:t>1998</w:t>
            </w:r>
          </w:p>
        </w:tc>
        <w:tc>
          <w:tcPr>
            <w:tcW w:w="12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6"/>
              </w:rPr>
              <w:t>133,000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$24.22</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99%</w:t>
            </w:r>
          </w:p>
        </w:tc>
        <w:tc>
          <w:tcPr>
            <w:tcW w:w="184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Hauppauge, NY 11788</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5"/>
          </w:tcPr>
          <w:p>
            <w:pPr>
              <w:spacing w:after="0" w:line="138" w:lineRule="exact"/>
              <w:rPr>
                <w:sz w:val="20"/>
                <w:szCs w:val="20"/>
                <w:color w:val="auto"/>
              </w:rPr>
            </w:pPr>
            <w:r>
              <w:rPr>
                <w:rFonts w:ascii="Arial" w:cs="Arial" w:eastAsia="Arial" w:hAnsi="Arial"/>
                <w:sz w:val="14"/>
                <w:szCs w:val="14"/>
                <w:color w:val="auto"/>
              </w:rPr>
              <w:t>Huntington</w:t>
            </w:r>
          </w:p>
        </w:tc>
        <w:tc>
          <w:tcPr>
            <w:tcW w:w="3120" w:type="dxa"/>
            <w:vAlign w:val="bottom"/>
            <w:gridSpan w:val="2"/>
          </w:tcPr>
          <w:p>
            <w:pPr>
              <w:jc w:val="center"/>
              <w:ind w:left="2332"/>
              <w:spacing w:after="0" w:line="138" w:lineRule="exact"/>
              <w:rPr>
                <w:sz w:val="20"/>
                <w:szCs w:val="20"/>
                <w:color w:val="auto"/>
              </w:rPr>
            </w:pPr>
            <w:r>
              <w:rPr>
                <w:rFonts w:ascii="Arial" w:cs="Arial" w:eastAsia="Arial" w:hAnsi="Arial"/>
                <w:sz w:val="14"/>
                <w:szCs w:val="14"/>
                <w:color w:val="auto"/>
                <w:w w:val="89"/>
              </w:rPr>
              <w:t>1962</w:t>
            </w:r>
          </w:p>
        </w:tc>
        <w:tc>
          <w:tcPr>
            <w:tcW w:w="980" w:type="dxa"/>
            <w:vAlign w:val="bottom"/>
            <w:gridSpan w:val="2"/>
          </w:tcPr>
          <w:p>
            <w:pPr>
              <w:jc w:val="center"/>
              <w:ind w:left="251"/>
              <w:spacing w:after="0" w:line="138" w:lineRule="exact"/>
              <w:rPr>
                <w:sz w:val="20"/>
                <w:szCs w:val="20"/>
                <w:color w:val="auto"/>
              </w:rPr>
            </w:pPr>
            <w:r>
              <w:rPr>
                <w:rFonts w:ascii="Arial" w:cs="Arial" w:eastAsia="Arial" w:hAnsi="Arial"/>
                <w:sz w:val="14"/>
                <w:szCs w:val="14"/>
                <w:color w:val="auto"/>
                <w:w w:val="87"/>
              </w:rPr>
              <w:t>1988/2007</w:t>
            </w:r>
          </w:p>
        </w:tc>
        <w:tc>
          <w:tcPr>
            <w:tcW w:w="12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6"/>
              </w:rPr>
              <w:t>292,000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$18.57</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100%</w:t>
            </w:r>
          </w:p>
        </w:tc>
        <w:tc>
          <w:tcPr>
            <w:tcW w:w="184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Huntington, NY 11746</w:t>
            </w: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2"/>
          </w:tcPr>
          <w:p>
            <w:pPr>
              <w:ind w:left="3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Melville Mall</w:t>
            </w:r>
          </w:p>
        </w:tc>
        <w:tc>
          <w:tcPr>
            <w:tcW w:w="3120" w:type="dxa"/>
            <w:vAlign w:val="bottom"/>
            <w:gridSpan w:val="2"/>
            <w:shd w:val="clear" w:color="auto" w:fill="CCEEFF"/>
          </w:tcPr>
          <w:p>
            <w:pPr>
              <w:jc w:val="center"/>
              <w:ind w:left="2332"/>
              <w:spacing w:after="0" w:line="139" w:lineRule="exact"/>
              <w:rPr>
                <w:sz w:val="20"/>
                <w:szCs w:val="20"/>
                <w:color w:val="auto"/>
              </w:rPr>
            </w:pPr>
            <w:r>
              <w:rPr>
                <w:rFonts w:ascii="Arial" w:cs="Arial" w:eastAsia="Arial" w:hAnsi="Arial"/>
                <w:sz w:val="14"/>
                <w:szCs w:val="14"/>
                <w:color w:val="auto"/>
                <w:w w:val="89"/>
              </w:rPr>
              <w:t>1974</w:t>
            </w:r>
          </w:p>
        </w:tc>
        <w:tc>
          <w:tcPr>
            <w:tcW w:w="980" w:type="dxa"/>
            <w:vAlign w:val="bottom"/>
            <w:gridSpan w:val="2"/>
            <w:shd w:val="clear" w:color="auto" w:fill="CCEEFF"/>
          </w:tcPr>
          <w:p>
            <w:pPr>
              <w:jc w:val="center"/>
              <w:ind w:left="251"/>
              <w:spacing w:after="0" w:line="139" w:lineRule="exact"/>
              <w:rPr>
                <w:sz w:val="20"/>
                <w:szCs w:val="20"/>
                <w:color w:val="auto"/>
              </w:rPr>
            </w:pPr>
            <w:r>
              <w:rPr>
                <w:rFonts w:ascii="Arial" w:cs="Arial" w:eastAsia="Arial" w:hAnsi="Arial"/>
                <w:sz w:val="14"/>
                <w:szCs w:val="14"/>
                <w:color w:val="auto"/>
                <w:w w:val="83"/>
              </w:rPr>
              <w:t>2006</w:t>
            </w:r>
          </w:p>
        </w:tc>
        <w:tc>
          <w:tcPr>
            <w:tcW w:w="12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6"/>
              </w:rPr>
              <w:t>248,000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$17.96</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100%</w:t>
            </w:r>
          </w:p>
        </w:tc>
        <w:tc>
          <w:tcPr>
            <w:tcW w:w="184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Waldbaum’s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5"/>
            <w:shd w:val="clear" w:color="auto" w:fill="CCEEFF"/>
          </w:tcPr>
          <w:p>
            <w:pPr>
              <w:ind w:left="120"/>
              <w:spacing w:after="0" w:line="149" w:lineRule="exact"/>
              <w:rPr>
                <w:sz w:val="20"/>
                <w:szCs w:val="20"/>
                <w:color w:val="auto"/>
              </w:rPr>
            </w:pPr>
            <w:r>
              <w:rPr>
                <w:rFonts w:ascii="Arial" w:cs="Arial" w:eastAsia="Arial" w:hAnsi="Arial"/>
                <w:sz w:val="14"/>
                <w:szCs w:val="14"/>
                <w:color w:val="auto"/>
              </w:rPr>
              <w:t>Huntington, NY 11747(10)</w:t>
            </w: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Borders>
              <w:bottom w:val="single" w:sz="8" w:color="auto"/>
            </w:tcBorders>
            <w:gridSpan w:val="4"/>
          </w:tcPr>
          <w:p>
            <w:pPr>
              <w:spacing w:after="0" w:line="135" w:lineRule="exact"/>
              <w:rPr>
                <w:sz w:val="20"/>
                <w:szCs w:val="20"/>
                <w:color w:val="auto"/>
              </w:rPr>
            </w:pPr>
            <w:r>
              <w:rPr>
                <w:rFonts w:ascii="Arial" w:cs="Arial" w:eastAsia="Arial" w:hAnsi="Arial"/>
                <w:sz w:val="14"/>
                <w:szCs w:val="14"/>
                <w:b w:val="1"/>
                <w:bCs w:val="1"/>
                <w:color w:val="auto"/>
                <w:w w:val="82"/>
              </w:rPr>
              <w:t>Pennsylvania</w:t>
            </w:r>
          </w:p>
        </w:tc>
        <w:tc>
          <w:tcPr>
            <w:tcW w:w="11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gridSpan w:val="5"/>
            <w:shd w:val="clear" w:color="auto" w:fill="CCEEFF"/>
          </w:tcPr>
          <w:p>
            <w:pPr>
              <w:spacing w:after="0" w:line="131" w:lineRule="exact"/>
              <w:rPr>
                <w:sz w:val="20"/>
                <w:szCs w:val="20"/>
                <w:color w:val="auto"/>
              </w:rPr>
            </w:pPr>
            <w:r>
              <w:rPr>
                <w:rFonts w:ascii="Arial" w:cs="Arial" w:eastAsia="Arial" w:hAnsi="Arial"/>
                <w:sz w:val="14"/>
                <w:szCs w:val="14"/>
                <w:color w:val="auto"/>
              </w:rPr>
              <w:t>Andorra</w:t>
            </w:r>
          </w:p>
        </w:tc>
        <w:tc>
          <w:tcPr>
            <w:tcW w:w="3120" w:type="dxa"/>
            <w:vAlign w:val="bottom"/>
            <w:gridSpan w:val="2"/>
            <w:shd w:val="clear" w:color="auto" w:fill="CCEEFF"/>
          </w:tcPr>
          <w:p>
            <w:pPr>
              <w:jc w:val="center"/>
              <w:ind w:left="2332"/>
              <w:spacing w:after="0" w:line="131" w:lineRule="exact"/>
              <w:rPr>
                <w:sz w:val="20"/>
                <w:szCs w:val="20"/>
                <w:color w:val="auto"/>
              </w:rPr>
            </w:pPr>
            <w:r>
              <w:rPr>
                <w:rFonts w:ascii="Arial" w:cs="Arial" w:eastAsia="Arial" w:hAnsi="Arial"/>
                <w:sz w:val="14"/>
                <w:szCs w:val="14"/>
                <w:color w:val="auto"/>
                <w:w w:val="89"/>
              </w:rPr>
              <w:t>1953</w:t>
            </w:r>
          </w:p>
        </w:tc>
        <w:tc>
          <w:tcPr>
            <w:tcW w:w="980" w:type="dxa"/>
            <w:vAlign w:val="bottom"/>
            <w:gridSpan w:val="2"/>
            <w:shd w:val="clear" w:color="auto" w:fill="CCEEFF"/>
          </w:tcPr>
          <w:p>
            <w:pPr>
              <w:jc w:val="center"/>
              <w:ind w:left="251"/>
              <w:spacing w:after="0" w:line="131" w:lineRule="exact"/>
              <w:rPr>
                <w:sz w:val="20"/>
                <w:szCs w:val="20"/>
                <w:color w:val="auto"/>
              </w:rPr>
            </w:pPr>
            <w:r>
              <w:rPr>
                <w:rFonts w:ascii="Arial" w:cs="Arial" w:eastAsia="Arial" w:hAnsi="Arial"/>
                <w:sz w:val="14"/>
                <w:szCs w:val="14"/>
                <w:color w:val="auto"/>
                <w:w w:val="83"/>
              </w:rPr>
              <w:t>1988</w:t>
            </w:r>
          </w:p>
        </w:tc>
        <w:tc>
          <w:tcPr>
            <w:tcW w:w="1280" w:type="dxa"/>
            <w:vAlign w:val="bottom"/>
            <w:gridSpan w:val="2"/>
            <w:shd w:val="clear" w:color="auto" w:fill="CCEEFF"/>
          </w:tcPr>
          <w:p>
            <w:pPr>
              <w:jc w:val="center"/>
              <w:ind w:left="252"/>
              <w:spacing w:after="0" w:line="131" w:lineRule="exact"/>
              <w:rPr>
                <w:sz w:val="20"/>
                <w:szCs w:val="20"/>
                <w:color w:val="auto"/>
              </w:rPr>
            </w:pPr>
            <w:r>
              <w:rPr>
                <w:rFonts w:ascii="Arial" w:cs="Arial" w:eastAsia="Arial" w:hAnsi="Arial"/>
                <w:sz w:val="14"/>
                <w:szCs w:val="14"/>
                <w:color w:val="auto"/>
                <w:w w:val="86"/>
              </w:rPr>
              <w:t>267,000</w:t>
            </w:r>
          </w:p>
        </w:tc>
        <w:tc>
          <w:tcPr>
            <w:tcW w:w="122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3"/>
              </w:rPr>
              <w:t>$13.59</w:t>
            </w:r>
          </w:p>
        </w:tc>
        <w:tc>
          <w:tcPr>
            <w:tcW w:w="106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5"/>
              </w:rPr>
              <w:t>93%</w:t>
            </w:r>
          </w:p>
        </w:tc>
        <w:tc>
          <w:tcPr>
            <w:tcW w:w="1840" w:type="dxa"/>
            <w:vAlign w:val="bottom"/>
            <w:gridSpan w:val="2"/>
            <w:shd w:val="clear" w:color="auto" w:fill="CCEEFF"/>
          </w:tcPr>
          <w:p>
            <w:pPr>
              <w:ind w:left="340"/>
              <w:spacing w:after="0" w:line="131"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5"/>
            <w:shd w:val="clear" w:color="auto" w:fill="CCEEFF"/>
          </w:tcPr>
          <w:p>
            <w:pPr>
              <w:ind w:left="120"/>
              <w:spacing w:after="0" w:line="149" w:lineRule="exact"/>
              <w:rPr>
                <w:sz w:val="20"/>
                <w:szCs w:val="20"/>
                <w:color w:val="auto"/>
              </w:rPr>
            </w:pPr>
            <w:r>
              <w:rPr>
                <w:rFonts w:ascii="Arial" w:cs="Arial" w:eastAsia="Arial" w:hAnsi="Arial"/>
                <w:sz w:val="14"/>
                <w:szCs w:val="14"/>
                <w:color w:val="auto"/>
              </w:rPr>
              <w:t>Philadelphia, PA 19128</w:t>
            </w: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5"/>
          </w:tcPr>
          <w:p>
            <w:pPr>
              <w:spacing w:after="0" w:line="138" w:lineRule="exact"/>
              <w:rPr>
                <w:sz w:val="20"/>
                <w:szCs w:val="20"/>
                <w:color w:val="auto"/>
              </w:rPr>
            </w:pPr>
            <w:r>
              <w:rPr>
                <w:rFonts w:ascii="Arial" w:cs="Arial" w:eastAsia="Arial" w:hAnsi="Arial"/>
                <w:sz w:val="14"/>
                <w:szCs w:val="14"/>
                <w:color w:val="auto"/>
              </w:rPr>
              <w:t>Bala Cynwyd</w:t>
            </w:r>
          </w:p>
        </w:tc>
        <w:tc>
          <w:tcPr>
            <w:tcW w:w="3120" w:type="dxa"/>
            <w:vAlign w:val="bottom"/>
            <w:gridSpan w:val="2"/>
          </w:tcPr>
          <w:p>
            <w:pPr>
              <w:jc w:val="center"/>
              <w:ind w:left="2332"/>
              <w:spacing w:after="0" w:line="138" w:lineRule="exact"/>
              <w:rPr>
                <w:sz w:val="20"/>
                <w:szCs w:val="20"/>
                <w:color w:val="auto"/>
              </w:rPr>
            </w:pPr>
            <w:r>
              <w:rPr>
                <w:rFonts w:ascii="Arial" w:cs="Arial" w:eastAsia="Arial" w:hAnsi="Arial"/>
                <w:sz w:val="14"/>
                <w:szCs w:val="14"/>
                <w:color w:val="auto"/>
                <w:w w:val="89"/>
              </w:rPr>
              <w:t>1955</w:t>
            </w:r>
          </w:p>
        </w:tc>
        <w:tc>
          <w:tcPr>
            <w:tcW w:w="980" w:type="dxa"/>
            <w:vAlign w:val="bottom"/>
            <w:gridSpan w:val="2"/>
          </w:tcPr>
          <w:p>
            <w:pPr>
              <w:jc w:val="center"/>
              <w:ind w:left="251"/>
              <w:spacing w:after="0" w:line="138" w:lineRule="exact"/>
              <w:rPr>
                <w:sz w:val="20"/>
                <w:szCs w:val="20"/>
                <w:color w:val="auto"/>
              </w:rPr>
            </w:pPr>
            <w:r>
              <w:rPr>
                <w:rFonts w:ascii="Arial" w:cs="Arial" w:eastAsia="Arial" w:hAnsi="Arial"/>
                <w:sz w:val="14"/>
                <w:szCs w:val="14"/>
                <w:color w:val="auto"/>
                <w:w w:val="83"/>
              </w:rPr>
              <w:t>1993</w:t>
            </w:r>
          </w:p>
        </w:tc>
        <w:tc>
          <w:tcPr>
            <w:tcW w:w="12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6"/>
              </w:rPr>
              <w:t>282,000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$17.08</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100%</w:t>
            </w:r>
          </w:p>
        </w:tc>
        <w:tc>
          <w:tcPr>
            <w:tcW w:w="184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Bala Cynwyd, PA 19004</w:t>
            </w: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Lord &amp; Taylor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2"/>
          </w:tcPr>
          <w:p>
            <w:pPr>
              <w:ind w:left="3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Feasterville</w:t>
            </w:r>
          </w:p>
        </w:tc>
        <w:tc>
          <w:tcPr>
            <w:tcW w:w="3120" w:type="dxa"/>
            <w:vAlign w:val="bottom"/>
            <w:gridSpan w:val="2"/>
            <w:shd w:val="clear" w:color="auto" w:fill="CCEEFF"/>
          </w:tcPr>
          <w:p>
            <w:pPr>
              <w:jc w:val="center"/>
              <w:ind w:left="2332"/>
              <w:spacing w:after="0" w:line="139" w:lineRule="exact"/>
              <w:rPr>
                <w:sz w:val="20"/>
                <w:szCs w:val="20"/>
                <w:color w:val="auto"/>
              </w:rPr>
            </w:pPr>
            <w:r>
              <w:rPr>
                <w:rFonts w:ascii="Arial" w:cs="Arial" w:eastAsia="Arial" w:hAnsi="Arial"/>
                <w:sz w:val="14"/>
                <w:szCs w:val="14"/>
                <w:color w:val="auto"/>
                <w:w w:val="89"/>
              </w:rPr>
              <w:t>1958</w:t>
            </w:r>
          </w:p>
        </w:tc>
        <w:tc>
          <w:tcPr>
            <w:tcW w:w="980" w:type="dxa"/>
            <w:vAlign w:val="bottom"/>
            <w:gridSpan w:val="2"/>
            <w:shd w:val="clear" w:color="auto" w:fill="CCEEFF"/>
          </w:tcPr>
          <w:p>
            <w:pPr>
              <w:jc w:val="center"/>
              <w:ind w:left="251"/>
              <w:spacing w:after="0" w:line="139" w:lineRule="exact"/>
              <w:rPr>
                <w:sz w:val="20"/>
                <w:szCs w:val="20"/>
                <w:color w:val="auto"/>
              </w:rPr>
            </w:pPr>
            <w:r>
              <w:rPr>
                <w:rFonts w:ascii="Arial" w:cs="Arial" w:eastAsia="Arial" w:hAnsi="Arial"/>
                <w:sz w:val="14"/>
                <w:szCs w:val="14"/>
                <w:color w:val="auto"/>
                <w:w w:val="83"/>
              </w:rPr>
              <w:t>1980</w:t>
            </w:r>
          </w:p>
        </w:tc>
        <w:tc>
          <w:tcPr>
            <w:tcW w:w="128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2"/>
              </w:rPr>
              <w:t>111,000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$13.81</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91%</w:t>
            </w:r>
          </w:p>
        </w:tc>
        <w:tc>
          <w:tcPr>
            <w:tcW w:w="184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Genuardi’s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Feasterville, PA 19047</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OfficeMax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5"/>
          </w:tcPr>
          <w:p>
            <w:pPr>
              <w:spacing w:after="0" w:line="138" w:lineRule="exact"/>
              <w:rPr>
                <w:sz w:val="20"/>
                <w:szCs w:val="20"/>
                <w:color w:val="auto"/>
              </w:rPr>
            </w:pPr>
            <w:r>
              <w:rPr>
                <w:rFonts w:ascii="Arial" w:cs="Arial" w:eastAsia="Arial" w:hAnsi="Arial"/>
                <w:sz w:val="14"/>
                <w:szCs w:val="14"/>
                <w:color w:val="auto"/>
              </w:rPr>
              <w:t>Flourtown</w:t>
            </w:r>
          </w:p>
        </w:tc>
        <w:tc>
          <w:tcPr>
            <w:tcW w:w="3120" w:type="dxa"/>
            <w:vAlign w:val="bottom"/>
            <w:gridSpan w:val="2"/>
          </w:tcPr>
          <w:p>
            <w:pPr>
              <w:jc w:val="center"/>
              <w:ind w:left="2332"/>
              <w:spacing w:after="0" w:line="138" w:lineRule="exact"/>
              <w:rPr>
                <w:sz w:val="20"/>
                <w:szCs w:val="20"/>
                <w:color w:val="auto"/>
              </w:rPr>
            </w:pPr>
            <w:r>
              <w:rPr>
                <w:rFonts w:ascii="Arial" w:cs="Arial" w:eastAsia="Arial" w:hAnsi="Arial"/>
                <w:sz w:val="14"/>
                <w:szCs w:val="14"/>
                <w:color w:val="auto"/>
                <w:w w:val="89"/>
              </w:rPr>
              <w:t>1957</w:t>
            </w:r>
          </w:p>
        </w:tc>
        <w:tc>
          <w:tcPr>
            <w:tcW w:w="980" w:type="dxa"/>
            <w:vAlign w:val="bottom"/>
            <w:gridSpan w:val="2"/>
          </w:tcPr>
          <w:p>
            <w:pPr>
              <w:jc w:val="center"/>
              <w:ind w:left="251"/>
              <w:spacing w:after="0" w:line="138" w:lineRule="exact"/>
              <w:rPr>
                <w:sz w:val="20"/>
                <w:szCs w:val="20"/>
                <w:color w:val="auto"/>
              </w:rPr>
            </w:pPr>
            <w:r>
              <w:rPr>
                <w:rFonts w:ascii="Arial" w:cs="Arial" w:eastAsia="Arial" w:hAnsi="Arial"/>
                <w:sz w:val="14"/>
                <w:szCs w:val="14"/>
                <w:color w:val="auto"/>
                <w:w w:val="83"/>
              </w:rPr>
              <w:t>1980</w:t>
            </w:r>
          </w:p>
        </w:tc>
        <w:tc>
          <w:tcPr>
            <w:tcW w:w="12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6"/>
              </w:rPr>
              <w:t>192,000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$22.15</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84%</w:t>
            </w:r>
          </w:p>
        </w:tc>
        <w:tc>
          <w:tcPr>
            <w:tcW w:w="184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Genuardi’s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color w:val="auto"/>
              </w:rPr>
              <w:t>Flourtown, PA 19031</w:t>
            </w: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Lancaster</w:t>
            </w:r>
          </w:p>
        </w:tc>
        <w:tc>
          <w:tcPr>
            <w:tcW w:w="3120" w:type="dxa"/>
            <w:vAlign w:val="bottom"/>
            <w:gridSpan w:val="2"/>
            <w:shd w:val="clear" w:color="auto" w:fill="CCEEFF"/>
          </w:tcPr>
          <w:p>
            <w:pPr>
              <w:jc w:val="center"/>
              <w:ind w:left="2332"/>
              <w:spacing w:after="0" w:line="139" w:lineRule="exact"/>
              <w:rPr>
                <w:sz w:val="20"/>
                <w:szCs w:val="20"/>
                <w:color w:val="auto"/>
              </w:rPr>
            </w:pPr>
            <w:r>
              <w:rPr>
                <w:rFonts w:ascii="Arial" w:cs="Arial" w:eastAsia="Arial" w:hAnsi="Arial"/>
                <w:sz w:val="14"/>
                <w:szCs w:val="14"/>
                <w:color w:val="auto"/>
                <w:w w:val="89"/>
              </w:rPr>
              <w:t>1958</w:t>
            </w:r>
          </w:p>
        </w:tc>
        <w:tc>
          <w:tcPr>
            <w:tcW w:w="980" w:type="dxa"/>
            <w:vAlign w:val="bottom"/>
            <w:gridSpan w:val="2"/>
            <w:shd w:val="clear" w:color="auto" w:fill="CCEEFF"/>
          </w:tcPr>
          <w:p>
            <w:pPr>
              <w:jc w:val="center"/>
              <w:ind w:left="251"/>
              <w:spacing w:after="0" w:line="139" w:lineRule="exact"/>
              <w:rPr>
                <w:sz w:val="20"/>
                <w:szCs w:val="20"/>
                <w:color w:val="auto"/>
              </w:rPr>
            </w:pPr>
            <w:r>
              <w:rPr>
                <w:rFonts w:ascii="Arial" w:cs="Arial" w:eastAsia="Arial" w:hAnsi="Arial"/>
                <w:sz w:val="14"/>
                <w:szCs w:val="14"/>
                <w:color w:val="auto"/>
                <w:w w:val="83"/>
              </w:rPr>
              <w:t>1980</w:t>
            </w:r>
          </w:p>
        </w:tc>
        <w:tc>
          <w:tcPr>
            <w:tcW w:w="12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6"/>
              </w:rPr>
              <w:t>107,000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$16.35</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98%</w:t>
            </w:r>
          </w:p>
        </w:tc>
        <w:tc>
          <w:tcPr>
            <w:tcW w:w="184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Lancaster, PA 17601(7)</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5"/>
          </w:tcPr>
          <w:p>
            <w:pPr>
              <w:spacing w:after="0" w:line="138" w:lineRule="exact"/>
              <w:rPr>
                <w:sz w:val="20"/>
                <w:szCs w:val="20"/>
                <w:color w:val="auto"/>
              </w:rPr>
            </w:pPr>
            <w:r>
              <w:rPr>
                <w:rFonts w:ascii="Arial" w:cs="Arial" w:eastAsia="Arial" w:hAnsi="Arial"/>
                <w:sz w:val="14"/>
                <w:szCs w:val="14"/>
                <w:color w:val="auto"/>
              </w:rPr>
              <w:t>Langhorne Square</w:t>
            </w:r>
          </w:p>
        </w:tc>
        <w:tc>
          <w:tcPr>
            <w:tcW w:w="3120" w:type="dxa"/>
            <w:vAlign w:val="bottom"/>
            <w:gridSpan w:val="2"/>
          </w:tcPr>
          <w:p>
            <w:pPr>
              <w:jc w:val="center"/>
              <w:ind w:left="2332"/>
              <w:spacing w:after="0" w:line="138" w:lineRule="exact"/>
              <w:rPr>
                <w:sz w:val="20"/>
                <w:szCs w:val="20"/>
                <w:color w:val="auto"/>
              </w:rPr>
            </w:pPr>
            <w:r>
              <w:rPr>
                <w:rFonts w:ascii="Arial" w:cs="Arial" w:eastAsia="Arial" w:hAnsi="Arial"/>
                <w:sz w:val="14"/>
                <w:szCs w:val="14"/>
                <w:color w:val="auto"/>
                <w:w w:val="89"/>
              </w:rPr>
              <w:t>1966</w:t>
            </w:r>
          </w:p>
        </w:tc>
        <w:tc>
          <w:tcPr>
            <w:tcW w:w="980" w:type="dxa"/>
            <w:vAlign w:val="bottom"/>
            <w:gridSpan w:val="2"/>
          </w:tcPr>
          <w:p>
            <w:pPr>
              <w:jc w:val="center"/>
              <w:ind w:left="251"/>
              <w:spacing w:after="0" w:line="138" w:lineRule="exact"/>
              <w:rPr>
                <w:sz w:val="20"/>
                <w:szCs w:val="20"/>
                <w:color w:val="auto"/>
              </w:rPr>
            </w:pPr>
            <w:r>
              <w:rPr>
                <w:rFonts w:ascii="Arial" w:cs="Arial" w:eastAsia="Arial" w:hAnsi="Arial"/>
                <w:sz w:val="14"/>
                <w:szCs w:val="14"/>
                <w:color w:val="auto"/>
                <w:w w:val="83"/>
              </w:rPr>
              <w:t>1985</w:t>
            </w:r>
          </w:p>
        </w:tc>
        <w:tc>
          <w:tcPr>
            <w:tcW w:w="12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6"/>
              </w:rPr>
              <w:t>216,000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$14.06</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94%</w:t>
            </w:r>
          </w:p>
        </w:tc>
        <w:tc>
          <w:tcPr>
            <w:tcW w:w="184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Levittown, PA 19056</w:t>
            </w: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Redner’s Warehouse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2"/>
          </w:tcPr>
          <w:p>
            <w:pPr>
              <w:ind w:left="340"/>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Lawrence Park</w:t>
            </w:r>
          </w:p>
        </w:tc>
        <w:tc>
          <w:tcPr>
            <w:tcW w:w="3120" w:type="dxa"/>
            <w:vAlign w:val="bottom"/>
            <w:gridSpan w:val="2"/>
            <w:shd w:val="clear" w:color="auto" w:fill="CCEEFF"/>
          </w:tcPr>
          <w:p>
            <w:pPr>
              <w:jc w:val="center"/>
              <w:ind w:left="2332"/>
              <w:spacing w:after="0" w:line="139" w:lineRule="exact"/>
              <w:rPr>
                <w:sz w:val="20"/>
                <w:szCs w:val="20"/>
                <w:color w:val="auto"/>
              </w:rPr>
            </w:pPr>
            <w:r>
              <w:rPr>
                <w:rFonts w:ascii="Arial" w:cs="Arial" w:eastAsia="Arial" w:hAnsi="Arial"/>
                <w:sz w:val="14"/>
                <w:szCs w:val="14"/>
                <w:color w:val="auto"/>
                <w:w w:val="89"/>
              </w:rPr>
              <w:t>1972</w:t>
            </w:r>
          </w:p>
        </w:tc>
        <w:tc>
          <w:tcPr>
            <w:tcW w:w="980" w:type="dxa"/>
            <w:vAlign w:val="bottom"/>
            <w:gridSpan w:val="2"/>
            <w:shd w:val="clear" w:color="auto" w:fill="CCEEFF"/>
          </w:tcPr>
          <w:p>
            <w:pPr>
              <w:jc w:val="center"/>
              <w:ind w:left="251"/>
              <w:spacing w:after="0" w:line="139" w:lineRule="exact"/>
              <w:rPr>
                <w:sz w:val="20"/>
                <w:szCs w:val="20"/>
                <w:color w:val="auto"/>
              </w:rPr>
            </w:pPr>
            <w:r>
              <w:rPr>
                <w:rFonts w:ascii="Arial" w:cs="Arial" w:eastAsia="Arial" w:hAnsi="Arial"/>
                <w:sz w:val="14"/>
                <w:szCs w:val="14"/>
                <w:color w:val="auto"/>
                <w:w w:val="83"/>
              </w:rPr>
              <w:t>1980</w:t>
            </w:r>
          </w:p>
        </w:tc>
        <w:tc>
          <w:tcPr>
            <w:tcW w:w="12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6"/>
              </w:rPr>
              <w:t>353,000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$17.95</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98%</w:t>
            </w:r>
          </w:p>
        </w:tc>
        <w:tc>
          <w:tcPr>
            <w:tcW w:w="184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5"/>
            <w:shd w:val="clear" w:color="auto" w:fill="CCEEFF"/>
          </w:tcPr>
          <w:p>
            <w:pPr>
              <w:ind w:left="120"/>
              <w:spacing w:after="0" w:line="149" w:lineRule="exact"/>
              <w:rPr>
                <w:sz w:val="20"/>
                <w:szCs w:val="20"/>
                <w:color w:val="auto"/>
              </w:rPr>
            </w:pPr>
            <w:r>
              <w:rPr>
                <w:rFonts w:ascii="Arial" w:cs="Arial" w:eastAsia="Arial" w:hAnsi="Arial"/>
                <w:sz w:val="14"/>
                <w:szCs w:val="14"/>
                <w:color w:val="auto"/>
              </w:rPr>
              <w:t>Broomall, PA 19008</w:t>
            </w: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CHI</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Home Goods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5"/>
          </w:tcPr>
          <w:p>
            <w:pPr>
              <w:spacing w:after="0" w:line="138" w:lineRule="exact"/>
              <w:rPr>
                <w:sz w:val="20"/>
                <w:szCs w:val="20"/>
                <w:color w:val="auto"/>
              </w:rPr>
            </w:pPr>
            <w:r>
              <w:rPr>
                <w:rFonts w:ascii="Arial" w:cs="Arial" w:eastAsia="Arial" w:hAnsi="Arial"/>
                <w:sz w:val="14"/>
                <w:szCs w:val="14"/>
                <w:color w:val="auto"/>
              </w:rPr>
              <w:t>Northeast</w:t>
            </w:r>
          </w:p>
        </w:tc>
        <w:tc>
          <w:tcPr>
            <w:tcW w:w="3120" w:type="dxa"/>
            <w:vAlign w:val="bottom"/>
            <w:gridSpan w:val="2"/>
          </w:tcPr>
          <w:p>
            <w:pPr>
              <w:jc w:val="center"/>
              <w:ind w:left="2332"/>
              <w:spacing w:after="0" w:line="138" w:lineRule="exact"/>
              <w:rPr>
                <w:sz w:val="20"/>
                <w:szCs w:val="20"/>
                <w:color w:val="auto"/>
              </w:rPr>
            </w:pPr>
            <w:r>
              <w:rPr>
                <w:rFonts w:ascii="Arial" w:cs="Arial" w:eastAsia="Arial" w:hAnsi="Arial"/>
                <w:sz w:val="14"/>
                <w:szCs w:val="14"/>
                <w:color w:val="auto"/>
                <w:w w:val="89"/>
              </w:rPr>
              <w:t>1959</w:t>
            </w:r>
          </w:p>
        </w:tc>
        <w:tc>
          <w:tcPr>
            <w:tcW w:w="980" w:type="dxa"/>
            <w:vAlign w:val="bottom"/>
            <w:gridSpan w:val="2"/>
          </w:tcPr>
          <w:p>
            <w:pPr>
              <w:jc w:val="center"/>
              <w:ind w:left="251"/>
              <w:spacing w:after="0" w:line="138" w:lineRule="exact"/>
              <w:rPr>
                <w:sz w:val="20"/>
                <w:szCs w:val="20"/>
                <w:color w:val="auto"/>
              </w:rPr>
            </w:pPr>
            <w:r>
              <w:rPr>
                <w:rFonts w:ascii="Arial" w:cs="Arial" w:eastAsia="Arial" w:hAnsi="Arial"/>
                <w:sz w:val="14"/>
                <w:szCs w:val="14"/>
                <w:color w:val="auto"/>
                <w:w w:val="83"/>
              </w:rPr>
              <w:t>1983</w:t>
            </w:r>
          </w:p>
        </w:tc>
        <w:tc>
          <w:tcPr>
            <w:tcW w:w="12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6"/>
              </w:rPr>
              <w:t>285,000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$11.79</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91%</w:t>
            </w:r>
          </w:p>
        </w:tc>
        <w:tc>
          <w:tcPr>
            <w:tcW w:w="184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color w:val="auto"/>
              </w:rPr>
              <w:t>Philadelphia, PA 19114</w:t>
            </w: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2"/>
          </w:tcPr>
          <w:p>
            <w:pPr>
              <w:ind w:left="3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Town Center of New Britain</w:t>
            </w:r>
          </w:p>
        </w:tc>
        <w:tc>
          <w:tcPr>
            <w:tcW w:w="3120" w:type="dxa"/>
            <w:vAlign w:val="bottom"/>
            <w:gridSpan w:val="2"/>
            <w:shd w:val="clear" w:color="auto" w:fill="CCEEFF"/>
          </w:tcPr>
          <w:p>
            <w:pPr>
              <w:jc w:val="center"/>
              <w:ind w:left="2332"/>
              <w:spacing w:after="0" w:line="139" w:lineRule="exact"/>
              <w:rPr>
                <w:sz w:val="20"/>
                <w:szCs w:val="20"/>
                <w:color w:val="auto"/>
              </w:rPr>
            </w:pPr>
            <w:r>
              <w:rPr>
                <w:rFonts w:ascii="Arial" w:cs="Arial" w:eastAsia="Arial" w:hAnsi="Arial"/>
                <w:sz w:val="14"/>
                <w:szCs w:val="14"/>
                <w:color w:val="auto"/>
                <w:w w:val="89"/>
              </w:rPr>
              <w:t>1969</w:t>
            </w:r>
          </w:p>
        </w:tc>
        <w:tc>
          <w:tcPr>
            <w:tcW w:w="980" w:type="dxa"/>
            <w:vAlign w:val="bottom"/>
            <w:gridSpan w:val="2"/>
            <w:shd w:val="clear" w:color="auto" w:fill="CCEEFF"/>
          </w:tcPr>
          <w:p>
            <w:pPr>
              <w:jc w:val="center"/>
              <w:ind w:left="251"/>
              <w:spacing w:after="0" w:line="139" w:lineRule="exact"/>
              <w:rPr>
                <w:sz w:val="20"/>
                <w:szCs w:val="20"/>
                <w:color w:val="auto"/>
              </w:rPr>
            </w:pPr>
            <w:r>
              <w:rPr>
                <w:rFonts w:ascii="Arial" w:cs="Arial" w:eastAsia="Arial" w:hAnsi="Arial"/>
                <w:sz w:val="14"/>
                <w:szCs w:val="14"/>
                <w:color w:val="auto"/>
                <w:w w:val="83"/>
              </w:rPr>
              <w:t>2006</w:t>
            </w:r>
          </w:p>
        </w:tc>
        <w:tc>
          <w:tcPr>
            <w:tcW w:w="12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6"/>
              </w:rPr>
              <w:t>125,000</w:t>
            </w:r>
          </w:p>
        </w:tc>
        <w:tc>
          <w:tcPr>
            <w:tcW w:w="122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5"/>
              </w:rPr>
              <w:t>$9.78</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81%</w:t>
            </w:r>
          </w:p>
        </w:tc>
        <w:tc>
          <w:tcPr>
            <w:tcW w:w="184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New Britain, PA 18901</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gridSpan w:val="5"/>
          </w:tcPr>
          <w:p>
            <w:pPr>
              <w:spacing w:after="0" w:line="138" w:lineRule="exact"/>
              <w:rPr>
                <w:sz w:val="20"/>
                <w:szCs w:val="20"/>
                <w:color w:val="auto"/>
              </w:rPr>
            </w:pPr>
            <w:r>
              <w:rPr>
                <w:rFonts w:ascii="Arial" w:cs="Arial" w:eastAsia="Arial" w:hAnsi="Arial"/>
                <w:sz w:val="14"/>
                <w:szCs w:val="14"/>
                <w:color w:val="auto"/>
              </w:rPr>
              <w:t>Willow Grove</w:t>
            </w:r>
          </w:p>
        </w:tc>
        <w:tc>
          <w:tcPr>
            <w:tcW w:w="3120" w:type="dxa"/>
            <w:vAlign w:val="bottom"/>
            <w:gridSpan w:val="2"/>
          </w:tcPr>
          <w:p>
            <w:pPr>
              <w:jc w:val="center"/>
              <w:ind w:left="2332"/>
              <w:spacing w:after="0" w:line="138" w:lineRule="exact"/>
              <w:rPr>
                <w:sz w:val="20"/>
                <w:szCs w:val="20"/>
                <w:color w:val="auto"/>
              </w:rPr>
            </w:pPr>
            <w:r>
              <w:rPr>
                <w:rFonts w:ascii="Arial" w:cs="Arial" w:eastAsia="Arial" w:hAnsi="Arial"/>
                <w:sz w:val="14"/>
                <w:szCs w:val="14"/>
                <w:color w:val="auto"/>
                <w:w w:val="89"/>
              </w:rPr>
              <w:t>1953</w:t>
            </w:r>
          </w:p>
        </w:tc>
        <w:tc>
          <w:tcPr>
            <w:tcW w:w="980" w:type="dxa"/>
            <w:vAlign w:val="bottom"/>
            <w:gridSpan w:val="2"/>
          </w:tcPr>
          <w:p>
            <w:pPr>
              <w:jc w:val="center"/>
              <w:ind w:left="251"/>
              <w:spacing w:after="0" w:line="138" w:lineRule="exact"/>
              <w:rPr>
                <w:sz w:val="20"/>
                <w:szCs w:val="20"/>
                <w:color w:val="auto"/>
              </w:rPr>
            </w:pPr>
            <w:r>
              <w:rPr>
                <w:rFonts w:ascii="Arial" w:cs="Arial" w:eastAsia="Arial" w:hAnsi="Arial"/>
                <w:sz w:val="14"/>
                <w:szCs w:val="14"/>
                <w:color w:val="auto"/>
                <w:w w:val="83"/>
              </w:rPr>
              <w:t>1984</w:t>
            </w:r>
          </w:p>
        </w:tc>
        <w:tc>
          <w:tcPr>
            <w:tcW w:w="1280" w:type="dxa"/>
            <w:vAlign w:val="bottom"/>
            <w:gridSpan w:val="2"/>
          </w:tcPr>
          <w:p>
            <w:pPr>
              <w:jc w:val="center"/>
              <w:ind w:left="252"/>
              <w:spacing w:after="0" w:line="138" w:lineRule="exact"/>
              <w:rPr>
                <w:sz w:val="20"/>
                <w:szCs w:val="20"/>
                <w:color w:val="auto"/>
              </w:rPr>
            </w:pPr>
            <w:r>
              <w:rPr>
                <w:rFonts w:ascii="Arial" w:cs="Arial" w:eastAsia="Arial" w:hAnsi="Arial"/>
                <w:sz w:val="14"/>
                <w:szCs w:val="14"/>
                <w:color w:val="auto"/>
                <w:w w:val="86"/>
              </w:rPr>
              <w:t>216,000</w:t>
            </w:r>
          </w:p>
        </w:tc>
        <w:tc>
          <w:tcPr>
            <w:tcW w:w="12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3"/>
              </w:rPr>
              <w:t>$19.10</w:t>
            </w:r>
          </w:p>
        </w:tc>
        <w:tc>
          <w:tcPr>
            <w:tcW w:w="106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97%</w:t>
            </w:r>
          </w:p>
        </w:tc>
        <w:tc>
          <w:tcPr>
            <w:tcW w:w="184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color w:val="auto"/>
              </w:rPr>
              <w:t>Willow Grove, PA 19090</w:t>
            </w:r>
          </w:p>
        </w:tc>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2"/>
          </w:tcPr>
          <w:p>
            <w:pPr>
              <w:ind w:left="3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Wynnewood</w:t>
            </w:r>
          </w:p>
        </w:tc>
        <w:tc>
          <w:tcPr>
            <w:tcW w:w="3120" w:type="dxa"/>
            <w:vAlign w:val="bottom"/>
            <w:gridSpan w:val="2"/>
            <w:shd w:val="clear" w:color="auto" w:fill="CCEEFF"/>
          </w:tcPr>
          <w:p>
            <w:pPr>
              <w:jc w:val="center"/>
              <w:ind w:left="2332"/>
              <w:spacing w:after="0" w:line="139" w:lineRule="exact"/>
              <w:rPr>
                <w:sz w:val="20"/>
                <w:szCs w:val="20"/>
                <w:color w:val="auto"/>
              </w:rPr>
            </w:pPr>
            <w:r>
              <w:rPr>
                <w:rFonts w:ascii="Arial" w:cs="Arial" w:eastAsia="Arial" w:hAnsi="Arial"/>
                <w:sz w:val="14"/>
                <w:szCs w:val="14"/>
                <w:color w:val="auto"/>
                <w:w w:val="89"/>
              </w:rPr>
              <w:t>1948</w:t>
            </w:r>
          </w:p>
        </w:tc>
        <w:tc>
          <w:tcPr>
            <w:tcW w:w="980" w:type="dxa"/>
            <w:vAlign w:val="bottom"/>
            <w:gridSpan w:val="2"/>
            <w:shd w:val="clear" w:color="auto" w:fill="CCEEFF"/>
          </w:tcPr>
          <w:p>
            <w:pPr>
              <w:jc w:val="center"/>
              <w:ind w:left="251"/>
              <w:spacing w:after="0" w:line="139" w:lineRule="exact"/>
              <w:rPr>
                <w:sz w:val="20"/>
                <w:szCs w:val="20"/>
                <w:color w:val="auto"/>
              </w:rPr>
            </w:pPr>
            <w:r>
              <w:rPr>
                <w:rFonts w:ascii="Arial" w:cs="Arial" w:eastAsia="Arial" w:hAnsi="Arial"/>
                <w:sz w:val="14"/>
                <w:szCs w:val="14"/>
                <w:color w:val="auto"/>
                <w:w w:val="83"/>
              </w:rPr>
              <w:t>1996</w:t>
            </w:r>
          </w:p>
        </w:tc>
        <w:tc>
          <w:tcPr>
            <w:tcW w:w="1280" w:type="dxa"/>
            <w:vAlign w:val="bottom"/>
            <w:gridSpan w:val="2"/>
            <w:shd w:val="clear" w:color="auto" w:fill="CCEEFF"/>
          </w:tcPr>
          <w:p>
            <w:pPr>
              <w:jc w:val="center"/>
              <w:ind w:left="252"/>
              <w:spacing w:after="0" w:line="139" w:lineRule="exact"/>
              <w:rPr>
                <w:sz w:val="20"/>
                <w:szCs w:val="20"/>
                <w:color w:val="auto"/>
              </w:rPr>
            </w:pPr>
            <w:r>
              <w:rPr>
                <w:rFonts w:ascii="Arial" w:cs="Arial" w:eastAsia="Arial" w:hAnsi="Arial"/>
                <w:sz w:val="14"/>
                <w:szCs w:val="14"/>
                <w:color w:val="auto"/>
                <w:w w:val="86"/>
              </w:rPr>
              <w:t>255,000</w:t>
            </w:r>
          </w:p>
        </w:tc>
        <w:tc>
          <w:tcPr>
            <w:tcW w:w="12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3"/>
              </w:rPr>
              <w:t>$24.03</w:t>
            </w:r>
          </w:p>
        </w:tc>
        <w:tc>
          <w:tcPr>
            <w:tcW w:w="106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97%</w:t>
            </w:r>
          </w:p>
        </w:tc>
        <w:tc>
          <w:tcPr>
            <w:tcW w:w="1840" w:type="dxa"/>
            <w:vAlign w:val="bottom"/>
            <w:gridSpan w:val="2"/>
            <w:shd w:val="clear" w:color="auto" w:fill="CCEEFF"/>
          </w:tcPr>
          <w:p>
            <w:pPr>
              <w:ind w:left="340"/>
              <w:spacing w:after="0" w:line="13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5"/>
            <w:shd w:val="clear" w:color="auto" w:fill="CCEEFF"/>
          </w:tcPr>
          <w:p>
            <w:pPr>
              <w:ind w:left="120"/>
              <w:spacing w:after="0" w:line="149" w:lineRule="exact"/>
              <w:rPr>
                <w:sz w:val="20"/>
                <w:szCs w:val="20"/>
                <w:color w:val="auto"/>
              </w:rPr>
            </w:pPr>
            <w:r>
              <w:rPr>
                <w:rFonts w:ascii="Arial" w:cs="Arial" w:eastAsia="Arial" w:hAnsi="Arial"/>
                <w:sz w:val="14"/>
                <w:szCs w:val="14"/>
                <w:color w:val="auto"/>
              </w:rPr>
              <w:t>Wynnewood, PA 19096</w:t>
            </w: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Borders Books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Genuardi’s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5"/>
              </w:rPr>
              <w:t>Texas</w:t>
            </w:r>
          </w:p>
        </w:tc>
        <w:tc>
          <w:tcPr>
            <w:tcW w:w="1580" w:type="dxa"/>
            <w:vAlign w:val="bottom"/>
            <w:gridSpan w:val="4"/>
          </w:tcPr>
          <w:p>
            <w:pPr>
              <w:spacing w:after="0"/>
              <w:rPr>
                <w:sz w:val="11"/>
                <w:szCs w:val="11"/>
                <w:color w:val="auto"/>
              </w:rPr>
            </w:pPr>
          </w:p>
        </w:tc>
        <w:tc>
          <w:tcPr>
            <w:tcW w:w="2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gridSpan w:val="5"/>
            <w:shd w:val="clear" w:color="auto" w:fill="CCEEFF"/>
          </w:tcPr>
          <w:p>
            <w:pPr>
              <w:spacing w:after="0" w:line="131" w:lineRule="exact"/>
              <w:rPr>
                <w:sz w:val="20"/>
                <w:szCs w:val="20"/>
                <w:color w:val="auto"/>
              </w:rPr>
            </w:pPr>
            <w:r>
              <w:rPr>
                <w:rFonts w:ascii="Arial" w:cs="Arial" w:eastAsia="Arial" w:hAnsi="Arial"/>
                <w:sz w:val="14"/>
                <w:szCs w:val="14"/>
                <w:color w:val="auto"/>
              </w:rPr>
              <w:t>Houston Street</w:t>
            </w:r>
          </w:p>
        </w:tc>
        <w:tc>
          <w:tcPr>
            <w:tcW w:w="3120" w:type="dxa"/>
            <w:vAlign w:val="bottom"/>
            <w:gridSpan w:val="2"/>
            <w:shd w:val="clear" w:color="auto" w:fill="CCEEFF"/>
          </w:tcPr>
          <w:p>
            <w:pPr>
              <w:jc w:val="center"/>
              <w:ind w:left="2332"/>
              <w:spacing w:after="0" w:line="131" w:lineRule="exact"/>
              <w:rPr>
                <w:sz w:val="20"/>
                <w:szCs w:val="20"/>
                <w:color w:val="auto"/>
              </w:rPr>
            </w:pPr>
            <w:r>
              <w:rPr>
                <w:rFonts w:ascii="Arial" w:cs="Arial" w:eastAsia="Arial" w:hAnsi="Arial"/>
                <w:sz w:val="14"/>
                <w:szCs w:val="14"/>
                <w:color w:val="auto"/>
                <w:w w:val="89"/>
              </w:rPr>
              <w:t>1890-1935</w:t>
            </w:r>
          </w:p>
        </w:tc>
        <w:tc>
          <w:tcPr>
            <w:tcW w:w="980" w:type="dxa"/>
            <w:vAlign w:val="bottom"/>
            <w:gridSpan w:val="2"/>
            <w:shd w:val="clear" w:color="auto" w:fill="CCEEFF"/>
          </w:tcPr>
          <w:p>
            <w:pPr>
              <w:jc w:val="center"/>
              <w:ind w:left="251"/>
              <w:spacing w:after="0" w:line="131" w:lineRule="exact"/>
              <w:rPr>
                <w:sz w:val="20"/>
                <w:szCs w:val="20"/>
                <w:color w:val="auto"/>
              </w:rPr>
            </w:pPr>
            <w:r>
              <w:rPr>
                <w:rFonts w:ascii="Arial" w:cs="Arial" w:eastAsia="Arial" w:hAnsi="Arial"/>
                <w:sz w:val="14"/>
                <w:szCs w:val="14"/>
                <w:color w:val="auto"/>
                <w:w w:val="83"/>
              </w:rPr>
              <w:t>1998</w:t>
            </w:r>
          </w:p>
        </w:tc>
        <w:tc>
          <w:tcPr>
            <w:tcW w:w="1280" w:type="dxa"/>
            <w:vAlign w:val="bottom"/>
            <w:gridSpan w:val="2"/>
            <w:shd w:val="clear" w:color="auto" w:fill="CCEEFF"/>
          </w:tcPr>
          <w:p>
            <w:pPr>
              <w:jc w:val="center"/>
              <w:ind w:left="252"/>
              <w:spacing w:after="0" w:line="131" w:lineRule="exact"/>
              <w:rPr>
                <w:sz w:val="20"/>
                <w:szCs w:val="20"/>
                <w:color w:val="auto"/>
              </w:rPr>
            </w:pPr>
            <w:r>
              <w:rPr>
                <w:rFonts w:ascii="Arial" w:cs="Arial" w:eastAsia="Arial" w:hAnsi="Arial"/>
                <w:sz w:val="14"/>
                <w:szCs w:val="14"/>
                <w:color w:val="auto"/>
                <w:w w:val="86"/>
              </w:rPr>
              <w:t>196,000</w:t>
            </w:r>
          </w:p>
        </w:tc>
        <w:tc>
          <w:tcPr>
            <w:tcW w:w="122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3"/>
              </w:rPr>
              <w:t>$20.35</w:t>
            </w:r>
          </w:p>
        </w:tc>
        <w:tc>
          <w:tcPr>
            <w:tcW w:w="106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5"/>
              </w:rPr>
              <w:t>82%</w:t>
            </w:r>
          </w:p>
        </w:tc>
        <w:tc>
          <w:tcPr>
            <w:tcW w:w="1840" w:type="dxa"/>
            <w:vAlign w:val="bottom"/>
            <w:gridSpan w:val="2"/>
            <w:shd w:val="clear" w:color="auto" w:fill="CCEEFF"/>
          </w:tcPr>
          <w:p>
            <w:pPr>
              <w:ind w:left="340"/>
              <w:spacing w:after="0" w:line="131" w:lineRule="exact"/>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San Antonio, TX</w:t>
            </w: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Virginia</w:t>
            </w:r>
          </w:p>
        </w:tc>
        <w:tc>
          <w:tcPr>
            <w:tcW w:w="2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00" w:type="dxa"/>
            <w:vAlign w:val="bottom"/>
            <w:gridSpan w:val="5"/>
            <w:shd w:val="clear" w:color="auto" w:fill="CCEEFF"/>
          </w:tcPr>
          <w:p>
            <w:pPr>
              <w:spacing w:after="0" w:line="131" w:lineRule="exact"/>
              <w:rPr>
                <w:sz w:val="20"/>
                <w:szCs w:val="20"/>
                <w:color w:val="auto"/>
              </w:rPr>
            </w:pPr>
            <w:r>
              <w:rPr>
                <w:rFonts w:ascii="Arial" w:cs="Arial" w:eastAsia="Arial" w:hAnsi="Arial"/>
                <w:sz w:val="14"/>
                <w:szCs w:val="14"/>
                <w:color w:val="auto"/>
              </w:rPr>
              <w:t>Barracks Road</w:t>
            </w:r>
          </w:p>
        </w:tc>
        <w:tc>
          <w:tcPr>
            <w:tcW w:w="3120" w:type="dxa"/>
            <w:vAlign w:val="bottom"/>
            <w:gridSpan w:val="2"/>
            <w:shd w:val="clear" w:color="auto" w:fill="CCEEFF"/>
          </w:tcPr>
          <w:p>
            <w:pPr>
              <w:jc w:val="center"/>
              <w:ind w:left="2332"/>
              <w:spacing w:after="0" w:line="131" w:lineRule="exact"/>
              <w:rPr>
                <w:sz w:val="20"/>
                <w:szCs w:val="20"/>
                <w:color w:val="auto"/>
              </w:rPr>
            </w:pPr>
            <w:r>
              <w:rPr>
                <w:rFonts w:ascii="Arial" w:cs="Arial" w:eastAsia="Arial" w:hAnsi="Arial"/>
                <w:sz w:val="14"/>
                <w:szCs w:val="14"/>
                <w:color w:val="auto"/>
                <w:w w:val="89"/>
              </w:rPr>
              <w:t>1958</w:t>
            </w:r>
          </w:p>
        </w:tc>
        <w:tc>
          <w:tcPr>
            <w:tcW w:w="980" w:type="dxa"/>
            <w:vAlign w:val="bottom"/>
            <w:gridSpan w:val="2"/>
            <w:shd w:val="clear" w:color="auto" w:fill="CCEEFF"/>
          </w:tcPr>
          <w:p>
            <w:pPr>
              <w:jc w:val="center"/>
              <w:ind w:left="251"/>
              <w:spacing w:after="0" w:line="131" w:lineRule="exact"/>
              <w:rPr>
                <w:sz w:val="20"/>
                <w:szCs w:val="20"/>
                <w:color w:val="auto"/>
              </w:rPr>
            </w:pPr>
            <w:r>
              <w:rPr>
                <w:rFonts w:ascii="Arial" w:cs="Arial" w:eastAsia="Arial" w:hAnsi="Arial"/>
                <w:sz w:val="14"/>
                <w:szCs w:val="14"/>
                <w:color w:val="auto"/>
                <w:w w:val="83"/>
              </w:rPr>
              <w:t>1985</w:t>
            </w:r>
          </w:p>
        </w:tc>
        <w:tc>
          <w:tcPr>
            <w:tcW w:w="1280" w:type="dxa"/>
            <w:vAlign w:val="bottom"/>
            <w:gridSpan w:val="2"/>
            <w:shd w:val="clear" w:color="auto" w:fill="CCEEFF"/>
          </w:tcPr>
          <w:p>
            <w:pPr>
              <w:jc w:val="center"/>
              <w:ind w:left="252"/>
              <w:spacing w:after="0" w:line="131" w:lineRule="exact"/>
              <w:rPr>
                <w:sz w:val="20"/>
                <w:szCs w:val="20"/>
                <w:color w:val="auto"/>
              </w:rPr>
            </w:pPr>
            <w:r>
              <w:rPr>
                <w:rFonts w:ascii="Arial" w:cs="Arial" w:eastAsia="Arial" w:hAnsi="Arial"/>
                <w:sz w:val="14"/>
                <w:szCs w:val="14"/>
                <w:color w:val="auto"/>
                <w:w w:val="86"/>
              </w:rPr>
              <w:t>487,000</w:t>
            </w:r>
          </w:p>
        </w:tc>
        <w:tc>
          <w:tcPr>
            <w:tcW w:w="122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3"/>
              </w:rPr>
              <w:t>$20.47</w:t>
            </w:r>
          </w:p>
        </w:tc>
        <w:tc>
          <w:tcPr>
            <w:tcW w:w="106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5"/>
              </w:rPr>
              <w:t>96%</w:t>
            </w:r>
          </w:p>
        </w:tc>
        <w:tc>
          <w:tcPr>
            <w:tcW w:w="1840" w:type="dxa"/>
            <w:vAlign w:val="bottom"/>
            <w:gridSpan w:val="2"/>
            <w:shd w:val="clear" w:color="auto" w:fill="CCEEFF"/>
          </w:tcPr>
          <w:p>
            <w:pPr>
              <w:ind w:left="340"/>
              <w:spacing w:after="0" w:line="131"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5"/>
            <w:shd w:val="clear" w:color="auto" w:fill="CCEEFF"/>
          </w:tcPr>
          <w:p>
            <w:pPr>
              <w:ind w:left="120"/>
              <w:spacing w:after="0" w:line="149" w:lineRule="exact"/>
              <w:rPr>
                <w:sz w:val="20"/>
                <w:szCs w:val="20"/>
                <w:color w:val="auto"/>
              </w:rPr>
            </w:pPr>
            <w:r>
              <w:rPr>
                <w:rFonts w:ascii="Arial" w:cs="Arial" w:eastAsia="Arial" w:hAnsi="Arial"/>
                <w:sz w:val="14"/>
                <w:szCs w:val="14"/>
                <w:color w:val="auto"/>
              </w:rPr>
              <w:t>Charlottesville, VA 22905</w:t>
            </w: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Retail and Residential Properties—continued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Square Feet(1)</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 Rent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 Square</w:t>
            </w:r>
          </w:p>
        </w:tc>
        <w:tc>
          <w:tcPr>
            <w:tcW w:w="220" w:type="dxa"/>
            <w:vAlign w:val="bottom"/>
          </w:tcPr>
          <w:p>
            <w:pPr>
              <w:spacing w:after="0"/>
              <w:rPr>
                <w:sz w:val="12"/>
                <w:szCs w:val="12"/>
                <w:color w:val="auto"/>
              </w:rPr>
            </w:pP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w w:val="94"/>
              </w:rPr>
              <w:t>Property, City, State, Zip Code</w:t>
            </w:r>
          </w:p>
        </w:tc>
        <w:tc>
          <w:tcPr>
            <w:tcW w:w="26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Foot</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Leased(2)</w:t>
            </w:r>
          </w:p>
        </w:tc>
        <w:tc>
          <w:tcPr>
            <w:tcW w:w="2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Falls Plaza/Falls Plaza—East</w:t>
            </w:r>
          </w:p>
        </w:tc>
        <w:tc>
          <w:tcPr>
            <w:tcW w:w="264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1960-1962</w:t>
            </w: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1967-1972</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144,000</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$26.84</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100%</w:t>
            </w:r>
          </w:p>
        </w:tc>
        <w:tc>
          <w:tcPr>
            <w:tcW w:w="1920" w:type="dxa"/>
            <w:vAlign w:val="bottom"/>
            <w:gridSpan w:val="2"/>
            <w:shd w:val="clear" w:color="auto" w:fill="CCEEFF"/>
          </w:tcPr>
          <w:p>
            <w:pPr>
              <w:ind w:left="220"/>
              <w:spacing w:after="0" w:line="13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Falls Church, VA 22046</w:t>
            </w: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line="138" w:lineRule="exact"/>
              <w:rPr>
                <w:sz w:val="20"/>
                <w:szCs w:val="20"/>
                <w:color w:val="auto"/>
              </w:rPr>
            </w:pPr>
            <w:r>
              <w:rPr>
                <w:rFonts w:ascii="Arial" w:cs="Arial" w:eastAsia="Arial" w:hAnsi="Arial"/>
                <w:sz w:val="14"/>
                <w:szCs w:val="14"/>
                <w:color w:val="auto"/>
              </w:rPr>
              <w:t>Idylwood Plaza</w:t>
            </w:r>
          </w:p>
        </w:tc>
        <w:tc>
          <w:tcPr>
            <w:tcW w:w="3360" w:type="dxa"/>
            <w:vAlign w:val="bottom"/>
            <w:gridSpan w:val="2"/>
          </w:tcPr>
          <w:p>
            <w:pPr>
              <w:jc w:val="center"/>
              <w:ind w:left="2572"/>
              <w:spacing w:after="0" w:line="138" w:lineRule="exact"/>
              <w:rPr>
                <w:sz w:val="20"/>
                <w:szCs w:val="20"/>
                <w:color w:val="auto"/>
              </w:rPr>
            </w:pPr>
            <w:r>
              <w:rPr>
                <w:rFonts w:ascii="Arial" w:cs="Arial" w:eastAsia="Arial" w:hAnsi="Arial"/>
                <w:sz w:val="14"/>
                <w:szCs w:val="14"/>
                <w:color w:val="auto"/>
                <w:w w:val="89"/>
              </w:rPr>
              <w:t>1991</w:t>
            </w:r>
          </w:p>
        </w:tc>
        <w:tc>
          <w:tcPr>
            <w:tcW w:w="9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1994</w:t>
            </w:r>
          </w:p>
        </w:tc>
        <w:tc>
          <w:tcPr>
            <w:tcW w:w="120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3"/>
              </w:rPr>
              <w:t>73,000</w:t>
            </w:r>
          </w:p>
        </w:tc>
        <w:tc>
          <w:tcPr>
            <w:tcW w:w="11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$42.83</w:t>
            </w:r>
          </w:p>
        </w:tc>
        <w:tc>
          <w:tcPr>
            <w:tcW w:w="9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89%</w:t>
            </w:r>
          </w:p>
        </w:tc>
        <w:tc>
          <w:tcPr>
            <w:tcW w:w="19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Falls Church, VA 22030</w:t>
            </w:r>
          </w:p>
        </w:tc>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Leesburg Plaza</w:t>
            </w:r>
          </w:p>
        </w:tc>
        <w:tc>
          <w:tcPr>
            <w:tcW w:w="3360" w:type="dxa"/>
            <w:vAlign w:val="bottom"/>
            <w:gridSpan w:val="2"/>
            <w:shd w:val="clear" w:color="auto" w:fill="CCEEFF"/>
          </w:tcPr>
          <w:p>
            <w:pPr>
              <w:jc w:val="center"/>
              <w:ind w:left="2572"/>
              <w:spacing w:after="0" w:line="139" w:lineRule="exact"/>
              <w:rPr>
                <w:sz w:val="20"/>
                <w:szCs w:val="20"/>
                <w:color w:val="auto"/>
              </w:rPr>
            </w:pPr>
            <w:r>
              <w:rPr>
                <w:rFonts w:ascii="Arial" w:cs="Arial" w:eastAsia="Arial" w:hAnsi="Arial"/>
                <w:sz w:val="14"/>
                <w:szCs w:val="14"/>
                <w:color w:val="auto"/>
                <w:w w:val="89"/>
              </w:rPr>
              <w:t>1967</w:t>
            </w:r>
          </w:p>
        </w:tc>
        <w:tc>
          <w:tcPr>
            <w:tcW w:w="9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1998</w:t>
            </w:r>
          </w:p>
        </w:tc>
        <w:tc>
          <w:tcPr>
            <w:tcW w:w="120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6"/>
              </w:rPr>
              <w:t>236,000</w:t>
            </w:r>
          </w:p>
        </w:tc>
        <w:tc>
          <w:tcPr>
            <w:tcW w:w="11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$22.35</w:t>
            </w:r>
          </w:p>
        </w:tc>
        <w:tc>
          <w:tcPr>
            <w:tcW w:w="9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98%</w:t>
            </w:r>
          </w:p>
        </w:tc>
        <w:tc>
          <w:tcPr>
            <w:tcW w:w="19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Leesburg, VA 20176(6)</w:t>
            </w: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Pier 1 Imports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line="138" w:lineRule="exact"/>
              <w:rPr>
                <w:sz w:val="20"/>
                <w:szCs w:val="20"/>
                <w:color w:val="auto"/>
              </w:rPr>
            </w:pPr>
            <w:r>
              <w:rPr>
                <w:rFonts w:ascii="Arial" w:cs="Arial" w:eastAsia="Arial" w:hAnsi="Arial"/>
                <w:sz w:val="14"/>
                <w:szCs w:val="14"/>
                <w:color w:val="auto"/>
              </w:rPr>
              <w:t>Loehmann’s Plaza</w:t>
            </w:r>
          </w:p>
        </w:tc>
        <w:tc>
          <w:tcPr>
            <w:tcW w:w="3360" w:type="dxa"/>
            <w:vAlign w:val="bottom"/>
            <w:gridSpan w:val="2"/>
          </w:tcPr>
          <w:p>
            <w:pPr>
              <w:jc w:val="center"/>
              <w:ind w:left="2572"/>
              <w:spacing w:after="0" w:line="138" w:lineRule="exact"/>
              <w:rPr>
                <w:sz w:val="20"/>
                <w:szCs w:val="20"/>
                <w:color w:val="auto"/>
              </w:rPr>
            </w:pPr>
            <w:r>
              <w:rPr>
                <w:rFonts w:ascii="Arial" w:cs="Arial" w:eastAsia="Arial" w:hAnsi="Arial"/>
                <w:sz w:val="14"/>
                <w:szCs w:val="14"/>
                <w:color w:val="auto"/>
                <w:w w:val="89"/>
              </w:rPr>
              <w:t>1971</w:t>
            </w:r>
          </w:p>
        </w:tc>
        <w:tc>
          <w:tcPr>
            <w:tcW w:w="9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1983</w:t>
            </w:r>
          </w:p>
        </w:tc>
        <w:tc>
          <w:tcPr>
            <w:tcW w:w="120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268,000</w:t>
            </w:r>
          </w:p>
        </w:tc>
        <w:tc>
          <w:tcPr>
            <w:tcW w:w="11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$25.33</w:t>
            </w:r>
          </w:p>
        </w:tc>
        <w:tc>
          <w:tcPr>
            <w:tcW w:w="9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96%</w:t>
            </w:r>
          </w:p>
        </w:tc>
        <w:tc>
          <w:tcPr>
            <w:tcW w:w="19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Bally Total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20"/>
              <w:spacing w:after="0" w:line="149" w:lineRule="exact"/>
              <w:rPr>
                <w:sz w:val="20"/>
                <w:szCs w:val="20"/>
                <w:color w:val="auto"/>
              </w:rPr>
            </w:pPr>
            <w:r>
              <w:rPr>
                <w:rFonts w:ascii="Arial" w:cs="Arial" w:eastAsia="Arial" w:hAnsi="Arial"/>
                <w:sz w:val="14"/>
                <w:szCs w:val="14"/>
                <w:color w:val="auto"/>
              </w:rPr>
              <w:t>Fairfax, VA 22042</w:t>
            </w:r>
          </w:p>
        </w:tc>
        <w:tc>
          <w:tcPr>
            <w:tcW w:w="2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Loehmann’s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color w:val="auto"/>
              </w:rPr>
              <w:t>Dress Shop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Mount Vernon/South Valley/</w:t>
            </w:r>
          </w:p>
        </w:tc>
        <w:tc>
          <w:tcPr>
            <w:tcW w:w="3360" w:type="dxa"/>
            <w:vAlign w:val="bottom"/>
            <w:gridSpan w:val="2"/>
            <w:shd w:val="clear" w:color="auto" w:fill="CCEEFF"/>
          </w:tcPr>
          <w:p>
            <w:pPr>
              <w:jc w:val="center"/>
              <w:ind w:left="2592"/>
              <w:spacing w:after="0" w:line="139" w:lineRule="exact"/>
              <w:rPr>
                <w:sz w:val="20"/>
                <w:szCs w:val="20"/>
                <w:color w:val="auto"/>
              </w:rPr>
            </w:pPr>
            <w:r>
              <w:rPr>
                <w:rFonts w:ascii="Arial" w:cs="Arial" w:eastAsia="Arial" w:hAnsi="Arial"/>
                <w:sz w:val="14"/>
                <w:szCs w:val="14"/>
                <w:color w:val="auto"/>
                <w:w w:val="86"/>
              </w:rPr>
              <w:t>1966-1974</w:t>
            </w:r>
          </w:p>
        </w:tc>
        <w:tc>
          <w:tcPr>
            <w:tcW w:w="9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2003-2006</w:t>
            </w:r>
          </w:p>
        </w:tc>
        <w:tc>
          <w:tcPr>
            <w:tcW w:w="120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6"/>
              </w:rPr>
              <w:t>565,000</w:t>
            </w:r>
          </w:p>
        </w:tc>
        <w:tc>
          <w:tcPr>
            <w:tcW w:w="11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$15.25</w:t>
            </w:r>
          </w:p>
        </w:tc>
        <w:tc>
          <w:tcPr>
            <w:tcW w:w="9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95%</w:t>
            </w:r>
          </w:p>
        </w:tc>
        <w:tc>
          <w:tcPr>
            <w:tcW w:w="19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Shoppers Food Warehouse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7770 Richmond Hwy</w:t>
            </w: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Alexandria, VA 22306(3)(6)</w:t>
            </w: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line="138" w:lineRule="exact"/>
              <w:rPr>
                <w:sz w:val="20"/>
                <w:szCs w:val="20"/>
                <w:color w:val="auto"/>
              </w:rPr>
            </w:pPr>
            <w:r>
              <w:rPr>
                <w:rFonts w:ascii="Arial" w:cs="Arial" w:eastAsia="Arial" w:hAnsi="Arial"/>
                <w:sz w:val="14"/>
                <w:szCs w:val="14"/>
                <w:color w:val="auto"/>
              </w:rPr>
              <w:t>Old Keene Mill</w:t>
            </w:r>
          </w:p>
        </w:tc>
        <w:tc>
          <w:tcPr>
            <w:tcW w:w="3360" w:type="dxa"/>
            <w:vAlign w:val="bottom"/>
            <w:gridSpan w:val="2"/>
          </w:tcPr>
          <w:p>
            <w:pPr>
              <w:jc w:val="center"/>
              <w:ind w:left="2572"/>
              <w:spacing w:after="0" w:line="138" w:lineRule="exact"/>
              <w:rPr>
                <w:sz w:val="20"/>
                <w:szCs w:val="20"/>
                <w:color w:val="auto"/>
              </w:rPr>
            </w:pPr>
            <w:r>
              <w:rPr>
                <w:rFonts w:ascii="Arial" w:cs="Arial" w:eastAsia="Arial" w:hAnsi="Arial"/>
                <w:sz w:val="14"/>
                <w:szCs w:val="14"/>
                <w:color w:val="auto"/>
                <w:w w:val="89"/>
              </w:rPr>
              <w:t>1968</w:t>
            </w:r>
          </w:p>
        </w:tc>
        <w:tc>
          <w:tcPr>
            <w:tcW w:w="9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1976</w:t>
            </w:r>
          </w:p>
        </w:tc>
        <w:tc>
          <w:tcPr>
            <w:tcW w:w="120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3"/>
              </w:rPr>
              <w:t>92,000</w:t>
            </w:r>
          </w:p>
        </w:tc>
        <w:tc>
          <w:tcPr>
            <w:tcW w:w="11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$31.08</w:t>
            </w:r>
          </w:p>
        </w:tc>
        <w:tc>
          <w:tcPr>
            <w:tcW w:w="9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95%</w:t>
            </w:r>
          </w:p>
        </w:tc>
        <w:tc>
          <w:tcPr>
            <w:tcW w:w="19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Springfield, VA 22152</w:t>
            </w:r>
          </w:p>
        </w:tc>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Pan Am</w:t>
            </w:r>
          </w:p>
        </w:tc>
        <w:tc>
          <w:tcPr>
            <w:tcW w:w="3360" w:type="dxa"/>
            <w:vAlign w:val="bottom"/>
            <w:gridSpan w:val="2"/>
            <w:shd w:val="clear" w:color="auto" w:fill="CCEEFF"/>
          </w:tcPr>
          <w:p>
            <w:pPr>
              <w:jc w:val="center"/>
              <w:ind w:left="2572"/>
              <w:spacing w:after="0" w:line="139" w:lineRule="exact"/>
              <w:rPr>
                <w:sz w:val="20"/>
                <w:szCs w:val="20"/>
                <w:color w:val="auto"/>
              </w:rPr>
            </w:pPr>
            <w:r>
              <w:rPr>
                <w:rFonts w:ascii="Arial" w:cs="Arial" w:eastAsia="Arial" w:hAnsi="Arial"/>
                <w:sz w:val="14"/>
                <w:szCs w:val="14"/>
                <w:color w:val="auto"/>
                <w:w w:val="89"/>
              </w:rPr>
              <w:t>1979</w:t>
            </w:r>
          </w:p>
        </w:tc>
        <w:tc>
          <w:tcPr>
            <w:tcW w:w="9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1993</w:t>
            </w:r>
          </w:p>
        </w:tc>
        <w:tc>
          <w:tcPr>
            <w:tcW w:w="120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6"/>
              </w:rPr>
              <w:t>227,000</w:t>
            </w:r>
          </w:p>
        </w:tc>
        <w:tc>
          <w:tcPr>
            <w:tcW w:w="11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$18.13</w:t>
            </w:r>
          </w:p>
        </w:tc>
        <w:tc>
          <w:tcPr>
            <w:tcW w:w="9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100%</w:t>
            </w:r>
          </w:p>
        </w:tc>
        <w:tc>
          <w:tcPr>
            <w:tcW w:w="19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Fairfax, VA 22031</w:t>
            </w: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line="138" w:lineRule="exact"/>
              <w:rPr>
                <w:sz w:val="20"/>
                <w:szCs w:val="20"/>
                <w:color w:val="auto"/>
              </w:rPr>
            </w:pPr>
            <w:r>
              <w:rPr>
                <w:rFonts w:ascii="Arial" w:cs="Arial" w:eastAsia="Arial" w:hAnsi="Arial"/>
                <w:sz w:val="14"/>
                <w:szCs w:val="14"/>
                <w:color w:val="auto"/>
              </w:rPr>
              <w:t>Pentagon Row</w:t>
            </w:r>
          </w:p>
        </w:tc>
        <w:tc>
          <w:tcPr>
            <w:tcW w:w="3360" w:type="dxa"/>
            <w:vAlign w:val="bottom"/>
            <w:gridSpan w:val="2"/>
          </w:tcPr>
          <w:p>
            <w:pPr>
              <w:jc w:val="center"/>
              <w:ind w:left="2592"/>
              <w:spacing w:after="0" w:line="138" w:lineRule="exact"/>
              <w:rPr>
                <w:sz w:val="20"/>
                <w:szCs w:val="20"/>
                <w:color w:val="auto"/>
              </w:rPr>
            </w:pPr>
            <w:r>
              <w:rPr>
                <w:rFonts w:ascii="Arial" w:cs="Arial" w:eastAsia="Arial" w:hAnsi="Arial"/>
                <w:sz w:val="14"/>
                <w:szCs w:val="14"/>
                <w:color w:val="auto"/>
                <w:w w:val="86"/>
              </w:rPr>
              <w:t>2001-2002</w:t>
            </w:r>
          </w:p>
        </w:tc>
        <w:tc>
          <w:tcPr>
            <w:tcW w:w="9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1998</w:t>
            </w:r>
          </w:p>
        </w:tc>
        <w:tc>
          <w:tcPr>
            <w:tcW w:w="120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296,000</w:t>
            </w:r>
          </w:p>
        </w:tc>
        <w:tc>
          <w:tcPr>
            <w:tcW w:w="11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$33.80</w:t>
            </w:r>
          </w:p>
        </w:tc>
        <w:tc>
          <w:tcPr>
            <w:tcW w:w="9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99%</w:t>
            </w:r>
          </w:p>
        </w:tc>
        <w:tc>
          <w:tcPr>
            <w:tcW w:w="19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20"/>
              <w:spacing w:after="0" w:line="149" w:lineRule="exact"/>
              <w:rPr>
                <w:sz w:val="20"/>
                <w:szCs w:val="20"/>
                <w:color w:val="auto"/>
              </w:rPr>
            </w:pPr>
            <w:r>
              <w:rPr>
                <w:rFonts w:ascii="Arial" w:cs="Arial" w:eastAsia="Arial" w:hAnsi="Arial"/>
                <w:sz w:val="14"/>
                <w:szCs w:val="14"/>
                <w:color w:val="auto"/>
              </w:rPr>
              <w:t>Arlington, VA 22202(3)</w:t>
            </w:r>
          </w:p>
        </w:tc>
        <w:tc>
          <w:tcPr>
            <w:tcW w:w="2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Bally Total Fitness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Pike 7 Plaza</w:t>
            </w:r>
          </w:p>
        </w:tc>
        <w:tc>
          <w:tcPr>
            <w:tcW w:w="3360" w:type="dxa"/>
            <w:vAlign w:val="bottom"/>
            <w:gridSpan w:val="2"/>
            <w:shd w:val="clear" w:color="auto" w:fill="CCEEFF"/>
          </w:tcPr>
          <w:p>
            <w:pPr>
              <w:jc w:val="center"/>
              <w:ind w:left="2572"/>
              <w:spacing w:after="0" w:line="139" w:lineRule="exact"/>
              <w:rPr>
                <w:sz w:val="20"/>
                <w:szCs w:val="20"/>
                <w:color w:val="auto"/>
              </w:rPr>
            </w:pPr>
            <w:r>
              <w:rPr>
                <w:rFonts w:ascii="Arial" w:cs="Arial" w:eastAsia="Arial" w:hAnsi="Arial"/>
                <w:sz w:val="14"/>
                <w:szCs w:val="14"/>
                <w:color w:val="auto"/>
                <w:w w:val="89"/>
              </w:rPr>
              <w:t>1968</w:t>
            </w:r>
          </w:p>
        </w:tc>
        <w:tc>
          <w:tcPr>
            <w:tcW w:w="9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1997</w:t>
            </w:r>
          </w:p>
        </w:tc>
        <w:tc>
          <w:tcPr>
            <w:tcW w:w="120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6"/>
              </w:rPr>
              <w:t>164,000</w:t>
            </w:r>
          </w:p>
        </w:tc>
        <w:tc>
          <w:tcPr>
            <w:tcW w:w="11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$33.08</w:t>
            </w:r>
          </w:p>
        </w:tc>
        <w:tc>
          <w:tcPr>
            <w:tcW w:w="9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100%</w:t>
            </w:r>
          </w:p>
        </w:tc>
        <w:tc>
          <w:tcPr>
            <w:tcW w:w="19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Vienna, VA 22180(6)</w:t>
            </w: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line="138" w:lineRule="exact"/>
              <w:rPr>
                <w:sz w:val="20"/>
                <w:szCs w:val="20"/>
                <w:color w:val="auto"/>
              </w:rPr>
            </w:pPr>
            <w:r>
              <w:rPr>
                <w:rFonts w:ascii="Arial" w:cs="Arial" w:eastAsia="Arial" w:hAnsi="Arial"/>
                <w:sz w:val="14"/>
                <w:szCs w:val="14"/>
                <w:color w:val="auto"/>
              </w:rPr>
              <w:t>Shoppers’ World</w:t>
            </w:r>
          </w:p>
        </w:tc>
        <w:tc>
          <w:tcPr>
            <w:tcW w:w="3360" w:type="dxa"/>
            <w:vAlign w:val="bottom"/>
            <w:gridSpan w:val="2"/>
          </w:tcPr>
          <w:p>
            <w:pPr>
              <w:jc w:val="center"/>
              <w:ind w:left="2592"/>
              <w:spacing w:after="0" w:line="138" w:lineRule="exact"/>
              <w:rPr>
                <w:sz w:val="20"/>
                <w:szCs w:val="20"/>
                <w:color w:val="auto"/>
              </w:rPr>
            </w:pPr>
            <w:r>
              <w:rPr>
                <w:rFonts w:ascii="Arial" w:cs="Arial" w:eastAsia="Arial" w:hAnsi="Arial"/>
                <w:sz w:val="14"/>
                <w:szCs w:val="14"/>
                <w:color w:val="auto"/>
                <w:w w:val="86"/>
              </w:rPr>
              <w:t>1975-2001</w:t>
            </w:r>
          </w:p>
        </w:tc>
        <w:tc>
          <w:tcPr>
            <w:tcW w:w="9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2007</w:t>
            </w:r>
          </w:p>
        </w:tc>
        <w:tc>
          <w:tcPr>
            <w:tcW w:w="120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169,000</w:t>
            </w:r>
          </w:p>
        </w:tc>
        <w:tc>
          <w:tcPr>
            <w:tcW w:w="11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$11.64</w:t>
            </w:r>
          </w:p>
        </w:tc>
        <w:tc>
          <w:tcPr>
            <w:tcW w:w="9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95%</w:t>
            </w:r>
          </w:p>
        </w:tc>
        <w:tc>
          <w:tcPr>
            <w:tcW w:w="19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Charlottesville, VA 22091</w:t>
            </w:r>
          </w:p>
        </w:tc>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Shops at Willow Lawn</w:t>
            </w:r>
          </w:p>
        </w:tc>
        <w:tc>
          <w:tcPr>
            <w:tcW w:w="3360" w:type="dxa"/>
            <w:vAlign w:val="bottom"/>
            <w:gridSpan w:val="2"/>
            <w:shd w:val="clear" w:color="auto" w:fill="CCEEFF"/>
          </w:tcPr>
          <w:p>
            <w:pPr>
              <w:jc w:val="center"/>
              <w:ind w:left="2572"/>
              <w:spacing w:after="0" w:line="139" w:lineRule="exact"/>
              <w:rPr>
                <w:sz w:val="20"/>
                <w:szCs w:val="20"/>
                <w:color w:val="auto"/>
              </w:rPr>
            </w:pPr>
            <w:r>
              <w:rPr>
                <w:rFonts w:ascii="Arial" w:cs="Arial" w:eastAsia="Arial" w:hAnsi="Arial"/>
                <w:sz w:val="14"/>
                <w:szCs w:val="14"/>
                <w:color w:val="auto"/>
                <w:w w:val="89"/>
              </w:rPr>
              <w:t>1957</w:t>
            </w:r>
          </w:p>
        </w:tc>
        <w:tc>
          <w:tcPr>
            <w:tcW w:w="9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1983</w:t>
            </w:r>
          </w:p>
        </w:tc>
        <w:tc>
          <w:tcPr>
            <w:tcW w:w="120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6"/>
              </w:rPr>
              <w:t>476,000</w:t>
            </w:r>
          </w:p>
        </w:tc>
        <w:tc>
          <w:tcPr>
            <w:tcW w:w="11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$16.07</w:t>
            </w:r>
          </w:p>
        </w:tc>
        <w:tc>
          <w:tcPr>
            <w:tcW w:w="9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87%</w:t>
            </w:r>
          </w:p>
        </w:tc>
        <w:tc>
          <w:tcPr>
            <w:tcW w:w="19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Richmond, VA 23230</w:t>
            </w: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Ross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line="138" w:lineRule="exact"/>
              <w:rPr>
                <w:sz w:val="20"/>
                <w:szCs w:val="20"/>
                <w:color w:val="auto"/>
              </w:rPr>
            </w:pPr>
            <w:r>
              <w:rPr>
                <w:rFonts w:ascii="Arial" w:cs="Arial" w:eastAsia="Arial" w:hAnsi="Arial"/>
                <w:sz w:val="14"/>
                <w:szCs w:val="14"/>
                <w:color w:val="auto"/>
              </w:rPr>
              <w:t>Tower Shopping Center</w:t>
            </w:r>
          </w:p>
        </w:tc>
        <w:tc>
          <w:tcPr>
            <w:tcW w:w="3360" w:type="dxa"/>
            <w:vAlign w:val="bottom"/>
            <w:gridSpan w:val="2"/>
          </w:tcPr>
          <w:p>
            <w:pPr>
              <w:jc w:val="center"/>
              <w:ind w:left="2572"/>
              <w:spacing w:after="0" w:line="138" w:lineRule="exact"/>
              <w:rPr>
                <w:sz w:val="20"/>
                <w:szCs w:val="20"/>
                <w:color w:val="auto"/>
              </w:rPr>
            </w:pPr>
            <w:r>
              <w:rPr>
                <w:rFonts w:ascii="Arial" w:cs="Arial" w:eastAsia="Arial" w:hAnsi="Arial"/>
                <w:sz w:val="14"/>
                <w:szCs w:val="14"/>
                <w:color w:val="auto"/>
                <w:w w:val="89"/>
              </w:rPr>
              <w:t>1960</w:t>
            </w:r>
          </w:p>
        </w:tc>
        <w:tc>
          <w:tcPr>
            <w:tcW w:w="9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1998</w:t>
            </w:r>
          </w:p>
        </w:tc>
        <w:tc>
          <w:tcPr>
            <w:tcW w:w="120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112,000</w:t>
            </w:r>
          </w:p>
        </w:tc>
        <w:tc>
          <w:tcPr>
            <w:tcW w:w="11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$23.96</w:t>
            </w:r>
          </w:p>
        </w:tc>
        <w:tc>
          <w:tcPr>
            <w:tcW w:w="9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91%</w:t>
            </w:r>
          </w:p>
        </w:tc>
        <w:tc>
          <w:tcPr>
            <w:tcW w:w="19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Springfield, VA 22150</w:t>
            </w:r>
          </w:p>
        </w:tc>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Tyson’s Station</w:t>
            </w:r>
          </w:p>
        </w:tc>
        <w:tc>
          <w:tcPr>
            <w:tcW w:w="3360" w:type="dxa"/>
            <w:vAlign w:val="bottom"/>
            <w:gridSpan w:val="2"/>
            <w:shd w:val="clear" w:color="auto" w:fill="CCEEFF"/>
          </w:tcPr>
          <w:p>
            <w:pPr>
              <w:jc w:val="center"/>
              <w:ind w:left="2572"/>
              <w:spacing w:after="0" w:line="139" w:lineRule="exact"/>
              <w:rPr>
                <w:sz w:val="20"/>
                <w:szCs w:val="20"/>
                <w:color w:val="auto"/>
              </w:rPr>
            </w:pPr>
            <w:r>
              <w:rPr>
                <w:rFonts w:ascii="Arial" w:cs="Arial" w:eastAsia="Arial" w:hAnsi="Arial"/>
                <w:sz w:val="14"/>
                <w:szCs w:val="14"/>
                <w:color w:val="auto"/>
                <w:w w:val="89"/>
              </w:rPr>
              <w:t>1954</w:t>
            </w:r>
          </w:p>
        </w:tc>
        <w:tc>
          <w:tcPr>
            <w:tcW w:w="9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1978</w:t>
            </w:r>
          </w:p>
        </w:tc>
        <w:tc>
          <w:tcPr>
            <w:tcW w:w="120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3"/>
              </w:rPr>
              <w:t>49,000</w:t>
            </w:r>
          </w:p>
        </w:tc>
        <w:tc>
          <w:tcPr>
            <w:tcW w:w="11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$38.84</w:t>
            </w:r>
          </w:p>
        </w:tc>
        <w:tc>
          <w:tcPr>
            <w:tcW w:w="9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100%</w:t>
            </w:r>
          </w:p>
        </w:tc>
        <w:tc>
          <w:tcPr>
            <w:tcW w:w="19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Falls Church, VA 22043</w:t>
            </w:r>
          </w:p>
        </w:tc>
        <w:tc>
          <w:tcPr>
            <w:tcW w:w="2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line="138" w:lineRule="exact"/>
              <w:rPr>
                <w:sz w:val="20"/>
                <w:szCs w:val="20"/>
                <w:color w:val="auto"/>
              </w:rPr>
            </w:pPr>
            <w:r>
              <w:rPr>
                <w:rFonts w:ascii="Arial" w:cs="Arial" w:eastAsia="Arial" w:hAnsi="Arial"/>
                <w:sz w:val="14"/>
                <w:szCs w:val="14"/>
                <w:color w:val="auto"/>
              </w:rPr>
              <w:t>Village at Shirlington</w:t>
            </w:r>
          </w:p>
        </w:tc>
        <w:tc>
          <w:tcPr>
            <w:tcW w:w="3360" w:type="dxa"/>
            <w:vAlign w:val="bottom"/>
            <w:gridSpan w:val="2"/>
          </w:tcPr>
          <w:p>
            <w:pPr>
              <w:jc w:val="center"/>
              <w:ind w:left="2572"/>
              <w:spacing w:after="0" w:line="138" w:lineRule="exact"/>
              <w:rPr>
                <w:sz w:val="20"/>
                <w:szCs w:val="20"/>
                <w:color w:val="auto"/>
              </w:rPr>
            </w:pPr>
            <w:r>
              <w:rPr>
                <w:rFonts w:ascii="Arial" w:cs="Arial" w:eastAsia="Arial" w:hAnsi="Arial"/>
                <w:sz w:val="14"/>
                <w:szCs w:val="14"/>
                <w:color w:val="auto"/>
                <w:w w:val="89"/>
              </w:rPr>
              <w:t>1940</w:t>
            </w:r>
          </w:p>
        </w:tc>
        <w:tc>
          <w:tcPr>
            <w:tcW w:w="9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1995</w:t>
            </w:r>
          </w:p>
        </w:tc>
        <w:tc>
          <w:tcPr>
            <w:tcW w:w="120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6"/>
              </w:rPr>
              <w:t>254,000</w:t>
            </w:r>
          </w:p>
        </w:tc>
        <w:tc>
          <w:tcPr>
            <w:tcW w:w="11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$31.88</w:t>
            </w:r>
          </w:p>
        </w:tc>
        <w:tc>
          <w:tcPr>
            <w:tcW w:w="9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97%</w:t>
            </w:r>
          </w:p>
        </w:tc>
        <w:tc>
          <w:tcPr>
            <w:tcW w:w="19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20"/>
              <w:spacing w:after="0" w:line="149" w:lineRule="exact"/>
              <w:rPr>
                <w:sz w:val="20"/>
                <w:szCs w:val="20"/>
                <w:color w:val="auto"/>
              </w:rPr>
            </w:pPr>
            <w:r>
              <w:rPr>
                <w:rFonts w:ascii="Arial" w:cs="Arial" w:eastAsia="Arial" w:hAnsi="Arial"/>
                <w:sz w:val="14"/>
                <w:szCs w:val="14"/>
                <w:color w:val="auto"/>
              </w:rPr>
              <w:t>Arlington, VA 22206(7)</w:t>
            </w:r>
          </w:p>
        </w:tc>
        <w:tc>
          <w:tcPr>
            <w:tcW w:w="2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Carlyle Grand Café</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All Regions—Retail</w:t>
            </w:r>
          </w:p>
        </w:tc>
        <w:tc>
          <w:tcPr>
            <w:tcW w:w="2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18,169,000</w:t>
            </w:r>
          </w:p>
        </w:tc>
        <w:tc>
          <w:tcPr>
            <w:tcW w:w="112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$22.14</w:t>
            </w:r>
          </w:p>
        </w:tc>
        <w:tc>
          <w:tcPr>
            <w:tcW w:w="98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b w:val="1"/>
                <w:bCs w:val="1"/>
                <w:color w:val="auto"/>
                <w:w w:val="99"/>
              </w:rPr>
              <w:t>95%</w:t>
            </w: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Total All Regions—Residential</w:t>
            </w:r>
          </w:p>
        </w:tc>
        <w:tc>
          <w:tcPr>
            <w:tcW w:w="2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903 units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99"/>
              </w:rPr>
              <w:t>95%</w:t>
            </w: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20" w:hanging="332"/>
        <w:spacing w:after="0" w:line="230"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physical square footage of the commercial portion of the property, which may differ from the gross leasable square footage used to express percentage leased. Some of our properties include office space which is included in this square footage but is not material in total.</w:t>
      </w:r>
    </w:p>
    <w:p>
      <w:pPr>
        <w:ind w:left="340" w:right="12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Retail percentage leased is expressed as a percentage of rentable commercial square feet occupied or subject to a lease under which rent is currently payable and includes square feet covered by leases for stores not yet opened. Residential percentage leased is expressed as a percentage of units occupied or subject to a lease.</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own the controlling interest in this center.</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own a 90% general and limited partnership interests in these buildings.</w:t>
      </w:r>
    </w:p>
    <w:p>
      <w:pPr>
        <w:ind w:left="340" w:hanging="332"/>
        <w:spacing w:after="0"/>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We own this property in a “downREIT” partnership, of which a wholly owned subsidiary of the Trust is the sole general partner, with third party partners holding operating partnership units.</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or a portion of this property is subject to a capital lease obligation.</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own a 64.1% membership interest in this property.</w:t>
      </w:r>
    </w:p>
    <w:p>
      <w:pPr>
        <w:ind w:left="340" w:right="16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50% of the ownership of this property is in a “downREIT” partnership, of which a wholly owned subsidiary of the Trust is the sole general partner, with third party partners holding operating partnership units.</w:t>
      </w:r>
    </w:p>
    <w:p>
      <w:pPr>
        <w:ind w:left="340" w:right="340" w:hanging="332"/>
        <w:spacing w:after="0" w:line="227"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Trust controls Melville Mall through a 20 year master lease and secondary financing to the owner. The master lease includes a purchase option in 2021 for $5.0 million plus the assumption of the owner’s $25.8 million first mortgage. Because the Trust controls this property and retains substantially all of the economic benefit and risk associated with it, we consolidate this property and its operations.</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May 2003, a breach of contract action was filed against us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issued a tentative ruling in April 2009 awarding damages to the plaintiff of approximately $14.4 million plus interest.</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Based on this tentative ruling, we estimated interest could range from $2.1 million to $8.4 million. Accordingly, considering all the information available to us on May 6, 2009, when we filed our Form 10-Q for the three months ended March 31, 2009, our best estimate of damages, interest, and other costs was $21.4 million. Accordingly, we increased our accrual for the matter from $0.8 million at December 31, 2008, to $21.4 million at March 31, 2009. In June 2009, the court issued a final judgment awarding damages of $15.9 million (including interest) plus costs of suit. In July 2009, we and the plaintiff both filed a notice of appeal. The plaintiff also filed reimbursement motions for $2.1 million of legal fees, expert fees, and court costs of which $1.9 million was subsequently denied. In December 2009, the plaintiff filed an “appellee’s principal and response brief” providing additional information regarding the issues the plaintiff is appealing. The plaintiff’s appeal included only the denial of expert fees which totals approximately $0.4 million. Given the additional information regarding the appeal, we lowered our accrual to $16.4 million, which reflects our best estimate of the litigation liability. The net increase in our accrual of $15.6 million is included in “litigation provision” in our consolidated statement of operations, and the $16.4 million accrual is included in the “accounts payable and accrued expenses” line item in our consolidated balance sheet as of December 31, 2009. During 2009, we incurred additional legal and other costs related to this lawsuit and appeal process which are also included in the “litigation provision” line item in the consolidated statement of operations.</w:t>
      </w:r>
    </w:p>
    <w:p>
      <w:pPr>
        <w:spacing w:after="0" w:line="12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expect oral arguments on the appeal to be scheduled for later in 2010. All judgments will be stayed until completion of the appeals.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shareholders during the fourth quarter of the fiscal year ended December 31,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2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OUR COMMON EQUITY AND RELATED SHAREHOLDER MATTERS AND ISSUER PURCHASES OF EQUITY SECURITIES</w:t>
      </w:r>
    </w:p>
    <w:p>
      <w:pPr>
        <w:spacing w:after="0" w:line="4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6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Price Per Share</w:t>
            </w:r>
          </w:p>
        </w:tc>
        <w:tc>
          <w:tcPr>
            <w:tcW w:w="2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80"/>
        </w:trPr>
        <w:tc>
          <w:tcPr>
            <w:tcW w:w="89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48"/>
        </w:trPr>
        <w:tc>
          <w:tcPr>
            <w:tcW w:w="89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89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High</w:t>
            </w:r>
          </w:p>
        </w:tc>
        <w:tc>
          <w:tcPr>
            <w:tcW w:w="2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Low</w:t>
            </w:r>
          </w:p>
        </w:tc>
        <w:tc>
          <w:tcPr>
            <w:tcW w:w="2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$70.49</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$57.49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0.660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$66.03</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$48.24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0.660</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$59.28</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$45.51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0.650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$60.31</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$38.82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0.650</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$84.96</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$43.46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0.650</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$95.00</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$61.87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0.650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$85.00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$68.25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0.610</w:t>
            </w:r>
          </w:p>
        </w:tc>
        <w:tc>
          <w:tcPr>
            <w:tcW w:w="0" w:type="dxa"/>
            <w:vAlign w:val="bottom"/>
          </w:tcPr>
          <w:p>
            <w:pPr>
              <w:spacing w:after="0"/>
              <w:rPr>
                <w:sz w:val="1"/>
                <w:szCs w:val="1"/>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$83.41</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$61.60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0.610</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February 12, 2010, there were 3,925 holders of record of our common shares.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42 consecutive years.</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total annual dividends paid per common share for 2009 and 2008 were $2.61 per share and $2.48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2010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5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9020" w:type="dxa"/>
            <w:vAlign w:val="bottom"/>
          </w:tcPr>
          <w:p>
            <w:pPr>
              <w:spacing w:after="0"/>
              <w:rPr>
                <w:sz w:val="14"/>
                <w:szCs w:val="14"/>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Ordinary dividend</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$ 2.377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Ordinary dividend eligible for 15% tax rate</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0.024</w:t>
            </w:r>
          </w:p>
        </w:tc>
        <w:tc>
          <w:tcPr>
            <w:tcW w:w="540" w:type="dxa"/>
            <w:vAlign w:val="bottom"/>
          </w:tcPr>
          <w:p>
            <w:pPr>
              <w:jc w:val="right"/>
              <w:spacing w:after="0"/>
              <w:rPr>
                <w:sz w:val="20"/>
                <w:szCs w:val="20"/>
                <w:color w:val="auto"/>
              </w:rPr>
            </w:pPr>
            <w:r>
              <w:rPr>
                <w:rFonts w:ascii="Arial" w:cs="Arial" w:eastAsia="Arial" w:hAnsi="Arial"/>
                <w:sz w:val="18"/>
                <w:szCs w:val="18"/>
                <w:color w:val="auto"/>
              </w:rPr>
              <w:t>0.025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0.183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Capital gain</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0.026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$ 2.610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Distributions on our 5.417% Series 1 Cumulative Convertible Preferred Shares were paid at the rate of $1.354 per share per annum commencing on the issuance date of March 8, 2007. We do not believe that the preferential rights available to the holders of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2009, there were no operating partnership unit redemptions. All other equity securities sold by us during 2009 that were not registered have been previously reported in a Quarterly Report on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equity securities were purchased by us during 2009. However, 1,495 restricted common shares were forfeited by former employees.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December 31, 2005 through 2008 have been reclassified to conform to the 2009 presentation.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4"/>
                <w:szCs w:val="14"/>
                <w:b w:val="1"/>
                <w:bCs w:val="1"/>
                <w:color w:val="auto"/>
                <w:w w:val="87"/>
              </w:rPr>
              <w:t>For the 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80"/>
              </w:rPr>
              <w:t>data</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5"/>
              </w:rPr>
              <w:t>(In thousands,</w:t>
            </w:r>
          </w:p>
        </w:tc>
        <w:tc>
          <w:tcPr>
            <w:tcW w:w="104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w w:val="77"/>
              </w:rPr>
              <w:t>except per share</w:t>
            </w:r>
          </w:p>
        </w:tc>
        <w:tc>
          <w:tcPr>
            <w:tcW w:w="320" w:type="dxa"/>
            <w:vAlign w:val="bottom"/>
            <w:gridSpan w:val="2"/>
            <w:vMerge w:val="continue"/>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and ratios)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Rental income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513,220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501,627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w w:val="95"/>
              </w:rPr>
              <w:t>465,394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414,261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375,655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364,040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354,989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w w:val="95"/>
              </w:rPr>
              <w:t>336,642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301,513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273,398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102,356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120,600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99,379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94,305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94,768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103,872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135,153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w w:val="95"/>
              </w:rPr>
              <w:t>201,127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123,065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129,787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w w:val="95"/>
              </w:rPr>
              <w:t>195,537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118,712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97,763</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129,246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w w:val="95"/>
              </w:rPr>
              <w:t>195,095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103,514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256,765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228,285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w w:val="95"/>
              </w:rPr>
              <w:t>214,209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186,654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174,941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(127,341)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w w:val="88"/>
              </w:rPr>
              <w:t>(207,567)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8"/>
              <w:spacing w:after="0"/>
              <w:rPr>
                <w:sz w:val="20"/>
                <w:szCs w:val="20"/>
                <w:color w:val="auto"/>
              </w:rPr>
            </w:pPr>
            <w:r>
              <w:rPr>
                <w:rFonts w:ascii="Arial" w:cs="Arial" w:eastAsia="Arial" w:hAnsi="Arial"/>
                <w:sz w:val="18"/>
                <w:szCs w:val="18"/>
                <w:color w:val="auto"/>
                <w:w w:val="88"/>
              </w:rPr>
              <w:t>(151,439)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(317,429)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(56,186)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(23,574)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133,631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Dividends declared on common shares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157,638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148,444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w w:val="95"/>
              </w:rPr>
              <w:t>135,102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133,066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59,704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58,665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56,108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53,469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56,473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Earnings per common share, basic(2):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1.66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3.47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1.65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3.45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common share(3)</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40" w:type="dxa"/>
            <w:vAlign w:val="bottom"/>
            <w:gridSpan w:val="2"/>
            <w:vMerge w:val="continue"/>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2.37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Funds from operations available to common shareholders(2)(4)(5)(6)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211,065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228,397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w w:val="95"/>
              </w:rPr>
              <w:t>206,037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176,419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EBITDA(5)(7)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322,923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339,099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w w:val="95"/>
              </w:rPr>
              <w:t>417,560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316,783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Adjusted EBITDA(5)(7)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321,625</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326,527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w w:val="95"/>
              </w:rPr>
              <w:t>322,792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292,827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2"/>
              </w:rPr>
              <w:t>Ratio of EBITDA to combined fixed charges and preferred share dividends(5)(7)(8)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3.2x</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3.3x</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Ratio of Adjusted EBITDA to combined fixed charges and preferred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dividends(5)(7)(8)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2.7x</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3.1x</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2.5x</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2.4x</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2.4x</w:t>
            </w:r>
          </w:p>
        </w:tc>
        <w:tc>
          <w:tcPr>
            <w:tcW w:w="0" w:type="dxa"/>
            <w:vAlign w:val="bottom"/>
          </w:tcPr>
          <w:p>
            <w:pPr>
              <w:spacing w:after="0"/>
              <w:rPr>
                <w:sz w:val="1"/>
                <w:szCs w:val="1"/>
                <w:color w:val="auto"/>
              </w:rPr>
            </w:pPr>
          </w:p>
        </w:tc>
      </w:tr>
      <w:tr>
        <w:trPr>
          <w:trHeight w:val="365"/>
        </w:trPr>
        <w:tc>
          <w:tcPr>
            <w:tcW w:w="6140" w:type="dxa"/>
            <w:vAlign w:val="bottom"/>
            <w:gridSpan w:val="2"/>
          </w:tcPr>
          <w:p>
            <w:pPr>
              <w:jc w:val="right"/>
              <w:ind w:right="252"/>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2005</w:t>
            </w:r>
          </w:p>
        </w:tc>
      </w:tr>
      <w:tr>
        <w:trPr>
          <w:trHeight w:val="142"/>
        </w:trPr>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80" w:type="dxa"/>
            <w:vAlign w:val="bottom"/>
            <w:gridSpan w:val="10"/>
          </w:tcPr>
          <w:p>
            <w:pPr>
              <w:jc w:val="center"/>
              <w:ind w:right="34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Real estate, at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3,759,234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3,673,685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3,452,847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3,204,258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2,829,321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3,222,309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3,092,776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2,989,297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2,688,606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2,350,852</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Mortgages payable and capital lease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601,884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452,810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450,084</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460,398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419,713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261,745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336,391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210,820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109,024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316,755</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930,219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956,584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977,556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1,127,508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653,675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1,209,063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1,146,954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1,146,450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806,269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794,040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58,646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55,321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52"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 w:lineRule="exact"/>
        <w:rPr>
          <w:rFonts w:ascii="Arial" w:cs="Arial" w:eastAsia="Arial" w:hAnsi="Arial"/>
          <w:sz w:val="18"/>
          <w:szCs w:val="18"/>
          <w:color w:val="auto"/>
        </w:rPr>
      </w:pPr>
    </w:p>
    <w:p>
      <w:pPr>
        <w:ind w:left="460" w:right="80" w:hanging="452"/>
        <w:spacing w:after="0" w:line="300"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Effective January 1, 2009, we adopted a new accounting standard which requires us to calculate earnings per share (“EPS”) and funds from operations available for common shareholders (“FFO”) per share for all periods presented using the two-class method. EPS and FFO per share for prior periods have been restated to conform to the requirements of the new accounting standard which is further discussed in Note 16 to the consolidated financial statements.</w:t>
      </w:r>
    </w:p>
    <w:p>
      <w:pPr>
        <w:spacing w:after="0" w:line="1" w:lineRule="exact"/>
        <w:rPr>
          <w:rFonts w:ascii="Arial" w:cs="Arial" w:eastAsia="Arial" w:hAnsi="Arial"/>
          <w:sz w:val="15"/>
          <w:szCs w:val="15"/>
          <w:color w:val="auto"/>
        </w:rPr>
      </w:pPr>
    </w:p>
    <w:p>
      <w:pPr>
        <w:ind w:left="460" w:right="30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2006 and 2005 dividends declared per common share each include a special dividend of $0.20 resulting from the sales of condominiums at Santana Row.</w:t>
      </w:r>
    </w:p>
    <w:p>
      <w:pPr>
        <w:ind w:left="460" w:right="20" w:hanging="452"/>
        <w:spacing w:after="0" w:line="295"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FFO is a supplemental non-GAAP financial measure of real estate companies’ operating performances. The National Association of Real Estate Investment Trusts (“NAREIT”) defines FFO as follows: net income, computed in accordance with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w:t>
      </w:r>
    </w:p>
    <w:p>
      <w:pPr>
        <w:spacing w:after="0" w:line="34" w:lineRule="exact"/>
        <w:rPr>
          <w:rFonts w:ascii="Arial" w:cs="Arial" w:eastAsia="Arial" w:hAnsi="Arial"/>
          <w:sz w:val="16"/>
          <w:szCs w:val="16"/>
          <w:color w:val="auto"/>
        </w:rPr>
      </w:pPr>
    </w:p>
    <w:p>
      <w:pPr>
        <w:ind w:left="460" w:right="20"/>
        <w:spacing w:after="0" w:line="291" w:lineRule="auto"/>
        <w:rPr>
          <w:rFonts w:ascii="Arial" w:cs="Arial" w:eastAsia="Arial" w:hAnsi="Arial"/>
          <w:sz w:val="16"/>
          <w:szCs w:val="16"/>
          <w:color w:val="auto"/>
        </w:rPr>
      </w:pPr>
      <w:r>
        <w:rPr>
          <w:rFonts w:ascii="Arial" w:cs="Arial" w:eastAsia="Arial" w:hAnsi="Arial"/>
          <w:sz w:val="16"/>
          <w:szCs w:val="16"/>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12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$103,872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$135,153</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$201,127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$123,065</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$ 119,846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(5,568)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(5,366)</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(5,590)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(4,353)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(1,298)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(12,572)</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(94,768)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(23,956)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103,104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101,450</w:t>
            </w:r>
          </w:p>
        </w:tc>
        <w:tc>
          <w:tcPr>
            <w:tcW w:w="14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95,565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88,649</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8,473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7,390</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Depreciation of joint venture real estate assets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1,388</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1,241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768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211,319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206,048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191,563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Dividends on preferred shares</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(541)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(541)</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(442)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(10,423)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1,156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Preferred share redemption costs</w:t>
            </w:r>
          </w:p>
        </w:tc>
        <w:tc>
          <w:tcPr>
            <w:tcW w:w="1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(4,775)</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1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w w:val="99"/>
              </w:rPr>
              <w:t>Funds from operations available for common shareholders</w:t>
            </w:r>
          </w:p>
        </w:tc>
        <w:tc>
          <w:tcPr>
            <w:tcW w:w="1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$ 211,065</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228,397</w:t>
            </w:r>
          </w:p>
        </w:tc>
        <w:tc>
          <w:tcPr>
            <w:tcW w:w="140" w:type="dxa"/>
            <w:vAlign w:val="bottom"/>
          </w:tcPr>
          <w:p>
            <w:pPr>
              <w:spacing w:after="0"/>
              <w:rPr>
                <w:sz w:val="19"/>
                <w:szCs w:val="19"/>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206,037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176,419</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vMerge w:val="restart"/>
          </w:tcPr>
          <w:p>
            <w:pPr>
              <w:jc w:val="right"/>
              <w:ind w:right="392"/>
              <w:spacing w:after="0"/>
              <w:rPr>
                <w:sz w:val="20"/>
                <w:szCs w:val="20"/>
                <w:color w:val="auto"/>
              </w:rPr>
            </w:pPr>
            <w:r>
              <w:rPr>
                <w:rFonts w:ascii="Arial" w:cs="Arial" w:eastAsia="Arial" w:hAnsi="Arial"/>
                <w:sz w:val="18"/>
                <w:szCs w:val="18"/>
                <w:color w:val="auto"/>
              </w:rPr>
              <w:t>30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hanging="452"/>
        <w:spacing w:after="0" w:line="28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a charge of $16.4 million in 2009 for increasing the accrual for litigation regarding a parcel of land located adjacent to Santana Row as well as other costs related to the litigation and appeal process. The matter is further discussed in Note 8 to the consolidated financial statements.</w:t>
      </w:r>
    </w:p>
    <w:p>
      <w:pPr>
        <w:ind w:left="460" w:right="22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 charge of $1.6 million in 2008 related to the settlement of a litigation matter relating to a shopping center in New Jersey. The matter is further discussed in Note 8 to the consolidated financial statements.</w:t>
      </w:r>
    </w:p>
    <w:p>
      <w:pPr>
        <w:ind w:left="460" w:right="100" w:hanging="452"/>
        <w:spacing w:after="0" w:line="29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SEC has stated that EBITDA is a non-GAAP measure as calculated in the table below. Adjusted EBITDA is a non-GAAP measure that means net income or loss attributable to the Trust plus net interest expense, income taxes, depreciation and amortization,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net income attributable to the Trust to EBITDA and adjusted EBITDA for the periods presented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9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9"/>
              </w:rPr>
              <w:t>(In thousands)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98,304</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$129,787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$195,537</w:t>
            </w: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$ 118,712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$ 114,612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115,093</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111,068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105,966</w:t>
            </w:r>
          </w:p>
        </w:tc>
        <w:tc>
          <w:tcPr>
            <w:tcW w:w="340" w:type="dxa"/>
            <w:vAlign w:val="bottom"/>
          </w:tcPr>
          <w:p>
            <w:pPr>
              <w:spacing w:after="0"/>
              <w:rPr>
                <w:sz w:val="18"/>
                <w:szCs w:val="18"/>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97,879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91,503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108,781</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99,163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117,394</w:t>
            </w: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102,808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88,566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(1,894)</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(919)</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(1,337)</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(2,616)</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8"/>
                <w:szCs w:val="18"/>
                <w:color w:val="auto"/>
              </w:rPr>
              <w:t>EBITDA</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322,923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339,099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417,560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316,783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(1,298)</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(12,572)</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(94,768)</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(23,956)</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(30,748)</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321,625</w:t>
            </w:r>
          </w:p>
        </w:tc>
        <w:tc>
          <w:tcPr>
            <w:tcW w:w="32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326,527</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322,792</w:t>
            </w:r>
          </w:p>
        </w:tc>
        <w:tc>
          <w:tcPr>
            <w:tcW w:w="340" w:type="dxa"/>
            <w:vAlign w:val="bottom"/>
          </w:tcPr>
          <w:p>
            <w:pPr>
              <w:spacing w:after="0"/>
              <w:rPr>
                <w:sz w:val="19"/>
                <w:szCs w:val="19"/>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292,827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261,717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18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and expense and the portion of rent expense representing an interest factor. Preferred share dividends consist of dividends paid on preferred shares and preferred share redemption costs. Our Series B preferred shares were redeemed in full in November 2006.</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notes thereto appearing in “Item 8. Financial Statements and Supplementary Data”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an equity real estate investment trust specializing in the ownership, management and redevelopment of high quality retail and mixed-use properties located primarily in densely populated and affluent communities in strategic metropolitan markets in the Mid-Atlantic and Northeast regions of the United States, as well as in California. As of December 31, 2009, we owned or had a majority interest in community and neighborhood shopping centers and mixed-use properties which are operated as 84 predominantly retail real estate projects comprising approximately 18.2 million square feet. In total, the real estate projects were 94.5% leased and 93.2% occupied at December 31, 2009. A joint venture in which we own a 30% interest owned seven retail real estate projects totaling approximately 1.0 million square feet as of December 31, 2009. In total, the joint venture properties in which we own an interest were 85.0% leased and occupied at December 31, 2009. We have paid quarterly dividends to our shareholders continuously since our founding in 1962 and have increased our dividends per common share for 42 consecutive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0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significant accounting policies are more fully described in Note 1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14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make estimates of the collectability of our current accounts receivable and straight-line rents receivable which requires significant judgment by management. The collectability of receivables is affected by numerous different factors including current economic conditions, bankruptcies, and the ability of the tenant to perform under the terms of their lease agreement. While we make estimates of potentially uncollectible amounts and provide an allowance for them through bad debt expense, actual collectability could differ from those estimates which could affect our net income. With respect to the allowance for current uncollectible tenant receivables, we assess the collectability of outstanding receivables by evaluating such factors as nature and age of the receivable, past history and current financial condition of the specific tenant including our assessment of the tenant’s ability to meet its contractual lease obligations, and the status of any pending disputes or lease negotiations with the tenant. At December 31, 2009 and 2008, our allowance for doubtful accounts was $16.1 million and $11.8 million, respectively. Historically, we have recognized bad debt expense between 0.4% and 1.3% of rental income and it was 1.2% in 2009 reflecting economic changes and their impact to our tenants. A change in the estimate of collectability of a receivable would result in a change to our allowance for doubtful accounts and correspondingly bad debt expense and net income. For example, in the event our estimates were not accurate and we were required to increase our allowance by 1% of rental income, our bad debt expense would have increased and our net income would have decreased by $5.1 million.</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Due to the nature of the accounts receivable from straight-line rents, the collection period of these amounts typically extends beyond one year. Our experience relative to unbilled straight-line rents is that a portion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2009 and 2008, accounts receivable include approximately $41.8 million and $37.2 million, respectively, related to straight-line rents. Correspondingly, these estimates of collectability have a direct impact on our net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 necessary, to these estimates and, therefore, to our depreciation rates. These reviews take into account the historical retirement and replacement of our assets, the repairs required to maintain the condition of our assets, the cost of redevelopments that may extend the useful lives of our assets and general economic and real estate factors. A newly developed neighborhood shopping center building would typically have an economic useful life of 50 to 60 years, but since many of our assets are not newly developed buildings, estimating the useful lives of assets that are long-lived requires significant management judgment. Certain events could occur that would materially affect our estimates and assumptions related to depreciation.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charged to that asset in a fiscal period will be, which in turn will increase our net income. Similarly, having a shorter economic useful life would increase the depreciation for a fiscal period and decrease our net income.</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color w:val="auto"/>
        </w:rPr>
        <w:t>Land, buildings and real estate under development are recorded at cost. We compute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3 to 20 years. Certain external and internal costs directly related to the development, redevelopment and leasing of real estate, including applicable salaries and the related direct costs, are capitalized. The capitalized costs associated with developments and redevelopments are depreciated over the life of the improvement. 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0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Acquisitions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Upon acquisition of operating real estate properties, we estimate the fair value of acquired tangible assets (consisting of land, building and improvements), identified intangible assets and liabilities (consisting of above-market and below-market leases, in-place leases and tenant relationships), and assumed debt.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Impairment</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further discussed in Note 8 to the Consolidated Financial Statements, we are party to a litigation matter related to a parcel of land adjacent to our Santana Row property. During 2009, the judge awarded damages to the plaintiff including interest and costs of suit resulting in us increasing our litigation accrual to $16.4 million. We and the plaintiff are both appealing the ruling and expect oral arguments on the appeal to be scheduled for later in 2010. A change in the final ruling in our favor as part of the appeals process could result in a decrease to our litigation liability which would increase net income; however, an adverse change during the appeals process could result in an increase to the litigation accrual which would decrease our net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changes to our estimated warranty losses would result in an increase or decrease in net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and future increases in costs of claims, when making these determinations. If our liability costs differ from these accruals, it will increase or decrease our net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Accounting Standards Codification</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2009, the FASB issued new accounting requirements, which make the FASB Accounting Standards Codification (“Codification”) the single source of authoritative literature for U.S. accounting and reporting standards. The Codification is not meant to change existing GAAP but rather provide a single source for all literature. We adopted the standard during the quarter ended September 30, 2009, which required us to change certain disclosures in our financial statements to reflect Codification or “plain English” references rather than references to FASB Statements, Staff Positions or Emerging Issues Task Force Abstracts. The adoption of this requirement impacted certain disclosures in the financial statements but did not have an impact on our consolidated financial position, results of operations, or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2009, we adopted a new accounting standard that broadens and clarifies the definition of a business, which will result in significantly more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acquisitions being treated as business combinations rather than asset acquisitions. The new requirement is effective for business combinations for which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date is on or after January 1, 2009, and therefore, will only impact prospective acquisitions with no change to the accounting for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completed prior to or on December 31, 2008. The new standard requires us to expense all acquisition related transaction costs as incurred which could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broker fees, transfer taxes, legal, accounting, valuation, and other professional and consulting fees. For acquisitions prior to January 1, 2009, these costs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capitalized as part of the acquisition cost. While the adoption did not have a material impact on our financial statements for 2009, the impact to our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will vary significantly depending on the timing and number of acquisitions or potential acquisitions, size of the acquisitions,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location of the acquisitions. Based on acquisitions in the past several years, transaction costs for single asset acquisitions typically ranged from $0.1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with significantly higher transaction costs for an acquisition of a larger portfolio. The new standard includes several other changes to the accounting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business combinations including requiring contingent consideration to be measured at fair value at acquisition and subsequently remeasured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statement if accounted for as a liability as the fair value changes, any adjustments during the purchase price allocation period to be “pushed back”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date with prior periods being adjusted for any changes, and the business combination to be accounted for on the acquisition date or the date control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obtained. During 2008, we expensed all acquisition related costs for acquisitions which did not close prior to December 31,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Effective January 1, 2009, we adopted a new accounting standard that significantly changes the accounting and reporting of minority interests in the consolidated financial statements and requires a noncontrolling interest, which was previously referred to as a minority interest, to be recognized as a component of equity rather than included in the mezzanine section of the balance sheet where it was previously presented. On January 1, 2009, we reclassified $32.4 million from the mezzanine section of the balance sheet to shareholders’ equity. The terminology “minority interest” has been changed to “noncontrolling interest”. The “minority interest” caption on the statement of operations is now reflected as “net income attributable to noncontrolling interests” and shown after consolidated net income. This is a presentation only change for minority interest on both the balance sheet and statement of operations and has no impact to total liabilities and shareholders’ equity, net income available to common shareholders, or earnings per share. The statement also requires the recognition of 100% of the fair value of assets acquired and liabilities assumed in acquisitions of less than 100% controlling interest with subsequent acquisitions of the noncontrolling interest recorded as equity transactions. The new accounting standard was adopted effective January 1, 2009 and has been applied prospectively except for the presentation changes to the balance sheet and statement of operations which have been applied retrospectively in the 2008 and 2007 consolidated financial statements. While there was no additional impact on the consolidated financial statements during 2009, the impact on our future consolidated financial statements will vary depending on the level of transactions with entities involving noncontrolling interests.</w:t>
      </w:r>
    </w:p>
    <w:p>
      <w:pPr>
        <w:spacing w:after="0" w:line="124"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Effective January 1, 2009, we adopted a new accounting standard that requires enhanced disclosures about an entity’s derivative instruments and hedging activities. The adoption did not have an impact on our consolidated financial statements as we currently have no derivative instruments outstanding.</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Effective January 1, 2009, we adopted a new accounting standard that defines unvested share-based payment awards that contain non-forfeitable rights to receive dividends (whether paid or unpaid) as participating securities that should be included in the computation of EPS pursuant to the two-class method. As part of our stock based compensation program, we issue restricted shares which typically vest over a three to six year period; these shares have non-forfeitable rights to dividends immediately after issuance. Prior to January 1, 2009, we excluded the unvested shares from the basic EPS calculation and included them using the treasury stock method in diluted EPS. Effective January 1, 2009, we adopted the new accounting standard and have calculated EPS for all periods presented under the two-class method. The two-class method is an earnings allocation methodology whereby EPS for each class of common stock and participating securities is calculated according to dividends declared and participation rights in undistributed earnings. The implementation did not result in a significant change to basic or diluted EPS for all periods presented.</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Effective January 1, 2009, we adopted a new accounting standard which clarifies the accounting for certain transactions and impairment considerations involving equity method investments. The new accounting standard clarifies that equity method investments should initially be measured at cost, the issuance of shares by the investee would result in a gain or loss on issuance of shares reflected in the income statement of the equity investor, and that a loss in value of an equity investment which is other than a temporary decline should be recognized. The standard was effective on a prospective basis beginning on January 1, 2009, and did not have a material impact on our financial position, results of operations, or cash flows.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During the quarter ended June 30, 2009, we adopted a new accounting standard which requires disclosure regarding the fair value of financial instruments for interim reporting periods. The adoption resulted in additional disclosures in our quarterly financial statements.</w:t>
      </w:r>
    </w:p>
    <w:p>
      <w:pPr>
        <w:spacing w:after="0" w:line="13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During the quarter ended June 30, 2009, we adopted a new accounting standard which establishes general standards of accounting and disclosure of events that occur after the balance sheet date but before the financial statements are issued or available to be issued and requires disclosure of the date through which subsequent events have been evaluated. We have added disclosure in Note 1 under “Principles of Consolidation and Estimates” to the consolidated financial statements in this Form 10-K regarding the date through which we have evaluated subsequent events.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June 2009, the FASB issued a new accounting standard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The standard is effective January 1, 2010, and is applicable to all entities in which an enterprise has a variable interest. We are currently evaluating the impact this standard will have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Acquisitions and Dispositions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Significant Transactions</w:t>
      </w:r>
    </w:p>
    <w:p>
      <w:pPr>
        <w:spacing w:after="0" w:line="90"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On June 26, 2009, one of our tenants acquired from us our fee interest in a land parcel in White Marsh, Maryland, that was subject to a long-term ground lease. The ground lease included an option for the tenant to purchase the fee interest. The sales price was $2.1 million and resulted in a gain of $0.4 million.</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October 16, 2009, we acquired 16.6 acres of riverfront property at Assembly Square in Somerville, Massachusetts, for use in future development, in exchange for the sale of 12.4 acres of adjacent inland land, $3 million in cash, and the assumption of a $5 million liability. The purchase price of the riverfront parcel was determined to be $33.1 million based on current fair value calculations. The sale of the inland land resulted in no gain or loss on sale as the fair value of the consideration exchanged equaled the cost basis of the land sold. The land we acquired is included in “construction–in-progress” in the accompanying consolidated balance sheet as of December 31, 2009 and the historical basis in the land we sold in 2009 is classified as “assets held for sale” in the accompanying consolidated balance sheet as of December 31, 2008.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Significant Transactions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our significant acquisitions in 2008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4"/>
                <w:szCs w:val="14"/>
                <w:color w:val="auto"/>
              </w:rPr>
            </w:pPr>
          </w:p>
        </w:tc>
        <w:tc>
          <w:tcPr>
            <w:tcW w:w="46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Property</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2"/>
              </w:rPr>
              <w:t>Gross Leasable</w:t>
            </w:r>
          </w:p>
        </w:tc>
        <w:tc>
          <w:tcPr>
            <w:tcW w:w="1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20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4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Arial" w:cs="Arial" w:eastAsia="Arial" w:hAnsi="Arial"/>
                <w:sz w:val="14"/>
                <w:szCs w:val="14"/>
                <w:b w:val="1"/>
                <w:bCs w:val="1"/>
                <w:color w:val="auto"/>
              </w:rPr>
              <w:t>City, State</w:t>
            </w:r>
          </w:p>
        </w:tc>
        <w:tc>
          <w:tcPr>
            <w:tcW w:w="420" w:type="dxa"/>
            <w:vAlign w:val="bottom"/>
          </w:tcPr>
          <w:p>
            <w:pPr>
              <w:spacing w:after="0"/>
              <w:rPr>
                <w:sz w:val="14"/>
                <w:szCs w:val="14"/>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Area</w:t>
            </w:r>
          </w:p>
        </w:tc>
        <w:tc>
          <w:tcPr>
            <w:tcW w:w="1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(In square feet)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w:t>
            </w:r>
          </w:p>
        </w:tc>
        <w:tc>
          <w:tcPr>
            <w:tcW w:w="4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Del Mar Village</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87"/>
              </w:rPr>
              <w:t>Boca Raton, FL</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July 11</w:t>
            </w:r>
          </w:p>
        </w:tc>
        <w:tc>
          <w:tcPr>
            <w:tcW w:w="4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7015 &amp; 7045 Beracasa Way</w:t>
            </w: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87"/>
              </w:rPr>
              <w:t>Boca Raton, FL</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24,000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16</w:t>
            </w:r>
          </w:p>
        </w:tc>
        <w:tc>
          <w:tcPr>
            <w:tcW w:w="4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Chelsea Commons Phase II</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Chelsea, MA</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September 4</w:t>
            </w:r>
          </w:p>
        </w:tc>
        <w:tc>
          <w:tcPr>
            <w:tcW w:w="4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Courtyard Shops</w:t>
            </w: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5"/>
              </w:rPr>
              <w:t>Wellington, FL</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127,000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and 30</w:t>
            </w:r>
          </w:p>
        </w:tc>
        <w:tc>
          <w:tcPr>
            <w:tcW w:w="4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Bethesda Row</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6"/>
              </w:rPr>
              <w:t>Bethesda, MD</w:t>
            </w:r>
          </w:p>
        </w:tc>
        <w:tc>
          <w:tcPr>
            <w:tcW w:w="4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9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Prior to the transactions, the land parcels at Bethesda Row were encumbered by capital lease obligations which were extinguished as part of the transactions. The transactions were completed as 1031 tax deferred exchange transactions and involved net cash paid to us of $23.2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our significant dispositions in 2008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Sale Date</w:t>
            </w:r>
          </w:p>
        </w:tc>
        <w:tc>
          <w:tcPr>
            <w:tcW w:w="200" w:type="dxa"/>
            <w:vAlign w:val="bottom"/>
          </w:tcPr>
          <w:p>
            <w:pPr>
              <w:spacing w:after="0"/>
              <w:rPr>
                <w:sz w:val="12"/>
                <w:szCs w:val="12"/>
                <w:color w:val="auto"/>
              </w:rPr>
            </w:pPr>
          </w:p>
        </w:tc>
        <w:tc>
          <w:tcPr>
            <w:tcW w:w="408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Acquired</w:t>
            </w:r>
          </w:p>
        </w:tc>
        <w:tc>
          <w:tcPr>
            <w:tcW w:w="22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Gross Leasable</w:t>
            </w:r>
          </w:p>
        </w:tc>
        <w:tc>
          <w:tcPr>
            <w:tcW w:w="52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76"/>
              </w:rPr>
              <w:t>Sales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0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or Built</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Area</w:t>
            </w:r>
          </w:p>
        </w:tc>
        <w:tc>
          <w:tcPr>
            <w:tcW w:w="48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Gain</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48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(In</w:t>
            </w:r>
          </w:p>
        </w:tc>
        <w:tc>
          <w:tcPr>
            <w:tcW w:w="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millions)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and 30</w:t>
            </w:r>
          </w:p>
        </w:tc>
        <w:tc>
          <w:tcPr>
            <w:tcW w:w="2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Four Land Parcels:(1)</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4"/>
              </w:rPr>
              <w:t>$38.8</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The Shoppes at Nottingham Square</w:t>
            </w: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White Marsh, MD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134,000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White Marsh Other</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White Marsh, MD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White Marsh Other</w:t>
            </w: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White Marsh, MD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3,000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 Dartmouth</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w w:val="92"/>
              </w:rPr>
              <w:t>North Dartmouth, MA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135,000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December 29</w:t>
            </w: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Greenwich Avenue</w:t>
            </w: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Greenwich, CT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2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7,000</w:t>
            </w: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7.2</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279,000</w:t>
            </w: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46.0</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120" w:hanging="332"/>
        <w:spacing w:after="0" w:line="252"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Three of the land parcels we sold were in White Marsh, MD, and one parcel was in North Dartmouth, MA. The transactions were completed as 1031 tax deferred exchange transactions and involved net cash paid to us of $23.2 million.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land parcel was subject to a ground lease covering 50,000 square feet of office space not included in our gross leasable area.</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sold one of two retail buildings located in Greenwich, CT.</w:t>
      </w:r>
    </w:p>
    <w:p>
      <w:pPr>
        <w:spacing w:after="0" w:line="16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 2005 and 2006, warranty reserves for condominium units sold at Santana Row were established to cover potential costs for materials, labor and other items associated with warranty-type claims that may arise within the ten-year statutorily mandated latent construction defect warranty period. In 2006 and 2007, we increased our warranty reserves by $2.5 million and $5.1 million, respectively, net of taxes, related to defective work done by third party contractors while upgrades were made to certain units being prepared for sale. During 2007 and 2008, we evaluated the potentially affected units, and as of December 31, 2008, have substantially completed the inspections and repairs. The extent of the damages encountered in the units and the resulting costs to repair varied considerably amongst the units. As a result, we have adjusted the warranty reserve to reflect the actual costs incurred related to these issues which is approximately $2.4 million, net of $1.5 million of taxes. The change in the reserve of $5.2 million is included in “Gain on sale of real estate from discontinued operations” in 2008. These amounts do not reflect any amounts we may recover in the future from insurance or the contractors responsible for the defective work. Due to the inherent uncertainty related to the recovery from insurance or the contractor, we are unable to estimate an expected recovery; any recovery will be reflected in our financial statements once the amount is determinable, considered probable, and collectible.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Provision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May 2003, a breach of contract action was filed against us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issued a tentative ruling in April 2009 awarding damages to the plaintiff of approximately $14.4 million plus interest.</w:t>
      </w:r>
    </w:p>
    <w:p>
      <w:pPr>
        <w:spacing w:after="0" w:line="1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Based on this tentative ruling, we estimated interest could range from $2.1 million to $8.4 million. Accordingly, considering all the information available to us on May 6, 2009, when we filed our Form 10-Q for the three months ended March 31, 2009, our best estimate of damages, interest, and other costs was $21.4 million. Accordingly, we increased our accrual for the matter from $0.8 million at December 31, 2008, to $21.4 million at March 31, 2009. In June 2009, the court issued a final judgment awarding damages of $15.9 million (including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interest) plus costs of suit. In July 2009, we and the plaintiff both filed a notice of appeal. The plaintiff also filed reimbursement motions for $2.1 million of legal fees, expert fees, and court costs of which $1.9 million was subsequently denied. In December 2009, the plaintiff filed an “appellee’s principal and response brief” providing additional information regarding the issues the plaintiff is appealing. The plaintiff’s appeal included only the denial of expert fees which totals approximately $0.4 million. Given the additional information regarding the appeal, we lowered our accrual to $16.4 million, which reflects our best estimate of the litigation liability. The net increase in our accrual of $15.6 million is included in “litigation provision” in our consolidated statement of operations, and the $16.4 million accrual is included in the “accounts payable and accrued expenses” line item in our consolidated balance sheet as of December 31, 2009. During 2009, we incurred additional legal and other costs related to this lawsuit and appeal process which are also included in the “litigation provision” line item in the consolidated statement of operations.</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expect oral arguments on the appeal to be scheduled for later in 2010. All judgments will be stayed until completion of the appeals.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Significant Debt and Equity Transactions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January 5, 2009, we repaid the $4.4 million mortgage loan on a small portion of Mercer Mall which had an original maturity date of April 1, 2009. This loan was repaid with funds borrowed on our $300 million revolving credit facility.</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various dates from January 12, 2009 to April 1, 2009, we purchased and retired $11.1 million of our 8.75% senior notes which had an original maturity date of December 1, 2009. These notes were repaid with funds borrowed on our $300 million revolving credit facility.</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April 14, 2009, we closed on a $24.1 million, ten year loan secured by Rollingwood Apartments in Silver Spring, Maryland. The loan bears interest at 5.54% and matures on May 1, 2019.</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On May 4, 2009, we refinanced our then existing $200 million term loan with a new $372 million term loan which bears interest at LIBOR, subject to a 1.50% floor, plus 300 basis points and matures on July 27, 2011. The $200 million term loan and the $135 million outstanding balance on our revolving credit facility were repaid with the proceeds from the new $372 million term loan.</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June 4, 2009, we closed on a $139.0 million, five year loan secured by Idylwood Plaza, Loehmann’s Plaza, Leesburg Plaza and Pentagon Row. The loan bears interest at 7.50% and matures on June 5, 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Also on June 4, 2009, we completed a cash tender offer for our 8.75% senior notes due December 1, 2009.</w:t>
      </w:r>
    </w:p>
    <w:p>
      <w:pPr>
        <w:spacing w:after="0" w:line="1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Approximately $40.3 million of notes were purchased and retired at a 2% premium to par value resulting in a net loss on early extinguishment of approximately $1.0 million including costs of the transaction; this amount is included in “early extinguishment of debt” in the consolidated statement of operations. The notes were repaid with funds from our term loan.</w:t>
      </w:r>
    </w:p>
    <w:p>
      <w:pPr>
        <w:spacing w:after="0" w:line="14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August 13, 2009, we issued $150.0 million of fixed rate senior notes that mature on August 15, 2014 and bear interest at 5.95%. The net proceeds from this note offering after issuance discounts, underwriting fees and other costs were $147.5 million.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On August 14, 2009, we issued 2.0 million common shares at $57.50 per share, for cash proceeds of approximately $110.0 million net of expenses of the offering.</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October 27, 2009 and December 21, 2009, we repaid $100 million and $22 million, respectively, of our term loan. The term loan has an original maturity date of July 27, 2011, however, the loan agreement includes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option to prepay the loan, in whole or in part, at any time without premium or penalty. Due to these repayments, approximately $1.7 million of unamortized debt fees were recorded as additional interest expense in 2009 and are included in “early extinguishment of debt” in the consolidated statement of operations. The term loan was partially repaid using available cash from the 2009 debt and equity issuances.</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December 1, 2009, we repaid the remaining $123.6 million of our 8.75% senior notes on its original maturity date using available cash from the 2009 debt financings.</w:t>
      </w:r>
    </w:p>
    <w:p>
      <w:pPr>
        <w:spacing w:after="0" w:line="132"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Also, on December 1, 2009, we repaid our 30% share of two mortgage loans of our partnership with a discretionary fund created and advised by ING Clarion Partners. Our share of the repayment was $7.0 million (or $23.4 million in total) on the mortgage loans for two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properties are located in densely populated 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and believe that the decrease in occupancy we have experienced beginning in 2008 as a result of the economic recession will provide future redevelopment opportunities that may not otherwise have been available. In 2010 and 2011, we expect to have redevelopment projects stabilizing with projected costs of approximately $28 million and $53 million, respectively.</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Additionally, in October 2009, we completed a land exchange at Assembly Square whereby we now own 16.6 acres of fully entitled riverfront property for the proposed development of Assembly Square. The development at Assembly Square is a long-term development project which we expect to be involved in over the coming years. The project currently has zoning entitlements to add 2.3 million square feet of commercial-use buildings, 2,100 residential units, and a 200 room hotel. We expect that we will structure any future development in a manner designed to mitigate our risk which may include selling entitlements or co-developing with other real estate companies. Beginning in 2009 and continuing into 2010, we will be completing certain infrastructure work as well as continuing our current predevelopment work. We expect to receive approximately $10 million in public funding related to the infrastructure work we are completing and we expect the state will complete certain additional infrastructure work using government stimulus funds. We expect to incur between $10 million and $30 million related to the development in 2010, net of expected bond proceeds.</w:t>
      </w:r>
    </w:p>
    <w:p>
      <w:pPr>
        <w:spacing w:after="0" w:line="11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continue to review acquisition opportunities in our primary markets that complement our portfolio and provide long term opportunities. Generally, our acquisitions do not initially contribute significantly to earnings growth; however, they provide long 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the assumption of mortgages.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The current economic environment may, however, impact our ability to increase rental rates in the short-term and may require us to decrease some rental rates in the short-term. This will have a long-term impact over the contractual term of the lease agreement, which on average is between five and ten years. As a result of the current economic environment, occupancy declined 1.1% during 2009. We expect to continue to see small changes in occupancy over the short term and expect increases in occupancy to be a driver of our same-center growth over the long term as we are able to release these vacant spaces. We seek to maintain a mix of strong national, regional, and local retailers. At December 31, 2009, no single tenant accounted for more than 2.6% of annualized base rent.</w:t>
      </w:r>
    </w:p>
    <w:p>
      <w:pPr>
        <w:spacing w:after="0" w:line="10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current downturn in the economy may impact the success of our tenants’ retail operations and therefore the amount of rent and expense reimbursements we receive from our tenants. We have seen tenants experiencing declining sales, vacating early, or filing for bankruptcy, as well as seeking rent relief from us as landlord. Any reduction in our tenants’ abilities to pay base rent, percentage rent or other charges, will adversely affect our financial condition and results of operations. Further, our ability to re-lease vacant spaces may be negatively impacted by the current economic environment. While we believe the locations of our centers and diverse tenant base should mitigate the negative impact of the economic environment, we may continue to see an increase in vacancy that will have a negative impact on our revenue and bad debt expense. We continue to monitor our tenants’ operating performances as well as trends in the retail industry to evaluate any future impact.</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December 31, 2009, the leasable square feet in our properties was 93.2% occupied and 94.5%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60" w:type="dxa"/>
            <w:vAlign w:val="bottom"/>
            <w:vMerge w:val="restart"/>
          </w:tcPr>
          <w:p>
            <w:pPr>
              <w:spacing w:after="0"/>
              <w:rPr>
                <w:sz w:val="14"/>
                <w:szCs w:val="14"/>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8"/>
              </w:rPr>
              <w:t>Dollars</w:t>
            </w:r>
          </w:p>
        </w:tc>
        <w:tc>
          <w:tcPr>
            <w:tcW w:w="420" w:type="dxa"/>
            <w:vAlign w:val="bottom"/>
          </w:tcPr>
          <w:p>
            <w:pPr>
              <w:spacing w:after="0"/>
              <w:rPr>
                <w:sz w:val="12"/>
                <w:szCs w:val="12"/>
                <w:color w:val="auto"/>
              </w:rPr>
            </w:pPr>
          </w:p>
        </w:tc>
        <w:tc>
          <w:tcPr>
            <w:tcW w:w="4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(Dollar amounts</w:t>
            </w:r>
          </w:p>
        </w:tc>
        <w:tc>
          <w:tcPr>
            <w:tcW w:w="150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513,220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$ 501,627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11,593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12,856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14,013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(1,157)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531,019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520,188</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10,831</w:t>
            </w:r>
          </w:p>
        </w:tc>
        <w:tc>
          <w:tcPr>
            <w:tcW w:w="42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108,806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4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166,979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165,199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364,040</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354,989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9,051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(290)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(108,781)</w:t>
            </w:r>
          </w:p>
        </w:tc>
        <w:tc>
          <w:tcPr>
            <w:tcW w:w="14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(99,163)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(9,618)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(2,639)</w:t>
            </w:r>
          </w:p>
        </w:tc>
        <w:tc>
          <w:tcPr>
            <w:tcW w:w="260" w:type="dxa"/>
            <w:vAlign w:val="bottom"/>
          </w:tcPr>
          <w:p>
            <w:pPr>
              <w:spacing w:after="0"/>
              <w:rPr>
                <w:sz w:val="18"/>
                <w:szCs w:val="18"/>
                <w:color w:val="auto"/>
              </w:rPr>
            </w:pPr>
          </w:p>
        </w:tc>
        <w:tc>
          <w:tcPr>
            <w:tcW w:w="114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(2,639)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(22,032)</w:t>
            </w:r>
          </w:p>
        </w:tc>
        <w:tc>
          <w:tcPr>
            <w:tcW w:w="14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(26,732)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Litigation provision</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(16,355)</w:t>
            </w:r>
          </w:p>
        </w:tc>
        <w:tc>
          <w:tcPr>
            <w:tcW w:w="260" w:type="dxa"/>
            <w:vAlign w:val="bottom"/>
          </w:tcPr>
          <w:p>
            <w:pPr>
              <w:spacing w:after="0"/>
              <w:rPr>
                <w:sz w:val="18"/>
                <w:szCs w:val="18"/>
                <w:color w:val="auto"/>
              </w:rPr>
            </w:pPr>
          </w:p>
        </w:tc>
        <w:tc>
          <w:tcPr>
            <w:tcW w:w="114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(16,355)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(115,093)</w:t>
            </w:r>
          </w:p>
        </w:tc>
        <w:tc>
          <w:tcPr>
            <w:tcW w:w="14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(111,022)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line="20" w:lineRule="exact"/>
              <w:rPr>
                <w:sz w:val="1"/>
                <w:szCs w:val="1"/>
                <w:color w:val="auto"/>
              </w:rPr>
            </w:pPr>
          </w:p>
        </w:tc>
      </w:tr>
      <w:tr>
        <w:trPr>
          <w:trHeight w:val="222"/>
        </w:trPr>
        <w:tc>
          <w:tcPr>
            <w:tcW w:w="7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(261,684)</w:t>
            </w:r>
          </w:p>
        </w:tc>
        <w:tc>
          <w:tcPr>
            <w:tcW w:w="1400" w:type="dxa"/>
            <w:vAlign w:val="bottom"/>
            <w:gridSpan w:val="3"/>
          </w:tcPr>
          <w:p>
            <w:pPr>
              <w:jc w:val="right"/>
              <w:ind w:right="292"/>
              <w:spacing w:after="0"/>
              <w:rPr>
                <w:sz w:val="20"/>
                <w:szCs w:val="20"/>
                <w:color w:val="auto"/>
              </w:rPr>
            </w:pPr>
            <w:r>
              <w:rPr>
                <w:rFonts w:ascii="Arial" w:cs="Arial" w:eastAsia="Arial" w:hAnsi="Arial"/>
                <w:sz w:val="18"/>
                <w:szCs w:val="18"/>
                <w:color w:val="auto"/>
              </w:rPr>
              <w:t>(234,389)</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(27,295)</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102,356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(18,244)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(1,763)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(11,274)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1"/>
              </w:rPr>
              <w:t>-23.1%</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103,872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135,153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(31,281)</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w:t>
            </w:r>
          </w:p>
        </w:tc>
        <w:tc>
          <w:tcPr>
            <w:tcW w:w="14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(5,366)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the Trust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1"/>
              </w:rPr>
              <w:t>-24.3%</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98,304</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$ 129,787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(31,483)</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property revenue increased $10.8 million, or 2.1%, to $531.0 million in 2009 compared to $520.2 million in 2008. The percentage occupied at our shopping centers decreased to 93.2% at December 31, 2009 compared to 94.3% at December 31, 2008.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Rental income consists primarily of minimum rent, cost recoveries from tenants and percentage rent. Rental income increased $11.6 million, or 2.3%, to $513.2 million in 2009 compared to $501.6 million in 2008, due primarily to the following:</w:t>
      </w:r>
    </w:p>
    <w:p>
      <w:pPr>
        <w:spacing w:after="0" w:line="51" w:lineRule="exact"/>
        <w:rPr>
          <w:sz w:val="20"/>
          <w:szCs w:val="20"/>
          <w:color w:val="auto"/>
        </w:rPr>
      </w:pPr>
    </w:p>
    <w:p>
      <w:pPr>
        <w:ind w:left="780" w:right="60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$7.0 million at redevelopment properties due primarily to increased rental rates on new leases including newly created retail and residential spaces generating revenue and increased cost reimbursements,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$4.8 million attributable to properties acquired in 2008, and</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$0.8 million at same-center properties due to increased rental rates on new and renewal leases and increased temporary tenant income partially offset by lower occupancy, percentage rent and recoveries,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of $1.1 million as a result of having demolished an operating property in 2008 for use in future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Other property income decreased $1.2 million, or 8.3%, to $12.9 million in 2009 compared to $14.0 million in 2008. Included in other property income are items which, although recurring, tend to fluctuate more than rental income from period to period, such as lease termination fees. In 2009, the decrease is primarily due to a decrease in lease termination fees partially offset by an increase in income from our restaurant joint ventures.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Total property expenses increased $1.8 million, or 1.1%, to $167.0 million in 2009 compared to $165.2 million in 2008.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decreased $0.9 million, or 0.8%, to $108.8 million in 2009 compared to $109.7 million in 2008. This decrease is due primarily to the following:</w:t>
      </w:r>
    </w:p>
    <w:p>
      <w:pPr>
        <w:spacing w:after="0" w:line="113" w:lineRule="exact"/>
        <w:rPr>
          <w:sz w:val="20"/>
          <w:szCs w:val="20"/>
          <w:color w:val="auto"/>
        </w:rPr>
      </w:pPr>
    </w:p>
    <w:p>
      <w:pPr>
        <w:ind w:left="780" w:right="24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of $1.4 million in ground rent expense at same-center properties due primarily to the acquisition of the fee interest in two land parcels at Bethesda Row in 2008,</w:t>
      </w:r>
    </w:p>
    <w:p>
      <w:pPr>
        <w:spacing w:after="0" w:line="50" w:lineRule="exact"/>
        <w:rPr>
          <w:rFonts w:ascii="Arial" w:cs="Arial" w:eastAsia="Arial" w:hAnsi="Arial"/>
          <w:sz w:val="18"/>
          <w:szCs w:val="18"/>
          <w:color w:val="auto"/>
        </w:rPr>
      </w:pPr>
    </w:p>
    <w:p>
      <w:pPr>
        <w:ind w:left="780" w:right="64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of $1.1 million in marketing expense at same-center and redevelopment properties, primarily due to costs related to Arlington East (Bethesda Row) which opened during 2008,</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of $0.7 million in insurance expense at same-center properties,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of $0.3 million in payroll expense at same-center and redevelopment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of $2.0 million in repairs and maintenance at same-center and redevelopment properties primarily due to higher snow removal costs,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$0.9 million attributable to properties acquired in 2008,</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a result of the changes in rental income, rental expenses and other property income described above, rental expenses as a percentage of rental income plus other property income decreased to 20.7% in 2009 from 21.3% in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Real estate tax expense increased $2.7 million, or 4.9%, to $58.2 million in 2009 compared to $55.5 million in 2008. This increase is due primarily to an increase of $1.8 million related to higher assessments at redevelopment properties and $0.8 million related to properties acquired in 2008.</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Property operating income increased $9.1 million, or 2.5%, to $364.0 million in 2009 compared to $355.0 million in 2008. As discussed above, this increase is due primarily to growth in earnings at redevelopment properties, earnings attributable to properties acquired in 2008, partially offset by lower earnings in our same-center portfolio as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Interest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 interest income increased $1.0 million to $1.9 million in 2009 compared to $0.9 million in 2008. This increase is due primarily to investing the funds from our second quarter and August 2009 debt and equity transactions on a short-term basis in money market and other highly liquid investments while we evaluate the current environment to determine the best use of the proceeds in addition to repaying the 8.75% senior notes that matured in December 2009 and paying down the term loan in October and December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$9.6 million, or 9.7%, to $108.8 million in 2009 compared to $99.2 million in 2008. This increase is primarily due to the following:</w:t>
      </w:r>
    </w:p>
    <w:p>
      <w:pPr>
        <w:spacing w:after="0" w:line="113" w:lineRule="exact"/>
        <w:rPr>
          <w:sz w:val="20"/>
          <w:szCs w:val="20"/>
          <w:color w:val="auto"/>
        </w:rPr>
      </w:pPr>
    </w:p>
    <w:p>
      <w:pPr>
        <w:ind w:left="20" w:right="6820" w:firstLine="434"/>
        <w:spacing w:after="0" w:line="344" w:lineRule="auto"/>
        <w:tabs>
          <w:tab w:leader="none" w:pos="7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of $10.4 million due to higher borrowings, partially offset by</w:t>
      </w: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$0.6 million due to a lower overall weighted average borrowing rate,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of $0.2 million in capitalized interest.</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Gross interest costs were $114.3 million and $104.5 million in 2009 and 2008, respectively. Capitalized interest amounted to $5.5 million and $5.3 million in 2009 and 2008,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$2.6 million early extinguishment of debt in 2009 consists of $1.7 million due to the write-off of unamortized debt fees related to the $122 million pay down of the term loan in the fourth quarter 2009 and $1.0 million related to a cash tender offer for $40.3 million of our 8.75% senior notes due December 1, 2009, which were purchased and retired at a 2% premium to par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 decreased $4.7 million, or 17.6%, to $22.0 million in 2009 from $26.7 million in 2008. The decrease is primarily due to a</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$1.6 million litigation settlement in 2008 related to a shopping center in New Jersey, $1.5 million lower legal fees related to litigation over a parcel of land located adjacent to Santana Row and other legal matters, and overall cost reduction efforts partially offset by expensing previously capitalized predevelopment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Provision</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$16.4 million litigation provision in 2009 is due to increasing the accrual for litigation regarding a parcel of land located adjacent to Santana Row as well as other costs related to the litigation and appeal process. See Note 8 to the consolidated financial statements in this Form 10-K for further discussion on the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Depreciation and amortization expense increased $4.1 million, or 3.7%, to $115.1 million in 2009 from $111.0 million in 2008. This increase is due primarily to capital improvements at same-center and redevelopment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properties and 2008 acquisitions as well as accelerated depreciation for tenant improvements where the tenant vacated prior to the end of their lease term. This increase is partially offset by accelerated depreciation in 2008 related to the change in use of a redevelopment building which was later demolished.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 which is required to be reported separately from results of ongoing operations. The reported income of $0.2 million and $2.0 million in 2009 and 2008, respectively, represents the income for the period during which we owned properties sold in 2009 and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from Discontinued Operations</w:t>
      </w:r>
    </w:p>
    <w:p>
      <w:pPr>
        <w:spacing w:after="0" w:line="9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$1.3 million gain on sale of real estate from discontinued operations for 2009 consists primarily of $0.9 million in insurance proceeds received related to repairs we performed on certain condominium units sold at Santana Row as the result of defective work done by third party contractors in prior years and $0.4 million on the sale of our fee interest in a land parcel in White Marsh, Maryland, that was subject to a long-term ground lease.</w:t>
      </w:r>
    </w:p>
    <w:p>
      <w:pPr>
        <w:spacing w:after="0" w:line="107"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The $12.6 million gain on sale of real estate from discontinued operations for 2008 is due to a $5.2 million gain on the sale of one property in Connecticut, a $5.2 million decrease in the warranty reserve for condominium units sold at Santana Row in 2005 and 2006, $1.1 million of accrued state tax refunds applied for in 2008 related to the initial sales of the condominium units at Santana Row, and a $0.9 million gain on the sale of four land parcels in Maryland and Massachusetts.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80" w:type="dxa"/>
            <w:vAlign w:val="bottom"/>
            <w:vMerge w:val="restart"/>
          </w:tcPr>
          <w:p>
            <w:pPr>
              <w:spacing w:after="0"/>
              <w:rPr>
                <w:sz w:val="14"/>
                <w:szCs w:val="14"/>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260" w:type="dxa"/>
            <w:vAlign w:val="bottom"/>
            <w:vMerge w:val="restart"/>
          </w:tcPr>
          <w:p>
            <w:pPr>
              <w:spacing w:after="0"/>
              <w:rPr>
                <w:sz w:val="14"/>
                <w:szCs w:val="14"/>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Dollars</w:t>
            </w:r>
          </w:p>
        </w:tc>
        <w:tc>
          <w:tcPr>
            <w:tcW w:w="440" w:type="dxa"/>
            <w:vAlign w:val="bottom"/>
          </w:tcPr>
          <w:p>
            <w:pPr>
              <w:spacing w:after="0"/>
              <w:rPr>
                <w:sz w:val="12"/>
                <w:szCs w:val="12"/>
                <w:color w:val="auto"/>
              </w:rPr>
            </w:pPr>
          </w:p>
        </w:tc>
        <w:tc>
          <w:tcPr>
            <w:tcW w:w="3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(Dollar amounts</w:t>
            </w:r>
          </w:p>
        </w:tc>
        <w:tc>
          <w:tcPr>
            <w:tcW w:w="1520" w:type="dxa"/>
            <w:vAlign w:val="bottom"/>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3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$ 501,627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$ 465,394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$ 36,233</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property income</w:t>
            </w:r>
          </w:p>
        </w:tc>
        <w:tc>
          <w:tcPr>
            <w:tcW w:w="3180" w:type="dxa"/>
            <w:vAlign w:val="bottom"/>
            <w:gridSpan w:val="3"/>
          </w:tcPr>
          <w:p>
            <w:pPr>
              <w:jc w:val="right"/>
              <w:ind w:right="180"/>
              <w:spacing w:after="0"/>
              <w:rPr>
                <w:sz w:val="20"/>
                <w:szCs w:val="20"/>
                <w:color w:val="auto"/>
              </w:rPr>
            </w:pPr>
            <w:r>
              <w:rPr>
                <w:rFonts w:ascii="Arial" w:cs="Arial" w:eastAsia="Arial" w:hAnsi="Arial"/>
                <w:sz w:val="18"/>
                <w:szCs w:val="18"/>
                <w:color w:val="auto"/>
              </w:rPr>
              <w:t>14,013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12,834</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1,179</w:t>
            </w:r>
          </w:p>
        </w:tc>
        <w:tc>
          <w:tcPr>
            <w:tcW w:w="4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w:t>
            </w:r>
          </w:p>
        </w:tc>
        <w:tc>
          <w:tcPr>
            <w:tcW w:w="2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2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520,188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482,788</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37,400</w:t>
            </w:r>
          </w:p>
        </w:tc>
        <w:tc>
          <w:tcPr>
            <w:tcW w:w="4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109,718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99,363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Real estate taxes</w:t>
            </w:r>
          </w:p>
        </w:tc>
        <w:tc>
          <w:tcPr>
            <w:tcW w:w="2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55,481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46,783</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8,698</w:t>
            </w:r>
          </w:p>
        </w:tc>
        <w:tc>
          <w:tcPr>
            <w:tcW w:w="4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165,199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146,146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19,053</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420"/>
              <w:spacing w:after="0"/>
              <w:rPr>
                <w:sz w:val="20"/>
                <w:szCs w:val="20"/>
                <w:color w:val="auto"/>
              </w:rPr>
            </w:pPr>
            <w:r>
              <w:rPr>
                <w:rFonts w:ascii="Arial" w:cs="Arial" w:eastAsia="Arial" w:hAnsi="Arial"/>
                <w:sz w:val="18"/>
                <w:szCs w:val="18"/>
                <w:color w:val="auto"/>
              </w:rPr>
              <w:t>Property operating income</w:t>
            </w:r>
          </w:p>
        </w:tc>
        <w:tc>
          <w:tcPr>
            <w:tcW w:w="2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2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354,989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336,642</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18,347</w:t>
            </w:r>
          </w:p>
        </w:tc>
        <w:tc>
          <w:tcPr>
            <w:tcW w:w="4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3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3180" w:type="dxa"/>
            <w:vAlign w:val="bottom"/>
            <w:gridSpan w:val="3"/>
          </w:tcPr>
          <w:p>
            <w:pPr>
              <w:jc w:val="right"/>
              <w:ind w:right="180"/>
              <w:spacing w:after="0"/>
              <w:rPr>
                <w:sz w:val="20"/>
                <w:szCs w:val="20"/>
                <w:color w:val="auto"/>
              </w:rPr>
            </w:pPr>
            <w:r>
              <w:rPr>
                <w:rFonts w:ascii="Arial" w:cs="Arial" w:eastAsia="Arial" w:hAnsi="Arial"/>
                <w:sz w:val="18"/>
                <w:szCs w:val="18"/>
                <w:color w:val="auto"/>
              </w:rPr>
              <w:t>1,612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1,395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4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(99,163)</w:t>
            </w:r>
          </w:p>
        </w:tc>
        <w:tc>
          <w:tcPr>
            <w:tcW w:w="12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(111,365)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12,202</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180" w:type="dxa"/>
            <w:vAlign w:val="bottom"/>
            <w:gridSpan w:val="3"/>
          </w:tcPr>
          <w:p>
            <w:pPr>
              <w:jc w:val="right"/>
              <w:ind w:right="120"/>
              <w:spacing w:after="0"/>
              <w:rPr>
                <w:sz w:val="20"/>
                <w:szCs w:val="20"/>
                <w:color w:val="auto"/>
              </w:rPr>
            </w:pPr>
            <w:r>
              <w:rPr>
                <w:rFonts w:ascii="Arial" w:cs="Arial" w:eastAsia="Arial" w:hAnsi="Arial"/>
                <w:sz w:val="18"/>
                <w:szCs w:val="18"/>
                <w:color w:val="auto"/>
              </w:rPr>
              <w:t>(26,732)</w:t>
            </w:r>
          </w:p>
        </w:tc>
        <w:tc>
          <w:tcPr>
            <w:tcW w:w="1240" w:type="dxa"/>
            <w:vAlign w:val="bottom"/>
            <w:gridSpan w:val="3"/>
          </w:tcPr>
          <w:p>
            <w:pPr>
              <w:jc w:val="right"/>
              <w:ind w:right="132"/>
              <w:spacing w:after="0"/>
              <w:rPr>
                <w:sz w:val="20"/>
                <w:szCs w:val="20"/>
                <w:color w:val="auto"/>
              </w:rPr>
            </w:pPr>
            <w:r>
              <w:rPr>
                <w:rFonts w:ascii="Arial" w:cs="Arial" w:eastAsia="Arial" w:hAnsi="Arial"/>
                <w:sz w:val="18"/>
                <w:szCs w:val="18"/>
                <w:color w:val="auto"/>
              </w:rPr>
              <w:t>(26,581)</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(151)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(111,022)</w:t>
            </w:r>
          </w:p>
        </w:tc>
        <w:tc>
          <w:tcPr>
            <w:tcW w:w="12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(101,633)</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(9,389)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2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22"/>
        </w:trPr>
        <w:tc>
          <w:tcPr>
            <w:tcW w:w="516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(234,389)</w:t>
            </w:r>
          </w:p>
        </w:tc>
        <w:tc>
          <w:tcPr>
            <w:tcW w:w="1240" w:type="dxa"/>
            <w:vAlign w:val="bottom"/>
            <w:gridSpan w:val="3"/>
          </w:tcPr>
          <w:p>
            <w:pPr>
              <w:jc w:val="right"/>
              <w:ind w:right="132"/>
              <w:spacing w:after="0"/>
              <w:rPr>
                <w:sz w:val="20"/>
                <w:szCs w:val="20"/>
                <w:color w:val="auto"/>
              </w:rPr>
            </w:pPr>
            <w:r>
              <w:rPr>
                <w:rFonts w:ascii="Arial" w:cs="Arial" w:eastAsia="Arial" w:hAnsi="Arial"/>
                <w:sz w:val="18"/>
                <w:szCs w:val="18"/>
                <w:color w:val="auto"/>
              </w:rPr>
              <w:t>(237,263)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2,874</w:t>
            </w:r>
          </w:p>
        </w:tc>
        <w:tc>
          <w:tcPr>
            <w:tcW w:w="4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120,600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99,379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180" w:type="dxa"/>
            <w:vAlign w:val="bottom"/>
            <w:gridSpan w:val="3"/>
          </w:tcPr>
          <w:p>
            <w:pPr>
              <w:jc w:val="right"/>
              <w:ind w:right="180"/>
              <w:spacing w:after="0"/>
              <w:rPr>
                <w:sz w:val="20"/>
                <w:szCs w:val="20"/>
                <w:color w:val="auto"/>
              </w:rPr>
            </w:pPr>
            <w:r>
              <w:rPr>
                <w:rFonts w:ascii="Arial" w:cs="Arial" w:eastAsia="Arial" w:hAnsi="Arial"/>
                <w:sz w:val="18"/>
                <w:szCs w:val="18"/>
                <w:color w:val="auto"/>
              </w:rPr>
              <w:t>1,981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6,980</w:t>
            </w:r>
          </w:p>
        </w:tc>
        <w:tc>
          <w:tcPr>
            <w:tcW w:w="26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(4,999)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94,768</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(82,196)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7"/>
              </w:rPr>
              <w:t>-32.8%</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2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135,153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201,127</w:t>
            </w:r>
          </w:p>
        </w:tc>
        <w:tc>
          <w:tcPr>
            <w:tcW w:w="260" w:type="dxa"/>
            <w:vAlign w:val="bottom"/>
          </w:tcPr>
          <w:p>
            <w:pPr>
              <w:spacing w:after="0"/>
              <w:rPr>
                <w:sz w:val="19"/>
                <w:szCs w:val="19"/>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(65,974)</w:t>
            </w: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(5,366)</w:t>
            </w:r>
          </w:p>
        </w:tc>
        <w:tc>
          <w:tcPr>
            <w:tcW w:w="12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(5,590)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the Trust</w:t>
            </w:r>
          </w:p>
        </w:tc>
        <w:tc>
          <w:tcPr>
            <w:tcW w:w="2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7"/>
              </w:rPr>
              <w:t>-33.6%</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3180" w:type="dxa"/>
            <w:vAlign w:val="bottom"/>
            <w:gridSpan w:val="3"/>
          </w:tcPr>
          <w:p>
            <w:pPr>
              <w:jc w:val="right"/>
              <w:ind w:right="180"/>
              <w:spacing w:after="0"/>
              <w:rPr>
                <w:sz w:val="20"/>
                <w:szCs w:val="20"/>
                <w:color w:val="auto"/>
              </w:rPr>
            </w:pPr>
            <w:r>
              <w:rPr>
                <w:rFonts w:ascii="Arial" w:cs="Arial" w:eastAsia="Arial" w:hAnsi="Arial"/>
                <w:sz w:val="18"/>
                <w:szCs w:val="18"/>
                <w:color w:val="auto"/>
              </w:rPr>
              <w:t>$ 129,787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$ 195,537</w:t>
            </w:r>
          </w:p>
        </w:tc>
        <w:tc>
          <w:tcPr>
            <w:tcW w:w="260" w:type="dxa"/>
            <w:vAlign w:val="bottom"/>
          </w:tcPr>
          <w:p>
            <w:pPr>
              <w:spacing w:after="0"/>
              <w:rPr>
                <w:sz w:val="19"/>
                <w:szCs w:val="19"/>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(65,750)</w:t>
            </w: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80" w:type="dxa"/>
            <w:vAlign w:val="bottom"/>
            <w:vMerge w:val="restart"/>
          </w:tcPr>
          <w:p>
            <w:pPr>
              <w:jc w:val="right"/>
              <w:ind w:right="1552"/>
              <w:spacing w:after="0"/>
              <w:rPr>
                <w:sz w:val="20"/>
                <w:szCs w:val="20"/>
                <w:color w:val="auto"/>
              </w:rPr>
            </w:pPr>
            <w:r>
              <w:rPr>
                <w:rFonts w:ascii="Arial" w:cs="Arial" w:eastAsia="Arial" w:hAnsi="Arial"/>
                <w:sz w:val="18"/>
                <w:szCs w:val="18"/>
                <w:color w:val="auto"/>
              </w:rPr>
              <w:t>45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property revenue increased $37.4 million, or 7.7%, to $520.2 million in 2008 compared to $482.8 million in 2007. The percentage occupied at our shopping centers decreased to 94.3% at December 31, 2008 compared to 95.4% at December 31, 2007.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Rental income consists primarily of minimum rent, cost recoveries from tenants and percentage rent. Rental income increased $36.2 million, or 7.8%, to $501.6 million in 2008 compared to $465.4 million in 2007, due primarily to the following:</w:t>
      </w:r>
    </w:p>
    <w:p>
      <w:pPr>
        <w:spacing w:after="0" w:line="51" w:lineRule="exact"/>
        <w:rPr>
          <w:sz w:val="20"/>
          <w:szCs w:val="20"/>
          <w:color w:val="auto"/>
        </w:rPr>
      </w:pPr>
    </w:p>
    <w:p>
      <w:pPr>
        <w:ind w:left="780" w:right="40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$14.2 million at same-center properties due to increased rental rates on new and renewal leases, increased cost reimbursements and increased percentage rent,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$12.8 million attributable to properties acquired in 2008 and 2007, and</w:t>
      </w:r>
    </w:p>
    <w:p>
      <w:pPr>
        <w:spacing w:after="0" w:line="9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$11.0 million at redevelopment properties due primarily to increased rental rates on new leases including newly created retail and residential spaces generating revenue and increased cost reimbursements,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of $1.7 million as a result of having demolished an operating property in 2008 for use in future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Other property income increased $1.2 million, or 9.2%, to $14.0 million in 2008 compared to $12.8 million in 2007. Included in other property income are items which, although recurring, tend to fluctuate more than rental income from period to period, such as lease termination fees. In 2008, the increase is primarily due to an increase in lease termination fees at redevelopment properties partially offset by a decrease in income from our restaurant joint ventures.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property expenses increased $19.1 million, or 13.0%, to $165.2 million in 2008 compared to $146.1 million in 2007.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$10.4 million, or 10.4%, to $109.7 million in 2008 compared to $99.4 million in 2007. This increase is due primarily to the following:</w:t>
      </w:r>
    </w:p>
    <w:p>
      <w:pPr>
        <w:spacing w:after="0" w:line="113"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$3.7 million in bad debt expense at same-center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$2.9 million attributable to properties acquired in 2008 and 2007,</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$2.9 million in repairs and maintenance at same-center and redevelopment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$1.0 million in utility expense at same-center and redevelopment properties, and</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$1.0 million in marketing expense at redevelopment properties primarily due to costs related to Arlington East (Bethesda Row) which opened during 2008,</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of $1.4 million in insurance expense at same-center and redevelopment properties.</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a result of the changes in rental income, rental expenses and other property income described above, rental expenses as a percentage of rental income plus other property income increased to 21.3% in 2008 from 20.8% in 2007.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Real estate tax expense increased $8.7 million, or 18.6%, to $55.5 million in 2008 compared to $46.8 million in 2007. This increase is due primarily to an increase of $6.7 million related to higher assessments at same-center and redevelopment properties and $2.1 million related to properties acquired in 2008 and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Property operating income increased $18.3 million, or 5.5%, to $355.0 million in 2008 compared to $336.6 million in 2007. As discussed above, this increase is due primarily to growth in earnings at redevelopment properties, earnings attributable to properties acquired in 2008 and 2007, and growth in same-center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$12.2 million, or 11.0%, to $99.2 million in 2008 compared to $111.4 million in 2007. This decrease is primarily due to the following:</w:t>
      </w:r>
    </w:p>
    <w:p>
      <w:pPr>
        <w:spacing w:after="0" w:line="113"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of $7.4 million due to a lower overall weighted average borrowing rate,</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of $4.7 million due to the termination of the Mid-Pike and Huntington capital leases on October 26, 2007, as part of the acquisition of the fee interests in these properties,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of $2.7 million due to lower borrowings,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right="32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decrease of $2.6 million in capitalized interest due primarily to substantial completion of our Arlington East (Bethesda Row) and Linden Square projects.</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Gross interest costs were $104.5 million and $119.2 million in 2008 and 2007, respectively. Capitalized interest amounted to $5.3 million and $7.9 million in 2008 and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General and administrative expense increased $0.2 million, or 0.6%, to $26.7 million in 2008 from $26.6 million in 2007. This is due to a $1.6 million litigation settlement in 2008 related to a shopping center in New Jersey partially offset by lower personnel related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Depreciation and amortization expense increased $9.4 million, or 9.2%, to $111.0 million in 2008 from $101.6 million in 2007. This increase is due primarily to acquisitions, placing into service newly completed redevelopment projects, and capital improvements at same-center and redevelopment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from discontinued operations represents the income of properties that have been disposed, or will be disposed, which is required to be reported separately from results of ongoing operations. The reported income of $2.0 million and $7.0 million in 2008 and 2007, respectively, represents the income for the period during which we owned properties sold in 2009, 2008 or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from Discontinued Operations</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gain on sale of real estate from discontinued operations of $12.6 million for 2008 consists primarily of a $5.2 million gain on the sale of one property in Connecticut, a $5.2 million decrease in the warranty reserve for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condominium units sold at Santana Row in 2005 and 2006, $1.1 million in accrued state tax refunds applied for in 2008 related to the initial sales of the condominium units at Santana Row, and a $0.9 million gain on the sale of four land parcels in Maryland and Massachusetts.</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gain on sale of real estate from discontinued operations of $94.8 million for 2007 is due to a $100.2 million gain primarily related to the sales of Bath Shopping Center, Key Road Plaza, Riverside Plaza, two properties in Forest Hills, and Allwood, Blue Star, Brunswick, Clifton, Hamilton and Rutgers Shopping Centers, partially offset by a $5.1 million increase in the reserve, net of taxes, for the reassessment of damages in 2007 of defective work completed when making upgrades to certain condominiums sold in 2005 and 2006 at Santana Row.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4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2009 in an effort to ensure availability and provide additional flexibility with our short-term capital needs, we entered into certain financing arrangements in advance of our 2009 debt maturing. In May and June 2009, we refinanced our then existing $200 million term loan with a $372 million term loan and also entered into two separate mortgage financing agreements collateralized by five of our properties for total funds of $163.1 million. We utilized these funds to repay our $200 million term loan, the $135 million outstanding balance on our revolving credit facility, and approximately $163.9 million of our 8.75% senior notes due December 1, 2009. Additionally, in August 2009, we issued $150.0 million in five-year senior notes which bear interest at 5.95% and 2.0 million common shares for combined net cash proceeds of approximately $257.5 million. As the financings completed in the second quarter 2009 provided adequate capital to fund 2009 debt maturities, the proceeds from the debt and equity offerings in August 2009 are expected to be used to fund potential acquisition opportunities, fund our redevelopment pipeline, reduce amounts outstanding on our term loan and for general corporate purposes. In the fourth quarter of 2009, we used a portion of the proceeds to repay $122 million of our term loan. The remaining funds from both the second quarter 2009 and August 2009 transactions are being invested on a short-term basis in money market and other highly liquid investments while we evaluate the current market environment and the best use for the proceeds.</w:t>
      </w:r>
    </w:p>
    <w:p>
      <w:pPr>
        <w:spacing w:after="0" w:line="12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Due to the refinancing of our maturing debt several months in advance of the maturity as well as additional financings in August 2009, we incurred and will continue to incur additional interest expense due to higher interest rates on such debt and due to a temporary increase in our debt outstanding until we were able to use the proceeds to retire maturing debt in December 2009 or are able to invest in other long term projects. We currently believe that cash flows from operations, secured and unsecured debt financings, the August 2009 equity offering, and our revolving credit facility will be sufficient to finance our operations and fund our capital expenditures. At December 31, 2009, we have no scheduled debt maturities until 2011.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overall capital requirements in 2010 will depend upon acquisition opportunities, the level of improvements and redevelopments on existing properties and the timing and cost of development of future phases of existing properties. While the amount of future expenditures will depend on numerous factors, we expect to incur similar levels of capital expenditures in 2010 compared to prior periods which will be funded on a short-term basis with cash flow from operations, cash on hand, and/or the revolving credit facility, and on a long-term basis, with long-term debt or equity.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4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to the volatile conditions in the capital markets which could affect our ability to access those markets, the following factors could affect our ability to meet our liquidity requirements:</w:t>
      </w:r>
    </w:p>
    <w:p>
      <w:pPr>
        <w:spacing w:after="0" w:line="51" w:lineRule="exact"/>
        <w:rPr>
          <w:sz w:val="20"/>
          <w:szCs w:val="20"/>
          <w:color w:val="auto"/>
        </w:rPr>
      </w:pPr>
    </w:p>
    <w:p>
      <w:pPr>
        <w:ind w:left="780" w:right="34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Cash and cash equivalents were $135.4 million at December 31, 2009, which is a $120.2 million increase from the $15.2 million balance at December 31, 2008. The significant increase is due to the cash proceeds from financings and the equity offering discussed above. We also have a $300 million unsecured revolving credit facility that matures July 27, 2011, of which we had no outstanding balance at December 31, 2009. During 2009, the maximum amount of borrowings outstanding under our revolving credit facility was $172.5 million and the weighted average amount of borrowings outstanding was $47.7 million. We expect to continue to utilize cash and our revolving credit facility to fund short-term operating needs, including capital expenditures and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 for 2009 and 2008</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$ 256,765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228,285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(127,341)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(207,567)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(56,186)</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120,166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(35,468)</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$ 135,389</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Net cash provided by operating activities increased $28.5 million to $256.8 million during the year ended December 31, 2009 from $228.3 million during the year ended December 31, 2008. The increase was primarily attributable to a $21.5 million increase in cash provided by operating activities due primarily to higher accounts payable and accrued expenses balances and lower accounts receivable balances as well as $7.0 million higher net income before non-cash expenses which includes gain on sale of real estate, litigation provision, and depreciation and amortization.</w:t>
      </w:r>
    </w:p>
    <w:p>
      <w:pPr>
        <w:spacing w:after="0" w:line="11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Net cash used in investing activities decreased $80.2 million to $127.3 million during the year ended December 31, 2009 from $207.6 million during the year ended December 31, 2008. The decrease was primarily attributable to:</w:t>
      </w:r>
    </w:p>
    <w:p>
      <w:pPr>
        <w:spacing w:after="0" w:line="51" w:lineRule="exact"/>
        <w:rPr>
          <w:sz w:val="20"/>
          <w:szCs w:val="20"/>
          <w:color w:val="auto"/>
        </w:rPr>
      </w:pPr>
    </w:p>
    <w:p>
      <w:pPr>
        <w:ind w:left="780" w:right="6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$89.1 million decrease in acquisitions of real estate as only land acquisitions occurred in 2009 compared to multiple operating property acquisitions in 2008,</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$35.9 million decrease in capital expenditures,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8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$3.8 million decrease in cash used for net issuance of mortgage and other notes receivables due primarily to the funding of a $5.5 million secured loan in 2008,</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$42.8 million decrease in proceeds from sale of real estate,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$7.0 million of contributions in 2009 to our real estate partnership which were used to repay property level debt which came due December 1, 2009.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decreased $46.9 million to $9.3 million during the year ended December 31, 2009 from $56.2 million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The change was primarily attributable to:</w:t>
      </w:r>
    </w:p>
    <w:p>
      <w:pPr>
        <w:spacing w:after="0" w:line="84" w:lineRule="exact"/>
        <w:rPr>
          <w:sz w:val="20"/>
          <w:szCs w:val="20"/>
          <w:color w:val="auto"/>
        </w:rPr>
      </w:pPr>
    </w:p>
    <w:p>
      <w:pPr>
        <w:ind w:left="780" w:right="38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$526.6 million net proceeds from the issuance of mortgages, capital leases and notes payable due substantially to the proceeds from our new $372 million term loan and $163.1 million in new mortgage loans,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$147.5 million issuance of 5.95% senior notes in August 2009,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$110.0 million issuance of 2.0 million shares in August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right="80" w:hanging="326"/>
        <w:spacing w:after="0" w:line="332"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$318.7 million increase in repayment of mortgages and notes payable due substantially to the payoff of our $200 million term loan in May 2009, $122 million of pay-downs on our new term loan in the fourth quarter 2009, and the payoff of a loan secured by a portion of Mercer Mall in January 2009,</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$247.0 million increase in net repayments on our revolving credit facility which had a $0 balance at December 31, 2009,</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$155.1 million increase in repayment of senior notes, primarily due to the $175.9 million purchase and retirement of our 8.75% senior notes including costs related to the tender offer for the notes in June 2009,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$9.7 million increase in dividends paid to shareholders due to an increase in the dividend rate and increased number of shares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4"/>
                <w:szCs w:val="14"/>
                <w:b w:val="1"/>
                <w:bCs w:val="1"/>
                <w:color w:val="auto"/>
                <w:w w:val="87"/>
              </w:rPr>
              <w:t>Commitments Due by Period</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3"/>
              </w:rPr>
              <w:t>Less Than</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After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1-3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debt (principal and interest)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1,984,301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487,662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Capital lease obligations (principal and interest)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176,421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11,204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rate debt (principal only)(1)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197,790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commitments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Development and redevelopment obligations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35,333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operating obligations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2,765,195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155,103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769,087</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709,450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1,131,555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8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Variable rate debt includes our term loan that bears interest at LIBOR, subject to a 1.50% floor, plus 300 basis points and had a rate of 4.50% at December 31, 2009. Using this rate, the annual interest expense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would be approximately $11.4 million. In addition, variable rate debt includes a $9.4 million bond that had an interest rate of 0.379% at December 31, 2009 and our revolving credit facility, which currently has no outstanding balance, that bears interest at LIBOR plus 0.425%.</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addition to the amounts set forth in the table above and other liquidity requirements previously discussed, the following potential commitments exist:</w:t>
      </w:r>
    </w:p>
    <w:p>
      <w:pPr>
        <w:spacing w:after="0" w:line="113" w:lineRule="exact"/>
        <w:rPr>
          <w:sz w:val="20"/>
          <w:szCs w:val="20"/>
          <w:color w:val="auto"/>
        </w:rPr>
      </w:pPr>
    </w:p>
    <w:p>
      <w:pPr>
        <w:ind w:left="460" w:right="60" w:firstLine="4"/>
        <w:spacing w:after="0" w:line="256" w:lineRule="auto"/>
        <w:tabs>
          <w:tab w:leader="none" w:pos="699"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December 31, 2009, our estimated liability upon exercise of the put option would range from approximately $38 million to $44 million.</w:t>
      </w:r>
    </w:p>
    <w:p>
      <w:pPr>
        <w:spacing w:after="0" w:line="62" w:lineRule="exact"/>
        <w:rPr>
          <w:rFonts w:ascii="Arial" w:cs="Arial" w:eastAsia="Arial" w:hAnsi="Arial"/>
          <w:sz w:val="18"/>
          <w:szCs w:val="18"/>
          <w:color w:val="auto"/>
        </w:rPr>
      </w:pPr>
    </w:p>
    <w:p>
      <w:pPr>
        <w:ind w:left="460" w:right="40" w:firstLine="4"/>
        <w:spacing w:after="0" w:line="298" w:lineRule="auto"/>
        <w:tabs>
          <w:tab w:leader="none" w:pos="709"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Under the terms of one other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31" w:lineRule="exact"/>
        <w:rPr>
          <w:rFonts w:ascii="Arial" w:cs="Arial" w:eastAsia="Arial" w:hAnsi="Arial"/>
          <w:sz w:val="16"/>
          <w:szCs w:val="16"/>
          <w:color w:val="auto"/>
        </w:rPr>
      </w:pPr>
    </w:p>
    <w:p>
      <w:pPr>
        <w:ind w:left="460" w:right="240" w:firstLine="4"/>
        <w:spacing w:after="0" w:line="268" w:lineRule="auto"/>
        <w:tabs>
          <w:tab w:leader="none" w:pos="699"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the terms of various other partnership agreements, the partners have the right to exchange their operating units for cash or the same number of our common shares, at our option. As of December 31, 2009, a total of 371,260 operating units are outstanding.</w:t>
      </w:r>
    </w:p>
    <w:p>
      <w:pPr>
        <w:spacing w:after="0" w:line="50" w:lineRule="exact"/>
        <w:rPr>
          <w:rFonts w:ascii="Arial" w:cs="Arial" w:eastAsia="Arial" w:hAnsi="Arial"/>
          <w:sz w:val="18"/>
          <w:szCs w:val="18"/>
          <w:color w:val="auto"/>
        </w:rPr>
      </w:pPr>
    </w:p>
    <w:p>
      <w:pPr>
        <w:ind w:left="460" w:right="360" w:firstLine="4"/>
        <w:spacing w:after="0" w:line="268" w:lineRule="auto"/>
        <w:tabs>
          <w:tab w:leader="none" w:pos="70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December 31, 2009, we had letters of credit outstanding of approximately $10.7 million which are collateral for existing indebtedness and other obligations of the Trust.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has substantive participating rights and we cannot make significant decisions without Clarion’s approval. Accordingly, we account for our interest in the Partnership using the equity method. As of December 31, 2009,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these provisions at any time which could result in either the sale of our interest or the use of available cash or borrowings to acquire Clarion’s interest. At December 31, 2009 and 2008, the Partnership had $57.8 million and $81.4 million, respectively, of mortgages payable outstanding and our investment in the Partnership was $35.6 million and $29.3 million, respectively.</w:t>
      </w:r>
    </w:p>
    <w:p>
      <w:pPr>
        <w:spacing w:after="0" w:line="12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Other than the joint venture described above and items disclosed in the Contractual Commitments Table, we have no off-balance sheet arrangements as of December 31, 2009 that are reasonably likely to have a current or future material effect on our financial condition, revenues or expenses, results of operations, liquidity, capital expenditures or capital resources.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Principal Balance</w:t>
            </w: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Stated Interest Rate</w:t>
            </w:r>
          </w:p>
        </w:tc>
        <w:tc>
          <w:tcPr>
            <w:tcW w:w="10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Debt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as of</w:t>
            </w: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as of</w:t>
            </w:r>
          </w:p>
        </w:tc>
        <w:tc>
          <w:tcPr>
            <w:tcW w:w="1080" w:type="dxa"/>
            <w:vAlign w:val="bottom"/>
          </w:tcPr>
          <w:p>
            <w:pPr>
              <w:spacing w:after="0"/>
              <w:rPr>
                <w:sz w:val="12"/>
                <w:szCs w:val="12"/>
                <w:color w:val="auto"/>
              </w:rPr>
            </w:pPr>
          </w:p>
        </w:tc>
      </w:tr>
      <w:tr>
        <w:trPr>
          <w:trHeight w:val="161"/>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2009</w:t>
            </w: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December 31, 2009</w:t>
            </w:r>
          </w:p>
        </w:tc>
        <w:tc>
          <w:tcPr>
            <w:tcW w:w="108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 Date</w:t>
            </w: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380" w:type="dxa"/>
            <w:vAlign w:val="bottom"/>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Mortgages payable(1)</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ind w:left="200"/>
              <w:spacing w:after="0" w:line="149" w:lineRule="exact"/>
              <w:rPr>
                <w:sz w:val="20"/>
                <w:szCs w:val="20"/>
                <w:color w:val="auto"/>
              </w:rPr>
            </w:pPr>
            <w:r>
              <w:rPr>
                <w:rFonts w:ascii="Arial" w:cs="Arial" w:eastAsia="Arial" w:hAnsi="Arial"/>
                <w:sz w:val="14"/>
                <w:szCs w:val="14"/>
                <w:i w:val="1"/>
                <w:iCs w:val="1"/>
                <w:color w:val="auto"/>
              </w:rPr>
              <w:t>Secured fixed rate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Federal Plaza</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36,500</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32,536</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6.750%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June 1, 2011</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Tysons Station</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5,898</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7.400%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w w:val="88"/>
              </w:rPr>
              <w:t>September 1, 2011</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Courtyard Shops</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Acquired</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7,518</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6.870%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1, 2012</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Bethesda Row</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Acquired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19,995</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5.370%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January 1, 2013</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Bethesda Row</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Acquired</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4,304</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5.050%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February 1, 2013</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White Marsh Plaza(2)</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Acquired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9,859</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6.040%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April 1, 2013</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Crow Canyon</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Acquired</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20,816</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5.400%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11, 2013</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Idylwood Plaza</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16,910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16,792</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7.500%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June 5, 2014</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Leesburg Plaza</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29,423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29,219</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7.500%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June 5, 2014</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Loehmann’s Plaza</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38,047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37,783</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7.500%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June 5, 2014</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Pentagon Row</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54,619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54,240</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7.500%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June 5, 2014</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Melville Mall(3)</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Acquired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23,782</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5.250%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w w:val="88"/>
              </w:rPr>
              <w:t>September 1, 2014</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THE AVENUE at White Marsh</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Acquired</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58,939</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5.460%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January 1, 2015</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Barracks Road</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44,300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40,639</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7.950%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w w:val="92"/>
              </w:rPr>
              <w:t>November 1, 2015</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Hauppauge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15,320</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7.950%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November 1, 2015</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Lawrence Park</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31,400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28,805</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7.950%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w w:val="92"/>
              </w:rPr>
              <w:t>November 1, 2015</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Wildwood</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25,319</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7.950%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November 1, 2015</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Wynnewood</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29,355</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7.950%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w w:val="92"/>
              </w:rPr>
              <w:t>November 1, 2015</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Brick Plaza</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30,053</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7.415%</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November 1, 2015</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Rollingwood Apartments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24,050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23,880</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5.540%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May 1, 2019</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Shoppers’ World</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Acquired</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5,733</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5.910%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January 31, 2021</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Mount Vernon(4)</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13,250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11,298</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5.660%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April 15, 2028</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Chelsea</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Acquired</w:t>
            </w:r>
          </w:p>
        </w:tc>
        <w:tc>
          <w:tcPr>
            <w:tcW w:w="1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7,952</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5.360%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January 15, 2031</w:t>
            </w:r>
          </w:p>
        </w:tc>
      </w:tr>
      <w:tr>
        <w:trPr>
          <w:trHeight w:val="156"/>
        </w:trPr>
        <w:tc>
          <w:tcPr>
            <w:tcW w:w="20" w:type="dxa"/>
            <w:vAlign w:val="bottom"/>
          </w:tcPr>
          <w:p>
            <w:pPr>
              <w:spacing w:after="0"/>
              <w:rPr>
                <w:sz w:val="13"/>
                <w:szCs w:val="13"/>
                <w:color w:val="auto"/>
              </w:rPr>
            </w:pPr>
          </w:p>
        </w:tc>
        <w:tc>
          <w:tcPr>
            <w:tcW w:w="626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Subtotal</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540,035</w:t>
            </w: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Net unamortized discount</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(426)</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626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Total mortgages payable</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539,609</w:t>
            </w: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Notes payable</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ind w:left="200"/>
              <w:spacing w:after="0" w:line="149" w:lineRule="exact"/>
              <w:rPr>
                <w:sz w:val="20"/>
                <w:szCs w:val="20"/>
                <w:color w:val="auto"/>
              </w:rPr>
            </w:pPr>
            <w:r>
              <w:rPr>
                <w:rFonts w:ascii="Arial" w:cs="Arial" w:eastAsia="Arial" w:hAnsi="Arial"/>
                <w:sz w:val="14"/>
                <w:szCs w:val="14"/>
                <w:i w:val="1"/>
                <w:iCs w:val="1"/>
                <w:color w:val="auto"/>
              </w:rPr>
              <w:t>Unsecured fixed rate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April 1, 2012</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Perring Plaza renovation</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3,087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10.000%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w w:val="97"/>
              </w:rPr>
              <w:t>January 31, 2013</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Unsecured variable rate</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Revolving credit facility(5)</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300,000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LIBOR + 0.425%</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July 27, 2011</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Term loan(6)</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372,000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LIBOR + 3.000%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27, 2011</w:t>
            </w:r>
          </w:p>
        </w:tc>
      </w:tr>
      <w:tr>
        <w:trPr>
          <w:trHeight w:val="156"/>
        </w:trPr>
        <w:tc>
          <w:tcPr>
            <w:tcW w:w="20" w:type="dxa"/>
            <w:vAlign w:val="bottom"/>
          </w:tcPr>
          <w:p>
            <w:pPr>
              <w:spacing w:after="0"/>
              <w:rPr>
                <w:sz w:val="13"/>
                <w:szCs w:val="13"/>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Escondido (Municipal bonds)(7)</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9,400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9,400</w:t>
            </w:r>
          </w:p>
        </w:tc>
        <w:tc>
          <w:tcPr>
            <w:tcW w:w="420" w:type="dxa"/>
            <w:vAlign w:val="bottom"/>
          </w:tcPr>
          <w:p>
            <w:pPr>
              <w:spacing w:after="0"/>
              <w:rPr>
                <w:sz w:val="13"/>
                <w:szCs w:val="13"/>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0.379%</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October 1, 2016</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notes payable</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261,745</w:t>
            </w:r>
          </w:p>
        </w:tc>
        <w:tc>
          <w:tcPr>
            <w:tcW w:w="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6"/>
        </w:trPr>
        <w:tc>
          <w:tcPr>
            <w:tcW w:w="62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Senior notes and debentures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Unsecured fixed rate</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4.50% notes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4.500%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w w:val="92"/>
              </w:rPr>
              <w:t>February 15, 2011</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6.00% notes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175,000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6.000%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15, 2012</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5.40% notes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135,000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135,000</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5.400%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w w:val="92"/>
              </w:rPr>
              <w:t>December 1, 2013</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5.95% notes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150,000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5.950%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15, 2014</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5.65% notes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5.650%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June 1, 2016</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6.20% notes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200,000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6.200%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January 15, 2017</w:t>
            </w: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7.48% debentures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29,200</w:t>
            </w:r>
          </w:p>
        </w:tc>
        <w:tc>
          <w:tcPr>
            <w:tcW w:w="420" w:type="dxa"/>
            <w:vAlign w:val="bottom"/>
          </w:tcPr>
          <w:p>
            <w:pPr>
              <w:spacing w:after="0"/>
              <w:rPr>
                <w:sz w:val="12"/>
                <w:szCs w:val="12"/>
                <w:color w:val="auto"/>
              </w:rPr>
            </w:pPr>
          </w:p>
        </w:tc>
        <w:tc>
          <w:tcPr>
            <w:tcW w:w="1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7.480%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August 15, 2026</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6.82% medium term notes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4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6.820%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 2027</w:t>
            </w:r>
          </w:p>
        </w:tc>
      </w:tr>
      <w:tr>
        <w:trPr>
          <w:trHeight w:val="156"/>
        </w:trPr>
        <w:tc>
          <w:tcPr>
            <w:tcW w:w="20" w:type="dxa"/>
            <w:vAlign w:val="bottom"/>
          </w:tcPr>
          <w:p>
            <w:pPr>
              <w:spacing w:after="0"/>
              <w:rPr>
                <w:sz w:val="13"/>
                <w:szCs w:val="13"/>
                <w:color w:val="auto"/>
              </w:rPr>
            </w:pPr>
          </w:p>
        </w:tc>
        <w:tc>
          <w:tcPr>
            <w:tcW w:w="626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Subtotal</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929,200</w:t>
            </w: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Net unamortized premium</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1,019</w:t>
            </w:r>
          </w:p>
        </w:tc>
        <w:tc>
          <w:tcPr>
            <w:tcW w:w="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626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Total senior notes and debentures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930,219</w:t>
            </w: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lease obligations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Various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62,275</w:t>
            </w:r>
          </w:p>
        </w:tc>
        <w:tc>
          <w:tcPr>
            <w:tcW w:w="420" w:type="dxa"/>
            <w:vAlign w:val="bottom"/>
          </w:tcPr>
          <w:p>
            <w:pPr>
              <w:spacing w:after="0"/>
              <w:rPr>
                <w:sz w:val="13"/>
                <w:szCs w:val="13"/>
                <w:color w:val="auto"/>
              </w:rPr>
            </w:pPr>
          </w:p>
        </w:tc>
        <w:tc>
          <w:tcPr>
            <w:tcW w:w="16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Various</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w w:val="90"/>
              </w:rPr>
              <w:t>2028 through 2106</w:t>
            </w: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debt and capital lease obligations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1,793,848</w:t>
            </w:r>
          </w:p>
        </w:tc>
        <w:tc>
          <w:tcPr>
            <w:tcW w:w="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Mortgages payable do not include our 30% share ($17.3 million) of the $57.8 million debt of the Partnership with a discretionary fund created and advised by ING Clarion Partners.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60" w:hanging="332"/>
        <w:spacing w:after="0" w:line="230"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interest rate of 6.04% represents the weighted average interest rate for two mortgage loans secured by this property. The loan balance represents an interest only loan of $4.35 million at a stated rate of 6.18% and the remaining balance at a stated rate of 5.96%.</w:t>
      </w:r>
    </w:p>
    <w:p>
      <w:pPr>
        <w:ind w:left="340" w:right="6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ind w:left="340" w:hanging="332"/>
        <w:spacing w:after="0"/>
        <w:tabs>
          <w:tab w:leader="none" w:pos="3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interest rate is fixed at 5.66% for the first ten years and then will be reset to a market rate in 2013. The lender has the option to call the loan on April 15, 2013 or any time thereafter.</w:t>
      </w:r>
    </w:p>
    <w:p>
      <w:pPr>
        <w:spacing w:after="0" w:line="10" w:lineRule="exact"/>
        <w:rPr>
          <w:rFonts w:ascii="Arial" w:cs="Arial" w:eastAsia="Arial" w:hAnsi="Arial"/>
          <w:sz w:val="12"/>
          <w:szCs w:val="12"/>
          <w:color w:val="auto"/>
        </w:rPr>
      </w:pPr>
    </w:p>
    <w:p>
      <w:pPr>
        <w:ind w:left="340" w:right="8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2009 was $172.5 million and the weighted average effective interest rate, before amortization of debt fees, was 1.37%. The revolving credit facility was scheduled to mature on July 27, 2010, subject to a one-year extension at our option. On January 28, 2010, we delivered notice to our lender exercising our option to extend the maturity date one year to July 27, 2011.</w:t>
      </w:r>
    </w:p>
    <w:p>
      <w:pPr>
        <w:ind w:left="340" w:right="36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term loan bears interest at LIBOR, subject to a 1.5% floor, plus 300 basis points. The weighted average effective interest rate, before amortization of debt fees, was 4.62% for the period from the inception of the loan of May 4, 2009 through December 31, 2009.</w:t>
      </w:r>
    </w:p>
    <w:p>
      <w:pPr>
        <w:ind w:left="340" w:right="20" w:hanging="332"/>
        <w:spacing w:after="0" w:line="230"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4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revolving credit facility, term loan, and other debt agreements include financial and other covenants that may limit our operating activities in the future. As of December 31, 2009,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debt maturities as of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Capital</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0"/>
              </w:rPr>
              <w:t>Unsecured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Secured</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5"/>
              </w:rPr>
              <w:t>Lease</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12,036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2011</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325,720(1)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47,571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374,690</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175,727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194,607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2013</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135,030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72,107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208,746</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156,364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308,089</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403,600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236,753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54,734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695,087</w:t>
            </w:r>
          </w:p>
        </w:tc>
      </w:tr>
      <w:tr>
        <w:trPr>
          <w:trHeight w:val="27"/>
        </w:trPr>
        <w:tc>
          <w:tcPr>
            <w:tcW w:w="11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1,190,945</w:t>
            </w: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540,035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62,275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1,793,255(2)</w:t>
            </w:r>
          </w:p>
        </w:tc>
      </w:tr>
      <w:tr>
        <w:trPr>
          <w:trHeight w:val="20"/>
        </w:trPr>
        <w:tc>
          <w:tcPr>
            <w:tcW w:w="1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$300 million revolving credit facility matures on July 27, 2011. As of December 31, 2009, there is $0 drawn under this credit facility.</w:t>
      </w:r>
    </w:p>
    <w:p>
      <w:pPr>
        <w:spacing w:after="0" w:line="15" w:lineRule="exact"/>
        <w:rPr>
          <w:rFonts w:ascii="Arial" w:cs="Arial" w:eastAsia="Arial" w:hAnsi="Arial"/>
          <w:sz w:val="18"/>
          <w:szCs w:val="18"/>
          <w:color w:val="auto"/>
        </w:rPr>
      </w:pPr>
    </w:p>
    <w:p>
      <w:pPr>
        <w:ind w:left="460" w:right="440" w:hanging="452"/>
        <w:spacing w:after="0" w:line="261"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debt maturities differs from the total reported on the consolidated balance sheet due to unamortized discounts and premiums as of December 31,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We had no hedging instruments outstanding during 2009. We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780" w:right="2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it is necessary for us to maintain REIT status. However, we must distribute 90% of our taxable income to remain qualified as a REIT. Therefore, a significant increase in FFO will generally require an increase in distributions to shareholders although not necessarily on a proportionate basis.</w:t>
      </w:r>
    </w:p>
    <w:p>
      <w:pPr>
        <w:spacing w:after="0" w:line="143" w:lineRule="exact"/>
        <w:rPr>
          <w:sz w:val="20"/>
          <w:szCs w:val="20"/>
          <w:color w:val="auto"/>
        </w:rPr>
      </w:pPr>
    </w:p>
    <w:p>
      <w:pPr>
        <w:jc w:val="both"/>
        <w:ind w:right="380"/>
        <w:spacing w:after="0" w:line="298" w:lineRule="auto"/>
        <w:rPr>
          <w:sz w:val="20"/>
          <w:szCs w:val="20"/>
          <w:color w:val="auto"/>
        </w:rPr>
      </w:pPr>
      <w:r>
        <w:rPr>
          <w:rFonts w:ascii="Arial" w:cs="Arial" w:eastAsia="Arial" w:hAnsi="Arial"/>
          <w:sz w:val="16"/>
          <w:szCs w:val="16"/>
          <w:color w:val="auto"/>
        </w:rPr>
        <w:t>Effective January 1, 2009, we adopted a new accounting standard which requires us to calculate FFO per share for all periods presented using the two-class method. The two-class method is an earnings allocation methodology whereby EPS for each class of common stock and participating securities is calculated according to dividends declared and participation rights in undistributed earnings. The implementation resulted in a decrease from $3.87 to $3.85 in FFO per share for 2008 and a decrease from $3.63 to $3.62 in FFO per share for 2007.</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w w:val="71"/>
              </w:rPr>
              <w:t>thousands,</w:t>
            </w:r>
          </w:p>
        </w:tc>
        <w:tc>
          <w:tcPr>
            <w:tcW w:w="1900" w:type="dxa"/>
            <w:vAlign w:val="bottom"/>
            <w:gridSpan w:val="7"/>
          </w:tcPr>
          <w:p>
            <w:pPr>
              <w:jc w:val="right"/>
              <w:ind w:right="500"/>
              <w:spacing w:after="0" w:line="142" w:lineRule="exact"/>
              <w:rPr>
                <w:sz w:val="20"/>
                <w:szCs w:val="20"/>
                <w:color w:val="auto"/>
              </w:rPr>
            </w:pPr>
            <w:r>
              <w:rPr>
                <w:rFonts w:ascii="Arial" w:cs="Arial" w:eastAsia="Arial" w:hAnsi="Arial"/>
                <w:sz w:val="14"/>
                <w:szCs w:val="14"/>
                <w:b w:val="1"/>
                <w:bCs w:val="1"/>
                <w:color w:val="auto"/>
                <w:w w:val="92"/>
              </w:rPr>
              <w:t>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103,872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135,153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1020" w:type="dxa"/>
            <w:vAlign w:val="bottom"/>
            <w:gridSpan w:val="2"/>
          </w:tcPr>
          <w:p>
            <w:pPr>
              <w:jc w:val="right"/>
              <w:ind w:right="344"/>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(5,366)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(12,572)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(94,768)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103,104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101,450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Depreciation of joint venture real estate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211,319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228,767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206,048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Dividends on preferred shares</w:t>
            </w:r>
          </w:p>
        </w:tc>
        <w:tc>
          <w:tcPr>
            <w:tcW w:w="100" w:type="dxa"/>
            <w:vAlign w:val="bottom"/>
          </w:tcPr>
          <w:p>
            <w:pPr>
              <w:spacing w:after="0"/>
              <w:rPr>
                <w:sz w:val="18"/>
                <w:szCs w:val="18"/>
                <w:color w:val="auto"/>
              </w:rPr>
            </w:pPr>
          </w:p>
        </w:tc>
        <w:tc>
          <w:tcPr>
            <w:tcW w:w="1020" w:type="dxa"/>
            <w:vAlign w:val="bottom"/>
            <w:gridSpan w:val="2"/>
          </w:tcPr>
          <w:p>
            <w:pPr>
              <w:jc w:val="right"/>
              <w:ind w:right="344"/>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Income attributable to unvested shares</w:t>
            </w:r>
          </w:p>
        </w:tc>
        <w:tc>
          <w:tcPr>
            <w:tcW w:w="100" w:type="dxa"/>
            <w:vAlign w:val="bottom"/>
          </w:tcPr>
          <w:p>
            <w:pPr>
              <w:spacing w:after="0"/>
              <w:rPr>
                <w:sz w:val="18"/>
                <w:szCs w:val="18"/>
                <w:color w:val="auto"/>
              </w:rPr>
            </w:pPr>
          </w:p>
        </w:tc>
        <w:tc>
          <w:tcPr>
            <w:tcW w:w="1020" w:type="dxa"/>
            <w:vAlign w:val="bottom"/>
            <w:gridSpan w:val="2"/>
          </w:tcPr>
          <w:p>
            <w:pPr>
              <w:jc w:val="right"/>
              <w:ind w:right="344"/>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from operations available for common shareholders(1)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211,065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228,397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206,037</w:t>
            </w:r>
          </w:p>
        </w:tc>
        <w:tc>
          <w:tcPr>
            <w:tcW w:w="0" w:type="dxa"/>
            <w:vAlign w:val="bottom"/>
          </w:tcPr>
          <w:p>
            <w:pPr>
              <w:spacing w:after="0"/>
              <w:rPr>
                <w:sz w:val="1"/>
                <w:szCs w:val="1"/>
                <w:color w:val="auto"/>
              </w:rPr>
            </w:pPr>
          </w:p>
        </w:tc>
      </w:tr>
      <w:tr>
        <w:trPr>
          <w:trHeight w:val="20"/>
        </w:trPr>
        <w:tc>
          <w:tcPr>
            <w:tcW w:w="840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number of common shares, diluted(2)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59,266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60" w:hanging="452"/>
        <w:spacing w:after="0" w:line="253"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FFO and FFO per diluted share for 2009, includes a $16.4 million charge for increasing the accrual for litigation regarding a parcel of land located adjacent to Santana Row as well as other costs related to the litigation and appeal process. See Note 8 to the consolidated financial statements in this Form 10-K for further discussion on the litigation.</w:t>
      </w:r>
    </w:p>
    <w:p>
      <w:pPr>
        <w:jc w:val="both"/>
        <w:ind w:left="460" w:right="280" w:hanging="452"/>
        <w:spacing w:after="0" w:line="255"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December 31, 2009,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December 31, 2009 we had $1.5 billion of fixed-rate debt outstanding. If interest rates on our fixed-rate debt instruments at December 31, 2009 had been 1.0% higher, the fair value of those debt instruments on that date would have decreased by approximately $61.4 million. If interest rates on our fixed-rate debt instruments at December 31, 2009 had been 1.0% lower, the fair value of those debt instruments on that date would have increased by approximately $65.4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that our primary interest rate risk is due to fluctuations in interest rates on our variable rate debt. At December 31, 2009, we had $259.4 million of variable rate debt outstanding, which consisted of a $250 million term loan that bears interest at LIBOR, subject to a 1.5% floor, plus 300 basis points, and $9.4 million of municipal bonds that bears interest at 0.4%. Based upon this amount of variable rate debt and specific terms, if interest rates increased by 1.0% our annual interest expense would increase by approximately $2.6 million, and our net income and cash flows for the year would decrease by approximately $2.6 million. Conversely, if interest rates decreased by 1.0%, our annual interest expense would decrease by less than $0.1 million with a corresponding increase in our net income and cash flows for the year.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207" w:lineRule="exact"/>
        <w:rPr>
          <w:sz w:val="20"/>
          <w:szCs w:val="20"/>
          <w:color w:val="auto"/>
        </w:rPr>
      </w:pPr>
    </w:p>
    <w:p>
      <w:pPr>
        <w:ind w:right="1340"/>
        <w:spacing w:after="0" w:line="369"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Assessment</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carried out an assessment as of December 31, 2009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 and Principal Financial Officer Certifications</w:t>
      </w:r>
    </w:p>
    <w:p>
      <w:pPr>
        <w:spacing w:after="0" w:line="9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w:t>
      </w:r>
    </w:p>
    <w:p>
      <w:pPr>
        <w:ind w:right="60"/>
        <w:spacing w:after="0" w:line="261" w:lineRule="auto"/>
        <w:rPr>
          <w:sz w:val="20"/>
          <w:szCs w:val="20"/>
          <w:color w:val="auto"/>
        </w:rPr>
      </w:pPr>
      <w:r>
        <w:rPr>
          <w:rFonts w:ascii="Arial" w:cs="Arial" w:eastAsia="Arial" w:hAnsi="Arial"/>
          <w:sz w:val="18"/>
          <w:szCs w:val="18"/>
          <w:color w:val="auto"/>
        </w:rPr>
        <w:t>Form 10-K that you currently are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Senior Vice President— 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Establishing and maintaining internal control over financial reporting is a process designed by, or under the supervision of, our President and Chief Executive Officer and Senior Vice President—Chief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in the United States of America. This process includes policies and procedures that:</w:t>
      </w:r>
    </w:p>
    <w:p>
      <w:pPr>
        <w:spacing w:after="0" w:line="32" w:lineRule="exact"/>
        <w:rPr>
          <w:sz w:val="20"/>
          <w:szCs w:val="20"/>
          <w:color w:val="auto"/>
        </w:rPr>
      </w:pPr>
    </w:p>
    <w:p>
      <w:pPr>
        <w:jc w:val="center"/>
        <w:ind w:left="5620" w:right="1040" w:hanging="5166"/>
        <w:spacing w:after="0" w:line="440" w:lineRule="auto"/>
        <w:tabs>
          <w:tab w:leader="none" w:pos="7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pertain to the maintenance of records that accurately and fairly reflect the transactions and dispositions of our assets in reasonable detail; 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40" w:hanging="326"/>
        <w:spacing w:after="0" w:line="259"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59" w:lineRule="exact"/>
        <w:rPr>
          <w:rFonts w:ascii="Arial" w:cs="Arial" w:eastAsia="Arial" w:hAnsi="Arial"/>
          <w:sz w:val="18"/>
          <w:szCs w:val="18"/>
          <w:color w:val="auto"/>
        </w:rPr>
      </w:pPr>
    </w:p>
    <w:p>
      <w:pPr>
        <w:ind w:left="780" w:right="82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not be detected.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the Evaluations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evaluation by our Chief Executive Officer and our Chief Financial Officer of our disclosure controls and procedures and our internal control over financial reporting included a review of our procedures and procedures performed by internal audit, as well as discussions with our Disclosure Committee and others in our organization, as appropriate. In conducting this evaluation,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 Chief Financial Officer disclose that information to the Audit Committee of our Board of Trustees and our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independent auditors and also require us to report on related matters in this section of the Annual Report on Form 10-K. In the Public Company Accounting Oversight Board’s Auditing Standard No. 5, a “deficiency” in internal control over financial reporting exists when the design or operation of a control does not allow management or employees, in the normal course of performing their assigned functions, to prevent or detect misstatements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A “material weakness” is defined in Auditing Standard No. 5 as a deficiency, or a combination of deficiencies, in internal control over financial reporting, such that there is a reasonable possibility that a material misstatement of the company’s annual or interim financial statements will not be prevented or detected on a timely basis.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Internal Control over Financial Reporting</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 to provide reasonable assurance regarding the reliability of financial reporting and the preparation of financial statements for external purposes in accordance with generally accepted accounting principles in the United States of America.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Our Management</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management has issued a report on its assessment of the Trust’s internal control over financial reporting, which appears on page F-2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Our Independent Registered Public Accounting Firm</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Grant Thornton LLP, our independent registered public accounting firm that audited the financial statements included in this Annual Report on Form 10-K, has issued an attestation report on the Trust’s internal control over financial reporting, which appears on page F-3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our fourth fiscal quarter of 2009 that materially affected, or is reasonably likely to materially affect, our internal control over financial reporting.</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2010 Annual Meeting of Shareholders (the “Proxy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TRUSTEES, EXECUTIVE OFFICERS AND CORPORATE GOVERNANCE</w:t>
      </w:r>
    </w:p>
    <w:p>
      <w:pPr>
        <w:spacing w:after="0" w:line="9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 The tables and narrative in the Proxy Statement identifying our Trustees and Board committees under the caption “Election of Trustees” and “Corporate Governance” and the section of the Proxy Statement entitled “Executive Officers” are incorporated herein by reference.</w:t>
      </w:r>
    </w:p>
    <w:p>
      <w:pPr>
        <w:spacing w:after="0" w:line="8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 The information included under the section of the Proxy Statement entitled “Section 16(a) Beneficial Ownership Reporting Compliance” is incorporated herein by reference.</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c.) We have adopted a Code of Ethics, which is applicable to our Chief Executive Officer and senior financial officers. The Code of Ethics is available in the Corporate Governance section of the Investor Information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sections of the Proxy Statement entitled “Summary Compensation Table,” “Compensation Committee Interlocks and Insider Participation,” “Compensation Committee Report,” “Trustee Compensation” and “Compensation Discussion and Analysis” are incorporated herein by reference.</w:t>
      </w:r>
    </w:p>
    <w:p>
      <w:pPr>
        <w:spacing w:after="0" w:line="201" w:lineRule="exact"/>
        <w:rPr>
          <w:sz w:val="20"/>
          <w:szCs w:val="20"/>
          <w:color w:val="auto"/>
        </w:rPr>
      </w:pPr>
    </w:p>
    <w:p>
      <w:pPr>
        <w:ind w:left="1040" w:right="7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sections of the Proxy Statement entitled “Share Ownership” and “Equity Compensation Plan Information” are incorporated herein by reference.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TRUSTEE INDEPENDENCE</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sections of the Proxy Statement entitled “Certain Relationship and Related Transactions” and “Independence of Trustees” are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sections of the Proxy Statement entitled “Ratification of Independent Registered Public Accounting Firm” and “Relationship with Independent Registered Public Accounting Firm” are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right="5200"/>
        <w:spacing w:after="0" w:line="347" w:lineRule="auto"/>
        <w:rPr>
          <w:sz w:val="20"/>
          <w:szCs w:val="20"/>
          <w:color w:val="auto"/>
        </w:rPr>
      </w:pPr>
      <w:r>
        <w:rPr>
          <w:rFonts w:ascii="Arial" w:cs="Arial" w:eastAsia="Arial" w:hAnsi="Arial"/>
          <w:sz w:val="18"/>
          <w:szCs w:val="18"/>
          <w:b w:val="1"/>
          <w:bCs w:val="1"/>
          <w:color w:val="auto"/>
        </w:rPr>
        <w:t>ITEM 15. EXHIBITS AND FINANCIAL STATEMENT SCHEDULES (a)(1) Financial Statements</w:t>
      </w:r>
    </w:p>
    <w:p>
      <w:pPr>
        <w:spacing w:after="0" w:line="2" w:lineRule="exact"/>
        <w:rPr>
          <w:sz w:val="20"/>
          <w:szCs w:val="20"/>
          <w:color w:val="auto"/>
        </w:rPr>
      </w:pPr>
    </w:p>
    <w:p>
      <w:pPr>
        <w:ind w:right="60"/>
        <w:spacing w:after="0" w:line="330" w:lineRule="auto"/>
        <w:rPr>
          <w:sz w:val="20"/>
          <w:szCs w:val="20"/>
          <w:color w:val="auto"/>
        </w:rPr>
      </w:pPr>
      <w:r>
        <w:rPr>
          <w:rFonts w:ascii="Arial" w:cs="Arial" w:eastAsia="Arial" w:hAnsi="Arial"/>
          <w:sz w:val="16"/>
          <w:szCs w:val="16"/>
          <w:color w:val="auto"/>
        </w:rPr>
        <w:t>Our consolidated financial statements and notes thereto, together with Management’s Report on Internal Control over Financial Reporting and Report of Independent Registered Public Accounting Firm are included as a separate section of this Annual Report on Form 10-K commencing on page F-1.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statement schedules are included in a separate section of this Annual Report on Form 10-K commencing on page F-37.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list of exhibits to this Annual Report on Form 10-K is set forth on the Exhibit Index immediately preceding such exhibits and is incorporated herein by reference.</w:t>
      </w:r>
    </w:p>
    <w:p>
      <w:pPr>
        <w:spacing w:after="0" w:line="132"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 Exhibit Index</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780"/>
          </w:cols>
          <w:pgMar w:left="240" w:top="459" w:right="8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17th day of February, 2010.</w:t>
      </w:r>
    </w:p>
    <w:p>
      <w:pPr>
        <w:spacing w:after="0" w:line="17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tabs>
          <w:tab w:leader="none" w:pos="818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Donald C. Wood</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President, Chief Executive Officer and Trustee</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4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6"/>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5"/>
              </w:rPr>
              <w:t>DONALD C. WOOD</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7"/>
              </w:rPr>
              <w:t>President, Chief Executive Officer and Trustee (Principal</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17, 2010</w:t>
            </w:r>
          </w:p>
        </w:tc>
      </w:tr>
      <w:tr>
        <w:trPr>
          <w:trHeight w:val="202"/>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8"/>
              </w:rPr>
              <w:t>Donald C. Wood</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Executive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26"/>
        </w:trPr>
        <w:tc>
          <w:tcPr>
            <w:tcW w:w="48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ANDREW P. BLOCHER</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Senior Vice President, Chief Financial Officer and</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17, 2010</w:t>
            </w:r>
          </w:p>
        </w:tc>
      </w:tr>
      <w:tr>
        <w:trPr>
          <w:trHeight w:val="202"/>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6"/>
              </w:rPr>
              <w:t>Andrew P. Blocher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w w:val="97"/>
              </w:rPr>
              <w:t>Treasurer (Principal Financial and Accounting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27"/>
        </w:trPr>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Borders>
              <w:bottom w:val="single" w:sz="8" w:color="auto"/>
            </w:tcBorders>
            <w:gridSpan w:val="4"/>
          </w:tcPr>
          <w:p>
            <w:pPr>
              <w:jc w:val="center"/>
              <w:ind w:right="1260"/>
              <w:spacing w:after="0"/>
              <w:rPr>
                <w:sz w:val="20"/>
                <w:szCs w:val="20"/>
                <w:color w:val="auto"/>
              </w:rPr>
            </w:pPr>
            <w:r>
              <w:rPr>
                <w:rFonts w:ascii="Arial" w:cs="Arial" w:eastAsia="Arial" w:hAnsi="Arial"/>
                <w:sz w:val="18"/>
                <w:szCs w:val="18"/>
                <w:color w:val="auto"/>
                <w:w w:val="91"/>
              </w:rPr>
              <w:t>JOSEPH S. VASSALLUZZO</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Non-Executive Chairman</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17, 2010</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2"/>
              </w:rPr>
              <w:t>Joseph S. Vassalluzzo</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JON E. BORTZ</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17, 2010</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80" w:type="dxa"/>
            <w:vAlign w:val="bottom"/>
            <w:gridSpan w:val="2"/>
          </w:tcPr>
          <w:p>
            <w:pPr>
              <w:jc w:val="center"/>
              <w:ind w:right="2120"/>
              <w:spacing w:after="0"/>
              <w:rPr>
                <w:sz w:val="20"/>
                <w:szCs w:val="20"/>
                <w:color w:val="auto"/>
              </w:rPr>
            </w:pPr>
            <w:r>
              <w:rPr>
                <w:rFonts w:ascii="Arial" w:cs="Arial" w:eastAsia="Arial" w:hAnsi="Arial"/>
                <w:sz w:val="14"/>
                <w:szCs w:val="14"/>
                <w:b w:val="1"/>
                <w:bCs w:val="1"/>
                <w:color w:val="auto"/>
                <w:w w:val="86"/>
              </w:rPr>
              <w:t>Jon Bortz</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3"/>
              </w:rPr>
              <w:t>DAVID W. FAEDER</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17, 2010</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9"/>
              </w:rPr>
              <w:t>David W. Faeder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7"/>
              </w:rPr>
              <w:t>KRISTIN GAMBLE</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17, 2010</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Kristin Gamble</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3"/>
              </w:rPr>
              <w:t>GAIL P. STEINEL</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17, 2010</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5"/>
              </w:rPr>
              <w:t>Gail P. Steinel</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40" w:type="dxa"/>
            <w:vAlign w:val="bottom"/>
            <w:tcBorders>
              <w:bottom w:val="single" w:sz="8" w:color="auto"/>
            </w:tcBorders>
            <w:gridSpan w:val="4"/>
          </w:tcPr>
          <w:p>
            <w:pPr>
              <w:jc w:val="center"/>
              <w:ind w:right="1260"/>
              <w:spacing w:after="0"/>
              <w:rPr>
                <w:sz w:val="20"/>
                <w:szCs w:val="20"/>
                <w:color w:val="auto"/>
              </w:rPr>
            </w:pPr>
            <w:r>
              <w:rPr>
                <w:rFonts w:ascii="Arial" w:cs="Arial" w:eastAsia="Arial" w:hAnsi="Arial"/>
                <w:sz w:val="18"/>
                <w:szCs w:val="18"/>
                <w:color w:val="auto"/>
                <w:w w:val="93"/>
              </w:rPr>
              <w:t>WARREN M. THOMPSON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17, 2010</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Warren M. Thompson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50"/>
        </w:trPr>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ind w:left="82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and Item 15(a)(1) and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380" w:type="dxa"/>
            <w:vAlign w:val="bottom"/>
            <w:gridSpan w:val="11"/>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 No.</w:t>
            </w:r>
          </w:p>
        </w:tc>
      </w:tr>
      <w:tr>
        <w:trPr>
          <w:trHeight w:val="169"/>
        </w:trPr>
        <w:tc>
          <w:tcPr>
            <w:tcW w:w="10380" w:type="dxa"/>
            <w:vAlign w:val="bottom"/>
            <w:gridSpan w:val="11"/>
          </w:tcPr>
          <w:p>
            <w:pPr>
              <w:spacing w:after="0" w:line="170" w:lineRule="exact"/>
              <w:rPr>
                <w:rFonts w:ascii="Arial" w:cs="Arial" w:eastAsia="Arial" w:hAnsi="Arial"/>
                <w:sz w:val="18"/>
                <w:szCs w:val="18"/>
                <w:color w:val="0000EE"/>
              </w:rPr>
            </w:pPr>
            <w:hyperlink w:anchor="page64">
              <w:r>
                <w:rPr>
                  <w:rFonts w:ascii="Arial" w:cs="Arial" w:eastAsia="Arial" w:hAnsi="Arial"/>
                  <w:sz w:val="18"/>
                  <w:szCs w:val="18"/>
                  <w:color w:val="0000EE"/>
                </w:rPr>
                <w:t>Management Assessment Report on Internal Control over Financial Reporting</w:t>
              </w:r>
            </w:hyperlink>
          </w:p>
        </w:tc>
        <w:tc>
          <w:tcPr>
            <w:tcW w:w="10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r>
      <w:tr>
        <w:trPr>
          <w:trHeight w:val="196"/>
        </w:trPr>
        <w:tc>
          <w:tcPr>
            <w:tcW w:w="41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Report of Independent Registered Public Accounting Firm</w:t>
              </w:r>
            </w:hyperlink>
          </w:p>
        </w:tc>
        <w:tc>
          <w:tcPr>
            <w:tcW w:w="1360" w:type="dxa"/>
            <w:vAlign w:val="bottom"/>
            <w:tcBorders>
              <w:top w:val="single" w:sz="8" w:color="0000EE"/>
            </w:tcBorders>
            <w:gridSpan w:val="2"/>
          </w:tcPr>
          <w:p>
            <w:pPr>
              <w:spacing w:after="0"/>
              <w:rPr>
                <w:sz w:val="17"/>
                <w:szCs w:val="17"/>
                <w:color w:val="auto"/>
              </w:rPr>
            </w:pPr>
          </w:p>
        </w:tc>
        <w:tc>
          <w:tcPr>
            <w:tcW w:w="488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r>
      <w:tr>
        <w:trPr>
          <w:trHeight w:val="196"/>
        </w:trPr>
        <w:tc>
          <w:tcPr>
            <w:tcW w:w="10380" w:type="dxa"/>
            <w:vAlign w:val="bottom"/>
            <w:gridSpan w:val="1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r>
      <w:tr>
        <w:trPr>
          <w:trHeight w:val="196"/>
        </w:trPr>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Balance Sheets</w:t>
              </w:r>
            </w:hyperlink>
          </w:p>
        </w:tc>
        <w:tc>
          <w:tcPr>
            <w:tcW w:w="6260" w:type="dxa"/>
            <w:vAlign w:val="bottom"/>
            <w:gridSpan w:val="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Consolidated Statements of Operations</w:t>
              </w:r>
            </w:hyperlink>
          </w:p>
        </w:tc>
        <w:tc>
          <w:tcPr>
            <w:tcW w:w="7620" w:type="dxa"/>
            <w:vAlign w:val="bottom"/>
            <w:gridSpan w:val="9"/>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r>
      <w:tr>
        <w:trPr>
          <w:trHeight w:val="196"/>
        </w:trPr>
        <w:tc>
          <w:tcPr>
            <w:tcW w:w="10380" w:type="dxa"/>
            <w:vAlign w:val="bottom"/>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 of Shareholders’ Equity</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r>
      <w:tr>
        <w:trPr>
          <w:trHeight w:val="196"/>
        </w:trPr>
        <w:tc>
          <w:tcPr>
            <w:tcW w:w="3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w:t>
              </w:r>
            </w:hyperlink>
          </w:p>
        </w:tc>
        <w:tc>
          <w:tcPr>
            <w:tcW w:w="6980" w:type="dxa"/>
            <w:vAlign w:val="bottom"/>
            <w:gridSpan w:val="5"/>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0380" w:type="dxa"/>
            <w:vAlign w:val="bottom"/>
            <w:gridSpan w:val="1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F-9-F-32</w:t>
            </w:r>
          </w:p>
        </w:tc>
      </w:tr>
      <w:tr>
        <w:trPr>
          <w:trHeight w:val="336"/>
        </w:trPr>
        <w:tc>
          <w:tcPr>
            <w:tcW w:w="3080" w:type="dxa"/>
            <w:vAlign w:val="bottom"/>
            <w:tcBorders>
              <w:top w:val="single" w:sz="8" w:color="0000EE"/>
            </w:tcBorders>
            <w:gridSpan w:val="4"/>
          </w:tcPr>
          <w:p>
            <w:pPr>
              <w:spacing w:after="0"/>
              <w:rPr>
                <w:sz w:val="20"/>
                <w:szCs w:val="20"/>
                <w:color w:val="auto"/>
              </w:rPr>
            </w:pPr>
            <w:r>
              <w:rPr>
                <w:rFonts w:ascii="Arial" w:cs="Arial" w:eastAsia="Arial" w:hAnsi="Arial"/>
                <w:sz w:val="18"/>
                <w:szCs w:val="18"/>
                <w:i w:val="1"/>
                <w:iCs w:val="1"/>
                <w:color w:val="auto"/>
              </w:rPr>
              <w:t>Financial Statement Schedules</w:t>
            </w:r>
          </w:p>
        </w:tc>
        <w:tc>
          <w:tcPr>
            <w:tcW w:w="7300" w:type="dxa"/>
            <w:vAlign w:val="bottom"/>
            <w:gridSpan w:val="7"/>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0380" w:type="dxa"/>
            <w:vAlign w:val="bottom"/>
            <w:gridSpan w:val="11"/>
          </w:tcPr>
          <w:p>
            <w:pPr>
              <w:spacing w:after="0" w:line="184" w:lineRule="exact"/>
              <w:rPr>
                <w:rFonts w:ascii="Arial" w:cs="Arial" w:eastAsia="Arial" w:hAnsi="Arial"/>
                <w:sz w:val="18"/>
                <w:szCs w:val="18"/>
                <w:color w:val="0000EE"/>
              </w:rPr>
            </w:pPr>
            <w:hyperlink w:anchor="page95">
              <w:r>
                <w:rPr>
                  <w:rFonts w:ascii="Arial" w:cs="Arial" w:eastAsia="Arial" w:hAnsi="Arial"/>
                  <w:sz w:val="18"/>
                  <w:szCs w:val="18"/>
                  <w:color w:val="0000EE"/>
                </w:rPr>
                <w:t>Schedule III—Summary of Real Estate and Accumulated Depreciation</w:t>
              </w:r>
            </w:hyperlink>
          </w:p>
        </w:tc>
        <w:tc>
          <w:tcPr>
            <w:tcW w:w="106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F-33-F-38</w:t>
            </w:r>
          </w:p>
        </w:tc>
      </w:tr>
      <w:tr>
        <w:trPr>
          <w:trHeight w:val="196"/>
        </w:trPr>
        <w:tc>
          <w:tcPr>
            <w:tcW w:w="3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Schedule IV—Mortgage Loans on Real Estate</w:t>
              </w:r>
            </w:hyperlink>
          </w:p>
        </w:tc>
        <w:tc>
          <w:tcPr>
            <w:tcW w:w="1700" w:type="dxa"/>
            <w:vAlign w:val="bottom"/>
            <w:tcBorders>
              <w:top w:val="single" w:sz="8" w:color="0000EE"/>
            </w:tcBorders>
            <w:gridSpan w:val="4"/>
          </w:tcPr>
          <w:p>
            <w:pPr>
              <w:spacing w:after="0"/>
              <w:rPr>
                <w:sz w:val="17"/>
                <w:szCs w:val="17"/>
                <w:color w:val="auto"/>
              </w:rPr>
            </w:pPr>
          </w:p>
        </w:tc>
        <w:tc>
          <w:tcPr>
            <w:tcW w:w="5400" w:type="dxa"/>
            <w:vAlign w:val="bottom"/>
            <w:gridSpan w:val="2"/>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F-39-F-40</w:t>
            </w:r>
          </w:p>
        </w:tc>
      </w:tr>
    </w:tbl>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other schedules have been omitted either because the information is not applicable, not material, or is disclosed in our consolidated financial statements and related notes.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Assessment Report on Internal Control over Financial Reporting</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management of Federal Realty is responsible for establishing and maintaining adequate internal control over financial reporting. Establishing and maintaining internal control over financial reporting is a process designed by, or under the supervision of, our President and Chief Executive Officer and Senior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35" w:lineRule="exact"/>
        <w:rPr>
          <w:sz w:val="20"/>
          <w:szCs w:val="20"/>
          <w:color w:val="auto"/>
        </w:rPr>
      </w:pPr>
    </w:p>
    <w:p>
      <w:pPr>
        <w:ind w:left="780" w:hanging="326"/>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pertain to the maintenance of records that accurately and fairly reflect the transactions and dispositions of our assets in reasonable detail;</w:t>
      </w:r>
    </w:p>
    <w:p>
      <w:pPr>
        <w:spacing w:after="0" w:line="113" w:lineRule="exact"/>
        <w:rPr>
          <w:rFonts w:ascii="Arial" w:cs="Arial" w:eastAsia="Arial" w:hAnsi="Arial"/>
          <w:sz w:val="16"/>
          <w:szCs w:val="16"/>
          <w:color w:val="auto"/>
        </w:rPr>
      </w:pPr>
    </w:p>
    <w:p>
      <w:pPr>
        <w:ind w:left="780" w:right="300" w:hanging="326"/>
        <w:spacing w:after="0" w:line="259"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59" w:lineRule="exact"/>
        <w:rPr>
          <w:rFonts w:ascii="Arial" w:cs="Arial" w:eastAsia="Arial" w:hAnsi="Arial"/>
          <w:sz w:val="18"/>
          <w:szCs w:val="18"/>
          <w:color w:val="auto"/>
        </w:rPr>
      </w:pPr>
    </w:p>
    <w:p>
      <w:pPr>
        <w:ind w:left="780" w:right="78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2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Management conducted an assessment of the effectiveness of the Trust’s internal control over financial reporting as of December 31, 2009.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this assessment, management concluded that our internal control over financial reporting is effective, based on those criteria,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2009.</w:t>
      </w:r>
    </w:p>
    <w:p>
      <w:pPr>
        <w:spacing w:after="0" w:line="1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F-3 of this Annual Report on Form 10-K.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have audited Federal Realty Investment Trust (a Maryland real estate investment trust) and subsidiaries’ (the Trust) internal control over financial reporting as of December 31,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Federal Realty Investment Trust’s management is responsible for maintaining effective internal control over financial reporting and for its assessment of the effectiveness of internal control over financial reporting, included in the accompanying Management Assessment Report on Internal Control over Financial Reporting. Our responsibility is to express an opinion on Federal Realty Investment Trust’s internal control over financial reporting based on our audit.</w:t>
      </w:r>
    </w:p>
    <w:p>
      <w:pPr>
        <w:spacing w:after="0" w:line="14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In our opinion, Federal Realty Investment Trust and subsidiaries maintained, in all material respects, effective internal control over financial reporting as of December 31,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32"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Federal Realty Investment Trust and subsidiaries as of December 31, 2009 and 2008, and the related consolidated statements of operations, shareholders’ equity, and cash flows for each of the three years in the period ended December 31, 2009 and our report dated February 17, 2010 expressed an unqualified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audited the accompanying consolidated balance sheets of Federal Realty Investment Trust (a Maryland real estate investment trust) and subsidiaries (the Trust) as of December 31, 2009 and 2008, and the related consolidated statements of operations, shareholders’ equity, and cash flows for each of the three years in the period ended December 31, 2009. Our audits of the basic financial statements included the financial statement schedules listed in the index appearing under Item 15(a) (1) and (2). These financial statements and financial statement schedules are the responsibility of the Trust’s management. Our responsibility is to express an opinion on these financial statements and financial statement schedules based on our audits.</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Trust as of December 31, 2009 and 2008, and the results of its operations and its cash flows for each of the three years in the period ended December 31, 2009 in conformity with accounting principles generally accepted in the United States of America. Also in our opinion, the related financial statement schedules, when considered in relation to the basic financial statements taken as a whole, present fairly, in all material respects, the information set forth therein.</w:t>
      </w:r>
    </w:p>
    <w:p>
      <w:pPr>
        <w:spacing w:after="0" w:line="113"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Trust’s internal control over financial reporting as of December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17, 2010 expressed an unqualified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4"/>
          </w:tcPr>
          <w:p>
            <w:pPr>
              <w:jc w:val="right"/>
              <w:ind w:right="513"/>
              <w:spacing w:after="0" w:line="142" w:lineRule="exact"/>
              <w:rPr>
                <w:sz w:val="20"/>
                <w:szCs w:val="20"/>
                <w:color w:val="auto"/>
              </w:rPr>
            </w:pPr>
            <w:r>
              <w:rPr>
                <w:rFonts w:ascii="Arial" w:cs="Arial" w:eastAsia="Arial" w:hAnsi="Arial"/>
                <w:sz w:val="14"/>
                <w:szCs w:val="14"/>
                <w:b w:val="1"/>
                <w:bCs w:val="1"/>
                <w:color w:val="auto"/>
                <w:w w:val="84"/>
              </w:rPr>
              <w:t>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Real estate, at cost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3,626,476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3,537,790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132,758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3,759,234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3,673,685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5"/>
              </w:rPr>
              <w:t>(938,087)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(846,258)</w:t>
            </w: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Net real estate</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2,821,147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2,827,427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72,191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receivable,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 in real estate partnership</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Debt issuance costs, net of accumulated amortization of $8,291 and $6,484 respectively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3,222,309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3,092,776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Mortgages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539,609</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389,318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261,745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notes and debentures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109,061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Security deposits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 and deferred credits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2,013,246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1,945,822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shares, authorized 15,000,000 shares, $.01 par: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w w:val="92"/>
              </w:rPr>
              <w:t>5.417% Series 1 Cumulative Convertible Preferred Shares, (stated at liquidation preference $25 per share), 399,896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40"/>
              <w:spacing w:after="0"/>
              <w:rPr>
                <w:sz w:val="20"/>
                <w:szCs w:val="20"/>
                <w:color w:val="auto"/>
              </w:rPr>
            </w:pPr>
            <w:r>
              <w:rPr>
                <w:rFonts w:ascii="Arial" w:cs="Arial" w:eastAsia="Arial" w:hAnsi="Arial"/>
                <w:sz w:val="18"/>
                <w:szCs w:val="18"/>
                <w:color w:val="auto"/>
              </w:rPr>
              <w:t>shares issued and outstanding</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Common shares of beneficial interest, $.01 par, 100,000,000 shares authorized, 61,242,050 and 58,985,678 issued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1,653,177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1,530,589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dividends in excess of net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5"/>
              </w:rPr>
              <w:t>(486,449)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(426,574)</w:t>
            </w:r>
          </w:p>
        </w:tc>
        <w:tc>
          <w:tcPr>
            <w:tcW w:w="0" w:type="dxa"/>
            <w:vAlign w:val="bottom"/>
          </w:tcPr>
          <w:p>
            <w:pPr>
              <w:spacing w:after="0"/>
              <w:rPr>
                <w:sz w:val="1"/>
                <w:szCs w:val="1"/>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Total shareholders’ equity of the Trust</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1,177,337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1,114,602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1,209,063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1,146,954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3,222,309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3,092,776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w w:val="78"/>
              </w:rPr>
              <w:t>thousands,</w:t>
            </w: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except per</w:t>
            </w:r>
          </w:p>
        </w:tc>
        <w:tc>
          <w:tcPr>
            <w:tcW w:w="1260" w:type="dxa"/>
            <w:vAlign w:val="bottom"/>
            <w:gridSpan w:val="3"/>
          </w:tcPr>
          <w:p>
            <w:pPr>
              <w:jc w:val="right"/>
              <w:ind w:right="453"/>
              <w:spacing w:after="0" w:line="142" w:lineRule="exact"/>
              <w:rPr>
                <w:sz w:val="20"/>
                <w:szCs w:val="20"/>
                <w:color w:val="auto"/>
              </w:rPr>
            </w:pPr>
            <w:r>
              <w:rPr>
                <w:rFonts w:ascii="Arial" w:cs="Arial" w:eastAsia="Arial" w:hAnsi="Arial"/>
                <w:sz w:val="14"/>
                <w:szCs w:val="14"/>
                <w:b w:val="1"/>
                <w:bCs w:val="1"/>
                <w:color w:val="auto"/>
                <w:w w:val="93"/>
              </w:rPr>
              <w:t>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513,220</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501,627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465,394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14,013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531,019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6"/>
              </w:rPr>
              <w:t>520,188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482,788</w:t>
            </w: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108,806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6"/>
              </w:rPr>
              <w:t>109,718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55,481</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26,732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115,093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111,022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320,459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302,953</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274,360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210,560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6"/>
              </w:rPr>
              <w:t>217,235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208,428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(108,781)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2"/>
              </w:rPr>
              <w:t>(99,163)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(111,365)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102,356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120,600</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99,379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14,553</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101,748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103,872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6"/>
              </w:rPr>
              <w:t>135,153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201,127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(5,568)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12"/>
              <w:spacing w:after="0"/>
              <w:rPr>
                <w:sz w:val="20"/>
                <w:szCs w:val="20"/>
                <w:color w:val="auto"/>
              </w:rPr>
            </w:pPr>
            <w:r>
              <w:rPr>
                <w:rFonts w:ascii="Arial" w:cs="Arial" w:eastAsia="Arial" w:hAnsi="Arial"/>
                <w:sz w:val="18"/>
                <w:szCs w:val="18"/>
                <w:color w:val="auto"/>
              </w:rPr>
              <w:t>(5,366)</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129,787</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Dividends on preferred shares</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1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129,246</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59,704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58,665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1.94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2.19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58,889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10"/>
          </w:tcPr>
          <w:p>
            <w:pPr>
              <w:ind w:left="300"/>
              <w:spacing w:after="0"/>
              <w:rPr>
                <w:sz w:val="20"/>
                <w:szCs w:val="20"/>
                <w:color w:val="auto"/>
              </w:rPr>
            </w:pPr>
            <w:r>
              <w:rPr>
                <w:rFonts w:ascii="Arial" w:cs="Arial" w:eastAsia="Arial" w:hAnsi="Arial"/>
                <w:sz w:val="14"/>
                <w:szCs w:val="14"/>
                <w:b w:val="1"/>
                <w:bCs w:val="1"/>
                <w:color w:val="auto"/>
                <w:w w:val="87"/>
              </w:rPr>
              <w:t>Shareholders’ Equity of the Trust</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82"/>
              </w:rPr>
              <w:t>Notes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88"/>
              </w:rPr>
              <w:t>Preferred Shares</w:t>
            </w:r>
          </w:p>
        </w:tc>
        <w:tc>
          <w:tcPr>
            <w:tcW w:w="80" w:type="dxa"/>
            <w:vAlign w:val="bottom"/>
          </w:tcPr>
          <w:p>
            <w:pPr>
              <w:spacing w:after="0"/>
              <w:rPr>
                <w:sz w:val="12"/>
                <w:szCs w:val="12"/>
                <w:color w:val="auto"/>
              </w:rPr>
            </w:pPr>
          </w:p>
        </w:tc>
        <w:tc>
          <w:tcPr>
            <w:tcW w:w="12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5"/>
              </w:rPr>
              <w:t>Common Shares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Receivable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40" w:type="dxa"/>
            <w:vAlign w:val="bottom"/>
            <w:tcBorders>
              <w:bottom w:val="single" w:sz="8" w:color="auto"/>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bottom w:val="single" w:sz="8" w:color="auto"/>
            </w:tcBorders>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Accumulated</w:t>
            </w:r>
          </w:p>
        </w:tc>
        <w:tc>
          <w:tcPr>
            <w:tcW w:w="74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the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7"/>
              </w:rPr>
              <w:t>Additional</w:t>
            </w:r>
          </w:p>
        </w:tc>
        <w:tc>
          <w:tcPr>
            <w:tcW w:w="6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Dividends In</w:t>
            </w:r>
          </w:p>
        </w:tc>
        <w:tc>
          <w:tcPr>
            <w:tcW w:w="74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Issuance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Excess of Net</w:t>
            </w: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1"/>
              </w:rPr>
              <w:t>Income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9"/>
          </w:tcPr>
          <w:p>
            <w:pPr>
              <w:jc w:val="right"/>
              <w:ind w:right="540"/>
              <w:spacing w:after="0" w:line="142" w:lineRule="exact"/>
              <w:rPr>
                <w:sz w:val="20"/>
                <w:szCs w:val="20"/>
                <w:color w:val="auto"/>
              </w:rPr>
            </w:pPr>
            <w:r>
              <w:rPr>
                <w:rFonts w:ascii="Arial" w:cs="Arial" w:eastAsia="Arial" w:hAnsi="Arial"/>
                <w:sz w:val="14"/>
                <w:szCs w:val="14"/>
                <w:b w:val="1"/>
                <w:bCs w:val="1"/>
                <w:color w:val="auto"/>
                <w:w w:val="87"/>
              </w:rPr>
              <w:t>(In thousands, except share data)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55,320,537</w:t>
            </w:r>
          </w:p>
        </w:tc>
        <w:tc>
          <w:tcPr>
            <w:tcW w:w="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553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$ 1,252,425</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(467,369)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(1,531)</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22,191</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806,269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Net income/comprehensive income</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195,537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5,590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to common shareholders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(135,102)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Dividends declared to preferred shareholders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(442)</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declared to noncontrolling interests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(6,733)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Common shares issued</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2,884,099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240,162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240,191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106,117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5,066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Shares issued under dividend reinvestment plan</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32,615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 net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125,541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8,039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Conversion and redemption of OP units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176,756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(4,124)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shares issued</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399,896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9,997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Loans paid</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728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noncontrolling interests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(1,421)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Contributions by noncontrolling interests</w:t>
            </w:r>
          </w:p>
        </w:tc>
        <w:tc>
          <w:tcPr>
            <w:tcW w:w="44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6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399,896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9,997</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58,645,665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586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1,512,228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(407,376)</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1,146,450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Net income/comprehensive income</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129,787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to common shareholders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(148,444)</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Dividends declared to preferred shareholders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(541)</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declared to noncontrolling interests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(4,788)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Common shares issued</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4"/>
              </w:rPr>
              <w:t>274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214,853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Shares issued under dividend reinvestment plan</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39,343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 net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85,543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Conversion and redemption of OP units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paid</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803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Contributions by noncontrolling interests</w:t>
            </w:r>
          </w:p>
        </w:tc>
        <w:tc>
          <w:tcPr>
            <w:tcW w:w="44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6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w w:val="76"/>
              </w:rPr>
              <w:t>324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2008</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399,896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9,997</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58,985,678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590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1,530,589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(426,574)</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32,352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1,146,954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Net income/comprehensive income</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98,304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5,568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to common shareholders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(157,638)</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(157,638)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Dividends declared to preferred shareholders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(541)</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declared to noncontrolling interests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(6,139)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Common shares issued</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1,995,563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109,996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126,500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Shares issued under dividend reinvestment plan</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50,888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 net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83,421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Conversion and redemption of OP units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2009</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399,896</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9,997</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61,242,050</w:t>
            </w:r>
          </w:p>
        </w:tc>
        <w:tc>
          <w:tcPr>
            <w:tcW w:w="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612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 xml:space="preserve"> 1,653,177</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(486,449)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31,726</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1,209,063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$ 103,872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135,153</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115,093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111,069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Litigation provision</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Gain on sale of real estate</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(1,298)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(12,572)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(94,768)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Early extinguishment of debt</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Income from real estate partnership</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(1,322)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(1,612)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accounts receivable</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(Increase) decrease in prepaid expenses and other assets</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(716)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accounts payable and accrued expenses</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Increase in security deposits and other liabilities</w:t>
            </w:r>
          </w:p>
        </w:tc>
        <w:tc>
          <w:tcPr>
            <w:tcW w:w="10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256,765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228,285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214,209</w:t>
            </w:r>
          </w:p>
        </w:tc>
        <w:tc>
          <w:tcPr>
            <w:tcW w:w="0" w:type="dxa"/>
            <w:vAlign w:val="bottom"/>
          </w:tcPr>
          <w:p>
            <w:pPr>
              <w:spacing w:after="0"/>
              <w:rPr>
                <w:sz w:val="1"/>
                <w:szCs w:val="1"/>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real estate</w:t>
            </w: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(10,531)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(99,625)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Capital expenditures—development and redevelopment</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(76,079)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(104,196)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expenditures—other</w:t>
            </w: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(33,790)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Proceeds from sale of real estate</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2,122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44,890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Distribution from real estate partnership in excess of earnings</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594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Leasing costs</w:t>
            </w: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(8,924)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(Issuance) repayment of mortgage and other notes receivable, net</w:t>
            </w:r>
          </w:p>
        </w:tc>
        <w:tc>
          <w:tcPr>
            <w:tcW w:w="10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(1,503)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(127,341)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(207,567)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(151,439)</w:t>
            </w:r>
          </w:p>
        </w:tc>
        <w:tc>
          <w:tcPr>
            <w:tcW w:w="0" w:type="dxa"/>
            <w:vAlign w:val="bottom"/>
          </w:tcPr>
          <w:p>
            <w:pPr>
              <w:spacing w:after="0"/>
              <w:rPr>
                <w:sz w:val="1"/>
                <w:szCs w:val="1"/>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(repayment) borrowings under revolving credit facility, net of costs</w:t>
            </w: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(123,500)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123,500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Issuance of senior notes, net of costs</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147,534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and retirement of senior notes/debentures</w:t>
            </w: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(175,867)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526,617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mortgages, capital leases and notes payable</w:t>
            </w: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(337,221)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Extension fee on term loan</w:t>
            </w:r>
          </w:p>
        </w:tc>
        <w:tc>
          <w:tcPr>
            <w:tcW w:w="10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115,502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170,855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Dividends paid to common and preferred shareholders</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(156,100)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(146,418)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(9,258)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(56,186)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(23,574)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(35,468)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$ 135,389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December 31, 2009, 2008 and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and Organization</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December 31, 2009, we owned or had a majority interest in community and neighborhood shopping centers and mixed-use properties which are operated as 84 predominantly retail real estate projects.</w:t>
      </w:r>
    </w:p>
    <w:p>
      <w:pPr>
        <w:spacing w:after="0" w:line="11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Estimates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All significant intercompany transactions and balances are eliminated in consolidation. We account for our interests in joint ventures, which we do not control or manage, using the equity method of accounting. Subsequent events have been evaluated through February 17, 2010, which is the date the financial statements were issued.</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Certain 2008 and 2007 amounts have been reclassified to conform to current period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make estimates of the collectability of our accounts receivable related to minimum rents, straight-line rents, expense reimbursements and other revenue. Accounts receivable is carried net of this allowance for doubtful accounts. Our determination as to the collectability of accounts receivable and correspondingly, the adequacy of this allowance, is based primarily upon evaluations of individual receivables, current economic conditions, historical experience and other relevant factors. The allowance for doubtful accounts is increased or decreased through bad debt expense. In some cases, primarily relating to straight-line rents, the collection of these amounts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2009 and 2008, accounts receivable include approximately $41.8 million and $37.2 million, respectively, related to straight-line rents. At December 31, 2009 and 2008, our allowance for doubtful accounts was $16.1 million and $11.8 million,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3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2009, 2008 and 2007, real estate depreciation expense was $103.7 million, $101.3 million and $96.5 million, respectively, including amounts from discontinued operations and assets under capital lease obligations.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of real estate are recognized only when sufficient down payments have been obtained, possession and other attributes of ownership have been transferred to the buyer and we have no significant continuing involvement. The application of this criteria can be complex and requires us to make assumptions. We believe this criteria was met for all real estate sold during 2009, 2008 and 2007.</w:t>
      </w:r>
    </w:p>
    <w:p>
      <w:pPr>
        <w:spacing w:after="0" w:line="140"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Our methodology of allocating the cost of acquisitions to assets acquired and liabilities assumed is based on estimated fair values, replacement cost and appraised values. When we acquire operating real estate properties, the purchase price is allocated to land and buildings, intangibles such as in-place leases, and to current assets and liabilities acquired, if any. The value allocated to in-place leases is amortized over the related lease term and reflected as rental income in the statement of operations.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0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40"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We capitalize certain costs related to the development and redevelopment of real estate including pre-construction costs, real estate taxes, insurance, construction costs and salaries and related costs of personnel directly involved. Additionally, we capitalize interest costs related to development and redevelopment activities.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 The sale or disposal of a “component of an entity” is treated as discontinued operations. The operating properties sold by us typically meet the definition of a component of an entity and as such the revenues and expenses associated with sold properties are reclassified to discontinued operations for all periods presented.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define cash and cash equivalents as cash on hand, demand deposits with financial institutions and short term liquid investments with an initial maturity under three months. Cash balances in individual banks may exceed the federally insured limit of $250,000 by the Federal Deposit Insurance Corporation (the “FDIC”). At December 31, 2009, we had $131.8 million in excess of the FDIC insured limit.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Assets</w:t>
      </w:r>
    </w:p>
    <w:p>
      <w:pPr>
        <w:spacing w:after="0" w:line="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lease costs are written off. Other assets also include the premiums paid for split dollar life insurance covering several officers and former officers which were approximately $4.6 million at December 31,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Costs related to the issuance of debt instruments are capitalized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December 31, 2009 and 2008, we had no outstanding hedging instruments. At times,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cash flow hedges are recorded at fair value. We assess effectiveness of our cash flow hedges both at inception and on an ongoing basis. The effective portion of changes in fair value of our cash flow hedges is recorded in other comprehensive income, and the ineffective portion of changes in fair value of our cash flow hedges is recognized in earnings in the period affected. In February 2008, we entered into interest swap agreements to fix the variable portion of our $200 million term loan at a combined fixed rate of 2.789% through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November 6, 2008. Both swaps were designated and qualified as cash flow hedges and were recorded at fair value until the swaps ended on November 6, 2008.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Hedge ineffectiveness did not have a significant impact on earnings in 2009, 2008 and 2007, and we do not anticipate it will have a significant effect in the future.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Notes Receivable</w:t>
      </w:r>
    </w:p>
    <w:p>
      <w:pPr>
        <w:spacing w:after="0" w:line="9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have made certain mortgage loans that, because of their nature, qualify as loan receivables. At the time the loans were made,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 On some of the loans we receive additional interest, however, we never receive in excess of 50% of the residual profit in the project, and because the borrower has either a substantial investment in the project or has guaranteed all or a portion of our loan (or a combination thereof), the loans qualify for loan accounting. The amounts under these arrangements are presented as mortgage notes receivable at December 31, 2009 and 2008.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grant share based compensation awards to employees and trustees typically in the form of options, commons shares, and restricted common shares. We measure stock based compensation expense based on the grant date fair value of the award and recognize the expense ratably over the vesting period. See Note 14 for further discussion regarding our share based compensation plans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is determined to be the party that absorbs a majority of the entity’s expected losses, receives a majority of its expected returns, or both. We have evaluated our investments in certain joint ventures including our real estate partnership with affiliates of a discretionary fund created and advised by ING Clarion Partners and determined that these joint ventures do not meet the requirements of a variable interest entity and, therefore, consolidation of these ventures is not required. These investments are accounted for using the equity method. We have also evaluated our mortgage loans receivable and determined that they are not VIEs. Our investment balances from our real estate partnership and mortgage notes receivable are presented separately in our consolidated balance sheets.</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October 16, 2006, we acquired the leasehold interest in Melville Mall under a 20 year master lease. Additionally, we loaned the owner of Melville Mall $34.2 million secured by a second mortgage on the property. We have an option to purchase the shopping center on or after October 16, 2021 for a price of $5.0 million plus the assumption of the first mortgage and repayment of the second mortgage. We have determined that this property is held in a variable interest entity for which we are the primary beneficiary. Accordingly, beginning October 16, 2006, we consolidated this property and its operations. As of December 31, 2009 and 2008, $23.4 million and $24.0 million, respectively, are included in mortgages payable (net of unamortized discounts) for the mortgage loan secured by Melville Mall, however, the loan is not our legal obligation. At December 31, 2009 and 2008, net real estate assets related to Melville Mall included in our consolidated balance sheet are approximately $65.6 million and $66.5 million, respectively.</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conjunction with the acquisitions of several of our properties, we entered into Reverse Section 1031 like-kind exchange agreements with a third party intermediary. The exchange agreements are for a maximum of 180 days and allow us, for tax purposes, to defer gains on sale of other properties sold within this period. Until the earlier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of termination of the exchange agreements or 180 days after the respective acquisition dates, the third party intermediary is the legal owner of each property, although we control each property and retain all of the economic benefits and risks associated with the property. Each property is held by a third party intermediary in a variable interest entity for which we are the primary beneficiary. Accordingly, we consolidate these properties and their operations even during the period they are held by a third party intermediary.</w:t>
      </w:r>
    </w:p>
    <w:p>
      <w:pPr>
        <w:spacing w:after="0" w:line="14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From May 30, 2007 to October 11, 2007, a third party intermediary was the legal owner of Shoppers’ World, but we controlled the property and retained all of the economic benefit and risk associated with the property. Accordingly, we consolidated the property and its operations beginning May 30, 2007.</w:t>
      </w:r>
    </w:p>
    <w:p>
      <w:pPr>
        <w:spacing w:after="0" w:line="8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From May 30, 2008 to November 25, 2008, a third party intermediary was the legal owner of Del Mar Village, but we controlled the property and retained all of the economic benefit and risk associated with the property. Accordingly, we consolidated the property and its operations beginning May 30, 2008.</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From July 11, 2008 to January 7, 2009, with the acquisition of 7015 &amp; 7045 Beracasa Way and September 4, 2008 to March 2, 2009, with the acquisition of Courtyard Shops, a third party intermediary was the legal owner of the respective property. Since we controlled both properties and retained all economic benefits and risks associated with the properties, we consolidated the properties and their operations effective on July 11, 2008 for 7015 &amp; 7045 Beracasa Way and September 4, 2008 for Courtyard Shops. Quantitative information regarding significant assets and liabilities of these variable interest entities is included in Note 2 and Note 6 of these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Other than the sales of condominiums at Santana Row, which occurred between August 2005 and August 2006, our TRS activities have not been material.</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few exceptions, we are no longer subject to U.S. federal, state, and local tax examinations by tax authorities for years before 2005. As of December 31, 2009 and 2008, we had no material unrecognized tax benefits. While we currently have no material unrecognized tax benefits, as a policy, we recognize penalties and interest accrued related to unrecognized tax benefits as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Our primary business is the ownership, management, and redevelopment of retail and mixed 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Accounting Standards Codification</w:t>
      </w:r>
    </w:p>
    <w:p>
      <w:pPr>
        <w:spacing w:after="0" w:line="9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June 2009, the Financial Accounting Standards Board (“FASB”) issued new accounting requirements, which make the FASB Accounting Standards Codification (“Codification”) the single source of authoritative literature for U.S. accounting and reporting standards. The Codification is not meant to change existing GAAP but rather provide a single source for all literature. We adopted the standard during the quarter ended September 30, 2009, which required us to change certain disclosures in our financial statements to reflect Codification or “plain English” references rather than references to FASB Statements, Staff Positions or Emerging Issues Task Force Abstracts. The adoption of this requirement impacted certain disclosures in the financial statement but did not have an impact on our consolidated financial position, results of operations, or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2009, we adopted a new accounting standard that broadens and clarifies the definition of a business, which will result in significantly more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acquisitions being treated as business combinations rather than asset acquisitions. The new requirement is effective for business combinations for which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date is on or after January 1, 2009, and therefore, will only impact prospective acquisitions with no change to the accounting for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completed prior to or on December 31, 2008. The new standard requires us to expense all acquisition related transaction costs as incurred which could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broker fees, transfer taxes, legal, accounting, valuation, and other professional and consulting fees. For acquisitions prior to January 1, 2009, these costs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capitalized as part of the acquisition cost. While the adoption did not have a material impact on our financial statements for 2009, the impact to our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will vary significantly depending on the timing and number of acquisitions or potential acquisitions, size of the acquisitions,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location of the acquisitions. Based on acquisitions in the past several years, transaction costs for single asset acquisitions typically ranged from $0.1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with significantly higher transaction costs for an acquisition of a larger portfolio. The new standard includes several other changes to the accounting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business combinations including requiring contingent consideration to be measured at fair value at acquisition and subsequently remeasured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statement if accounted for as a liability as the fair value changes, any adjustments during the purchase price allocation period to be “pushed back” to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acquisition date with prior periods being adjusted for any changes, and the business combination to be accounted for on the acquisition date or the date control 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obtained. During 2008, we expensed all acquisition related costs for acquisitions which did not close prior to December 31, 2008.</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Effective January 1, 2009, we adopted a new accounting standard that significantly changes the accounting and reporting of minority interests in the consolidated financial statements and requires a noncontrolling interest, which was previously referred to as a minority interest, to be recognized as a component of equity rather than included in the mezzanine section of the balance sheet where it was previously presented. On January 1, 2009, we reclassified $32.4 million from the mezzanine section of the balance sheet to shareholders’ equity. The terminology “minority interest” has been changed to “noncontrolling interest”. The “minority interest” caption on the statement of operations is now reflected as “net income attributable to noncontrolling interests” and shown after consolidated net income. This is a presentation only change for minority interest on both the balance sheet and statement of operations and has no impact to total liabilities and shareholders’ equity, net income available to common shareholders, or earnings per share (“EPS”). The statement also requires the recognition of 100% of the fair value of assets acquired and liabilities assumed in acquisitions of less than 100% controlling interest with subsequent acquisitions of the noncontrolling interest recorded as equity transactions. The new accounting standard was adopted effective January 1, 2009 and has been applied prospectively except for the presentation changes to the balance sheet and statement of operations which have been applied retrospectively in the 2008 and 2007 consolidated financial statements. While there was no additional impact on the consolidated financial statements during 2009, the impact on our future consolidated financial statements will vary depending on the level of transactions with entities involving noncontrolling interests.</w:t>
      </w:r>
    </w:p>
    <w:p>
      <w:pPr>
        <w:spacing w:after="0" w:line="124"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Effective January 1, 2009, we adopted a new accounting standard that requires enhanced disclosures about an entity’s derivative instruments and hedging activities. The adoption did not have an impact on our consolidated financial statements as we currently have no derivative instruments outstanding.</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2009, we adopted a new accounting standard which impacts the treatment of unvested share-based payment awards in the EPS calculation.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adoption on our consolidated financial statements is further discussed in Note 16 to these consolidated financial statements.</w:t>
      </w:r>
    </w:p>
    <w:p>
      <w:pPr>
        <w:spacing w:after="0" w:line="16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Effective January 1, 2009, we adopted a new accounting standard which clarifies the accounting for certain transactions and impairment considerations involving equity method investments. The new accounting standard clarifies that equity method investments should initially be measured at cost, the issuance of shares by the investee would result in a gain or loss on issuance of shares reflected in the income statement of the equity investor, and that a loss in value of an equity investment which is other than a temporary decline should be recognized. The standard was effective on a prospective basis beginning on January 1, 2009, and did not have a material impact on our financial position, results of operations, or cash flows.</w:t>
      </w:r>
    </w:p>
    <w:p>
      <w:pPr>
        <w:spacing w:after="0" w:line="1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During the quarter ended June 30, 2009, we adopted a new accounting standard which requires disclosure regarding the fair value of financial instruments for interim reporting. The adoption resulted in additional disclosure in our quarterly financial statements.</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During the quarter ended June 30, 2009, we adopted a new accounting standard which establishes general standards of accounting and disclosure of events that occur after the balance sheet date but before the financial statements are issued or available to be issued and requires disclosure of the date through which subsequent events have been evaluated. We have added disclosure in this Note 1 under “Principles of Consolidation and Estimates” regarding the date through which we have evaluated subsequent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June 2009, the FASB issued a new accounting standard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The standard is effective January 1, 2010, and is applicable to all entities in which an enterprise has a variable interest. We are currently evaluating the impact this standard will have on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Statements of Cash Flows – Supplemental Disclosures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114,330</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104,464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125,259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Interest expense related to discontinued operations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108,781</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99,163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111,365</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vMerge w:val="continue"/>
          </w:tcPr>
          <w:p>
            <w:pPr>
              <w:spacing w:after="0"/>
              <w:rPr>
                <w:sz w:val="18"/>
                <w:szCs w:val="18"/>
                <w:color w:val="auto"/>
              </w:rPr>
            </w:pPr>
          </w:p>
        </w:tc>
        <w:tc>
          <w:tcPr>
            <w:tcW w:w="3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102,106</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95,897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117,125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income taxes</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NON-CASH INVESTING AND FINANCING TRANSACTIONS:</w:t>
            </w: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real estate through exchange transaction</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(30,100)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w w:val="94"/>
              </w:rPr>
              <w:t>Proceeds from sale of real estate through exchange transaction</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(25,100)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Liability assumed through exchange transaction</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Mortgage loans assumed with acquisitions</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32,452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79,987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Extinguishment of capital lease obligations</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11,545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76,449</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Note payable issued with acquisitions</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2,221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shares issued with acquisitions</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77,957</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w w:val="95"/>
              </w:rPr>
              <w:t>DownREIT operating partnership units issued with acquisitions</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16,358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shares issued with acquisitions</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363"/>
        </w:trPr>
        <w:tc>
          <w:tcPr>
            <w:tcW w:w="5220" w:type="dxa"/>
            <w:vAlign w:val="bottom"/>
          </w:tcPr>
          <w:p>
            <w:pPr>
              <w:spacing w:after="0"/>
              <w:rPr>
                <w:sz w:val="24"/>
                <w:szCs w:val="24"/>
                <w:color w:val="auto"/>
              </w:rPr>
            </w:pPr>
          </w:p>
        </w:tc>
        <w:tc>
          <w:tcPr>
            <w:tcW w:w="3280" w:type="dxa"/>
            <w:vAlign w:val="bottom"/>
            <w:gridSpan w:val="2"/>
          </w:tcPr>
          <w:p>
            <w:pPr>
              <w:jc w:val="right"/>
              <w:ind w:right="2620"/>
              <w:spacing w:after="0"/>
              <w:rPr>
                <w:sz w:val="20"/>
                <w:szCs w:val="20"/>
                <w:color w:val="auto"/>
              </w:rPr>
            </w:pPr>
            <w:r>
              <w:rPr>
                <w:rFonts w:ascii="Arial" w:cs="Arial" w:eastAsia="Arial" w:hAnsi="Arial"/>
                <w:sz w:val="18"/>
                <w:szCs w:val="18"/>
                <w:color w:val="auto"/>
              </w:rPr>
              <w:t>F-15</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REAL ESTATE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real estate investments and related encumbrances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Accumulated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Depreciation and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Amortization</w:t>
            </w:r>
          </w:p>
        </w:tc>
        <w:tc>
          <w:tcPr>
            <w:tcW w:w="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5"/>
              </w:rPr>
              <w:t>Encumbrances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December 31, 2009</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Retail and mixed-use properties</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$3,615,514</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(899,120)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515,729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properties under capital leases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(29,261)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800" w:type="dxa"/>
            <w:vAlign w:val="bottom"/>
          </w:tcPr>
          <w:p>
            <w:pPr>
              <w:jc w:val="right"/>
              <w:spacing w:after="0"/>
              <w:rPr>
                <w:sz w:val="20"/>
                <w:szCs w:val="20"/>
                <w:color w:val="auto"/>
              </w:rPr>
            </w:pPr>
            <w:r>
              <w:rPr>
                <w:rFonts w:ascii="Arial" w:cs="Arial" w:eastAsia="Arial" w:hAnsi="Arial"/>
                <w:sz w:val="18"/>
                <w:szCs w:val="18"/>
                <w:color w:val="auto"/>
              </w:rPr>
              <w:t>27,907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(9,706)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3,759,234</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(938,087)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2008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4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and mixed-use properties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$3,530,539</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(811,636)</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Retail properties under capital leases</w:t>
            </w:r>
          </w:p>
        </w:tc>
        <w:tc>
          <w:tcPr>
            <w:tcW w:w="800" w:type="dxa"/>
            <w:vAlign w:val="bottom"/>
          </w:tcPr>
          <w:p>
            <w:pPr>
              <w:jc w:val="right"/>
              <w:spacing w:after="0"/>
              <w:rPr>
                <w:sz w:val="20"/>
                <w:szCs w:val="20"/>
                <w:color w:val="auto"/>
              </w:rPr>
            </w:pPr>
            <w:r>
              <w:rPr>
                <w:rFonts w:ascii="Arial" w:cs="Arial" w:eastAsia="Arial" w:hAnsi="Arial"/>
                <w:sz w:val="18"/>
                <w:szCs w:val="18"/>
                <w:color w:val="auto"/>
              </w:rPr>
              <w:t>115,784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(25,556)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3,673,685</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(846,258)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452,810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Retail and mixed-use properties includes the residential portion of Santana Row and Bethesda Row. The residential property investments are comprised of our investments in Rollingwood Apartments and Crest Apartments at Congressional Plaza.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Significant Acquisitions and Dispositions</w:t>
      </w:r>
    </w:p>
    <w:p>
      <w:pPr>
        <w:spacing w:after="0" w:line="90"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On June 26, 2009, one of our tenants acquired from us our fee interest in a land parcel in White Marsh, Maryland, that was subject to a long-term ground lease. The ground lease included an option for the tenant to purchase the fee interest. The sales price was $2.1 million and resulted in a gain of $0.4 million.</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October 16, 2009, we acquired 16.6 acres of riverfront property at Assembly Square in Somerville, Massachusetts, for use in future development, in exchange for the sale of 12.4 acres of adjacent inland land, $3 million in cash, and the assumption of a $5 million liability. The purchase price of the riverfront parcel was determined to be $33.1 million based on current fair value calculations. The sale of the inland land resulted in no gain or loss on sale as the fair value of the consideration exchanged equaled the cost basis of the land sold. The land we acquired is included in “construction–in-progress” in the accompanying consolidated balance sheet as of December 31, 2009 and the historical basis in the land we sold in 2009 is classified as “assets held for sale” in the accompanying consolidated balance sheet as of December 31, 2008.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Significant Acquisitions and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significant acquisitions in 2008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Date</w:t>
            </w:r>
          </w:p>
        </w:tc>
        <w:tc>
          <w:tcPr>
            <w:tcW w:w="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ind w:left="800"/>
              <w:spacing w:after="0"/>
              <w:rPr>
                <w:sz w:val="20"/>
                <w:szCs w:val="20"/>
                <w:color w:val="auto"/>
              </w:rPr>
            </w:pPr>
            <w:r>
              <w:rPr>
                <w:rFonts w:ascii="Arial" w:cs="Arial" w:eastAsia="Arial" w:hAnsi="Arial"/>
                <w:sz w:val="14"/>
                <w:szCs w:val="14"/>
                <w:b w:val="1"/>
                <w:bCs w:val="1"/>
                <w:color w:val="auto"/>
              </w:rPr>
              <w:t>Property</w:t>
            </w:r>
          </w:p>
        </w:tc>
        <w:tc>
          <w:tcPr>
            <w:tcW w:w="44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City, State</w:t>
            </w:r>
          </w:p>
        </w:tc>
        <w:tc>
          <w:tcPr>
            <w:tcW w:w="4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Leasable Area</w:t>
            </w:r>
          </w:p>
        </w:tc>
        <w:tc>
          <w:tcPr>
            <w:tcW w:w="12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44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w:t>
            </w:r>
          </w:p>
        </w:tc>
        <w:tc>
          <w:tcPr>
            <w:tcW w:w="2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Del Mar Village</w:t>
            </w:r>
          </w:p>
        </w:tc>
        <w:tc>
          <w:tcPr>
            <w:tcW w:w="1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4"/>
              </w:rPr>
              <w:t>Boca Raton, FL</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July 11</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w w:val="92"/>
              </w:rPr>
              <w:t>7015 &amp; 7045 Beracasa Way</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w w:val="94"/>
              </w:rPr>
              <w:t>Boca Raton, FL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16</w:t>
            </w:r>
          </w:p>
        </w:tc>
        <w:tc>
          <w:tcPr>
            <w:tcW w:w="2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2"/>
              </w:rPr>
              <w:t>Chelsea Commons Phase II</w:t>
            </w:r>
          </w:p>
        </w:tc>
        <w:tc>
          <w:tcPr>
            <w:tcW w:w="1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Chelsea, MA</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September 4</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Courtyard Shops</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Wellington, FL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127,000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and 30</w:t>
            </w:r>
          </w:p>
        </w:tc>
        <w:tc>
          <w:tcPr>
            <w:tcW w:w="2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Bethesda Row</w:t>
            </w:r>
          </w:p>
        </w:tc>
        <w:tc>
          <w:tcPr>
            <w:tcW w:w="1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Bethesda, MD</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331,000</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u w:val="single" w:color="auto"/>
                <w:color w:val="auto"/>
              </w:rPr>
              <w:t>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$1.7 million and $7.4 million of the net assets acquired were allocated to other assets for “above market leases” and liabilities for “below market leases,” respectively.</w:t>
      </w:r>
    </w:p>
    <w:p>
      <w:pPr>
        <w:ind w:left="460" w:right="14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$0.2 million of the net assets acquired were allocated to other assets for “above market leases”. The two buildings acquired are adjacent to our Del Mar Village shopping center.</w:t>
      </w:r>
    </w:p>
    <w:p>
      <w:pPr>
        <w:ind w:left="460" w:right="240" w:hanging="452"/>
        <w:spacing w:after="0" w:line="281"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Approximately $0.2 million and $0.3 million of the net assets acquired were allocated to other assets for “above market leases” and liabilities for “below market leases,” respectively. This property includes four pad sites that are adjacent to our Chelsea Commons property.</w:t>
      </w:r>
    </w:p>
    <w:p>
      <w:pPr>
        <w:spacing w:after="0" w:line="1"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$0.6 million and $1.0 million of the net assets acquired were allocated to other assets for “above market leases” and liabilities for “below market leases,” respectively.</w:t>
      </w:r>
    </w:p>
    <w:p>
      <w:pPr>
        <w:ind w:left="460" w:right="80" w:hanging="452"/>
        <w:spacing w:after="0" w:line="295"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Prior to the transactions, the land parcels at Bethesda Row were encumbered by capital lease obligations which were extinguished as part of the transactions. The transactions were completed as 1031 tax deferred exchange transactions and involved net cash paid to us of $23.2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significant dispositions in 2008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Sale Date</w:t>
            </w:r>
          </w:p>
        </w:tc>
        <w:tc>
          <w:tcPr>
            <w:tcW w:w="160" w:type="dxa"/>
            <w:vAlign w:val="bottom"/>
          </w:tcPr>
          <w:p>
            <w:pPr>
              <w:spacing w:after="0"/>
              <w:rPr>
                <w:sz w:val="12"/>
                <w:szCs w:val="12"/>
                <w:color w:val="auto"/>
              </w:rPr>
            </w:pPr>
          </w:p>
        </w:tc>
        <w:tc>
          <w:tcPr>
            <w:tcW w:w="432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Property</w:t>
            </w: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Acquired</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2"/>
                <w:szCs w:val="12"/>
                <w:color w:val="auto"/>
              </w:rPr>
            </w:pPr>
          </w:p>
        </w:tc>
        <w:tc>
          <w:tcPr>
            <w:tcW w:w="50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1"/>
              </w:rPr>
              <w:t>Sales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3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or Built</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Gain</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3"/>
              </w:rPr>
              <w:t>millions)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and 30</w:t>
            </w:r>
          </w:p>
        </w:tc>
        <w:tc>
          <w:tcPr>
            <w:tcW w:w="1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Four Land Parcels:(1)</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The Shoppes at Nottingham Square</w:t>
            </w:r>
          </w:p>
        </w:tc>
        <w:tc>
          <w:tcPr>
            <w:tcW w:w="1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White Marsh, MD</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2007</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134,000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White Marsh Other</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White Marsh, MD</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2007</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White Marsh Other</w:t>
            </w:r>
          </w:p>
        </w:tc>
        <w:tc>
          <w:tcPr>
            <w:tcW w:w="1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White Marsh, MD</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2007</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Dartmouth</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w w:val="92"/>
              </w:rPr>
              <w:t>North Dartmouth, MA</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2006</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135,000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December 29</w:t>
            </w:r>
          </w:p>
        </w:tc>
        <w:tc>
          <w:tcPr>
            <w:tcW w:w="1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Greenwich Avenue</w:t>
            </w:r>
          </w:p>
        </w:tc>
        <w:tc>
          <w:tcPr>
            <w:tcW w:w="1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Greenwich, CT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1995</w:t>
            </w:r>
          </w:p>
        </w:tc>
        <w:tc>
          <w:tcPr>
            <w:tcW w:w="900" w:type="dxa"/>
            <w:vAlign w:val="bottom"/>
          </w:tcPr>
          <w:p>
            <w:pPr>
              <w:jc w:val="right"/>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46.0</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2"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Three of the land parcels we sold were in White Marsh, MD, and one parcel was in North Dartmouth, MA. The transactions were completed as 1031 tax deferred exchange transactions and involved net cash paid to us of $23.2 million.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land parcel was subject to a ground lease covering 50,000 square feet of office space not included in our gross leasable area.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sold one of two retail buildings located in Greenwich, CT.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MORTGAGE NOTES RECEIVABLE</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At December 31, 2009 and 2008, we had mortgage notes receivable with an aggregate carrying amount of $48.3 million and $45.8 million, respectively, which are net of a valuation allowance of $3.7 million and $4.2 million, respectively. At December 31, 2009 and 2008, our mortgages (excluding mortgages in default at the balance sheet date as further discussed below) had a weighted average interest rate of 9.9%. Interest income is accrued as earned. Under the terms of certain of these mortgages, we receive additional interest based upon the gross income of the secured properties and upon sale, share in the appreciation of the properties.</w:t>
      </w:r>
    </w:p>
    <w:p>
      <w:pPr>
        <w:spacing w:after="0" w:line="9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November 5, 2008, we entered into an agreement to loan a third party up to $7.3 million which, along with accrued interest, is secured by a first priority lien on one property and a second priority lien on another property. At December 31, 2009, approximately $7.4 million, including accrued and unpaid interest was outstanding. The loan had an initial term of one year and bore interest at LIBOR plus 725 basis points at a minimum of 10.0%, with two one-year extension options. Interest was due monthly in arrears and was payable out of net cash flow from the two properties. Any unpaid interest was due at maturity. The borrower failed to timely exercise its notice to extend the loan and consequently, the loan matured on November 4, 2009. Subsequent to the loan maturing, we placed the borrower in default and have filed foreclosure proceedings. If we foreclose on the properties, we believe the fair value of the properties is in excess of the value of our mortgage note receivable plus the outstanding amount of the first lien on the one property. Due to the status of the loan, we ceased recording interest income on the loan during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REAL ESTATE PARTNERSHIP</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has substantive participating rights and we cannot make significant decisions without Clarion’s approval. Accordingly, we account for our interest in the Partnership using the equity method. As of December 31, 2009, the Partnership owned seven retail real estate properties. We are the manager of the Partnership and its properties, earning fees for acquisitions, dispositions, management, leasing, and financing. Intercompany profit generated from the fees is eliminated in consolidation. We also have the opportunity to receive performance-based earnings through our Partnership interest. The Partnership is subject to a buy-sell provision which is customary for real estate joint venture agreements and the industry. Either partner may initiate these provisions at any time, which could result in either the sale of our interest or the use of available cash or borrowings to acquire Clarion’s interest. As of December 31, 2009, we have made total contributions of $41.8 million and received total distributions of $8.3 million. The following tables provide summarized operating results and the financial position of the Partnership: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Revenue</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19,109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19,111</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17,566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15,447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13,427</w:t>
            </w:r>
          </w:p>
        </w:tc>
        <w:tc>
          <w:tcPr>
            <w:tcW w:w="20" w:type="dxa"/>
            <w:vAlign w:val="bottom"/>
          </w:tcPr>
          <w:p>
            <w:pPr>
              <w:spacing w:after="0"/>
              <w:rPr>
                <w:sz w:val="18"/>
                <w:szCs w:val="18"/>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3,662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4,597</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4,139</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480" w:type="dxa"/>
            <w:vAlign w:val="bottom"/>
            <w:gridSpan w:val="2"/>
          </w:tcPr>
          <w:p>
            <w:pPr>
              <w:jc w:val="right"/>
              <w:ind w:right="3132"/>
              <w:spacing w:after="0"/>
              <w:rPr>
                <w:sz w:val="20"/>
                <w:szCs w:val="20"/>
                <w:color w:val="auto"/>
              </w:rPr>
            </w:pPr>
            <w:r>
              <w:rPr>
                <w:rFonts w:ascii="Arial" w:cs="Arial" w:eastAsia="Arial" w:hAnsi="Arial"/>
                <w:sz w:val="18"/>
                <w:szCs w:val="18"/>
                <w:color w:val="auto"/>
              </w:rPr>
              <w:t>F-18</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center"/>
              <w:ind w:right="414"/>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Real estate,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183,757</w:t>
            </w:r>
          </w:p>
        </w:tc>
        <w:tc>
          <w:tcPr>
            <w:tcW w:w="380" w:type="dxa"/>
            <w:vAlign w:val="bottom"/>
            <w:gridSpan w:val="2"/>
          </w:tcPr>
          <w:p>
            <w:pPr>
              <w:jc w:val="center"/>
              <w:ind w:left="5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187,910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193,569</w:t>
            </w:r>
          </w:p>
        </w:tc>
        <w:tc>
          <w:tcPr>
            <w:tcW w:w="380" w:type="dxa"/>
            <w:vAlign w:val="bottom"/>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57,780</w:t>
            </w:r>
          </w:p>
        </w:tc>
        <w:tc>
          <w:tcPr>
            <w:tcW w:w="380" w:type="dxa"/>
            <w:vAlign w:val="bottom"/>
            <w:gridSpan w:val="2"/>
          </w:tcPr>
          <w:p>
            <w:pPr>
              <w:jc w:val="center"/>
              <w:ind w:left="55"/>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81,365</w:t>
            </w: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Partners’ capital</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129,688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193,569</w:t>
            </w:r>
          </w:p>
        </w:tc>
        <w:tc>
          <w:tcPr>
            <w:tcW w:w="380" w:type="dxa"/>
            <w:vAlign w:val="bottom"/>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17,334</w:t>
            </w:r>
          </w:p>
        </w:tc>
        <w:tc>
          <w:tcPr>
            <w:tcW w:w="380" w:type="dxa"/>
            <w:vAlign w:val="bottom"/>
            <w:gridSpan w:val="2"/>
          </w:tcPr>
          <w:p>
            <w:pPr>
              <w:jc w:val="center"/>
              <w:ind w:left="55"/>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24,410</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35,633</w:t>
            </w:r>
          </w:p>
        </w:tc>
        <w:tc>
          <w:tcPr>
            <w:tcW w:w="380" w:type="dxa"/>
            <w:vAlign w:val="bottom"/>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December 1, 2009, the Partnership repaid $23.4 million of mortgage loans secured by two properties on their maturity dates. Both partners made additional capital contributions totaling $23.4 million to repay the mortgage loans, of which our contribution was $7.0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ACQUIRED IN-PLACE LEASES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Acquired above market leases are included in prepaid expenses and other assets and had a balance of $18.4 million and $19.1 million and accumulated amortization of $8.3 million and $6.6 million at December 31, 2009 and 2008, respectively. Acquired below market leases are included in other liabilities and deferred credits and had a balance of $52.8 million and $53.1 million and accumulated amortization of $20.5 million and $16.6 million at December 31, 2009 and 2008, respectively. The value allocated to in-place leases is amortized over the related lease term and reflected as additional rental income for below market leases or a reduction of rental income for above market leases in the statement of operations. Rental income included net amortization from acquired in-place leases of $1.7 million, $2.2 million and $2.9 million in 2009, 2008 and 2007, respectively. The remaining weighted-average amortization period as of December 31, 2009, is 8.6 years and 14.9 years for above market leases and below market leases,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for acquired in-place leases during the next five years and thereafter, assuming no early lease terminations,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9"/>
              </w:rPr>
              <w:t>Above Market</w:t>
            </w:r>
          </w:p>
        </w:tc>
        <w:tc>
          <w:tcPr>
            <w:tcW w:w="7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8"/>
              </w:rPr>
              <w:t>Below Market</w:t>
            </w:r>
          </w:p>
        </w:tc>
      </w:tr>
      <w:tr>
        <w:trPr>
          <w:trHeight w:val="161"/>
        </w:trPr>
        <w:tc>
          <w:tcPr>
            <w:tcW w:w="37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2"/>
              </w:rPr>
              <w:t>Leases</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88"/>
              </w:rPr>
              <w:t>Leases</w:t>
            </w:r>
          </w:p>
        </w:tc>
      </w:tr>
      <w:tr>
        <w:trPr>
          <w:trHeight w:val="142"/>
        </w:trPr>
        <w:tc>
          <w:tcPr>
            <w:tcW w:w="37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ind w:left="6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6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2010</w:t>
            </w:r>
          </w:p>
        </w:tc>
        <w:tc>
          <w:tcPr>
            <w:tcW w:w="5440" w:type="dxa"/>
            <w:vAlign w:val="bottom"/>
            <w:gridSpan w:val="2"/>
          </w:tcPr>
          <w:p>
            <w:pPr>
              <w:ind w:left="5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1,805</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3,431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2012</w:t>
            </w: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2,798</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2014</w:t>
            </w: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18,762</w:t>
            </w:r>
          </w:p>
        </w:tc>
      </w:tr>
      <w:tr>
        <w:trPr>
          <w:trHeight w:val="222"/>
        </w:trPr>
        <w:tc>
          <w:tcPr>
            <w:tcW w:w="37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10,026</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32,283</w:t>
            </w:r>
          </w:p>
        </w:tc>
      </w:tr>
      <w:tr>
        <w:trPr>
          <w:trHeight w:val="20"/>
        </w:trPr>
        <w:tc>
          <w:tcPr>
            <w:tcW w:w="37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3720" w:type="dxa"/>
            <w:vAlign w:val="bottom"/>
          </w:tcPr>
          <w:p>
            <w:pPr>
              <w:spacing w:after="0"/>
              <w:rPr>
                <w:sz w:val="24"/>
                <w:szCs w:val="24"/>
                <w:color w:val="auto"/>
              </w:rPr>
            </w:pPr>
          </w:p>
        </w:tc>
        <w:tc>
          <w:tcPr>
            <w:tcW w:w="5440" w:type="dxa"/>
            <w:vAlign w:val="bottom"/>
            <w:gridSpan w:val="2"/>
          </w:tcPr>
          <w:p>
            <w:pPr>
              <w:ind w:left="1820"/>
              <w:spacing w:after="0"/>
              <w:rPr>
                <w:sz w:val="20"/>
                <w:szCs w:val="20"/>
                <w:color w:val="auto"/>
              </w:rPr>
            </w:pPr>
            <w:r>
              <w:rPr>
                <w:rFonts w:ascii="Arial" w:cs="Arial" w:eastAsia="Arial" w:hAnsi="Arial"/>
                <w:sz w:val="18"/>
                <w:szCs w:val="18"/>
                <w:color w:val="auto"/>
              </w:rPr>
              <w:t>F-19</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2009 and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vMerge w:val="restart"/>
          </w:tcPr>
          <w:p>
            <w:pPr>
              <w:jc w:val="center"/>
              <w:ind w:right="484"/>
              <w:spacing w:after="0"/>
              <w:rPr>
                <w:sz w:val="20"/>
                <w:szCs w:val="20"/>
                <w:color w:val="auto"/>
              </w:rPr>
            </w:pPr>
            <w:r>
              <w:rPr>
                <w:rFonts w:ascii="Arial" w:cs="Arial" w:eastAsia="Arial" w:hAnsi="Arial"/>
                <w:sz w:val="14"/>
                <w:szCs w:val="14"/>
                <w:b w:val="1"/>
                <w:bCs w:val="1"/>
                <w:color w:val="auto"/>
                <w:w w:val="87"/>
              </w:rPr>
              <w:t>Principal Balance as of</w:t>
            </w: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Stated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gridSpan w:val="6"/>
            <w:vMerge w:val="continue"/>
          </w:tcPr>
          <w:p>
            <w:pPr>
              <w:spacing w:after="0"/>
              <w:rPr>
                <w:sz w:val="7"/>
                <w:szCs w:val="7"/>
                <w:color w:val="auto"/>
              </w:rPr>
            </w:pPr>
          </w:p>
        </w:tc>
        <w:tc>
          <w:tcPr>
            <w:tcW w:w="176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gridSpan w:val="6"/>
            <w:vMerge w:val="restart"/>
          </w:tcPr>
          <w:p>
            <w:pPr>
              <w:jc w:val="center"/>
              <w:ind w:right="484"/>
              <w:spacing w:after="0"/>
              <w:rPr>
                <w:sz w:val="20"/>
                <w:szCs w:val="20"/>
                <w:color w:val="auto"/>
              </w:rPr>
            </w:pPr>
            <w:r>
              <w:rPr>
                <w:rFonts w:ascii="Arial" w:cs="Arial" w:eastAsia="Arial" w:hAnsi="Arial"/>
                <w:sz w:val="14"/>
                <w:szCs w:val="14"/>
                <w:b w:val="1"/>
                <w:bCs w:val="1"/>
                <w:color w:val="auto"/>
                <w:w w:val="85"/>
              </w:rPr>
              <w:t>December 31,</w:t>
            </w:r>
          </w:p>
        </w:tc>
        <w:tc>
          <w:tcPr>
            <w:tcW w:w="176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gridSpan w:val="6"/>
            <w:vMerge w:val="continue"/>
          </w:tcPr>
          <w:p>
            <w:pPr>
              <w:spacing w:after="0"/>
              <w:rPr>
                <w:sz w:val="8"/>
                <w:szCs w:val="8"/>
                <w:color w:val="auto"/>
              </w:rPr>
            </w:pPr>
          </w:p>
        </w:tc>
        <w:tc>
          <w:tcPr>
            <w:tcW w:w="176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40" w:type="dxa"/>
            <w:vAlign w:val="bottom"/>
            <w:vMerge w:val="restart"/>
          </w:tcPr>
          <w:p>
            <w:pPr>
              <w:jc w:val="right"/>
              <w:ind w:right="372"/>
              <w:spacing w:after="0" w:line="149" w:lineRule="exact"/>
              <w:rPr>
                <w:sz w:val="20"/>
                <w:szCs w:val="20"/>
                <w:color w:val="auto"/>
              </w:rPr>
            </w:pPr>
            <w:r>
              <w:rPr>
                <w:rFonts w:ascii="Arial" w:cs="Arial" w:eastAsia="Arial" w:hAnsi="Arial"/>
                <w:sz w:val="14"/>
                <w:szCs w:val="14"/>
                <w:b w:val="1"/>
                <w:bCs w:val="1"/>
                <w:color w:val="auto"/>
              </w:rPr>
              <w:t>Stated</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10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520" w:type="dxa"/>
            <w:vAlign w:val="bottom"/>
          </w:tcPr>
          <w:p>
            <w:pPr>
              <w:spacing w:after="0"/>
              <w:rPr>
                <w:sz w:val="14"/>
                <w:szCs w:val="14"/>
                <w:color w:val="auto"/>
              </w:rPr>
            </w:pPr>
          </w:p>
        </w:tc>
        <w:tc>
          <w:tcPr>
            <w:tcW w:w="1240" w:type="dxa"/>
            <w:vAlign w:val="bottom"/>
          </w:tcPr>
          <w:p>
            <w:pPr>
              <w:jc w:val="right"/>
              <w:ind w:right="132"/>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9"/>
              </w:rPr>
              <w:t>(Dollars in</w:t>
            </w:r>
          </w:p>
        </w:tc>
        <w:tc>
          <w:tcPr>
            <w:tcW w:w="440" w:type="dxa"/>
            <w:vAlign w:val="bottom"/>
          </w:tcPr>
          <w:p>
            <w:pPr>
              <w:spacing w:after="0"/>
              <w:rPr>
                <w:sz w:val="20"/>
                <w:szCs w:val="20"/>
                <w:color w:val="auto"/>
              </w:rPr>
            </w:pPr>
            <w:r>
              <w:rPr>
                <w:rFonts w:ascii="Arial" w:cs="Arial" w:eastAsia="Arial" w:hAnsi="Arial"/>
                <w:sz w:val="11"/>
                <w:szCs w:val="11"/>
                <w:b w:val="1"/>
                <w:bCs w:val="1"/>
                <w:color w:val="auto"/>
                <w:w w:val="70"/>
              </w:rPr>
              <w:t>thousands)</w:t>
            </w:r>
          </w:p>
        </w:tc>
        <w:tc>
          <w:tcPr>
            <w:tcW w:w="12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Mortgages payable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Mercer Mall</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4,370</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8.375%</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April 1,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Federal Plaza</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32,536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33,128</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6.750%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June 1,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Tysons Station</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6,070</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7.400%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September 1,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Courtyard Shops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7,518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7,731</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6.870%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1,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Bethesda Row</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19,995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19,996</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5.370%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January 1,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Bethesda Row</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4,304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4,437</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5.050%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February 1,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White Marsh Plaza</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10,122</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6.040%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April 1,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Crow Canyon</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20,816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21,214</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5.400%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11,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Idylwood Plaza</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16,792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7.500%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June 5,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Leesburg Plaza</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29,219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7.500%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June 5,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Loehmann’s Plaza</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37,783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7.500%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June 5,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Pentagon Row</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54,240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7.500%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June 5,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Melville Mall</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23,782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24,456</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5.250%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September 1,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AVENUE at White Marsh</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58,939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60,016</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5.460%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January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Barracks Road</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40,639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41,368</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7.950%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Hauppauge</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15,320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15,595</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7.950%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Lawrence Park</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28,805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29,322</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7.950%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Wildwood</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25,319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25,773</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7.950%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Wynnewood</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29,355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29,882</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7.950%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Brick Plaza</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30,053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30,633</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7.415%</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Rollingwood Apartments</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23,880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5.540%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May 1,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Shoppers’ World</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5,733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5,865</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5.910%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January 31, 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Mount Vernon</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11,640</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5.660%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April 15, 2028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Chelsea</w:t>
            </w: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7,952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8,101</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5.360%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January 15, 2031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Subtotal</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540,035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389,719</w:t>
            </w: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unamortized discount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(401)</w:t>
            </w: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4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Total mortgages payable</w:t>
            </w: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539,609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389,318</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Notes payable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LIBOR+0.575%</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November 6,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Revolving credit facility</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123,500</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LIBOR+0.425%</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27,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Term loan(1)</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LIBOR+3.000%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July 27,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2,296</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6.500%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April 1,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Perring Plaza renovation</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1,195</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10.000%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January 31,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Escondido (Municipal bonds)</w:t>
            </w: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9,400</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0.379%</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October 1, 2016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4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Total notes payable</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261,745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336,391</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notes and debentures</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8.75% notes</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175,000</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8.750%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December 1,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4.50% notes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4.500%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February 15,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6.00% notes</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175,000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175,000</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6.000%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July 15,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5.40% notes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135,000</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5.400%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December 1,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5.95% notes</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5.950%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August 15,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5.65% notes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5.650%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June 1,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6.20% notes</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440" w:type="dxa"/>
            <w:vAlign w:val="bottom"/>
          </w:tcPr>
          <w:p>
            <w:pPr>
              <w:spacing w:after="0"/>
              <w:rPr>
                <w:sz w:val="12"/>
                <w:szCs w:val="12"/>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6.200%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January 15,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7.48% debentures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29,200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29,200</w:t>
            </w:r>
          </w:p>
        </w:tc>
        <w:tc>
          <w:tcPr>
            <w:tcW w:w="4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7.480%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15, 2026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6.82% medium term notes</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40,000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40,000</w:t>
            </w:r>
          </w:p>
        </w:tc>
        <w:tc>
          <w:tcPr>
            <w:tcW w:w="440" w:type="dxa"/>
            <w:vAlign w:val="bottom"/>
          </w:tcPr>
          <w:p>
            <w:pPr>
              <w:spacing w:after="0"/>
              <w:rPr>
                <w:sz w:val="13"/>
                <w:szCs w:val="13"/>
                <w:color w:val="auto"/>
              </w:rPr>
            </w:pPr>
          </w:p>
        </w:tc>
        <w:tc>
          <w:tcPr>
            <w:tcW w:w="17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6.820%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August 1, 2027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Subtotal</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929,200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954,200</w:t>
            </w: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Net unamortized premium</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2,384</w:t>
            </w: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senior notes and debentures</w:t>
            </w: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930,219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956,584</w:t>
            </w: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Capital lease obligations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62,275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63,492</w:t>
            </w:r>
          </w:p>
        </w:tc>
        <w:tc>
          <w:tcPr>
            <w:tcW w:w="440" w:type="dxa"/>
            <w:vAlign w:val="bottom"/>
          </w:tcPr>
          <w:p>
            <w:pPr>
              <w:spacing w:after="0"/>
              <w:rPr>
                <w:sz w:val="14"/>
                <w:szCs w:val="14"/>
                <w:color w:val="auto"/>
              </w:rPr>
            </w:pPr>
          </w:p>
        </w:tc>
        <w:tc>
          <w:tcPr>
            <w:tcW w:w="17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Various</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2028 through 2106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debt and 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1,793,848</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1,745,785</w:t>
            </w: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term loan bears interest at LIBOR, subject to a 1.5% floor, plus 300 basis points.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January 5, 2009, we repaid the $4.4 million mortgage loan on a small portion of Mercer Mall which had an original maturity date of April 1, 2009. This loan was repaid with funds borrowed on our $300 million revolving credit facility.</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various dates from January 12, 2009 to April 1, 2009, we purchased and retired $11.1 million of our 8.75% senior notes which had an original maturity date of December 1, 2009. These notes were repaid with funds borrowed on our $300 million revolving credit facility.</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April 14, 2009, we closed on a $24.1 million, ten year loan secured by Rollingwood Apartments in Silver Spring, Maryland. The loan bears interest at 5.54% and matures on May 1, 2019.</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On May 4, 2009, we refinanced our then existing $200 million term loan with a new $372 million term loan which bears interest at LIBOR, subject to a 1.50% floor, plus 300 basis points and matures on July 27, 2011. The $200 million term loan and the $135 million outstanding balance on our revolving credit facility were repaid with the proceeds from the new $372 million term loan.</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June 4, 2009, we closed on a $139.0 million, five year loan secured by Idylwood Plaza, Loehmann’s Plaza, Leesburg Plaza and Pentagon Row. The loan bears interest at 7.50% and matures on June 5, 2014.</w:t>
      </w:r>
    </w:p>
    <w:p>
      <w:pPr>
        <w:spacing w:after="0" w:line="132"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Also on June 4, 2009, we completed a cash tender offer for our 8.75% senior notes due December 1, 2009. Approximately $40.3 million of notes were purchased and retired at a 2% premium to par value resulting in a net loss on early extinguishment of approximately $1.0 million including costs of the transaction; this amount is included in “early extinguishment of debt” in the consolidated statement of operations. The notes were repaid with funds from our term loan.</w:t>
      </w:r>
    </w:p>
    <w:p>
      <w:pPr>
        <w:spacing w:after="0" w:line="8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August 13, 2009, we issued $150.0 million of fixed rate senior notes that mature on August 15, 2014 and bear interest at 5.95%. The net proceeds from this note offering after issuance discounts, underwriting fees and other costs were $147.5 million.</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October 27, 2009 and December 21, 2009, we repaid $100 million and $22 million, respectively, of our term loan. The term loan has an original maturity date of July 27, 2011, however, the loan agreement includes an option to prepay the loan, in whole or in part, at any time without premium or penalty. Due to these repayments, approximately $1.7 million of unamortized debt fees were recorded as additional interest expense in 2009 and are included in “early extinguishment of debt” in the consolidated statement of operations. The term loan was partially repaid using available cash from the 2009 debt and equity issuances.</w:t>
      </w:r>
    </w:p>
    <w:p>
      <w:pPr>
        <w:spacing w:after="0" w:line="1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December 1, 2009, we repaid the remaining $123.6 million of our 8.75% senior notes on its original maturity date using available cash from the 2009 debt financings.</w:t>
      </w:r>
    </w:p>
    <w:p>
      <w:pPr>
        <w:spacing w:after="0" w:line="13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maximum amount of borrowings outstanding under our $300 million revolving credit facility during 2009, 2008 and 2007 was $172.5 million, $159.0 million and $244.0 million, respectively. The weighted average amount of borrowings outstanding was $47.7 million, $61.4 million and $154.3 million for 2009, 2008 and 2007, respectively. Our revolving credit facility had a weighted average interest rate, before amortization of debt fees, of 1.4%, 3.0% and 5.6% for 2009,</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2008 and 2007, respectively. In addition, we are required to pay an annual facility fee of $0.5 million. The loan was scheduled to mature on July 27, 2010, subject to a one-year extension at our option. On January 28, 2010, we delivered notice to our lender exercising our option to extend the maturity date by one year to July 27, 2011.</w:t>
      </w:r>
    </w:p>
    <w:p>
      <w:pPr>
        <w:spacing w:after="0" w:line="144" w:lineRule="exact"/>
        <w:rPr>
          <w:sz w:val="20"/>
          <w:szCs w:val="20"/>
          <w:color w:val="auto"/>
        </w:rPr>
      </w:pPr>
    </w:p>
    <w:p>
      <w:pPr>
        <w:jc w:val="both"/>
        <w:ind w:right="720"/>
        <w:spacing w:after="0" w:line="259" w:lineRule="auto"/>
        <w:rPr>
          <w:sz w:val="20"/>
          <w:szCs w:val="20"/>
          <w:color w:val="auto"/>
        </w:rPr>
      </w:pPr>
      <w:r>
        <w:rPr>
          <w:rFonts w:ascii="Arial" w:cs="Arial" w:eastAsia="Arial" w:hAnsi="Arial"/>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December 31, 2009, we were in compliance with all loan covenants.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mortgages payable, notes payable, senior notes and debentures as of December 31, 2009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Mortgages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32"/>
              <w:spacing w:after="0"/>
              <w:rPr>
                <w:sz w:val="20"/>
                <w:szCs w:val="20"/>
                <w:color w:val="auto"/>
              </w:rPr>
            </w:pPr>
            <w:r>
              <w:rPr>
                <w:rFonts w:ascii="Arial" w:cs="Arial" w:eastAsia="Arial" w:hAnsi="Arial"/>
                <w:sz w:val="14"/>
                <w:szCs w:val="14"/>
                <w:b w:val="1"/>
                <w:bCs w:val="1"/>
                <w:color w:val="auto"/>
                <w:w w:val="97"/>
              </w:rPr>
              <w:t>Notes</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Senior Notes and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61"/>
        </w:trPr>
        <w:tc>
          <w:tcPr>
            <w:tcW w:w="11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3"/>
              </w:rPr>
              <w:t>Payable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52"/>
              <w:spacing w:after="0"/>
              <w:rPr>
                <w:sz w:val="20"/>
                <w:szCs w:val="20"/>
                <w:color w:val="auto"/>
              </w:rPr>
            </w:pPr>
            <w:r>
              <w:rPr>
                <w:rFonts w:ascii="Arial" w:cs="Arial" w:eastAsia="Arial" w:hAnsi="Arial"/>
                <w:sz w:val="14"/>
                <w:szCs w:val="14"/>
                <w:b w:val="1"/>
                <w:bCs w:val="1"/>
                <w:color w:val="auto"/>
                <w:w w:val="86"/>
              </w:rPr>
              <w:t>Payable</w:t>
            </w:r>
          </w:p>
        </w:tc>
        <w:tc>
          <w:tcPr>
            <w:tcW w:w="160" w:type="dxa"/>
            <w:vAlign w:val="bottom"/>
          </w:tcPr>
          <w:p>
            <w:pPr>
              <w:spacing w:after="0"/>
              <w:rPr>
                <w:sz w:val="14"/>
                <w:szCs w:val="14"/>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w w:val="83"/>
              </w:rPr>
              <w:t>Debentures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Principal</w:t>
            </w:r>
          </w:p>
        </w:tc>
      </w:tr>
      <w:tr>
        <w:trPr>
          <w:trHeight w:val="142"/>
        </w:trPr>
        <w:tc>
          <w:tcPr>
            <w:tcW w:w="11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2010</w:t>
            </w:r>
          </w:p>
        </w:tc>
        <w:tc>
          <w:tcPr>
            <w:tcW w:w="49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9,860</w:t>
            </w:r>
          </w:p>
        </w:tc>
        <w:tc>
          <w:tcPr>
            <w:tcW w:w="4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52"/>
              <w:spacing w:after="0"/>
              <w:rPr>
                <w:sz w:val="20"/>
                <w:szCs w:val="20"/>
                <w:color w:val="auto"/>
              </w:rPr>
            </w:pPr>
            <w:r>
              <w:rPr>
                <w:rFonts w:ascii="Arial" w:cs="Arial" w:eastAsia="Arial" w:hAnsi="Arial"/>
                <w:sz w:val="18"/>
                <w:szCs w:val="18"/>
                <w:color w:val="auto"/>
              </w:rPr>
              <w:t>868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10,728</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47,571</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7"/>
              </w:rPr>
              <w:t>250,720(1)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373,291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2012</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17,380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52"/>
              <w:spacing w:after="0"/>
              <w:rPr>
                <w:sz w:val="20"/>
                <w:szCs w:val="20"/>
                <w:color w:val="auto"/>
              </w:rPr>
            </w:pPr>
            <w:r>
              <w:rPr>
                <w:rFonts w:ascii="Arial" w:cs="Arial" w:eastAsia="Arial" w:hAnsi="Arial"/>
                <w:sz w:val="18"/>
                <w:szCs w:val="18"/>
                <w:color w:val="auto"/>
              </w:rPr>
              <w:t>727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193,107</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72,107(2)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207,137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2014</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156,364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306,364</w:t>
            </w: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236,753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640,353</w:t>
            </w: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540,035</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261,745</w:t>
            </w:r>
          </w:p>
        </w:tc>
        <w:tc>
          <w:tcPr>
            <w:tcW w:w="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929,200</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1,730,980(3)</w:t>
            </w: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$300 million revolving credit facility matures on July 27, 2011. As of December 31, 2009, there was $0 drawn under this credit facility.</w:t>
      </w:r>
    </w:p>
    <w:p>
      <w:pPr>
        <w:spacing w:after="0" w:line="15"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the repayment of the outstanding mortgage payable balance on Mount Vernon. The lender has the option to call the loan on April 15, 2013 or any time thereafter.</w:t>
      </w:r>
    </w:p>
    <w:p>
      <w:pPr>
        <w:ind w:left="460" w:right="420" w:hanging="452"/>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discount or premium on certain senior notes, debentures and mortgages payable.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their present value for property under capital leases as of December 31, 2009,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148,438</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176,421</w:t>
            </w:r>
          </w:p>
        </w:tc>
        <w:tc>
          <w:tcPr>
            <w:tcW w:w="100" w:type="dxa"/>
            <w:vAlign w:val="bottom"/>
          </w:tcPr>
          <w:p>
            <w:pPr>
              <w:spacing w:after="0"/>
              <w:rPr>
                <w:sz w:val="19"/>
                <w:szCs w:val="19"/>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(114,146)</w:t>
            </w: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Present value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62,275</w:t>
            </w:r>
          </w:p>
        </w:tc>
        <w:tc>
          <w:tcPr>
            <w:tcW w:w="10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of our capital lease obligations required payments based on the performance of the related properties in addition to the minimum payment amounts set forth above. The additional performance based payments were $4.1 million in 2007 and are included in “Income from discontinued operations.” All capital leases with performance based payments were extinguished in October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9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A fair value measurement is based on the assumptions that market participants would use in pricing an asset or liability. The hierarchy for inputs used in measuring fair value are as follows:</w:t>
      </w:r>
    </w:p>
    <w:p>
      <w:pPr>
        <w:spacing w:after="0" w:line="5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1 Inputs—quoted prices in active markets for identical assets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2 Inputs—observable inputs other than quoted prices in active markets for identical assets and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3 Inputs—unobservable inputs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85" w:lineRule="exact"/>
        <w:rPr>
          <w:sz w:val="20"/>
          <w:szCs w:val="20"/>
          <w:color w:val="auto"/>
        </w:rPr>
      </w:pPr>
    </w:p>
    <w:p>
      <w:pPr>
        <w:jc w:val="both"/>
        <w:ind w:right="20"/>
        <w:spacing w:after="0" w:line="303" w:lineRule="auto"/>
        <w:rPr>
          <w:sz w:val="20"/>
          <w:szCs w:val="20"/>
          <w:color w:val="auto"/>
        </w:rPr>
      </w:pPr>
      <w:r>
        <w:rPr>
          <w:rFonts w:ascii="Arial" w:cs="Arial" w:eastAsia="Arial" w:hAnsi="Arial"/>
          <w:sz w:val="15"/>
          <w:szCs w:val="15"/>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 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 2008</w:t>
            </w:r>
          </w:p>
        </w:tc>
      </w:tr>
      <w:tr>
        <w:trPr>
          <w:trHeight w:val="129"/>
        </w:trPr>
        <w:tc>
          <w:tcPr>
            <w:tcW w:w="7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r>
      <w:tr>
        <w:trPr>
          <w:trHeight w:val="16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Fair Value</w:t>
            </w: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40"/>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4"/>
          </w:tcPr>
          <w:p>
            <w:pPr>
              <w:jc w:val="center"/>
              <w:ind w:right="404"/>
              <w:spacing w:after="0" w:line="142" w:lineRule="exact"/>
              <w:rPr>
                <w:sz w:val="20"/>
                <w:szCs w:val="20"/>
                <w:color w:val="auto"/>
              </w:rPr>
            </w:pPr>
            <w:r>
              <w:rPr>
                <w:rFonts w:ascii="Arial" w:cs="Arial" w:eastAsia="Arial" w:hAnsi="Arial"/>
                <w:sz w:val="14"/>
                <w:szCs w:val="14"/>
                <w:b w:val="1"/>
                <w:bCs w:val="1"/>
                <w:color w:val="auto"/>
                <w:w w:val="71"/>
              </w:rPr>
              <w:t>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Mortgages and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801,354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819,733</w:t>
            </w:r>
          </w:p>
        </w:tc>
        <w:tc>
          <w:tcPr>
            <w:tcW w:w="2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725,709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722,908</w:t>
            </w: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930,219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rPr>
              <w:t>951,861</w:t>
            </w:r>
          </w:p>
        </w:tc>
        <w:tc>
          <w:tcPr>
            <w:tcW w:w="22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956,584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799,241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3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May 2003, a breach of contract action was filed against us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issued a tentative ruling in April 2009 awarding damages to the plaintiff of approximately $14.4 million plus interest.</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Based on this tentative ruling, we estimated interest could range from $2.1 million to $8.4 million. Accordingly, considering all the information available to us on May 6, 2009, when we filed our Form 10-Q for the three months ended March 31, 2009, our best estimate of damages, interest, and other costs was $21.4 million. Accordingly, we increased our accrual for the matter from $0.8 million at December 31, 2008, to $21.4 million at March 31, 2009. In June 2009, the court issued a final judgment awarding damages of $15.9 million (including interest) plus costs of suit. In July 2009, we and the plaintiff both filed a notice of appeal. The plaintiff also filed reimbursement motions for $2.1 million of legal fees, expert fees, and court costs of which $1.9 million was subsequently denied. In December 2009, the plaintiff filed an “appellee’s principal and response brief” providing additional information regarding the issues the plaintiff is appealing. The plaintiff’s appeal included only the denial of expert fees which totals approximately $0.4 million. Given the additional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regarding the appeal, we lowered our accrual to $16.4 million, which reflects our best estimate of the litigation liability. The net increase in our accrual of $15.6 million is included in “litigation provision” in our consolidated statement of operations, and the $16.4 million accrual is included in the “accounts payable and accrued expenses” line item in our consolidated balance sheet as of December 31, 2009. During 2009, we incurred additional legal and other costs related to this lawsuit and appeal process which are also included in the “litigation provision” line item in the consolidated statement of operations.</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expect oral arguments on the appeal to be scheduled for later in 2010. All judgments will be stayed until completion of the appeals.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were also involved in a litigation matter relating to a shopping center in New Jersey where a former tenant alleged that we and our management agent acted improperly by failing to disclose a condemnation action at the property that was pending when the lease was signed. A trial as to liability only was concluded in April 2007, and in May 2008, a judgment was entered that ruled in our favor on certain legal issues and against us on other legal issues. In December 2008, we reached a settlement with the plaintiff of those matters where the court ruled against us and determined that we were liable. The total settlement amount was $3.3 million, including $1.0 million of the plaintiff’s legal fees, of which we paid 50% and the third party management agent paid 50%. Our share of the total estimated settlement is included in “general and administrative expense” in the statement of operations.</w:t>
      </w:r>
    </w:p>
    <w:p>
      <w:pPr>
        <w:spacing w:after="0" w:line="12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increases to our estimated warranty losses would usually result in a decrease in net income.</w:t>
      </w:r>
    </w:p>
    <w:p>
      <w:pPr>
        <w:spacing w:after="0" w:line="1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2005 and 2006, warranty reserves for condominium units sold at Santana Row were established to cover potential costs for materials, labor and other items associated with warranty-type claims that may arise within the ten-year statutorily mandated latent construction defect warranty period. In 2006 and 2007, we increased our warranty reserves by $2.5 million and $5.1 million, respectively, net of taxes, related to defective work done by third party contractors while upgrades were made to certain units being prepared for sale. During 2007 and 2008, we evaluated the potentially affected units, and as of December 31, 2008, have substantially completed the inspections and repairs. The extent of the damages encountered in the units and the resulting costs to repair varied considerably amongst the units. As a result, we adjusted the warranty reserve at December 31, 2008, to reflect the actual costs incurred related to these issues which is approximately $2.4 million, net of $1.5 million of taxes. The change in the reserve of $5.2 million is included in “Gain on sale of real estate from discontinued operations” in 2008. These amounts do not reflect any amounts we may recover in the future from insurance or the contractors responsible for the defective work. Due to the inherent uncertainty related to the recovery from insurance or the contractor, we are unable to estimate an expected recovery; any recovery will be reflected in our financial statements once the amount is determinable, considered probable, and collectible.</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and future increases in costs of claims, when making these determinations. If our liability costs exceed these accruals, it will reduce our net income.</w:t>
      </w:r>
    </w:p>
    <w:p>
      <w:pPr>
        <w:spacing w:after="0" w:line="14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At December 31, 2009 and 2008, our reserves for warranties and general liability costs were $8.0 million and $8.6 million, respectively, and are included in “accounts payable and accrued expenses” in our consolidated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balance sheet as of December 31, 2009 and 2008. Any potential losses which exceed our estimates would result in a decrease in our net income. During 2009 and 2008, we made payments from these reserves of $1.0 million and $2.5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December 31, 2009, we had letters of credit outstanding of approximately $10.7 million which are collateral for existing indebtedness and other obligations of the Trust.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December 31, 2009, our estimated maximum liability upon exercise of the put option would range from approximately $38 million to $44 million.</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terms of one other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terms of various other partnership agreements, the partners have the right to exchange their operating units for cash or the same number of our common shares, at our option. As of December 31, 2009, a total of 371,260 operating units are outstanding which have a total fair value of $25.1 million, based on our closing stock price on December 31, 2009.</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have one ground lease in which the lessor has a put option, which would require us to purchase the property during the remaining lease term. If the lessor were to exercise this option in 2009, the purchase price would be approximately $7.2 million.</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3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 master lease for Melville Mall includes a fixed purchase price option in 2021 for $5 million and the assumption of the owner’s debt which is $23.8 million at December 31, 2009. If we fail to exercise our purchase option, the owner of Melville Mall has a put option which would require us to purchase Melville Mall in 2023 for $5 million and the assumption of the owner’s debt.</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As of December 31, 2009 in connection with renovation, development, and redevelopment projects, the Trust has contractual obligations of approximately $37.6 million.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2009:</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(In thousands)</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2010</w:t>
            </w:r>
          </w:p>
        </w:tc>
        <w:tc>
          <w:tcPr>
            <w:tcW w:w="5660" w:type="dxa"/>
            <w:vAlign w:val="bottom"/>
            <w:gridSpan w:val="2"/>
          </w:tcPr>
          <w:p>
            <w:pPr>
              <w:ind w:left="5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3,125</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2012</w:t>
            </w:r>
          </w:p>
        </w:tc>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2014</w:t>
            </w:r>
          </w:p>
        </w:tc>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3,047</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182,350</w:t>
            </w:r>
          </w:p>
        </w:tc>
      </w:tr>
      <w:tr>
        <w:trPr>
          <w:trHeight w:val="222"/>
        </w:trPr>
        <w:tc>
          <w:tcPr>
            <w:tcW w:w="32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197,790</w:t>
            </w:r>
          </w:p>
        </w:tc>
      </w:tr>
      <w:tr>
        <w:trPr>
          <w:trHeight w:val="20"/>
        </w:trPr>
        <w:tc>
          <w:tcPr>
            <w:tcW w:w="3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8"/>
        </w:trPr>
        <w:tc>
          <w:tcPr>
            <w:tcW w:w="3260" w:type="dxa"/>
            <w:vAlign w:val="bottom"/>
          </w:tcPr>
          <w:p>
            <w:pPr>
              <w:spacing w:after="0"/>
              <w:rPr>
                <w:sz w:val="24"/>
                <w:szCs w:val="24"/>
                <w:color w:val="auto"/>
              </w:rPr>
            </w:pPr>
          </w:p>
        </w:tc>
        <w:tc>
          <w:tcPr>
            <w:tcW w:w="5660" w:type="dxa"/>
            <w:vAlign w:val="bottom"/>
            <w:gridSpan w:val="2"/>
          </w:tcPr>
          <w:p>
            <w:pPr>
              <w:ind w:left="1360"/>
              <w:spacing w:after="0"/>
              <w:rPr>
                <w:sz w:val="20"/>
                <w:szCs w:val="20"/>
                <w:color w:val="auto"/>
              </w:rPr>
            </w:pPr>
            <w:r>
              <w:rPr>
                <w:rFonts w:ascii="Arial" w:cs="Arial" w:eastAsia="Arial" w:hAnsi="Arial"/>
                <w:sz w:val="18"/>
                <w:szCs w:val="18"/>
                <w:color w:val="auto"/>
              </w:rPr>
              <w:t>F-25</w:t>
            </w:r>
          </w:p>
        </w:tc>
        <w:tc>
          <w:tcPr>
            <w:tcW w:w="6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 Dividend Reinvestment Plan (the “Plan”), whereby shareholders may use their dividends and optional cash payments to purchase shares. In 2009, 2008 and 2007, 50,888 shares, 39,343 shares, and 32,615 shares, respectively, were issued under the Plan.</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 March 8, 2007, as part of the consideration to acquire the White Marsh portfolio, we issued (i) 884,066 common shares at $88.18 per share, par value $0.01 per share, (ii) 399,896 shares of 5.417% Series 1 Cumulative Convertible Preferred Shares (“Series 1 Preferred Shares”) at the liquidation preference of $25 per share, par value $0.01 per share, and (iii) 185,504 downREIT operating partnership units at $88.18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On December 27, 2007, we issued 2.0 million common shares at $81.21 per share, for cash proceeds of approximately $162.2 million net of expenses of the offering. The proceeds were used to reduce the amount outstanding on our revolving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On August 14, 2009, we issued 2.0 million common shares at $57.50 per share, for cash proceeds of approximately $110.0 million net of expenses of the offering.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dividends declared and paid per share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5"/>
          </w:tcPr>
          <w:p>
            <w:pPr>
              <w:ind w:left="40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Declared</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Paid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Declared</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Paid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w w:val="91"/>
              </w:rPr>
              <w:t>Declared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Paid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2.620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2.520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2.480</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8"/>
              </w:rPr>
              <w:t>2.370</w:t>
            </w:r>
          </w:p>
        </w:tc>
        <w:tc>
          <w:tcPr>
            <w:tcW w:w="2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2.335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1.354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1.354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1.354</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3"/>
          </w:tcPr>
          <w:p>
            <w:pPr>
              <w:ind w:left="60"/>
              <w:spacing w:after="0"/>
              <w:rPr>
                <w:sz w:val="20"/>
                <w:szCs w:val="20"/>
                <w:color w:val="auto"/>
              </w:rPr>
            </w:pPr>
            <w:r>
              <w:rPr>
                <w:rFonts w:ascii="Arial" w:cs="Arial" w:eastAsia="Arial" w:hAnsi="Arial"/>
                <w:sz w:val="18"/>
                <w:szCs w:val="18"/>
                <w:color w:val="auto"/>
              </w:rPr>
              <w:t>1.354</w:t>
            </w: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1.106</w:t>
            </w:r>
          </w:p>
        </w:tc>
        <w:tc>
          <w:tcPr>
            <w:tcW w:w="2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0.767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6160" w:type="dxa"/>
            <w:vAlign w:val="bottom"/>
          </w:tcPr>
          <w:p>
            <w:pPr>
              <w:spacing w:after="0"/>
              <w:rPr>
                <w:sz w:val="20"/>
                <w:szCs w:val="20"/>
                <w:color w:val="auto"/>
              </w:rPr>
            </w:pPr>
            <w:r>
              <w:rPr>
                <w:rFonts w:ascii="Arial" w:cs="Arial" w:eastAsia="Arial" w:hAnsi="Arial"/>
                <w:sz w:val="18"/>
                <w:szCs w:val="18"/>
                <w:color w:val="auto"/>
                <w:w w:val="99"/>
              </w:rPr>
              <w:t>A summary of the income tax status of dividends per share paid is as follows: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1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Ordinary dividend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2.377</w:t>
            </w:r>
          </w:p>
        </w:tc>
        <w:tc>
          <w:tcPr>
            <w:tcW w:w="14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0"/>
                <w:szCs w:val="20"/>
                <w:color w:val="auto"/>
              </w:rPr>
            </w:pPr>
            <w:r>
              <w:rPr>
                <w:rFonts w:ascii="Arial" w:cs="Arial" w:eastAsia="Arial" w:hAnsi="Arial"/>
                <w:sz w:val="18"/>
                <w:szCs w:val="18"/>
                <w:color w:val="auto"/>
                <w:w w:val="84"/>
              </w:rPr>
              <w:t>2.455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2.174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Ordinary dividend eligible for 15% rate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0.024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0.025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0.044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Return of capital</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0.183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gain</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0.026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0.117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2.610</w:t>
            </w:r>
          </w:p>
        </w:tc>
        <w:tc>
          <w:tcPr>
            <w:tcW w:w="140" w:type="dxa"/>
            <w:vAlign w:val="bottom"/>
          </w:tcPr>
          <w:p>
            <w:pPr>
              <w:spacing w:after="0"/>
              <w:rPr>
                <w:sz w:val="19"/>
                <w:szCs w:val="19"/>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spacing w:after="0"/>
              <w:rPr>
                <w:sz w:val="20"/>
                <w:szCs w:val="20"/>
                <w:color w:val="auto"/>
              </w:rPr>
            </w:pPr>
            <w:r>
              <w:rPr>
                <w:rFonts w:ascii="Arial" w:cs="Arial" w:eastAsia="Arial" w:hAnsi="Arial"/>
                <w:sz w:val="18"/>
                <w:szCs w:val="18"/>
                <w:color w:val="auto"/>
                <w:w w:val="84"/>
              </w:rPr>
              <w:t>2.480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spacing w:after="0"/>
              <w:rPr>
                <w:sz w:val="20"/>
                <w:szCs w:val="20"/>
                <w:color w:val="auto"/>
              </w:rPr>
            </w:pPr>
            <w:r>
              <w:rPr>
                <w:rFonts w:ascii="Arial" w:cs="Arial" w:eastAsia="Arial" w:hAnsi="Arial"/>
                <w:sz w:val="18"/>
                <w:szCs w:val="18"/>
                <w:color w:val="auto"/>
                <w:w w:val="88"/>
              </w:rPr>
              <w:t>2.335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5.417% Series 1 Cumulative Convertible Preferred</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Ordinary dividend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1.246</w:t>
            </w:r>
          </w:p>
        </w:tc>
        <w:tc>
          <w:tcPr>
            <w:tcW w:w="14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0"/>
                <w:szCs w:val="20"/>
                <w:color w:val="auto"/>
              </w:rPr>
            </w:pPr>
            <w:r>
              <w:rPr>
                <w:rFonts w:ascii="Arial" w:cs="Arial" w:eastAsia="Arial" w:hAnsi="Arial"/>
                <w:sz w:val="18"/>
                <w:szCs w:val="18"/>
                <w:color w:val="auto"/>
                <w:w w:val="84"/>
              </w:rPr>
              <w:t>1.341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0.714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Ordinary dividend eligible for 15% rate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0.095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0.013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0.015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Capital gain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0.013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0.038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1.354</w:t>
            </w: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1.354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0.767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November 4, 2009, the Trustees declared a quarterly cash dividend of $0.66 per common share, payable January 15, 2010 to common shareholders of record on January 4,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OPERATING LEASES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December 31, 2009, our 84 predominantly retail shopping center and mixed use properties are located in 13 states and the District of Columbia. There are approximately 2,400 leases with tenants providing a wide range of retail products and services. These tenants range from sole proprietorships to national retailers; no one tenant or corporate group of tenants accounts for more than 2.6% of annualized base rent.</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usually provide for percentage rents based on the tenant’s level of sales achieved and cost recoveries for the tenant’s share of certain operating costs. Leases on apartments are generally for a period of one year or less.</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December 31, 2009, minimum future commercial property rentals from noncancelable operating leases, before any reserve for uncollectible amounts and assuming no early lease terminations, at our operating properties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370,771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341,618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303,017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254,009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202,403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1,180,954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2,652,772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12.  COMPONENTS OF RENTAL INCOME AND EXPENSE</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40" w:type="dxa"/>
            <w:vAlign w:val="bottom"/>
            <w:gridSpan w:val="3"/>
          </w:tcPr>
          <w:p>
            <w:pPr>
              <w:spacing w:after="0"/>
              <w:rPr>
                <w:sz w:val="20"/>
                <w:szCs w:val="20"/>
                <w:color w:val="auto"/>
              </w:rPr>
            </w:pPr>
            <w:r>
              <w:rPr>
                <w:rFonts w:ascii="Arial" w:cs="Arial" w:eastAsia="Arial" w:hAnsi="Arial"/>
                <w:sz w:val="18"/>
                <w:szCs w:val="18"/>
                <w:color w:val="auto"/>
              </w:rPr>
              <w:t>The principal components of rental income are as follows: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Retail and 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373,920</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366,277</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345,267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Cost reimbursement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104,133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513,220</w:t>
            </w:r>
          </w:p>
        </w:tc>
        <w:tc>
          <w:tcPr>
            <w:tcW w:w="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501,627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465,394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Minimum rents include $5.3 million, $5.9 million and $8.0 million for 2009, 2008 and 2007, respectively, to recognize minimum rents on a straight-line basis. In addition, minimum rents include $1.7 million, $2.2 million and $2.9 million for 2009, 2008 and 2007, respectively, to recognize income from the amortization of in-place leases.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expenses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86"/>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42"/>
        </w:trPr>
        <w:tc>
          <w:tcPr>
            <w:tcW w:w="8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8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Repairs and maintenance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35,403</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Utilities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17,994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16,837</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and costs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13,127</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Payroll properties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8,093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7,445</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Bad debt expense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Ground rent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5,875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6,002</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Marketing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5,953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4,539</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6,886</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r>
      <w:tr>
        <w:trPr>
          <w:trHeight w:val="222"/>
        </w:trPr>
        <w:tc>
          <w:tcPr>
            <w:tcW w:w="8560" w:type="dxa"/>
            <w:vAlign w:val="bottom"/>
          </w:tcPr>
          <w:p>
            <w:pPr>
              <w:spacing w:after="0"/>
              <w:rPr>
                <w:sz w:val="20"/>
                <w:szCs w:val="20"/>
                <w:color w:val="auto"/>
              </w:rPr>
            </w:pPr>
            <w:r>
              <w:rPr>
                <w:rFonts w:ascii="Arial" w:cs="Arial" w:eastAsia="Arial" w:hAnsi="Arial"/>
                <w:sz w:val="18"/>
                <w:szCs w:val="18"/>
                <w:color w:val="auto"/>
              </w:rPr>
              <w:t>Total rental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108,806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109,718</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99,363</w:t>
            </w:r>
          </w:p>
        </w:tc>
      </w:tr>
      <w:tr>
        <w:trPr>
          <w:trHeight w:val="20"/>
        </w:trPr>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DISCONTINUED OPERATIONS</w:t>
      </w:r>
    </w:p>
    <w:p>
      <w:pPr>
        <w:spacing w:after="0" w:line="9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Results of properties sold which meet certain requirements, constitute discontinued operations and as such, the operations of these properties are classified as discontinued operations for all periods presented. A summary of the financial information for the discontinued operations is as follows:</w:t>
      </w:r>
    </w:p>
    <w:p>
      <w:pPr>
        <w:spacing w:after="0" w:line="121"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0</wp:posOffset>
            </wp:positionV>
            <wp:extent cx="13462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ind w:left="9340"/>
        <w:spacing w:after="0"/>
        <w:tabs>
          <w:tab w:leader="none" w:pos="10100" w:val="left"/>
          <w:tab w:leader="none" w:pos="1098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1"/>
          <w:szCs w:val="11"/>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-6985</wp:posOffset>
            </wp:positionV>
            <wp:extent cx="231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-6985</wp:posOffset>
            </wp:positionV>
            <wp:extent cx="9004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994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 from discontinued operations</w:t>
            </w:r>
          </w:p>
        </w:tc>
        <w:tc>
          <w:tcPr>
            <w:tcW w:w="3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$227</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24,324</w:t>
            </w: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820" w:type="dxa"/>
            <w:vAlign w:val="bottom"/>
          </w:tcPr>
          <w:p>
            <w:pPr>
              <w:jc w:val="right"/>
              <w:ind w:right="92"/>
              <w:spacing w:after="0"/>
              <w:rPr>
                <w:sz w:val="20"/>
                <w:szCs w:val="20"/>
                <w:color w:val="auto"/>
              </w:rPr>
            </w:pPr>
            <w:r>
              <w:rPr>
                <w:rFonts w:ascii="Arial" w:cs="Arial" w:eastAsia="Arial" w:hAnsi="Arial"/>
                <w:sz w:val="18"/>
                <w:szCs w:val="18"/>
                <w:color w:val="auto"/>
              </w:rPr>
              <w:t>$218</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$1,981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6,980</w:t>
            </w:r>
          </w:p>
        </w:tc>
      </w:tr>
    </w:tbl>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2008, we applied for a refund of taxes paid to the state of California related to our TRS activities, primarily the condominium units sold in 2005 and 2006 at Santana Row. The refund related to the condominium units of $1.1 million is included in “Gain on sale of real estate from discontinued operations” in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ind w:left="120"/>
              <w:spacing w:after="0"/>
              <w:rPr>
                <w:sz w:val="20"/>
                <w:szCs w:val="20"/>
                <w:color w:val="auto"/>
              </w:rPr>
            </w:pPr>
            <w:r>
              <w:rPr>
                <w:rFonts w:ascii="Arial" w:cs="Arial" w:eastAsia="Arial" w:hAnsi="Arial"/>
                <w:sz w:val="12"/>
                <w:szCs w:val="12"/>
                <w:b w:val="1"/>
                <w:bCs w:val="1"/>
                <w:color w:val="auto"/>
                <w:w w:val="81"/>
              </w:rPr>
              <w:t>(In</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1"/>
              </w:rPr>
              <w:t>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$5,718</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$ 6,442</w:t>
            </w:r>
          </w:p>
        </w:tc>
        <w:tc>
          <w:tcPr>
            <w:tcW w:w="2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7,139</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7,778</w:t>
            </w:r>
          </w:p>
        </w:tc>
        <w:tc>
          <w:tcPr>
            <w:tcW w:w="2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8,040</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Share-based compensation expensed</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6,194</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$ 6,570</w:t>
            </w:r>
          </w:p>
        </w:tc>
        <w:tc>
          <w:tcPr>
            <w:tcW w:w="2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2009, we have grants outstanding under two share-based compensation plans. In May 2007, our shareholders approved an amendment to the 2001 Long Term Incentive Plan (the “2001 Plan”), originally established in May 2001, which increased the authorization to grant share options, common shares and other share-based awards from 1,750,000 common shares of beneficial interest to 3,250,000 common shares of beneficial interest. Our 1993 Long Term Incentive Plan (the “1993 Plan”) authorized the grant of share options, common shares and other share-based awards for up to 5,500,000 common shares of beneficial interest. The 1993 Plan expired in May 2003.</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Option awards under the 2001 Plan and the 1993 Plan are required to have an exercise price at least equal to the closing trading price of our common shares on the date of grant. Options and restricted share awards under these plans generally vest over three to six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4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Effective December 31, 2007, Larry Finger, our former Chief Financial Officer, was no longer employed by the Trust. Under his existing severance agreement, his departure was treated as a termination without cause. As a result, we recognized approximately $0.6 million related to the accelerated vesting of unvested shares and options and $0.4 million related to a cash payment to Mr. Finger. These amounts are included in “general and administrative” expenses in the 2007 consolidated statement of operations.</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a result of the exercise of options, we had notes outstanding from our officers and employees for $0.8 million at December 31, 2007; the notes were fully repaid during 2008. These notes bore interest at LIBOR plus a market-rate spread with the rate adjusted annually on the anniversary date and were collateralized by the shares with recourse to the borrower. Option awards made in 2001 and later do not provide for employees to be able to exercise their options with a loan from the Trust.</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weighted-average assumption used to value options: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28.6%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3"/>
          </w:tcPr>
          <w:p>
            <w:pPr>
              <w:jc w:val="right"/>
              <w:ind w:right="172"/>
              <w:spacing w:after="0"/>
              <w:rPr>
                <w:sz w:val="20"/>
                <w:szCs w:val="20"/>
                <w:color w:val="auto"/>
              </w:rPr>
            </w:pPr>
            <w:r>
              <w:rPr>
                <w:rFonts w:ascii="Arial" w:cs="Arial" w:eastAsia="Arial" w:hAnsi="Arial"/>
                <w:sz w:val="18"/>
                <w:szCs w:val="18"/>
                <w:color w:val="auto"/>
              </w:rPr>
              <w:t>3.6%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gridSpan w:val="3"/>
          </w:tcPr>
          <w:p>
            <w:pPr>
              <w:jc w:val="right"/>
              <w:ind w:right="172"/>
              <w:spacing w:after="0"/>
              <w:rPr>
                <w:sz w:val="20"/>
                <w:szCs w:val="20"/>
                <w:color w:val="auto"/>
              </w:rPr>
            </w:pPr>
            <w:r>
              <w:rPr>
                <w:rFonts w:ascii="Arial" w:cs="Arial" w:eastAsia="Arial" w:hAnsi="Arial"/>
                <w:sz w:val="18"/>
                <w:szCs w:val="18"/>
                <w:color w:val="auto"/>
              </w:rPr>
              <w:t>1.6%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6140" w:type="dxa"/>
            <w:vAlign w:val="bottom"/>
            <w:gridSpan w:val="2"/>
          </w:tcPr>
          <w:p>
            <w:pPr>
              <w:spacing w:after="0"/>
              <w:rPr>
                <w:sz w:val="20"/>
                <w:szCs w:val="20"/>
                <w:color w:val="auto"/>
              </w:rPr>
            </w:pPr>
            <w:r>
              <w:rPr>
                <w:rFonts w:ascii="Arial" w:cs="Arial" w:eastAsia="Arial" w:hAnsi="Arial"/>
                <w:sz w:val="18"/>
                <w:szCs w:val="18"/>
                <w:color w:val="auto"/>
              </w:rPr>
              <w:t>The following table provides a summary of option activity for 2009:</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24"/>
                <w:szCs w:val="24"/>
                <w:color w:val="auto"/>
              </w:rPr>
            </w:pPr>
          </w:p>
        </w:tc>
        <w:tc>
          <w:tcPr>
            <w:tcW w:w="72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12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72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Under</w:t>
            </w:r>
          </w:p>
        </w:tc>
        <w:tc>
          <w:tcPr>
            <w:tcW w:w="12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152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c>
          <w:tcPr>
            <w:tcW w:w="11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Price</w:t>
            </w:r>
          </w:p>
        </w:tc>
        <w:tc>
          <w:tcPr>
            <w:tcW w:w="162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89"/>
              </w:rPr>
              <w:t>Contractual Term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left="52"/>
              <w:spacing w:after="0" w:line="142" w:lineRule="exact"/>
              <w:rPr>
                <w:sz w:val="20"/>
                <w:szCs w:val="20"/>
                <w:color w:val="auto"/>
              </w:rPr>
            </w:pPr>
            <w:r>
              <w:rPr>
                <w:rFonts w:ascii="Arial" w:cs="Arial" w:eastAsia="Arial" w:hAnsi="Arial"/>
                <w:sz w:val="14"/>
                <w:szCs w:val="14"/>
                <w:b w:val="1"/>
                <w:bCs w:val="1"/>
                <w:color w:val="auto"/>
                <w:w w:val="89"/>
              </w:rPr>
              <w:t>(In years)</w:t>
            </w:r>
          </w:p>
        </w:tc>
        <w:tc>
          <w:tcPr>
            <w:tcW w:w="2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825,346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193,038</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43.48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(126,500)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Forfeited or expired</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(18,517)</w:t>
            </w:r>
          </w:p>
        </w:tc>
        <w:tc>
          <w:tcPr>
            <w:tcW w:w="10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873,367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59.35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402,074</w:t>
            </w:r>
          </w:p>
        </w:tc>
        <w:tc>
          <w:tcPr>
            <w:tcW w:w="8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5.0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weighted-average grant-date fair value of options granted during 2009, 2008 and 2007 was $7.62 per share, $10.46 per share and $14.48 per share, respectively. The total cash received from options exercised during 2009, 2008 and 2007 was $2.9 million, $8.0 million and $5.1 million, respectively. The total intrinsic value of options exercised during the year ended December 31, 2009, 2008 and 2007 was $4.6 million, $9.3 million and $4.1 million,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restricted share activity for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Grant-</w:t>
            </w:r>
          </w:p>
        </w:tc>
      </w:tr>
      <w:tr>
        <w:trPr>
          <w:trHeight w:val="149"/>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4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2008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185,291</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84,916</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2"/>
              </w:rPr>
              <w:t>(68,458)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2009</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200,254</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weighted-average grant-date fair value of stock awarded in 2009, 2008 and 2007 was $45.77, $72.98 and $91.13, respectively. The total vesting-date fair value of shares vested during the year ended December 31, 2009, 2008 and 2007 was $4.6 million, $5.9 million and $10.7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2009, there was $10.8 million of total unrecognized compensation cost related to unvested share-based compensation arrangements (i.e.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options and unvested shares) granted under our plans. This cost is expected to be recognized over the next 4.9 years with a weighted-average period of 2.6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2009, common shares and options were awarded under various incentive compensation plans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8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Date</w:t>
            </w:r>
          </w:p>
        </w:tc>
        <w:tc>
          <w:tcPr>
            <w:tcW w:w="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Award</w:t>
            </w:r>
          </w:p>
        </w:tc>
        <w:tc>
          <w:tcPr>
            <w:tcW w:w="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Vesting Term</w:t>
            </w:r>
          </w:p>
        </w:tc>
        <w:tc>
          <w:tcPr>
            <w:tcW w:w="220" w:type="dxa"/>
            <w:vAlign w:val="bottom"/>
          </w:tcPr>
          <w:p>
            <w:pPr>
              <w:spacing w:after="0"/>
              <w:rPr>
                <w:sz w:val="15"/>
                <w:szCs w:val="15"/>
                <w:color w:val="auto"/>
              </w:rPr>
            </w:pPr>
          </w:p>
        </w:tc>
        <w:tc>
          <w:tcPr>
            <w:tcW w:w="29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Beneficiary</w:t>
            </w:r>
          </w:p>
        </w:tc>
      </w:tr>
      <w:tr>
        <w:trPr>
          <w:trHeight w:val="201"/>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February 16, 2010</w:t>
            </w:r>
          </w:p>
        </w:tc>
        <w:tc>
          <w:tcPr>
            <w:tcW w:w="24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w w:val="90"/>
              </w:rPr>
              <w:t>59,566</w:t>
            </w:r>
          </w:p>
        </w:tc>
        <w:tc>
          <w:tcPr>
            <w:tcW w:w="2420" w:type="dxa"/>
            <w:vAlign w:val="bottom"/>
          </w:tcPr>
          <w:p>
            <w:pPr>
              <w:ind w:left="20"/>
              <w:spacing w:after="0" w:line="201" w:lineRule="exact"/>
              <w:rPr>
                <w:sz w:val="20"/>
                <w:szCs w:val="20"/>
                <w:color w:val="auto"/>
              </w:rPr>
            </w:pPr>
            <w:r>
              <w:rPr>
                <w:rFonts w:ascii="Arial" w:cs="Arial" w:eastAsia="Arial" w:hAnsi="Arial"/>
                <w:sz w:val="18"/>
                <w:szCs w:val="18"/>
                <w:color w:val="auto"/>
              </w:rPr>
              <w:t>Restricted shares</w:t>
            </w:r>
          </w:p>
        </w:tc>
        <w:tc>
          <w:tcPr>
            <w:tcW w:w="240" w:type="dxa"/>
            <w:vAlign w:val="bottom"/>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w w:val="99"/>
              </w:rPr>
              <w:t>3 to 5 years</w:t>
            </w: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Officers and key employees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February 16, 2010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2420" w:type="dxa"/>
            <w:vAlign w:val="bottom"/>
          </w:tcPr>
          <w:p>
            <w:pPr>
              <w:ind w:left="20"/>
              <w:spacing w:after="0"/>
              <w:rPr>
                <w:sz w:val="20"/>
                <w:szCs w:val="20"/>
                <w:color w:val="auto"/>
              </w:rPr>
            </w:pPr>
            <w:r>
              <w:rPr>
                <w:rFonts w:ascii="Arial" w:cs="Arial" w:eastAsia="Arial" w:hAnsi="Arial"/>
                <w:sz w:val="18"/>
                <w:szCs w:val="18"/>
                <w:color w:val="auto"/>
              </w:rPr>
              <w:t>Options</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5 years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Officers and key employees</w:t>
            </w:r>
          </w:p>
        </w:tc>
      </w:t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January 4, 2010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4,798</w:t>
            </w:r>
          </w:p>
        </w:tc>
        <w:tc>
          <w:tcPr>
            <w:tcW w:w="2420" w:type="dxa"/>
            <w:vAlign w:val="bottom"/>
          </w:tcPr>
          <w:p>
            <w:pPr>
              <w:ind w:left="20"/>
              <w:spacing w:after="0"/>
              <w:rPr>
                <w:sz w:val="20"/>
                <w:szCs w:val="20"/>
                <w:color w:val="auto"/>
              </w:rPr>
            </w:pPr>
            <w:r>
              <w:rPr>
                <w:rFonts w:ascii="Arial" w:cs="Arial" w:eastAsia="Arial" w:hAnsi="Arial"/>
                <w:sz w:val="18"/>
                <w:szCs w:val="18"/>
                <w:color w:val="auto"/>
              </w:rPr>
              <w:t>Shares</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Immediate</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Trustees</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SAVINGS AND RETIREMENT PLANS</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have a savings and retirement plan in accordance with the provisions of Section 401(k) of the Code. Generally, employees can elect, at their discretion, to contribute a portion of their compensation up to a maximum of $16,500, $15,500 and $15,500 for 2009, 2008 and 2007, respectively. Under the plan, we contribute 50% of each employee’s first 5% of contributions. In addition, we may make discretionary contributions within the limits of deductibility set forth by the Code. Our employees are immediately eligible to become plan participants. Employees are eligible to receive matching contributions immediately on their participation; however, these matching payments will not vest until their first anniversary of employment. Our expense for the years ended December 31, 2009, 2008 and 2007 was approximately $282,000, $397,000 and $365,000, respectively.</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non-qualified deferred compensation plan for our officers and certain other employees was established in 1994 that allows the participants to defer a portion of their income. As of December 31, 2009, we are liable to participants for approximately $4.8 million under this plan. Although this is an unfunded plan, we have purchased certain investments to match this obligation. Our obligation under this plan and the related investments are both included in the accompanying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2008, the FASB issued a new accounting standard which requires unvested share-based payment awards that contain non-forfeitable rights to receive dividends (whether paid or unpaid) to be treated as participating securities and should be included in the computation of EPS pursuant to the two-class method. As part of our stock based compensation program, we issue restricted shares which typically vest over a three to six year period; these shares have non-forfeitable rights to dividends immediately after issuance. Prior to January 1, 2009, we excluded the unvested shares from the basic EPS calculation and included them in diluted EPS using the treasury stock method.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Effective January 1, 2009, we adopted the new accounting standard and have calculated EPS under the two-class method for all periods presented. The two-class method is an earnings allocation methodology whereby EPS for each class of common stock and participating securities is calculated according to dividends declared and participation rights in undistributed earnings. For 2009, 2008 and 2007, we had approximately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certain stock options have been excluded as they were anti-dilutive. The conversions of downREIT operating partnership units and Series 1 Preferred Shares are anti-dilutive for all periods presented and accordingly, have been excluded from the weighted average common shares used to compute diluted EPS.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EPS for prior periods has been restated to conform to the requirements of the new accounting standard. The implementation did not result in a significant change to basic or diluted EPS for the periods presented. The following table provides a reconciliation of the numerator and denominator of the basic and diluted EPS calculations: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w w:val="71"/>
              </w:rPr>
              <w:t>thousands,</w:t>
            </w:r>
          </w:p>
        </w:tc>
        <w:tc>
          <w:tcPr>
            <w:tcW w:w="1900" w:type="dxa"/>
            <w:vAlign w:val="bottom"/>
            <w:gridSpan w:val="7"/>
          </w:tcPr>
          <w:p>
            <w:pPr>
              <w:jc w:val="right"/>
              <w:ind w:right="500"/>
              <w:spacing w:after="0" w:line="142" w:lineRule="exact"/>
              <w:rPr>
                <w:sz w:val="20"/>
                <w:szCs w:val="20"/>
                <w:color w:val="auto"/>
              </w:rPr>
            </w:pPr>
            <w:r>
              <w:rPr>
                <w:rFonts w:ascii="Arial" w:cs="Arial" w:eastAsia="Arial" w:hAnsi="Arial"/>
                <w:sz w:val="14"/>
                <w:szCs w:val="14"/>
                <w:b w:val="1"/>
                <w:bCs w:val="1"/>
                <w:color w:val="auto"/>
                <w:w w:val="92"/>
              </w:rPr>
              <w:t>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102,356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120,600</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 dividends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(5,366)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Less: Earnings allocated to unvested shares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1"/>
        </w:trPr>
        <w:tc>
          <w:tcPr>
            <w:tcW w:w="5280" w:type="dxa"/>
            <w:vAlign w:val="bottom"/>
            <w:gridSpan w:val="2"/>
          </w:tcPr>
          <w:p>
            <w:pPr>
              <w:spacing w:after="0"/>
              <w:rPr>
                <w:sz w:val="20"/>
                <w:szCs w:val="20"/>
                <w:color w:val="auto"/>
              </w:rPr>
            </w:pPr>
            <w:r>
              <w:rPr>
                <w:rFonts w:ascii="Arial" w:cs="Arial" w:eastAsia="Arial" w:hAnsi="Arial"/>
                <w:sz w:val="18"/>
                <w:szCs w:val="18"/>
                <w:color w:val="auto"/>
                <w:w w:val="93"/>
              </w:rPr>
              <w:t>Income from continuing operations available for common shareholders</w:t>
            </w:r>
          </w:p>
        </w:tc>
        <w:tc>
          <w:tcPr>
            <w:tcW w:w="3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95,737</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114,187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3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97,253</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128,740</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194,626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59,704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58,665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58,889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56,473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attributable to the Trust</w:t>
            </w: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gridSpan w:val="2"/>
            <w:vMerge w:val="continue"/>
          </w:tcPr>
          <w:p>
            <w:pPr>
              <w:spacing w:after="0"/>
              <w:rPr>
                <w:sz w:val="18"/>
                <w:szCs w:val="18"/>
                <w:color w:val="auto"/>
              </w:rPr>
            </w:pP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96,788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115,234</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220" w:type="dxa"/>
            <w:vAlign w:val="bottom"/>
            <w:gridSpan w:val="2"/>
          </w:tcPr>
          <w:p>
            <w:pPr>
              <w:jc w:val="right"/>
              <w:ind w:right="2620"/>
              <w:spacing w:after="0"/>
              <w:rPr>
                <w:sz w:val="20"/>
                <w:szCs w:val="20"/>
                <w:color w:val="auto"/>
              </w:rPr>
            </w:pPr>
            <w:r>
              <w:rPr>
                <w:rFonts w:ascii="Arial" w:cs="Arial" w:eastAsia="Arial" w:hAnsi="Arial"/>
                <w:sz w:val="18"/>
                <w:szCs w:val="18"/>
                <w:color w:val="auto"/>
              </w:rPr>
              <w:t>F-31</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SELECTED QUARTERLY FINANCIAL DATA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82"/>
              </w:rPr>
              <w:t>Second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6"/>
              </w:rPr>
              <w:t>(In thousands,</w:t>
            </w:r>
          </w:p>
        </w:tc>
        <w:tc>
          <w:tcPr>
            <w:tcW w:w="220" w:type="dxa"/>
            <w:vAlign w:val="bottom"/>
            <w:gridSpan w:val="2"/>
          </w:tcPr>
          <w:p>
            <w:pPr>
              <w:spacing w:after="0"/>
              <w:rPr>
                <w:sz w:val="20"/>
                <w:szCs w:val="20"/>
                <w:color w:val="auto"/>
              </w:rPr>
            </w:pPr>
            <w:r>
              <w:rPr>
                <w:rFonts w:ascii="Arial" w:cs="Arial" w:eastAsia="Arial" w:hAnsi="Arial"/>
                <w:sz w:val="8"/>
                <w:szCs w:val="8"/>
                <w:b w:val="1"/>
                <w:bCs w:val="1"/>
                <w:color w:val="auto"/>
                <w:w w:val="78"/>
              </w:rPr>
              <w:t>except</w:t>
            </w:r>
          </w:p>
        </w:tc>
        <w:tc>
          <w:tcPr>
            <w:tcW w:w="10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per share data)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Revenue(1)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131,076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130,338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130,992</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34,178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55,403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57,651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11,873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29,794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28,839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28,417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27,433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income available for common shareholders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10,349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28,282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27,297</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Earnings per common share—diluted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0.45</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82"/>
              </w:rPr>
              <w:t>Second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(In thousands,</w:t>
            </w:r>
          </w:p>
        </w:tc>
        <w:tc>
          <w:tcPr>
            <w:tcW w:w="220" w:type="dxa"/>
            <w:vAlign w:val="bottom"/>
            <w:gridSpan w:val="2"/>
          </w:tcPr>
          <w:p>
            <w:pPr>
              <w:spacing w:after="0"/>
              <w:rPr>
                <w:sz w:val="20"/>
                <w:szCs w:val="20"/>
                <w:color w:val="auto"/>
              </w:rPr>
            </w:pPr>
            <w:r>
              <w:rPr>
                <w:rFonts w:ascii="Arial" w:cs="Arial" w:eastAsia="Arial" w:hAnsi="Arial"/>
                <w:sz w:val="8"/>
                <w:szCs w:val="8"/>
                <w:b w:val="1"/>
                <w:bCs w:val="1"/>
                <w:color w:val="auto"/>
                <w:w w:val="78"/>
              </w:rPr>
              <w:t>except</w:t>
            </w: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5"/>
              </w:rPr>
              <w:t>per share data)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Revenue(1)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126,242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128,712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131,707</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54,319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53,515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55,446</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31,318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30,383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38,417</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29,986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28,974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37,102</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income available for common shareholders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29,851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28,839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36,966</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Earnings per common share—diluted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0.49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0.63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Revenue has been reduced to reflect the results of discontinued operations. Revenue from discontinued operations, by quarter, is summarized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9"/>
              <w:spacing w:after="0"/>
              <w:rPr>
                <w:sz w:val="20"/>
                <w:szCs w:val="20"/>
                <w:color w:val="auto"/>
              </w:rPr>
            </w:pPr>
            <w:r>
              <w:rPr>
                <w:rFonts w:ascii="Arial" w:cs="Arial" w:eastAsia="Arial" w:hAnsi="Arial"/>
                <w:sz w:val="14"/>
                <w:szCs w:val="14"/>
                <w:b w:val="1"/>
                <w:bCs w:val="1"/>
                <w:color w:val="auto"/>
                <w:w w:val="85"/>
              </w:rPr>
              <w:t>First</w:t>
            </w:r>
          </w:p>
        </w:tc>
        <w:tc>
          <w:tcPr>
            <w:tcW w:w="700" w:type="dxa"/>
            <w:vAlign w:val="bottom"/>
          </w:tcPr>
          <w:p>
            <w:pPr>
              <w:spacing w:after="0"/>
              <w:rPr>
                <w:sz w:val="14"/>
                <w:szCs w:val="14"/>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2"/>
              </w:rPr>
              <w:t>Second</w:t>
            </w:r>
          </w:p>
        </w:tc>
        <w:tc>
          <w:tcPr>
            <w:tcW w:w="3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40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Quarter</w:t>
            </w:r>
          </w:p>
        </w:tc>
        <w:tc>
          <w:tcPr>
            <w:tcW w:w="1520" w:type="dxa"/>
            <w:vAlign w:val="bottom"/>
            <w:gridSpan w:val="4"/>
          </w:tcPr>
          <w:p>
            <w:pPr>
              <w:ind w:left="700"/>
              <w:spacing w:after="0"/>
              <w:rPr>
                <w:sz w:val="20"/>
                <w:szCs w:val="20"/>
                <w:color w:val="auto"/>
              </w:rPr>
            </w:pPr>
            <w:r>
              <w:rPr>
                <w:rFonts w:ascii="Arial" w:cs="Arial" w:eastAsia="Arial" w:hAnsi="Arial"/>
                <w:sz w:val="14"/>
                <w:szCs w:val="14"/>
                <w:b w:val="1"/>
                <w:bCs w:val="1"/>
                <w:color w:val="auto"/>
              </w:rPr>
              <w:t>Quarter</w:t>
            </w:r>
          </w:p>
        </w:tc>
        <w:tc>
          <w:tcPr>
            <w:tcW w:w="1100" w:type="dxa"/>
            <w:vAlign w:val="bottom"/>
            <w:gridSpan w:val="4"/>
          </w:tcPr>
          <w:p>
            <w:pPr>
              <w:ind w:left="340"/>
              <w:spacing w:after="0"/>
              <w:rPr>
                <w:sz w:val="20"/>
                <w:szCs w:val="20"/>
                <w:color w:val="auto"/>
              </w:rPr>
            </w:pPr>
            <w:r>
              <w:rPr>
                <w:rFonts w:ascii="Arial" w:cs="Arial" w:eastAsia="Arial" w:hAnsi="Arial"/>
                <w:sz w:val="14"/>
                <w:szCs w:val="14"/>
                <w:b w:val="1"/>
                <w:bCs w:val="1"/>
                <w:color w:val="auto"/>
              </w:rPr>
              <w:t>Quarter</w:t>
            </w:r>
          </w:p>
        </w:tc>
        <w:tc>
          <w:tcPr>
            <w:tcW w:w="760" w:type="dxa"/>
            <w:vAlign w:val="bottom"/>
            <w:gridSpan w:val="3"/>
          </w:tcPr>
          <w:p>
            <w:pPr>
              <w:ind w:left="280"/>
              <w:spacing w:after="0"/>
              <w:rPr>
                <w:sz w:val="20"/>
                <w:szCs w:val="20"/>
                <w:color w:val="auto"/>
              </w:rPr>
            </w:pPr>
            <w:r>
              <w:rPr>
                <w:rFonts w:ascii="Arial" w:cs="Arial" w:eastAsia="Arial" w:hAnsi="Arial"/>
                <w:sz w:val="14"/>
                <w:szCs w:val="14"/>
                <w:b w:val="1"/>
                <w:bCs w:val="1"/>
                <w:color w:val="auto"/>
                <w:w w:val="90"/>
              </w:rPr>
              <w:t>Quarter</w:t>
            </w:r>
          </w:p>
        </w:tc>
      </w:tr>
      <w:tr>
        <w:trPr>
          <w:trHeight w:val="20"/>
        </w:trPr>
        <w:tc>
          <w:tcPr>
            <w:tcW w:w="4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142"/>
        </w:trPr>
        <w:tc>
          <w:tcPr>
            <w:tcW w:w="40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2009 revenue from discontinued operations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102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2008 revenue from discontinued operations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980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982</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810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289</w:t>
            </w:r>
          </w:p>
        </w:tc>
      </w:tr>
      <w:tr>
        <w:trPr>
          <w:trHeight w:val="356"/>
        </w:trPr>
        <w:tc>
          <w:tcPr>
            <w:tcW w:w="4080" w:type="dxa"/>
            <w:vAlign w:val="bottom"/>
          </w:tcPr>
          <w:p>
            <w:pPr>
              <w:spacing w:after="0"/>
              <w:rPr>
                <w:sz w:val="24"/>
                <w:szCs w:val="24"/>
                <w:color w:val="auto"/>
              </w:rPr>
            </w:pPr>
          </w:p>
        </w:tc>
        <w:tc>
          <w:tcPr>
            <w:tcW w:w="2660" w:type="dxa"/>
            <w:vAlign w:val="bottom"/>
            <w:gridSpan w:val="2"/>
          </w:tcPr>
          <w:p>
            <w:pPr>
              <w:jc w:val="right"/>
              <w:ind w:right="1252"/>
              <w:spacing w:after="0"/>
              <w:rPr>
                <w:sz w:val="20"/>
                <w:szCs w:val="20"/>
                <w:color w:val="auto"/>
              </w:rPr>
            </w:pPr>
            <w:r>
              <w:rPr>
                <w:rFonts w:ascii="Arial" w:cs="Arial" w:eastAsia="Arial" w:hAnsi="Arial"/>
                <w:sz w:val="18"/>
                <w:szCs w:val="18"/>
                <w:color w:val="auto"/>
              </w:rPr>
              <w:t>F-32</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30"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w:t>
      </w:r>
    </w:p>
    <w:p>
      <w:pPr>
        <w:ind w:left="4880"/>
        <w:spacing w:after="0"/>
        <w:rPr>
          <w:sz w:val="20"/>
          <w:szCs w:val="20"/>
          <w:color w:val="auto"/>
        </w:rPr>
      </w:pPr>
      <w:r>
        <w:rPr>
          <w:rFonts w:ascii="Arial" w:cs="Arial" w:eastAsia="Arial" w:hAnsi="Arial"/>
          <w:sz w:val="18"/>
          <w:szCs w:val="18"/>
          <w:b w:val="1"/>
          <w:bCs w:val="1"/>
          <w:color w:val="auto"/>
        </w:rPr>
        <w:t>DECEMBER 31, 2009</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4"/>
          </w:tcPr>
          <w:p>
            <w:pPr>
              <w:spacing w:after="0"/>
              <w:rPr>
                <w:sz w:val="20"/>
                <w:szCs w:val="20"/>
                <w:color w:val="auto"/>
              </w:rPr>
            </w:pPr>
            <w:r>
              <w:rPr>
                <w:rFonts w:ascii="Arial" w:cs="Arial" w:eastAsia="Arial" w:hAnsi="Arial"/>
                <w:sz w:val="14"/>
                <w:szCs w:val="14"/>
                <w:b w:val="1"/>
                <w:bCs w:val="1"/>
                <w:color w:val="auto"/>
              </w:rPr>
              <w:t>COLUMN A</w:t>
            </w:r>
          </w:p>
        </w:tc>
        <w:tc>
          <w:tcPr>
            <w:tcW w:w="320" w:type="dxa"/>
            <w:vAlign w:val="bottom"/>
          </w:tcPr>
          <w:p>
            <w:pPr>
              <w:spacing w:after="0"/>
              <w:rPr>
                <w:sz w:val="14"/>
                <w:szCs w:val="14"/>
                <w:color w:val="auto"/>
              </w:rPr>
            </w:pPr>
          </w:p>
        </w:tc>
        <w:tc>
          <w:tcPr>
            <w:tcW w:w="17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COLUMN B  COLUMN C</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COLUMN D COLUMN E</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COLUMN F</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COLUMN G</w:t>
            </w:r>
          </w:p>
        </w:tc>
        <w:tc>
          <w:tcPr>
            <w:tcW w:w="15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COLUMN H COLUMN 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Life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87"/>
              </w:rPr>
              <w:t>Gross amount at which carried at</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which</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gridSpan w:val="6"/>
            <w:vMerge w:val="continue"/>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w w:val="84"/>
              </w:rPr>
              <w:t>depreciation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7"/>
              </w:rPr>
              <w:t>Initial cost to company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1720" w:type="dxa"/>
            <w:vAlign w:val="bottom"/>
            <w:gridSpan w:val="4"/>
          </w:tcPr>
          <w:p>
            <w:pPr>
              <w:jc w:val="center"/>
              <w:ind w:left="372"/>
              <w:spacing w:after="0"/>
              <w:rPr>
                <w:sz w:val="20"/>
                <w:szCs w:val="20"/>
                <w:color w:val="auto"/>
              </w:rPr>
            </w:pPr>
            <w:r>
              <w:rPr>
                <w:rFonts w:ascii="Arial" w:cs="Arial" w:eastAsia="Arial" w:hAnsi="Arial"/>
                <w:sz w:val="14"/>
                <w:szCs w:val="14"/>
                <w:b w:val="1"/>
                <w:bCs w:val="1"/>
                <w:color w:val="auto"/>
                <w:w w:val="84"/>
              </w:rPr>
              <w:t>close of period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in latest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Capitalized</w:t>
            </w: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Subsequent</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statements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to</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Date</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Date</w:t>
            </w:r>
          </w:p>
        </w:tc>
        <w:tc>
          <w:tcPr>
            <w:tcW w:w="7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79"/>
              </w:rPr>
              <w:t>is</w:t>
            </w:r>
          </w:p>
        </w:tc>
        <w:tc>
          <w:tcPr>
            <w:tcW w:w="0" w:type="dxa"/>
            <w:vAlign w:val="bottom"/>
          </w:tcPr>
          <w:p>
            <w:pPr>
              <w:spacing w:after="0"/>
              <w:rPr>
                <w:sz w:val="1"/>
                <w:szCs w:val="1"/>
                <w:color w:val="auto"/>
              </w:rPr>
            </w:pPr>
          </w:p>
        </w:tc>
      </w:tr>
      <w:tr>
        <w:trPr>
          <w:trHeight w:val="161"/>
        </w:trPr>
        <w:tc>
          <w:tcPr>
            <w:tcW w:w="2020" w:type="dxa"/>
            <w:vAlign w:val="bottom"/>
            <w:gridSpan w:val="4"/>
          </w:tcPr>
          <w:p>
            <w:pPr>
              <w:spacing w:after="0"/>
              <w:rPr>
                <w:sz w:val="20"/>
                <w:szCs w:val="20"/>
                <w:color w:val="auto"/>
              </w:rPr>
            </w:pPr>
            <w:r>
              <w:rPr>
                <w:rFonts w:ascii="Arial" w:cs="Arial" w:eastAsia="Arial" w:hAnsi="Arial"/>
                <w:sz w:val="14"/>
                <w:szCs w:val="14"/>
                <w:b w:val="1"/>
                <w:bCs w:val="1"/>
                <w:color w:val="auto"/>
              </w:rPr>
              <w:t>Descriptions</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4"/>
              </w:rPr>
              <w:t>Encumbrance</w:t>
            </w:r>
          </w:p>
        </w:tc>
        <w:tc>
          <w:tcPr>
            <w:tcW w:w="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Land</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Improvements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Acquisition</w:t>
            </w:r>
          </w:p>
        </w:tc>
        <w:tc>
          <w:tcPr>
            <w:tcW w:w="8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Land</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Improvements</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Amortization</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of Construction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Acquired</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150 POST STREET (California)</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CA</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11,685</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9,181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16,709</w:t>
            </w:r>
          </w:p>
        </w:tc>
        <w:tc>
          <w:tcPr>
            <w:tcW w:w="8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11,685</w:t>
            </w:r>
          </w:p>
        </w:tc>
        <w:tc>
          <w:tcPr>
            <w:tcW w:w="9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25,890</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7"/>
              </w:rPr>
              <w:t>37,575</w:t>
            </w: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11,094</w:t>
            </w:r>
          </w:p>
        </w:tc>
        <w:tc>
          <w:tcPr>
            <w:tcW w:w="10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1908</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10/23/97</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 years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ANDORRA (Pennsylvania)</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PA</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2,432</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12,346</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8,520</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2,432</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20,866</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23,298</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12,978</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1953</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01/12/88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ASSEMBLY SQUARE</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(Massachusetts)</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MA</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38,319</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34,196</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97,376</w:t>
            </w:r>
          </w:p>
        </w:tc>
        <w:tc>
          <w:tcPr>
            <w:tcW w:w="8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66,434</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103,457</w:t>
            </w: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2"/>
              </w:rPr>
              <w:t>169,891</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8,965</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2005</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2005-2009</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tcPr>
          <w:p>
            <w:pPr>
              <w:spacing w:after="0" w:line="138" w:lineRule="exact"/>
              <w:rPr>
                <w:sz w:val="20"/>
                <w:szCs w:val="20"/>
                <w:color w:val="auto"/>
              </w:rPr>
            </w:pPr>
            <w:r>
              <w:rPr>
                <w:rFonts w:ascii="Arial" w:cs="Arial" w:eastAsia="Arial" w:hAnsi="Arial"/>
                <w:sz w:val="14"/>
                <w:szCs w:val="14"/>
                <w:color w:val="auto"/>
              </w:rPr>
              <w:t>THE AVENUE AT WHITE</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MARSH (Maryland)</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MD</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58,982</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20,682</w:t>
            </w: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72,432</w:t>
            </w:r>
          </w:p>
        </w:tc>
        <w:tc>
          <w:tcPr>
            <w:tcW w:w="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1,413</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20,682</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73,845</w:t>
            </w:r>
          </w:p>
        </w:tc>
        <w:tc>
          <w:tcPr>
            <w:tcW w:w="5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7"/>
              </w:rPr>
              <w:t>94,527</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7,588</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1997</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03/08/07</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9"/>
              </w:rPr>
              <w:t>BALA CYNWYD (Pennsylvania)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PA</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3,565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16,533</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3,566</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30,998</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34,564</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10,736</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1955</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09/22/93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BARRACKS ROAD (Virginia)</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VA</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40,639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4,363</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16,459</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27,089</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4,363</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43,548</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47,911</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28,989</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1958</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12/31/85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BETHESDA ROW</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36,971</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35,406</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119,637</w:t>
            </w:r>
          </w:p>
        </w:tc>
        <w:tc>
          <w:tcPr>
            <w:tcW w:w="88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35,276</w:t>
            </w:r>
          </w:p>
        </w:tc>
        <w:tc>
          <w:tcPr>
            <w:tcW w:w="9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156,738</w:t>
            </w:r>
          </w:p>
        </w:tc>
        <w:tc>
          <w:tcPr>
            <w:tcW w:w="5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82"/>
              </w:rPr>
              <w:t>192,014</w:t>
            </w:r>
          </w:p>
        </w:tc>
        <w:tc>
          <w:tcPr>
            <w:tcW w:w="8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27,134</w:t>
            </w:r>
          </w:p>
        </w:tc>
        <w:tc>
          <w:tcPr>
            <w:tcW w:w="10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1945-2008</w:t>
            </w:r>
          </w:p>
        </w:tc>
        <w:tc>
          <w:tcPr>
            <w:tcW w:w="8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12/31/93,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5"/>
              </w:rPr>
              <w:t>35 - 50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(Maryland)</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1/20/06,</w:t>
            </w:r>
          </w:p>
        </w:tc>
        <w:tc>
          <w:tcPr>
            <w:tcW w:w="7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MD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25,290</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9/25/08,</w:t>
            </w: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&amp; 9/30/08</w:t>
            </w: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BRICK PLAZA (New Jersey)</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NJ</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30,053</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24,715</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32,326</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3,788</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53,253</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57,041</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34,054</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1958</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12/28/89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BRISTOL (Connecticut)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15,959</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7,770</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3,856</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23,729</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27,585</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9,637</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1959</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09/22/95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tcPr>
          <w:p>
            <w:pPr>
              <w:spacing w:after="0" w:line="138" w:lineRule="exact"/>
              <w:rPr>
                <w:sz w:val="20"/>
                <w:szCs w:val="20"/>
                <w:color w:val="auto"/>
              </w:rPr>
            </w:pPr>
            <w:r>
              <w:rPr>
                <w:rFonts w:ascii="Arial" w:cs="Arial" w:eastAsia="Arial" w:hAnsi="Arial"/>
                <w:sz w:val="14"/>
                <w:szCs w:val="14"/>
                <w:color w:val="auto"/>
              </w:rPr>
              <w:t>CHELSEA COMMONS</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9,417</w:t>
            </w:r>
          </w:p>
        </w:tc>
        <w:tc>
          <w:tcPr>
            <w:tcW w:w="80" w:type="dxa"/>
            <w:vAlign w:val="bottom"/>
          </w:tcPr>
          <w:p>
            <w:pPr>
              <w:spacing w:after="0"/>
              <w:rPr>
                <w:sz w:val="11"/>
                <w:szCs w:val="11"/>
                <w:color w:val="auto"/>
              </w:rPr>
            </w:pP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19,466</w:t>
            </w: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410</w:t>
            </w:r>
          </w:p>
        </w:tc>
        <w:tc>
          <w:tcPr>
            <w:tcW w:w="88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9,441</w:t>
            </w:r>
          </w:p>
        </w:tc>
        <w:tc>
          <w:tcPr>
            <w:tcW w:w="9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19,852</w:t>
            </w:r>
          </w:p>
        </w:tc>
        <w:tc>
          <w:tcPr>
            <w:tcW w:w="5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7"/>
              </w:rPr>
              <w:t>29,293</w:t>
            </w:r>
          </w:p>
        </w:tc>
        <w:tc>
          <w:tcPr>
            <w:tcW w:w="8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1,651</w:t>
            </w:r>
          </w:p>
        </w:tc>
        <w:tc>
          <w:tcPr>
            <w:tcW w:w="100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w w:val="90"/>
              </w:rPr>
              <w:t>1962/1969/2008</w:t>
            </w:r>
          </w:p>
        </w:tc>
        <w:tc>
          <w:tcPr>
            <w:tcW w:w="8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08/25/06,</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0" w:type="dxa"/>
            <w:vAlign w:val="bottom"/>
            <w:gridSpan w:val="3"/>
            <w:vMerge w:val="restart"/>
          </w:tcPr>
          <w:p>
            <w:pPr>
              <w:ind w:left="120"/>
              <w:spacing w:after="0" w:line="149" w:lineRule="exact"/>
              <w:rPr>
                <w:sz w:val="20"/>
                <w:szCs w:val="20"/>
                <w:color w:val="auto"/>
              </w:rPr>
            </w:pPr>
            <w:r>
              <w:rPr>
                <w:rFonts w:ascii="Arial" w:cs="Arial" w:eastAsia="Arial" w:hAnsi="Arial"/>
                <w:sz w:val="14"/>
                <w:szCs w:val="14"/>
                <w:color w:val="auto"/>
              </w:rPr>
              <w:t>(Massachusetts)</w:t>
            </w: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right"/>
              <w:ind w:right="80"/>
              <w:spacing w:after="0" w:line="149" w:lineRule="exact"/>
              <w:rPr>
                <w:sz w:val="20"/>
                <w:szCs w:val="20"/>
                <w:color w:val="auto"/>
              </w:rPr>
            </w:pPr>
            <w:r>
              <w:rPr>
                <w:rFonts w:ascii="Arial" w:cs="Arial" w:eastAsia="Arial" w:hAnsi="Arial"/>
                <w:sz w:val="14"/>
                <w:szCs w:val="14"/>
                <w:color w:val="auto"/>
              </w:rPr>
              <w:t>1/30/07,</w:t>
            </w: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0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MA</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7,579</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&amp; 7/16/08</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COLORADO BLVD (California)</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12/31/96</w:t>
            </w: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5,262</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4,071</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7,300</w:t>
            </w:r>
          </w:p>
        </w:tc>
        <w:tc>
          <w:tcPr>
            <w:tcW w:w="8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5,262</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11,371</w:t>
            </w: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7"/>
              </w:rPr>
              <w:t>16,633</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5,931</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0"/>
              </w:rPr>
              <w:t>1905/1915/1980</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&amp; 8/14/98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tcPr>
          <w:p>
            <w:pPr>
              <w:spacing w:after="0" w:line="138" w:lineRule="exact"/>
              <w:rPr>
                <w:sz w:val="20"/>
                <w:szCs w:val="20"/>
                <w:color w:val="auto"/>
              </w:rPr>
            </w:pPr>
            <w:r>
              <w:rPr>
                <w:rFonts w:ascii="Arial" w:cs="Arial" w:eastAsia="Arial" w:hAnsi="Arial"/>
                <w:sz w:val="14"/>
                <w:szCs w:val="14"/>
                <w:color w:val="auto"/>
              </w:rPr>
              <w:t>CONGRESSIONAL PLAZA</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(Maryland)</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MD</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2,793</w:t>
            </w: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7,424</w:t>
            </w:r>
          </w:p>
        </w:tc>
        <w:tc>
          <w:tcPr>
            <w:tcW w:w="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60,250</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2,793</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67,674</w:t>
            </w:r>
          </w:p>
        </w:tc>
        <w:tc>
          <w:tcPr>
            <w:tcW w:w="5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7"/>
              </w:rPr>
              <w:t>70,467</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37,017</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1965/2003</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04/01/65</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COURTHOUSE CENTER</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1,750</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1,869</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644</w:t>
            </w:r>
          </w:p>
        </w:tc>
        <w:tc>
          <w:tcPr>
            <w:tcW w:w="8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1,750</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2,513</w:t>
            </w: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4,263</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1,016</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1975</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12/17/97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COURTYARD SHOPS (Florida)</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FL</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7,690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16,862</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21,851</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16,894</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21,997</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38,891</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1990</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09/04/08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CROSSROADS (Illinois)</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IL</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11,611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7,716</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4,635</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19,327</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23,962</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9,403</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1959</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07/19/93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tcPr>
          <w:p>
            <w:pPr>
              <w:spacing w:after="0" w:line="138" w:lineRule="exact"/>
              <w:rPr>
                <w:sz w:val="20"/>
                <w:szCs w:val="20"/>
                <w:color w:val="auto"/>
              </w:rPr>
            </w:pPr>
            <w:r>
              <w:rPr>
                <w:rFonts w:ascii="Arial" w:cs="Arial" w:eastAsia="Arial" w:hAnsi="Arial"/>
                <w:sz w:val="14"/>
                <w:szCs w:val="14"/>
                <w:color w:val="auto"/>
              </w:rPr>
              <w:t>CROW CANYON COMMONS</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12/29/05</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(California)</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CA</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20,816</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8,638</w:t>
            </w: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54,575</w:t>
            </w:r>
          </w:p>
        </w:tc>
        <w:tc>
          <w:tcPr>
            <w:tcW w:w="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1,784</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8,638</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56,359</w:t>
            </w:r>
          </w:p>
        </w:tc>
        <w:tc>
          <w:tcPr>
            <w:tcW w:w="5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7"/>
              </w:rPr>
              <w:t>64,997</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6,711</w:t>
            </w:r>
          </w:p>
        </w:tc>
        <w:tc>
          <w:tcPr>
            <w:tcW w:w="100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5"/>
              </w:rPr>
              <w:t>Late 1970's/2006</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&amp; 02/28/07</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1"/>
              </w:rPr>
              <w:t>DEDHAM PLAZA (Massachusetts)</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MA</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12,287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12,918</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6,906</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12,287</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19,824</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32,111</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9,186</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1959</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12/31/93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tcPr>
          <w:p>
            <w:pPr>
              <w:spacing w:after="0" w:line="138" w:lineRule="exact"/>
              <w:rPr>
                <w:sz w:val="20"/>
                <w:szCs w:val="20"/>
                <w:color w:val="auto"/>
              </w:rPr>
            </w:pPr>
            <w:r>
              <w:rPr>
                <w:rFonts w:ascii="Arial" w:cs="Arial" w:eastAsia="Arial" w:hAnsi="Arial"/>
                <w:sz w:val="14"/>
                <w:szCs w:val="14"/>
                <w:color w:val="auto"/>
              </w:rPr>
              <w:t>DEL MAR VILLAGE (Florida)</w:t>
            </w:r>
          </w:p>
        </w:tc>
        <w:tc>
          <w:tcPr>
            <w:tcW w:w="320" w:type="dxa"/>
            <w:vAlign w:val="bottom"/>
          </w:tcPr>
          <w:p>
            <w:pPr>
              <w:jc w:val="right"/>
              <w:spacing w:after="0" w:line="138" w:lineRule="exact"/>
              <w:rPr>
                <w:sz w:val="20"/>
                <w:szCs w:val="20"/>
                <w:color w:val="auto"/>
              </w:rPr>
            </w:pPr>
            <w:r>
              <w:rPr>
                <w:rFonts w:ascii="Arial" w:cs="Arial" w:eastAsia="Arial" w:hAnsi="Arial"/>
                <w:sz w:val="14"/>
                <w:szCs w:val="14"/>
                <w:color w:val="auto"/>
              </w:rPr>
              <w:t>FL</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14,218</w:t>
            </w:r>
          </w:p>
        </w:tc>
        <w:tc>
          <w:tcPr>
            <w:tcW w:w="80" w:type="dxa"/>
            <w:vAlign w:val="bottom"/>
          </w:tcPr>
          <w:p>
            <w:pPr>
              <w:spacing w:after="0"/>
              <w:rPr>
                <w:sz w:val="11"/>
                <w:szCs w:val="11"/>
                <w:color w:val="auto"/>
              </w:rPr>
            </w:pP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39,559</w:t>
            </w: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672</w:t>
            </w:r>
          </w:p>
        </w:tc>
        <w:tc>
          <w:tcPr>
            <w:tcW w:w="88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14,180</w:t>
            </w:r>
          </w:p>
        </w:tc>
        <w:tc>
          <w:tcPr>
            <w:tcW w:w="9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40,269</w:t>
            </w:r>
          </w:p>
        </w:tc>
        <w:tc>
          <w:tcPr>
            <w:tcW w:w="5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7"/>
              </w:rPr>
              <w:t>54,449</w:t>
            </w:r>
          </w:p>
        </w:tc>
        <w:tc>
          <w:tcPr>
            <w:tcW w:w="8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2,078</w:t>
            </w:r>
          </w:p>
        </w:tc>
        <w:tc>
          <w:tcPr>
            <w:tcW w:w="100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1982/1984</w:t>
            </w:r>
          </w:p>
        </w:tc>
        <w:tc>
          <w:tcPr>
            <w:tcW w:w="8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5/30/08</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&amp; 7/11/08</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EASTGATE (North Carolina)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NC</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5,775</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18,650</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1,608</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24,425</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26,033</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11,883</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1963</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12/18/86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tcPr>
          <w:p>
            <w:pPr>
              <w:spacing w:after="0" w:line="138" w:lineRule="exact"/>
              <w:rPr>
                <w:sz w:val="20"/>
                <w:szCs w:val="20"/>
                <w:color w:val="auto"/>
              </w:rPr>
            </w:pPr>
            <w:r>
              <w:rPr>
                <w:rFonts w:ascii="Arial" w:cs="Arial" w:eastAsia="Arial" w:hAnsi="Arial"/>
                <w:sz w:val="14"/>
                <w:szCs w:val="14"/>
                <w:color w:val="auto"/>
              </w:rPr>
              <w:t>ELLISBURG CIRCLE (New</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0" w:type="dxa"/>
            <w:vAlign w:val="bottom"/>
            <w:gridSpan w:val="3"/>
          </w:tcPr>
          <w:p>
            <w:pPr>
              <w:ind w:left="200"/>
              <w:spacing w:after="0"/>
              <w:rPr>
                <w:sz w:val="20"/>
                <w:szCs w:val="20"/>
                <w:color w:val="auto"/>
              </w:rPr>
            </w:pPr>
            <w:r>
              <w:rPr>
                <w:rFonts w:ascii="Arial" w:cs="Arial" w:eastAsia="Arial" w:hAnsi="Arial"/>
                <w:sz w:val="14"/>
                <w:szCs w:val="14"/>
                <w:color w:val="auto"/>
              </w:rPr>
              <w:t>Jersey)</w:t>
            </w:r>
          </w:p>
        </w:tc>
        <w:tc>
          <w:tcPr>
            <w:tcW w:w="320" w:type="dxa"/>
            <w:vAlign w:val="bottom"/>
          </w:tcPr>
          <w:p>
            <w:pPr>
              <w:jc w:val="right"/>
              <w:spacing w:after="0"/>
              <w:rPr>
                <w:sz w:val="20"/>
                <w:szCs w:val="20"/>
                <w:color w:val="auto"/>
              </w:rPr>
            </w:pPr>
            <w:r>
              <w:rPr>
                <w:rFonts w:ascii="Arial" w:cs="Arial" w:eastAsia="Arial" w:hAnsi="Arial"/>
                <w:sz w:val="14"/>
                <w:szCs w:val="14"/>
                <w:color w:val="auto"/>
              </w:rPr>
              <w:t>NJ</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4,028</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11,309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12,558</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4,013</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23,882</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27,895</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14,287</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1959</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10/16/92</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30"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DEPRECIATION—CONTINUED</w:t>
      </w:r>
    </w:p>
    <w:p>
      <w:pPr>
        <w:ind w:left="4880"/>
        <w:spacing w:after="0"/>
        <w:rPr>
          <w:sz w:val="20"/>
          <w:szCs w:val="20"/>
          <w:color w:val="auto"/>
        </w:rPr>
      </w:pPr>
      <w:r>
        <w:rPr>
          <w:rFonts w:ascii="Arial" w:cs="Arial" w:eastAsia="Arial" w:hAnsi="Arial"/>
          <w:sz w:val="18"/>
          <w:szCs w:val="18"/>
          <w:b w:val="1"/>
          <w:bCs w:val="1"/>
          <w:color w:val="auto"/>
        </w:rPr>
        <w:t>DECEMBER 31, 2009</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4"/>
          </w:tcPr>
          <w:p>
            <w:pPr>
              <w:spacing w:after="0"/>
              <w:rPr>
                <w:sz w:val="20"/>
                <w:szCs w:val="20"/>
                <w:color w:val="auto"/>
              </w:rPr>
            </w:pPr>
            <w:r>
              <w:rPr>
                <w:rFonts w:ascii="Arial" w:cs="Arial" w:eastAsia="Arial" w:hAnsi="Arial"/>
                <w:sz w:val="14"/>
                <w:szCs w:val="14"/>
                <w:b w:val="1"/>
                <w:bCs w:val="1"/>
                <w:color w:val="auto"/>
              </w:rPr>
              <w:t>COLUMN A</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COLUMN B</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8"/>
              </w:rPr>
              <w:t>COLUMN C</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COLUMN 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COLUMN 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COLUMN F</w:t>
            </w:r>
          </w:p>
        </w:tc>
        <w:tc>
          <w:tcPr>
            <w:tcW w:w="246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COLUMN G  COLUMN H  COLUMN 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Life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w w:val="96"/>
              </w:rPr>
              <w:t>Gross amount at which carried at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which</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gridSpan w:val="6"/>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w w:val="84"/>
              </w:rPr>
              <w:t>depreciation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ind w:left="200"/>
              <w:spacing w:after="0"/>
              <w:rPr>
                <w:sz w:val="20"/>
                <w:szCs w:val="20"/>
                <w:color w:val="auto"/>
              </w:rPr>
            </w:pPr>
            <w:r>
              <w:rPr>
                <w:rFonts w:ascii="Arial" w:cs="Arial" w:eastAsia="Arial" w:hAnsi="Arial"/>
                <w:sz w:val="14"/>
                <w:szCs w:val="14"/>
                <w:b w:val="1"/>
                <w:bCs w:val="1"/>
                <w:color w:val="auto"/>
              </w:rPr>
              <w:t>Initial cost to company</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7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close of period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in latest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Capitalized</w:t>
            </w: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Subsequent</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Date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statements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to</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Date</w:t>
            </w:r>
          </w:p>
        </w:tc>
        <w:tc>
          <w:tcPr>
            <w:tcW w:w="7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79"/>
              </w:rPr>
              <w:t>is</w:t>
            </w:r>
          </w:p>
        </w:tc>
        <w:tc>
          <w:tcPr>
            <w:tcW w:w="0" w:type="dxa"/>
            <w:vAlign w:val="bottom"/>
          </w:tcPr>
          <w:p>
            <w:pPr>
              <w:spacing w:after="0"/>
              <w:rPr>
                <w:sz w:val="1"/>
                <w:szCs w:val="1"/>
                <w:color w:val="auto"/>
              </w:rPr>
            </w:pPr>
          </w:p>
        </w:tc>
      </w:tr>
      <w:tr>
        <w:trPr>
          <w:trHeight w:val="161"/>
        </w:trPr>
        <w:tc>
          <w:tcPr>
            <w:tcW w:w="1880" w:type="dxa"/>
            <w:vAlign w:val="bottom"/>
            <w:gridSpan w:val="4"/>
          </w:tcPr>
          <w:p>
            <w:pPr>
              <w:spacing w:after="0"/>
              <w:rPr>
                <w:sz w:val="20"/>
                <w:szCs w:val="20"/>
                <w:color w:val="auto"/>
              </w:rPr>
            </w:pPr>
            <w:r>
              <w:rPr>
                <w:rFonts w:ascii="Arial" w:cs="Arial" w:eastAsia="Arial" w:hAnsi="Arial"/>
                <w:sz w:val="14"/>
                <w:szCs w:val="14"/>
                <w:b w:val="1"/>
                <w:bCs w:val="1"/>
                <w:color w:val="auto"/>
              </w:rPr>
              <w:t>Descriptions</w:t>
            </w:r>
          </w:p>
        </w:tc>
        <w:tc>
          <w:tcPr>
            <w:tcW w:w="32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8"/>
              </w:rPr>
              <w:t>Encumbrance</w:t>
            </w: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Improvements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Acquisition</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Land</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Improvements</w:t>
            </w: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Amortization</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Construction</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Acquired</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860" w:type="dxa"/>
            <w:vAlign w:val="bottom"/>
            <w:gridSpan w:val="3"/>
            <w:shd w:val="clear" w:color="auto" w:fill="CCEEFF"/>
          </w:tcPr>
          <w:p>
            <w:pPr>
              <w:spacing w:after="0" w:line="131" w:lineRule="exact"/>
              <w:rPr>
                <w:sz w:val="20"/>
                <w:szCs w:val="20"/>
                <w:color w:val="auto"/>
              </w:rPr>
            </w:pPr>
            <w:r>
              <w:rPr>
                <w:rFonts w:ascii="Arial" w:cs="Arial" w:eastAsia="Arial" w:hAnsi="Arial"/>
                <w:sz w:val="14"/>
                <w:szCs w:val="14"/>
                <w:color w:val="auto"/>
              </w:rPr>
              <w:t>ESCONDIDO PROMENADE</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(California)</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11,505</w:t>
            </w:r>
          </w:p>
        </w:tc>
        <w:tc>
          <w:tcPr>
            <w:tcW w:w="10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12,147</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4,969</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11,505</w:t>
            </w: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17,116</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28,621</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6,058</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1987</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12/31/96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3"/>
          </w:tcPr>
          <w:p>
            <w:pPr>
              <w:spacing w:after="0" w:line="138" w:lineRule="exact"/>
              <w:rPr>
                <w:sz w:val="20"/>
                <w:szCs w:val="20"/>
                <w:color w:val="auto"/>
              </w:rPr>
            </w:pPr>
            <w:r>
              <w:rPr>
                <w:rFonts w:ascii="Arial" w:cs="Arial" w:eastAsia="Arial" w:hAnsi="Arial"/>
                <w:sz w:val="14"/>
                <w:szCs w:val="14"/>
                <w:color w:val="auto"/>
              </w:rPr>
              <w:t>FALLS PLAZA (Virginia)</w:t>
            </w:r>
          </w:p>
        </w:tc>
        <w:tc>
          <w:tcPr>
            <w:tcW w:w="320" w:type="dxa"/>
            <w:vAlign w:val="bottom"/>
          </w:tcPr>
          <w:p>
            <w:pPr>
              <w:jc w:val="right"/>
              <w:spacing w:after="0" w:line="138"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1"/>
                <w:szCs w:val="11"/>
                <w:color w:val="auto"/>
              </w:rPr>
            </w:pPr>
          </w:p>
        </w:tc>
        <w:tc>
          <w:tcPr>
            <w:tcW w:w="8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1,798</w:t>
            </w:r>
          </w:p>
        </w:tc>
        <w:tc>
          <w:tcPr>
            <w:tcW w:w="10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1,270</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8,914</w:t>
            </w:r>
          </w:p>
        </w:tc>
        <w:tc>
          <w:tcPr>
            <w:tcW w:w="1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1,819</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10,163</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97"/>
              </w:rPr>
              <w:t>11,982</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6,122</w:t>
            </w: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1960/1962</w:t>
            </w: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09/30/67</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25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&amp; 10/05/72</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2"/>
              </w:rPr>
              <w:t>FEASTERVILLE (Pennsylvania)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PA</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1,431</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8,858</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10,437</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11,889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7,572</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1958</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07/23/80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color w:val="auto"/>
              </w:rPr>
              <w:t>FEDERAL PLAZA (Maryland)</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MD</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32,536</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10,216</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17,895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34,092</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10,216</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51,987</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62,203</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29,118</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06/29/89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4"/>
              </w:rPr>
              <w:t>FIFTH AVENUE (California) (4)</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3,844</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9,095</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12,969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3,739</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1888-1995</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1996-1997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color w:val="auto"/>
              </w:rPr>
              <w:t>FINLEY SQUARE (Illinois)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IL</w:t>
            </w:r>
          </w:p>
        </w:tc>
        <w:tc>
          <w:tcPr>
            <w:tcW w:w="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9,252</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9,544</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13,011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9,252</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22,555</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31,807</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11,739</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1974</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04/27/95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8"/>
              </w:rPr>
              <w:t>FLOURTOWN (Pennsylvania)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PA</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1,345</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3,943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14,100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15,570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6,688</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1957</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04/25/80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color w:val="auto"/>
              </w:rPr>
              <w:t>FOREST HILLS (New York)</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NY</w:t>
            </w:r>
          </w:p>
        </w:tc>
        <w:tc>
          <w:tcPr>
            <w:tcW w:w="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2,885</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2,885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2,328</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3,031</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5,067</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8,098</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1937 -1987</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12/16/97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2"/>
              </w:rPr>
              <w:t>FRESH MEADOWS (New York)</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NY</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24,625</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25,255</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19,419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24,627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44,672</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69,299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19,579</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1946-1949</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12/05/97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3"/>
          </w:tcPr>
          <w:p>
            <w:pPr>
              <w:spacing w:after="0" w:line="138" w:lineRule="exact"/>
              <w:rPr>
                <w:sz w:val="20"/>
                <w:szCs w:val="20"/>
                <w:color w:val="auto"/>
              </w:rPr>
            </w:pPr>
            <w:r>
              <w:rPr>
                <w:rFonts w:ascii="Arial" w:cs="Arial" w:eastAsia="Arial" w:hAnsi="Arial"/>
                <w:sz w:val="14"/>
                <w:szCs w:val="14"/>
                <w:color w:val="auto"/>
                <w:w w:val="99"/>
              </w:rPr>
              <w:t>FRIENDSHIP CTR (District of</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Columbia)</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DC</w:t>
            </w:r>
          </w:p>
        </w:tc>
        <w:tc>
          <w:tcPr>
            <w:tcW w:w="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12,696</w:t>
            </w:r>
          </w:p>
        </w:tc>
        <w:tc>
          <w:tcPr>
            <w:tcW w:w="10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20,803</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(84)</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12,696</w:t>
            </w:r>
          </w:p>
        </w:tc>
        <w:tc>
          <w:tcPr>
            <w:tcW w:w="80" w:type="dxa"/>
            <w:vAlign w:val="bottom"/>
          </w:tcPr>
          <w:p>
            <w:pPr>
              <w:spacing w:after="0"/>
              <w:rPr>
                <w:sz w:val="13"/>
                <w:szCs w:val="13"/>
                <w:color w:val="auto"/>
              </w:rPr>
            </w:pPr>
          </w:p>
        </w:tc>
        <w:tc>
          <w:tcPr>
            <w:tcW w:w="9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20,719</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33,415</w:t>
            </w:r>
          </w:p>
        </w:tc>
        <w:tc>
          <w:tcPr>
            <w:tcW w:w="8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4,947</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1998</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09/21/01</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GAITHERSBURG SQUARE</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7,701</w:t>
            </w:r>
          </w:p>
        </w:tc>
        <w:tc>
          <w:tcPr>
            <w:tcW w:w="10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5,271</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11,434</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5,973</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18,433</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24,406</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12,214</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1966</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04/22/93</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color w:val="auto"/>
              </w:rPr>
              <w:t>GARDEN MARKET (Illinois)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IL</w:t>
            </w:r>
          </w:p>
        </w:tc>
        <w:tc>
          <w:tcPr>
            <w:tcW w:w="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2,677</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4,829</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4,522</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2,677</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9,351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12,028</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1958</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07/28/94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GOVERNOR PLAZA</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2,068</w:t>
            </w:r>
          </w:p>
        </w:tc>
        <w:tc>
          <w:tcPr>
            <w:tcW w:w="10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4,905</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14,910</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2,068</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19,815</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21,883</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11,988</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1963</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10/01/85</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color w:val="auto"/>
              </w:rPr>
              <w:t>GRATIOT PLAZA (Michigan)</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MI</w:t>
            </w:r>
          </w:p>
        </w:tc>
        <w:tc>
          <w:tcPr>
            <w:tcW w:w="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525</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16,561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525</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18,162</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18,687</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10,983</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1964</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03/29/73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0"/>
              </w:rPr>
              <w:t>25 3/4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GREENWICH AVENUE</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(Connecticut)</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CT</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7,484</w:t>
            </w:r>
          </w:p>
        </w:tc>
        <w:tc>
          <w:tcPr>
            <w:tcW w:w="10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5,445</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1,043</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7,484</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6,488</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13,972</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2,623</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1900-1993</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1995</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color w:val="auto"/>
              </w:rPr>
              <w:t>HAUPPAUGE (New York)</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15,320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8,791</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15,262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3,914</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8,791</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19,176</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27,967</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6,437</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1963</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08/06/98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HERMOSA AVE. (California)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09/17/97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3"/>
          </w:tcPr>
          <w:p>
            <w:pPr>
              <w:spacing w:after="0" w:line="138" w:lineRule="exact"/>
              <w:rPr>
                <w:sz w:val="20"/>
                <w:szCs w:val="20"/>
                <w:color w:val="auto"/>
              </w:rPr>
            </w:pPr>
            <w:r>
              <w:rPr>
                <w:rFonts w:ascii="Arial" w:cs="Arial" w:eastAsia="Arial" w:hAnsi="Arial"/>
                <w:sz w:val="14"/>
                <w:szCs w:val="14"/>
                <w:color w:val="auto"/>
              </w:rPr>
              <w:t>HOLLYWOOD BLVD.</w:t>
            </w:r>
          </w:p>
        </w:tc>
        <w:tc>
          <w:tcPr>
            <w:tcW w:w="320" w:type="dxa"/>
            <w:vAlign w:val="bottom"/>
          </w:tcPr>
          <w:p>
            <w:pPr>
              <w:jc w:val="right"/>
              <w:spacing w:after="0" w:line="138"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1"/>
                <w:szCs w:val="11"/>
                <w:color w:val="auto"/>
              </w:rPr>
            </w:pPr>
          </w:p>
        </w:tc>
        <w:tc>
          <w:tcPr>
            <w:tcW w:w="8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8,300</w:t>
            </w:r>
          </w:p>
        </w:tc>
        <w:tc>
          <w:tcPr>
            <w:tcW w:w="10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16,920</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13,956</w:t>
            </w:r>
          </w:p>
        </w:tc>
        <w:tc>
          <w:tcPr>
            <w:tcW w:w="1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8,300</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30,876</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97"/>
              </w:rPr>
              <w:t>39,176</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4,946</w:t>
            </w: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1929/1991</w:t>
            </w: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3/22/99</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(California)</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&amp; 6/18/99</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HOUSTON STREET</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(Texas)(8)</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TX</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14,680</w:t>
            </w:r>
          </w:p>
        </w:tc>
        <w:tc>
          <w:tcPr>
            <w:tcW w:w="10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1,976</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53,141</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14,778</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55,019</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69,797</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17,811</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var</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1998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3"/>
          </w:tcPr>
          <w:p>
            <w:pPr>
              <w:spacing w:after="0" w:line="138" w:lineRule="exact"/>
              <w:rPr>
                <w:sz w:val="20"/>
                <w:szCs w:val="20"/>
                <w:color w:val="auto"/>
              </w:rPr>
            </w:pPr>
            <w:r>
              <w:rPr>
                <w:rFonts w:ascii="Arial" w:cs="Arial" w:eastAsia="Arial" w:hAnsi="Arial"/>
                <w:sz w:val="14"/>
                <w:szCs w:val="14"/>
                <w:color w:val="auto"/>
              </w:rPr>
              <w:t>HUNTINGTON (New York)</w:t>
            </w:r>
          </w:p>
        </w:tc>
        <w:tc>
          <w:tcPr>
            <w:tcW w:w="320" w:type="dxa"/>
            <w:vAlign w:val="bottom"/>
          </w:tcPr>
          <w:p>
            <w:pPr>
              <w:jc w:val="right"/>
              <w:spacing w:after="0" w:line="138" w:lineRule="exact"/>
              <w:rPr>
                <w:sz w:val="20"/>
                <w:szCs w:val="20"/>
                <w:color w:val="auto"/>
              </w:rPr>
            </w:pPr>
            <w:r>
              <w:rPr>
                <w:rFonts w:ascii="Arial" w:cs="Arial" w:eastAsia="Arial" w:hAnsi="Arial"/>
                <w:sz w:val="14"/>
                <w:szCs w:val="14"/>
                <w:color w:val="auto"/>
              </w:rPr>
              <w:t>NY</w:t>
            </w:r>
          </w:p>
        </w:tc>
        <w:tc>
          <w:tcPr>
            <w:tcW w:w="40" w:type="dxa"/>
            <w:vAlign w:val="bottom"/>
          </w:tcPr>
          <w:p>
            <w:pPr>
              <w:spacing w:after="0"/>
              <w:rPr>
                <w:sz w:val="11"/>
                <w:szCs w:val="11"/>
                <w:color w:val="auto"/>
              </w:rPr>
            </w:pPr>
          </w:p>
        </w:tc>
        <w:tc>
          <w:tcPr>
            <w:tcW w:w="8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16,008</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22,663</w:t>
            </w:r>
          </w:p>
        </w:tc>
        <w:tc>
          <w:tcPr>
            <w:tcW w:w="160" w:type="dxa"/>
            <w:vAlign w:val="bottom"/>
          </w:tcPr>
          <w:p>
            <w:pPr>
              <w:spacing w:after="0"/>
              <w:rPr>
                <w:sz w:val="11"/>
                <w:szCs w:val="11"/>
                <w:color w:val="auto"/>
              </w:rPr>
            </w:pP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11,713</w:t>
            </w:r>
          </w:p>
        </w:tc>
        <w:tc>
          <w:tcPr>
            <w:tcW w:w="9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26,958</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97"/>
              </w:rPr>
              <w:t>38,671</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7,254</w:t>
            </w: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1962</w:t>
            </w: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12/12/88</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&amp; 10/26/07</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9"/>
              </w:rPr>
              <w:t>IDYLWOOD PLAZA (Virginia)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16,792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4,308</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10,026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11,399</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15,707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5,228</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1991</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04/15/94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color w:val="auto"/>
              </w:rPr>
              <w:t>KINGS COURT (California)</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10,714</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891</w:t>
            </w:r>
          </w:p>
        </w:tc>
        <w:tc>
          <w:tcPr>
            <w:tcW w:w="16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11,605</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11,605</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5,262</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08/24/98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LANCASTER (Pennsylvania)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PA</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4,907</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2,103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11,352</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11,427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5,923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1958</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04/24/80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3"/>
          </w:tcPr>
          <w:p>
            <w:pPr>
              <w:spacing w:after="0" w:line="138" w:lineRule="exact"/>
              <w:rPr>
                <w:sz w:val="20"/>
                <w:szCs w:val="20"/>
                <w:color w:val="auto"/>
              </w:rPr>
            </w:pPr>
            <w:r>
              <w:rPr>
                <w:rFonts w:ascii="Arial" w:cs="Arial" w:eastAsia="Arial" w:hAnsi="Arial"/>
                <w:sz w:val="14"/>
                <w:szCs w:val="14"/>
                <w:color w:val="auto"/>
              </w:rPr>
              <w:t>LANGHORNE SQUARE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(Pennsylvania)</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PA</w:t>
            </w:r>
          </w:p>
        </w:tc>
        <w:tc>
          <w:tcPr>
            <w:tcW w:w="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720</w:t>
            </w:r>
          </w:p>
        </w:tc>
        <w:tc>
          <w:tcPr>
            <w:tcW w:w="10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2,974</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15,413</w:t>
            </w:r>
          </w:p>
        </w:tc>
        <w:tc>
          <w:tcPr>
            <w:tcW w:w="1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720</w:t>
            </w:r>
          </w:p>
        </w:tc>
        <w:tc>
          <w:tcPr>
            <w:tcW w:w="80" w:type="dxa"/>
            <w:vAlign w:val="bottom"/>
          </w:tcPr>
          <w:p>
            <w:pPr>
              <w:spacing w:after="0"/>
              <w:rPr>
                <w:sz w:val="13"/>
                <w:szCs w:val="13"/>
                <w:color w:val="auto"/>
              </w:rPr>
            </w:pPr>
          </w:p>
        </w:tc>
        <w:tc>
          <w:tcPr>
            <w:tcW w:w="9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18,387</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19,107</w:t>
            </w:r>
          </w:p>
        </w:tc>
        <w:tc>
          <w:tcPr>
            <w:tcW w:w="8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10,092</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1966</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01/31/85</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LAUREL (Maryland)</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7,458</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22,525</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40,327</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47,903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27,207</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1956</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08/15/86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3"/>
          </w:tcPr>
          <w:p>
            <w:pPr>
              <w:spacing w:after="0" w:line="138" w:lineRule="exact"/>
              <w:rPr>
                <w:sz w:val="20"/>
                <w:szCs w:val="20"/>
                <w:color w:val="auto"/>
              </w:rPr>
            </w:pPr>
            <w:r>
              <w:rPr>
                <w:rFonts w:ascii="Arial" w:cs="Arial" w:eastAsia="Arial" w:hAnsi="Arial"/>
                <w:sz w:val="14"/>
                <w:szCs w:val="14"/>
                <w:color w:val="auto"/>
              </w:rPr>
              <w:t>LAWRENCE PARK</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(Pennsylvania)</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PA</w:t>
            </w:r>
          </w:p>
        </w:tc>
        <w:tc>
          <w:tcPr>
            <w:tcW w:w="9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28,805</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5,723</w:t>
            </w:r>
          </w:p>
        </w:tc>
        <w:tc>
          <w:tcPr>
            <w:tcW w:w="10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7,160</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16,972</w:t>
            </w:r>
          </w:p>
        </w:tc>
        <w:tc>
          <w:tcPr>
            <w:tcW w:w="1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5,734</w:t>
            </w:r>
          </w:p>
        </w:tc>
        <w:tc>
          <w:tcPr>
            <w:tcW w:w="80" w:type="dxa"/>
            <w:vAlign w:val="bottom"/>
          </w:tcPr>
          <w:p>
            <w:pPr>
              <w:spacing w:after="0"/>
              <w:rPr>
                <w:sz w:val="13"/>
                <w:szCs w:val="13"/>
                <w:color w:val="auto"/>
              </w:rPr>
            </w:pPr>
          </w:p>
        </w:tc>
        <w:tc>
          <w:tcPr>
            <w:tcW w:w="9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24,121</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29,855</w:t>
            </w:r>
          </w:p>
        </w:tc>
        <w:tc>
          <w:tcPr>
            <w:tcW w:w="8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20,263</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1972</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07/23/80</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9"/>
              </w:rPr>
              <w:t>LEESBURG PLAZA (Virginia)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29,219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8,184</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10,722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26,337</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34,521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6,950</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1967</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09/15/98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3"/>
          </w:tcPr>
          <w:p>
            <w:pPr>
              <w:spacing w:after="0" w:line="138" w:lineRule="exact"/>
              <w:rPr>
                <w:sz w:val="20"/>
                <w:szCs w:val="20"/>
                <w:color w:val="auto"/>
              </w:rPr>
            </w:pPr>
            <w:r>
              <w:rPr>
                <w:rFonts w:ascii="Arial" w:cs="Arial" w:eastAsia="Arial" w:hAnsi="Arial"/>
                <w:sz w:val="14"/>
                <w:szCs w:val="14"/>
                <w:color w:val="auto"/>
              </w:rPr>
              <w:t>LINDEN SQUARE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gridSpan w:val="3"/>
          </w:tcPr>
          <w:p>
            <w:pPr>
              <w:ind w:left="200"/>
              <w:spacing w:after="0"/>
              <w:rPr>
                <w:sz w:val="20"/>
                <w:szCs w:val="20"/>
                <w:color w:val="auto"/>
              </w:rPr>
            </w:pPr>
            <w:r>
              <w:rPr>
                <w:rFonts w:ascii="Arial" w:cs="Arial" w:eastAsia="Arial" w:hAnsi="Arial"/>
                <w:sz w:val="14"/>
                <w:szCs w:val="14"/>
                <w:color w:val="auto"/>
              </w:rPr>
              <w:t>(Massachusetts)</w:t>
            </w:r>
          </w:p>
        </w:tc>
        <w:tc>
          <w:tcPr>
            <w:tcW w:w="320" w:type="dxa"/>
            <w:vAlign w:val="bottom"/>
          </w:tcPr>
          <w:p>
            <w:pPr>
              <w:jc w:val="right"/>
              <w:spacing w:after="0"/>
              <w:rPr>
                <w:sz w:val="20"/>
                <w:szCs w:val="20"/>
                <w:color w:val="auto"/>
              </w:rPr>
            </w:pPr>
            <w:r>
              <w:rPr>
                <w:rFonts w:ascii="Arial" w:cs="Arial" w:eastAsia="Arial" w:hAnsi="Arial"/>
                <w:sz w:val="14"/>
                <w:szCs w:val="14"/>
                <w:color w:val="auto"/>
              </w:rPr>
              <w:t>MA</w:t>
            </w:r>
          </w:p>
        </w:tc>
        <w:tc>
          <w:tcPr>
            <w:tcW w:w="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79,382</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19,247</w:t>
            </w:r>
          </w:p>
        </w:tc>
        <w:tc>
          <w:tcPr>
            <w:tcW w:w="760" w:type="dxa"/>
            <w:vAlign w:val="bottom"/>
          </w:tcPr>
          <w:p>
            <w:pPr>
              <w:jc w:val="right"/>
              <w:spacing w:after="0"/>
              <w:rPr>
                <w:sz w:val="20"/>
                <w:szCs w:val="20"/>
                <w:color w:val="auto"/>
              </w:rPr>
            </w:pPr>
            <w:r>
              <w:rPr>
                <w:rFonts w:ascii="Arial" w:cs="Arial" w:eastAsia="Arial" w:hAnsi="Arial"/>
                <w:sz w:val="14"/>
                <w:szCs w:val="14"/>
                <w:color w:val="auto"/>
              </w:rPr>
              <w:t>43,994</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79,370</w:t>
            </w: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63,253</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142,623</w:t>
            </w: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3,716</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1960-2008</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08/24/06</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30"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DEPRECIATION—CONTINUED</w:t>
      </w:r>
    </w:p>
    <w:p>
      <w:pPr>
        <w:ind w:left="4880"/>
        <w:spacing w:after="0"/>
        <w:rPr>
          <w:sz w:val="20"/>
          <w:szCs w:val="20"/>
          <w:color w:val="auto"/>
        </w:rPr>
      </w:pPr>
      <w:r>
        <w:rPr>
          <w:rFonts w:ascii="Arial" w:cs="Arial" w:eastAsia="Arial" w:hAnsi="Arial"/>
          <w:sz w:val="18"/>
          <w:szCs w:val="18"/>
          <w:b w:val="1"/>
          <w:bCs w:val="1"/>
          <w:color w:val="auto"/>
        </w:rPr>
        <w:t>DECEMBER 31, 2009</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COLUMN A</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COLUMN B  COLUMN C</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COLUMN D</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6"/>
              </w:rPr>
              <w:t>COLUMN E</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COLUMN F</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COLUMN G</w:t>
            </w:r>
          </w:p>
        </w:tc>
        <w:tc>
          <w:tcPr>
            <w:tcW w:w="15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COLUMN H COLUMN 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Life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87"/>
              </w:rPr>
              <w:t>Gross amount at which carried at</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which</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gridSpan w:val="6"/>
            <w:vMerge w:val="continue"/>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w w:val="84"/>
              </w:rPr>
              <w:t>depreciation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7"/>
              </w:rPr>
              <w:t>Initial cost to company</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Cost</w:t>
            </w:r>
          </w:p>
        </w:tc>
        <w:tc>
          <w:tcPr>
            <w:tcW w:w="1720" w:type="dxa"/>
            <w:vAlign w:val="bottom"/>
            <w:gridSpan w:val="4"/>
          </w:tcPr>
          <w:p>
            <w:pPr>
              <w:jc w:val="center"/>
              <w:ind w:left="372"/>
              <w:spacing w:after="0"/>
              <w:rPr>
                <w:sz w:val="20"/>
                <w:szCs w:val="20"/>
                <w:color w:val="auto"/>
              </w:rPr>
            </w:pPr>
            <w:r>
              <w:rPr>
                <w:rFonts w:ascii="Arial" w:cs="Arial" w:eastAsia="Arial" w:hAnsi="Arial"/>
                <w:sz w:val="14"/>
                <w:szCs w:val="14"/>
                <w:b w:val="1"/>
                <w:bCs w:val="1"/>
                <w:color w:val="auto"/>
                <w:w w:val="84"/>
              </w:rPr>
              <w:t>close of period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in latest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Capitalized</w:t>
            </w: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Subsequent</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statements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5"/>
              </w:rPr>
              <w:t>to</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5"/>
              </w:rPr>
              <w:t>of</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Date</w:t>
            </w:r>
          </w:p>
        </w:tc>
        <w:tc>
          <w:tcPr>
            <w:tcW w:w="7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79"/>
              </w:rPr>
              <w:t>is</w:t>
            </w:r>
          </w:p>
        </w:tc>
        <w:tc>
          <w:tcPr>
            <w:tcW w:w="0" w:type="dxa"/>
            <w:vAlign w:val="bottom"/>
          </w:tcPr>
          <w:p>
            <w:pPr>
              <w:spacing w:after="0"/>
              <w:rPr>
                <w:sz w:val="1"/>
                <w:szCs w:val="1"/>
                <w:color w:val="auto"/>
              </w:rPr>
            </w:pPr>
          </w:p>
        </w:tc>
      </w:tr>
      <w:tr>
        <w:trPr>
          <w:trHeight w:val="161"/>
        </w:trPr>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Descriptions</w:t>
            </w:r>
          </w:p>
        </w:tc>
        <w:tc>
          <w:tcPr>
            <w:tcW w:w="30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Encumbrance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Land</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Improvements</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Acquisition</w:t>
            </w: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Land</w:t>
            </w:r>
          </w:p>
        </w:tc>
        <w:tc>
          <w:tcPr>
            <w:tcW w:w="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Improvements</w:t>
            </w: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Amortization</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Construction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Acquired</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w w:val="96"/>
              </w:rPr>
              <w:t>LOEHMANN'S PLAZA (Virginia)</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VA</w:t>
            </w:r>
          </w:p>
        </w:tc>
        <w:tc>
          <w:tcPr>
            <w:tcW w:w="9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37,783</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1,237</w:t>
            </w:r>
          </w:p>
        </w:tc>
        <w:tc>
          <w:tcPr>
            <w:tcW w:w="9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15,096</w:t>
            </w:r>
          </w:p>
        </w:tc>
        <w:tc>
          <w:tcPr>
            <w:tcW w:w="9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16,402</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1,248</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31,487</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32,735</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19,330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1971</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07/21/83</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 years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MELVILLE MALL (New York)</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NY</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23,417</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35,622</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32,882</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35,622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33,021</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68,643</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3,053</w:t>
            </w:r>
          </w:p>
        </w:tc>
        <w:tc>
          <w:tcPr>
            <w:tcW w:w="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1974</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10/16/06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MERCER MALL (New Jersey)</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NJ</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50,045</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4,488</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70,076</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29,523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99,055</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104,087</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21,475</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1975</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10/14/03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25 - 35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tcPr>
          <w:p>
            <w:pPr>
              <w:spacing w:after="0" w:line="138" w:lineRule="exact"/>
              <w:rPr>
                <w:sz w:val="20"/>
                <w:szCs w:val="20"/>
                <w:color w:val="auto"/>
              </w:rPr>
            </w:pPr>
            <w:r>
              <w:rPr>
                <w:rFonts w:ascii="Arial" w:cs="Arial" w:eastAsia="Arial" w:hAnsi="Arial"/>
                <w:sz w:val="14"/>
                <w:szCs w:val="14"/>
                <w:color w:val="auto"/>
              </w:rPr>
              <w:t>MID PIKE PLAZA (Maryland)</w:t>
            </w:r>
          </w:p>
        </w:tc>
        <w:tc>
          <w:tcPr>
            <w:tcW w:w="300" w:type="dxa"/>
            <w:vAlign w:val="bottom"/>
          </w:tcPr>
          <w:p>
            <w:pPr>
              <w:jc w:val="right"/>
              <w:spacing w:after="0" w:line="138"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1"/>
                <w:szCs w:val="11"/>
                <w:color w:val="auto"/>
              </w:rPr>
            </w:pPr>
          </w:p>
        </w:tc>
        <w:tc>
          <w:tcPr>
            <w:tcW w:w="86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10,335</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34,981</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7,517</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37,799</w:t>
            </w:r>
          </w:p>
        </w:tc>
        <w:tc>
          <w:tcPr>
            <w:tcW w:w="6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97"/>
              </w:rPr>
              <w:t>45,316</w:t>
            </w:r>
          </w:p>
        </w:tc>
        <w:tc>
          <w:tcPr>
            <w:tcW w:w="8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5,552</w:t>
            </w:r>
          </w:p>
        </w:tc>
        <w:tc>
          <w:tcPr>
            <w:tcW w:w="60" w:type="dxa"/>
            <w:vAlign w:val="bottom"/>
          </w:tcPr>
          <w:p>
            <w:pPr>
              <w:spacing w:after="0"/>
              <w:rPr>
                <w:sz w:val="11"/>
                <w:szCs w:val="11"/>
                <w:color w:val="auto"/>
              </w:rPr>
            </w:pPr>
          </w:p>
        </w:tc>
        <w:tc>
          <w:tcPr>
            <w:tcW w:w="9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1963</w:t>
            </w:r>
          </w:p>
        </w:tc>
        <w:tc>
          <w:tcPr>
            <w:tcW w:w="8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05/18/82</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50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&amp; 10/26/07</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MOUNT VERNON/SOUTH</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10,068</w:t>
            </w:r>
          </w:p>
        </w:tc>
        <w:tc>
          <w:tcPr>
            <w:tcW w:w="9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33,501</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33,996</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10,147</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67,418</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7"/>
              </w:rPr>
              <w:t>77,565</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12,721</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86"/>
              </w:rPr>
              <w:t>1972/1966/1974</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VALLEY/7770 RICHMOND</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940" w:type="dxa"/>
            <w:vAlign w:val="bottom"/>
            <w:gridSpan w:val="3"/>
            <w:vMerge w:val="restart"/>
            <w:shd w:val="clear" w:color="auto" w:fill="CCEEFF"/>
          </w:tcPr>
          <w:p>
            <w:pPr>
              <w:ind w:left="200"/>
              <w:spacing w:after="0"/>
              <w:rPr>
                <w:sz w:val="20"/>
                <w:szCs w:val="20"/>
                <w:color w:val="auto"/>
              </w:rPr>
            </w:pPr>
            <w:r>
              <w:rPr>
                <w:rFonts w:ascii="Arial" w:cs="Arial" w:eastAsia="Arial" w:hAnsi="Arial"/>
                <w:sz w:val="14"/>
                <w:szCs w:val="14"/>
                <w:color w:val="auto"/>
              </w:rPr>
              <w:t>HWY. (Virginia)</w:t>
            </w:r>
          </w:p>
        </w:tc>
        <w:tc>
          <w:tcPr>
            <w:tcW w:w="3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940" w:type="dxa"/>
            <w:vAlign w:val="bottom"/>
            <w:gridSpan w:val="3"/>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03/31/03,</w:t>
            </w: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3/21/03,</w:t>
            </w: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VA</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11,298</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&amp; 1/27/06</w:t>
            </w: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tcPr>
          <w:p>
            <w:pPr>
              <w:spacing w:after="0" w:line="138" w:lineRule="exact"/>
              <w:rPr>
                <w:sz w:val="20"/>
                <w:szCs w:val="20"/>
                <w:color w:val="auto"/>
              </w:rPr>
            </w:pPr>
            <w:r>
              <w:rPr>
                <w:rFonts w:ascii="Arial" w:cs="Arial" w:eastAsia="Arial" w:hAnsi="Arial"/>
                <w:sz w:val="14"/>
                <w:szCs w:val="14"/>
                <w:color w:val="auto"/>
              </w:rPr>
              <w:t>TOWN CENTER OF NEW</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BRITAIN (Pennsylvania)</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PA</w:t>
            </w:r>
          </w:p>
        </w:tc>
        <w:tc>
          <w:tcPr>
            <w:tcW w:w="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1,282</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12,285</w:t>
            </w: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817</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1,262</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13,122</w:t>
            </w:r>
          </w:p>
        </w:tc>
        <w:tc>
          <w:tcPr>
            <w:tcW w:w="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14,384</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1,425</w:t>
            </w:r>
          </w:p>
        </w:tc>
        <w:tc>
          <w:tcPr>
            <w:tcW w:w="6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1969</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06/29/06</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NORTH DARTMOUTH</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(Massachusetts)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MA</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27,214</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(17,846)</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9,366</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9,368</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2004</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08/24/06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NORTHEAST (Pennsylvania)</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PA</w:t>
            </w:r>
          </w:p>
        </w:tc>
        <w:tc>
          <w:tcPr>
            <w:tcW w:w="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1,152</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10,596</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11,334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1,153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21,929</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23,082</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14,799</w:t>
            </w:r>
          </w:p>
        </w:tc>
        <w:tc>
          <w:tcPr>
            <w:tcW w:w="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1959</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08/30/83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NORTH LAKE COMMONS</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(Illinois)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IL</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2,782</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8,604</w:t>
            </w: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2,553</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2,628</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11,311</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13,939</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4,994</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1989</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04/27/94</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OLD KEENE MILL (Virginia)</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638</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4,378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5,376</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6,014</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4,438</w:t>
            </w:r>
          </w:p>
        </w:tc>
        <w:tc>
          <w:tcPr>
            <w:tcW w:w="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1968</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06/15/76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0"/>
              </w:rPr>
              <w:t>33 1/3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OLD TOWN CENTER</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1962, 1997-</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(California)</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3,420</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2,765</w:t>
            </w: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27,941</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3,420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30,706</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34,126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13,739</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1998</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10/22/97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tcPr>
          <w:p>
            <w:pPr>
              <w:spacing w:after="0" w:line="138" w:lineRule="exact"/>
              <w:rPr>
                <w:sz w:val="20"/>
                <w:szCs w:val="20"/>
                <w:color w:val="auto"/>
              </w:rPr>
            </w:pPr>
            <w:r>
              <w:rPr>
                <w:rFonts w:ascii="Arial" w:cs="Arial" w:eastAsia="Arial" w:hAnsi="Arial"/>
                <w:sz w:val="14"/>
                <w:szCs w:val="14"/>
                <w:color w:val="auto"/>
                <w:w w:val="99"/>
              </w:rPr>
              <w:t>PAN AM SHOPPING CENTER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(Virginia)</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8,694</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12,929</w:t>
            </w: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6,808</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8,695</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19,736</w:t>
            </w:r>
          </w:p>
        </w:tc>
        <w:tc>
          <w:tcPr>
            <w:tcW w:w="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28,431</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10,071</w:t>
            </w:r>
          </w:p>
        </w:tc>
        <w:tc>
          <w:tcPr>
            <w:tcW w:w="6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1979</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02/05/93</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PENTAGON ROW (Virginia)</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54,240</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2,955</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84,996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87,951</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87,951</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25,577</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1999 - 2002</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PERRING PLAZA (Maryland)</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2,800</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6,461</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17,850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24,311</w:t>
            </w:r>
          </w:p>
        </w:tc>
        <w:tc>
          <w:tcPr>
            <w:tcW w:w="60" w:type="dxa"/>
            <w:vAlign w:val="bottom"/>
          </w:tcPr>
          <w:p>
            <w:pPr>
              <w:spacing w:after="0"/>
              <w:rPr>
                <w:sz w:val="12"/>
                <w:szCs w:val="12"/>
                <w:color w:val="auto"/>
              </w:rPr>
            </w:pPr>
          </w:p>
        </w:tc>
        <w:tc>
          <w:tcPr>
            <w:tcW w:w="5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27,111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16,502</w:t>
            </w:r>
          </w:p>
        </w:tc>
        <w:tc>
          <w:tcPr>
            <w:tcW w:w="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1963</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10/01/85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PIKE 7 (Virginia)</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9,709</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22,799</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2,357</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25,156</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34,865</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9,904</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1968</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03/31/97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tcPr>
          <w:p>
            <w:pPr>
              <w:spacing w:after="0" w:line="138" w:lineRule="exact"/>
              <w:rPr>
                <w:sz w:val="20"/>
                <w:szCs w:val="20"/>
                <w:color w:val="auto"/>
              </w:rPr>
            </w:pPr>
            <w:r>
              <w:rPr>
                <w:rFonts w:ascii="Arial" w:cs="Arial" w:eastAsia="Arial" w:hAnsi="Arial"/>
                <w:sz w:val="14"/>
                <w:szCs w:val="14"/>
                <w:color w:val="auto"/>
              </w:rPr>
              <w:t>QUEEN ANNE PLAZA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(Massachusetts)</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MA</w:t>
            </w:r>
          </w:p>
        </w:tc>
        <w:tc>
          <w:tcPr>
            <w:tcW w:w="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3,319</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8,457</w:t>
            </w: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3,885</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3,319</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12,342</w:t>
            </w:r>
          </w:p>
        </w:tc>
        <w:tc>
          <w:tcPr>
            <w:tcW w:w="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15,661</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6,472</w:t>
            </w:r>
          </w:p>
        </w:tc>
        <w:tc>
          <w:tcPr>
            <w:tcW w:w="6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1967</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12/23/94</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QUINCE ORCHARD PLAZA</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3,197</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7,949</w:t>
            </w: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10,379</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2,928</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18,597</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21,525</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11,096</w:t>
            </w: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1975</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04/22/93</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tcPr>
          <w:p>
            <w:pPr>
              <w:spacing w:after="0" w:line="138" w:lineRule="exact"/>
              <w:rPr>
                <w:sz w:val="20"/>
                <w:szCs w:val="20"/>
                <w:color w:val="auto"/>
              </w:rPr>
            </w:pPr>
            <w:r>
              <w:rPr>
                <w:rFonts w:ascii="Arial" w:cs="Arial" w:eastAsia="Arial" w:hAnsi="Arial"/>
                <w:sz w:val="14"/>
                <w:szCs w:val="14"/>
                <w:color w:val="auto"/>
              </w:rPr>
              <w:t>ROCKVILLE TOWN SQUARE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(Maryland)</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8,092</w:t>
            </w: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29,248</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37,340</w:t>
            </w:r>
          </w:p>
        </w:tc>
        <w:tc>
          <w:tcPr>
            <w:tcW w:w="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37,340</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3,242</w:t>
            </w:r>
          </w:p>
        </w:tc>
        <w:tc>
          <w:tcPr>
            <w:tcW w:w="6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2005 - 2007</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8"/>
              </w:rPr>
              <w:t>2006 - 2007</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ROLLINGWOOD APTS.</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23,880</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552</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2,246</w:t>
            </w: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4,938</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7,164</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7,736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6,364</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1960</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01/15/71</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tcPr>
          <w:p>
            <w:pPr>
              <w:spacing w:after="0" w:line="138" w:lineRule="exact"/>
              <w:rPr>
                <w:sz w:val="20"/>
                <w:szCs w:val="20"/>
                <w:color w:val="auto"/>
              </w:rPr>
            </w:pPr>
            <w:r>
              <w:rPr>
                <w:rFonts w:ascii="Arial" w:cs="Arial" w:eastAsia="Arial" w:hAnsi="Arial"/>
                <w:sz w:val="14"/>
                <w:szCs w:val="14"/>
                <w:color w:val="auto"/>
                <w:w w:val="99"/>
              </w:rPr>
              <w:t>SAM'S PARK &amp; SHOP (District</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of Columbia)</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DC</w:t>
            </w:r>
          </w:p>
        </w:tc>
        <w:tc>
          <w:tcPr>
            <w:tcW w:w="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4,840</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6,319</w:t>
            </w: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1,080</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4,840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7,399</w:t>
            </w:r>
          </w:p>
        </w:tc>
        <w:tc>
          <w:tcPr>
            <w:tcW w:w="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12,239</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3,064</w:t>
            </w:r>
          </w:p>
        </w:tc>
        <w:tc>
          <w:tcPr>
            <w:tcW w:w="6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1930</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12/01/95</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SANTANA ROW (California)</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41,969</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1,161</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492,674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49,725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486,079</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535,804</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70,561</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1999 -2008</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03/05/97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40 - 50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SAUGUS (Massachusetts)</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MA</w:t>
            </w:r>
          </w:p>
        </w:tc>
        <w:tc>
          <w:tcPr>
            <w:tcW w:w="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4,383</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8,291</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4,383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9,206</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13,589</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3,758</w:t>
            </w:r>
          </w:p>
        </w:tc>
        <w:tc>
          <w:tcPr>
            <w:tcW w:w="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1976</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10/01/96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SHIRLINGTON (Virginia)</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1940, 2006-</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VA</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6,292</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9,761</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14,808</w:t>
            </w: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27,628</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5,798</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46,399</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52,197</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11,981</w:t>
            </w: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2008</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12/21/95</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30"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DEPRECIATION—CONTINUED</w:t>
      </w:r>
    </w:p>
    <w:p>
      <w:pPr>
        <w:ind w:left="4880"/>
        <w:spacing w:after="0"/>
        <w:rPr>
          <w:sz w:val="20"/>
          <w:szCs w:val="20"/>
          <w:color w:val="auto"/>
        </w:rPr>
      </w:pPr>
      <w:r>
        <w:rPr>
          <w:rFonts w:ascii="Arial" w:cs="Arial" w:eastAsia="Arial" w:hAnsi="Arial"/>
          <w:sz w:val="18"/>
          <w:szCs w:val="18"/>
          <w:b w:val="1"/>
          <w:bCs w:val="1"/>
          <w:color w:val="auto"/>
        </w:rPr>
        <w:t>DECEMBER 31, 2009</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4"/>
          </w:tcPr>
          <w:p>
            <w:pPr>
              <w:spacing w:after="0"/>
              <w:rPr>
                <w:sz w:val="20"/>
                <w:szCs w:val="20"/>
                <w:color w:val="auto"/>
              </w:rPr>
            </w:pPr>
            <w:r>
              <w:rPr>
                <w:rFonts w:ascii="Arial" w:cs="Arial" w:eastAsia="Arial" w:hAnsi="Arial"/>
                <w:sz w:val="14"/>
                <w:szCs w:val="14"/>
                <w:b w:val="1"/>
                <w:bCs w:val="1"/>
                <w:color w:val="auto"/>
              </w:rPr>
              <w:t>COLUMN A</w:t>
            </w:r>
          </w:p>
        </w:tc>
        <w:tc>
          <w:tcPr>
            <w:tcW w:w="340" w:type="dxa"/>
            <w:vAlign w:val="bottom"/>
          </w:tcPr>
          <w:p>
            <w:pPr>
              <w:spacing w:after="0"/>
              <w:rPr>
                <w:sz w:val="14"/>
                <w:szCs w:val="14"/>
                <w:color w:val="auto"/>
              </w:rPr>
            </w:pPr>
          </w:p>
        </w:tc>
        <w:tc>
          <w:tcPr>
            <w:tcW w:w="1720" w:type="dxa"/>
            <w:vAlign w:val="bottom"/>
            <w:gridSpan w:val="6"/>
          </w:tcPr>
          <w:p>
            <w:pPr>
              <w:ind w:left="40"/>
              <w:spacing w:after="0"/>
              <w:rPr>
                <w:sz w:val="20"/>
                <w:szCs w:val="20"/>
                <w:color w:val="auto"/>
              </w:rPr>
            </w:pPr>
            <w:r>
              <w:rPr>
                <w:rFonts w:ascii="Arial" w:cs="Arial" w:eastAsia="Arial" w:hAnsi="Arial"/>
                <w:sz w:val="14"/>
                <w:szCs w:val="14"/>
                <w:b w:val="1"/>
                <w:bCs w:val="1"/>
                <w:color w:val="auto"/>
              </w:rPr>
              <w:t>COLUMN B  COLUMN C</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COLUMN D</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COLUMN E</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60" w:type="dxa"/>
            <w:vAlign w:val="bottom"/>
            <w:gridSpan w:val="9"/>
          </w:tcPr>
          <w:p>
            <w:pPr>
              <w:ind w:left="20"/>
              <w:spacing w:after="0"/>
              <w:rPr>
                <w:sz w:val="20"/>
                <w:szCs w:val="20"/>
                <w:color w:val="auto"/>
              </w:rPr>
            </w:pPr>
            <w:r>
              <w:rPr>
                <w:rFonts w:ascii="Arial" w:cs="Arial" w:eastAsia="Arial" w:hAnsi="Arial"/>
                <w:sz w:val="14"/>
                <w:szCs w:val="14"/>
                <w:b w:val="1"/>
                <w:bCs w:val="1"/>
                <w:color w:val="auto"/>
              </w:rPr>
              <w:t>COLUMN F  COLUMN G COLUMN H COLUMN 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Life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8"/>
            <w:vMerge w:val="restart"/>
          </w:tcPr>
          <w:p>
            <w:pPr>
              <w:jc w:val="center"/>
              <w:ind w:right="80"/>
              <w:spacing w:after="0"/>
              <w:rPr>
                <w:sz w:val="20"/>
                <w:szCs w:val="20"/>
                <w:color w:val="auto"/>
              </w:rPr>
            </w:pPr>
            <w:r>
              <w:rPr>
                <w:rFonts w:ascii="Arial" w:cs="Arial" w:eastAsia="Arial" w:hAnsi="Arial"/>
                <w:sz w:val="14"/>
                <w:szCs w:val="14"/>
                <w:b w:val="1"/>
                <w:bCs w:val="1"/>
                <w:color w:val="auto"/>
                <w:w w:val="85"/>
              </w:rPr>
              <w:t>Gross amount at which carried at close</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which</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gridSpan w:val="8"/>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w w:val="84"/>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vMerge w:val="restart"/>
          </w:tcPr>
          <w:p>
            <w:pPr>
              <w:jc w:val="right"/>
              <w:ind w:right="116"/>
              <w:spacing w:after="0"/>
              <w:rPr>
                <w:sz w:val="20"/>
                <w:szCs w:val="20"/>
                <w:color w:val="auto"/>
              </w:rPr>
            </w:pPr>
            <w:r>
              <w:rPr>
                <w:rFonts w:ascii="Arial" w:cs="Arial" w:eastAsia="Arial" w:hAnsi="Arial"/>
                <w:sz w:val="14"/>
                <w:szCs w:val="14"/>
                <w:b w:val="1"/>
                <w:bCs w:val="1"/>
                <w:color w:val="auto"/>
                <w:w w:val="88"/>
              </w:rPr>
              <w:t>Initial cost to company</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Cost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in latest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Capitalized</w:t>
            </w:r>
          </w:p>
        </w:tc>
        <w:tc>
          <w:tcPr>
            <w:tcW w:w="7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140"/>
              <w:spacing w:after="0" w:line="115" w:lineRule="exact"/>
              <w:rPr>
                <w:sz w:val="20"/>
                <w:szCs w:val="20"/>
                <w:color w:val="auto"/>
              </w:rPr>
            </w:pPr>
            <w:r>
              <w:rPr>
                <w:rFonts w:ascii="Arial" w:cs="Arial" w:eastAsia="Arial" w:hAnsi="Arial"/>
                <w:sz w:val="12"/>
                <w:szCs w:val="12"/>
                <w:b w:val="1"/>
                <w:bCs w:val="1"/>
                <w:color w:val="auto"/>
              </w:rPr>
              <w:t>period</w:t>
            </w: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82"/>
              </w:rPr>
              <w:t>Subsequent</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w w:val="87"/>
              </w:rPr>
              <w:t>Depreciation</w:t>
            </w:r>
          </w:p>
        </w:tc>
        <w:tc>
          <w:tcPr>
            <w:tcW w:w="60" w:type="dxa"/>
            <w:vAlign w:val="bottom"/>
          </w:tcPr>
          <w:p>
            <w:pPr>
              <w:spacing w:after="0"/>
              <w:rPr>
                <w:sz w:val="13"/>
                <w:szCs w:val="13"/>
                <w:color w:val="auto"/>
              </w:rPr>
            </w:pPr>
          </w:p>
        </w:tc>
        <w:tc>
          <w:tcPr>
            <w:tcW w:w="840" w:type="dxa"/>
            <w:vAlign w:val="bottom"/>
            <w:gridSpan w:val="2"/>
          </w:tcPr>
          <w:p>
            <w:pPr>
              <w:jc w:val="center"/>
              <w:ind w:right="60"/>
              <w:spacing w:after="0" w:line="156" w:lineRule="exact"/>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40"/>
              <w:spacing w:after="0" w:line="156" w:lineRule="exact"/>
              <w:rPr>
                <w:sz w:val="20"/>
                <w:szCs w:val="20"/>
                <w:color w:val="auto"/>
              </w:rPr>
            </w:pPr>
            <w:r>
              <w:rPr>
                <w:rFonts w:ascii="Arial" w:cs="Arial" w:eastAsia="Arial" w:hAnsi="Arial"/>
                <w:sz w:val="14"/>
                <w:szCs w:val="14"/>
                <w:b w:val="1"/>
                <w:bCs w:val="1"/>
                <w:color w:val="auto"/>
                <w:w w:val="83"/>
              </w:rPr>
              <w:t>statements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to</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Date</w:t>
            </w:r>
          </w:p>
        </w:tc>
        <w:tc>
          <w:tcPr>
            <w:tcW w:w="7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79"/>
              </w:rPr>
              <w:t>is</w:t>
            </w:r>
          </w:p>
        </w:tc>
        <w:tc>
          <w:tcPr>
            <w:tcW w:w="0" w:type="dxa"/>
            <w:vAlign w:val="bottom"/>
          </w:tcPr>
          <w:p>
            <w:pPr>
              <w:spacing w:after="0"/>
              <w:rPr>
                <w:sz w:val="1"/>
                <w:szCs w:val="1"/>
                <w:color w:val="auto"/>
              </w:rPr>
            </w:pPr>
          </w:p>
        </w:tc>
      </w:tr>
      <w:tr>
        <w:trPr>
          <w:trHeight w:val="161"/>
        </w:trPr>
        <w:tc>
          <w:tcPr>
            <w:tcW w:w="1900" w:type="dxa"/>
            <w:vAlign w:val="bottom"/>
            <w:gridSpan w:val="4"/>
          </w:tcPr>
          <w:p>
            <w:pPr>
              <w:spacing w:after="0"/>
              <w:rPr>
                <w:sz w:val="20"/>
                <w:szCs w:val="20"/>
                <w:color w:val="auto"/>
              </w:rPr>
            </w:pPr>
            <w:r>
              <w:rPr>
                <w:rFonts w:ascii="Arial" w:cs="Arial" w:eastAsia="Arial" w:hAnsi="Arial"/>
                <w:sz w:val="14"/>
                <w:szCs w:val="14"/>
                <w:b w:val="1"/>
                <w:bCs w:val="1"/>
                <w:color w:val="auto"/>
              </w:rPr>
              <w:t>Descriptions</w:t>
            </w:r>
          </w:p>
        </w:tc>
        <w:tc>
          <w:tcPr>
            <w:tcW w:w="3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Encumbrance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Land</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Improvements</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Acquisition</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Land</w:t>
            </w:r>
          </w:p>
        </w:tc>
        <w:tc>
          <w:tcPr>
            <w:tcW w:w="2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Improvements</w:t>
            </w:r>
          </w:p>
        </w:tc>
        <w:tc>
          <w:tcPr>
            <w:tcW w:w="4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6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Construction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Acquired</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w w:val="96"/>
              </w:rPr>
              <w:t>SHOPPERS WORLD (Virginia)</w:t>
            </w:r>
          </w:p>
        </w:tc>
        <w:tc>
          <w:tcPr>
            <w:tcW w:w="560" w:type="dxa"/>
            <w:vAlign w:val="bottom"/>
            <w:gridSpan w:val="2"/>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VA</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5,688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10,211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18,863</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976</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10,225</w:t>
            </w:r>
          </w:p>
        </w:tc>
        <w:tc>
          <w:tcPr>
            <w:tcW w:w="9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19,825</w:t>
            </w:r>
          </w:p>
        </w:tc>
        <w:tc>
          <w:tcPr>
            <w:tcW w:w="7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30,050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1,757</w:t>
            </w:r>
          </w:p>
        </w:tc>
        <w:tc>
          <w:tcPr>
            <w:tcW w:w="9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1975 - 2001</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05/30/07</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 years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gridSpan w:val="3"/>
          </w:tcPr>
          <w:p>
            <w:pPr>
              <w:spacing w:after="0" w:line="138" w:lineRule="exact"/>
              <w:rPr>
                <w:sz w:val="20"/>
                <w:szCs w:val="20"/>
                <w:color w:val="auto"/>
              </w:rPr>
            </w:pPr>
            <w:r>
              <w:rPr>
                <w:rFonts w:ascii="Arial" w:cs="Arial" w:eastAsia="Arial" w:hAnsi="Arial"/>
                <w:sz w:val="14"/>
                <w:szCs w:val="14"/>
                <w:color w:val="auto"/>
              </w:rPr>
              <w:t>THE SHOPPES AT</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NOTTINGHAM SQUARE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(Maryland)</w:t>
            </w:r>
          </w:p>
        </w:tc>
        <w:tc>
          <w:tcPr>
            <w:tcW w:w="56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MD</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27,029</w:t>
            </w:r>
          </w:p>
        </w:tc>
        <w:tc>
          <w:tcPr>
            <w:tcW w:w="8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12,849</w:t>
            </w: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(12,309)</w:t>
            </w:r>
          </w:p>
        </w:tc>
        <w:tc>
          <w:tcPr>
            <w:tcW w:w="7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14,692</w:t>
            </w:r>
          </w:p>
        </w:tc>
        <w:tc>
          <w:tcPr>
            <w:tcW w:w="9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12,877</w:t>
            </w:r>
          </w:p>
        </w:tc>
        <w:tc>
          <w:tcPr>
            <w:tcW w:w="7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27,569</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1,275</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2005 -2006</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03/08/07</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4"/>
              </w:rPr>
              <w:t>THIRD STREET PROMENADE</w:t>
            </w: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(California) (9)</w:t>
            </w:r>
          </w:p>
        </w:tc>
        <w:tc>
          <w:tcPr>
            <w:tcW w:w="560" w:type="dxa"/>
            <w:vAlign w:val="bottom"/>
            <w:gridSpan w:val="2"/>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CA</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22,645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12,709</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41,120</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25,125</w:t>
            </w:r>
          </w:p>
        </w:tc>
        <w:tc>
          <w:tcPr>
            <w:tcW w:w="9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51,349</w:t>
            </w:r>
          </w:p>
        </w:tc>
        <w:tc>
          <w:tcPr>
            <w:tcW w:w="7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76,474</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20,333</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1888-2000</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1996-2000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color w:val="auto"/>
              </w:rPr>
              <w:t>TOWER (Virginia)</w:t>
            </w:r>
          </w:p>
        </w:tc>
        <w:tc>
          <w:tcPr>
            <w:tcW w:w="5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VA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7,170</w:t>
            </w: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10,518</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2,583</w:t>
            </w: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7,129</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13,142</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20,271</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4,733</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1953-1960</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08/24/98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TROY (New Jersey)</w:t>
            </w:r>
          </w:p>
        </w:tc>
        <w:tc>
          <w:tcPr>
            <w:tcW w:w="56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NJ</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5,193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16,959</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4,028</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21,250</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25,278</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15,226</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1966</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07/23/80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color w:val="auto"/>
              </w:rPr>
              <w:t>TYSON'S STATION (Virginia)</w:t>
            </w:r>
          </w:p>
        </w:tc>
        <w:tc>
          <w:tcPr>
            <w:tcW w:w="5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VA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5,898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453</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2,831</w:t>
            </w: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475</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3,197</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3,672</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2,958</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1954</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01/17/78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WESTGATE MALL (California)</w:t>
            </w:r>
          </w:p>
        </w:tc>
        <w:tc>
          <w:tcPr>
            <w:tcW w:w="56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CA</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107,284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2,685</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6,319</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109,969</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116,288</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15,998</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1960-1966</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03/31/04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gridSpan w:val="3"/>
          </w:tcPr>
          <w:p>
            <w:pPr>
              <w:spacing w:after="0" w:line="138" w:lineRule="exact"/>
              <w:rPr>
                <w:sz w:val="20"/>
                <w:szCs w:val="20"/>
                <w:color w:val="auto"/>
              </w:rPr>
            </w:pPr>
            <w:r>
              <w:rPr>
                <w:rFonts w:ascii="Arial" w:cs="Arial" w:eastAsia="Arial" w:hAnsi="Arial"/>
                <w:sz w:val="14"/>
                <w:szCs w:val="14"/>
                <w:color w:val="auto"/>
              </w:rPr>
              <w:t>WHITE MARSH PLAZA</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(Maryland)</w:t>
            </w:r>
          </w:p>
        </w:tc>
        <w:tc>
          <w:tcPr>
            <w:tcW w:w="56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MD</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10,041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3,478</w:t>
            </w:r>
          </w:p>
        </w:tc>
        <w:tc>
          <w:tcPr>
            <w:tcW w:w="8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21,413</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66</w:t>
            </w:r>
          </w:p>
        </w:tc>
        <w:tc>
          <w:tcPr>
            <w:tcW w:w="160" w:type="dxa"/>
            <w:vAlign w:val="bottom"/>
          </w:tcPr>
          <w:p>
            <w:pPr>
              <w:spacing w:after="0"/>
              <w:rPr>
                <w:sz w:val="13"/>
                <w:szCs w:val="13"/>
                <w:color w:val="auto"/>
              </w:rPr>
            </w:pPr>
          </w:p>
        </w:tc>
        <w:tc>
          <w:tcPr>
            <w:tcW w:w="7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3,478</w:t>
            </w:r>
          </w:p>
        </w:tc>
        <w:tc>
          <w:tcPr>
            <w:tcW w:w="9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21,479</w:t>
            </w:r>
          </w:p>
        </w:tc>
        <w:tc>
          <w:tcPr>
            <w:tcW w:w="7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24,957</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2,246</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1987</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03/08/07</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WHITE MARSH OTHER</w:t>
            </w: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560" w:type="dxa"/>
            <w:vAlign w:val="bottom"/>
            <w:gridSpan w:val="2"/>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MD</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37,812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1,843</w:t>
            </w: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(10,798)</w:t>
            </w: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27,009</w:t>
            </w:r>
          </w:p>
        </w:tc>
        <w:tc>
          <w:tcPr>
            <w:tcW w:w="9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1,848</w:t>
            </w:r>
          </w:p>
        </w:tc>
        <w:tc>
          <w:tcPr>
            <w:tcW w:w="7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28,857</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1985</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03/08/07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color w:val="auto"/>
              </w:rPr>
              <w:t>WILDWOOD (Maryland)</w:t>
            </w:r>
          </w:p>
        </w:tc>
        <w:tc>
          <w:tcPr>
            <w:tcW w:w="5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MD</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25,319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9,111</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7,534</w:t>
            </w: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9,111</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8,595</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17,706</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7,372</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1958</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05/05/69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0"/>
              </w:rPr>
              <w:t>33 1/3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WILLOW GROVE</w:t>
            </w: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(Pennsylvania)</w:t>
            </w:r>
          </w:p>
        </w:tc>
        <w:tc>
          <w:tcPr>
            <w:tcW w:w="560" w:type="dxa"/>
            <w:vAlign w:val="bottom"/>
            <w:gridSpan w:val="2"/>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PA</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6,643</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19,188</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1,499</w:t>
            </w:r>
          </w:p>
        </w:tc>
        <w:tc>
          <w:tcPr>
            <w:tcW w:w="9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25,831</w:t>
            </w:r>
          </w:p>
        </w:tc>
        <w:tc>
          <w:tcPr>
            <w:tcW w:w="7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27,330</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18,617</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1953</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11/20/84</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color w:val="auto"/>
              </w:rPr>
              <w:t>WILLOW LAWN (Virginia)</w:t>
            </w:r>
          </w:p>
        </w:tc>
        <w:tc>
          <w:tcPr>
            <w:tcW w:w="5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VA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3,192</w:t>
            </w: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7,723</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65,435</w:t>
            </w: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7,790</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68,560</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76,350</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39,702</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1957</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12/05/83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6"/>
              </w:rPr>
              <w:t>WYNNEWOOD (Pennsylvania)</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PA</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13,759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14,844</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8,055</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28,603</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36,658</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13,633</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1948</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10/29/96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gridSpan w:val="4"/>
            <w:vMerge w:val="restart"/>
          </w:tcPr>
          <w:p>
            <w:pPr>
              <w:spacing w:after="0"/>
              <w:rPr>
                <w:sz w:val="20"/>
                <w:szCs w:val="20"/>
                <w:color w:val="auto"/>
              </w:rPr>
            </w:pPr>
            <w:r>
              <w:rPr>
                <w:rFonts w:ascii="Arial" w:cs="Arial" w:eastAsia="Arial" w:hAnsi="Arial"/>
                <w:sz w:val="14"/>
                <w:szCs w:val="14"/>
                <w:color w:val="auto"/>
              </w:rPr>
              <w:t>TOTALS</w:t>
            </w: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0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601,884</w:t>
            </w:r>
          </w:p>
        </w:tc>
        <w:tc>
          <w:tcPr>
            <w:tcW w:w="6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759,247</w:t>
            </w:r>
          </w:p>
        </w:tc>
        <w:tc>
          <w:tcPr>
            <w:tcW w:w="80" w:type="dxa"/>
            <w:vAlign w:val="bottom"/>
          </w:tcPr>
          <w:p>
            <w:pPr>
              <w:spacing w:after="0"/>
              <w:rPr>
                <w:sz w:val="13"/>
                <w:szCs w:val="13"/>
                <w:color w:val="auto"/>
              </w:rPr>
            </w:pP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6"/>
              </w:rPr>
              <w:t>$1,200,166</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0"/>
              </w:rPr>
              <w:t>$   1,799,821</w:t>
            </w:r>
          </w:p>
        </w:tc>
        <w:tc>
          <w:tcPr>
            <w:tcW w:w="160" w:type="dxa"/>
            <w:vAlign w:val="bottom"/>
          </w:tcPr>
          <w:p>
            <w:pPr>
              <w:spacing w:after="0"/>
              <w:rPr>
                <w:sz w:val="13"/>
                <w:szCs w:val="13"/>
                <w:color w:val="auto"/>
              </w:rPr>
            </w:pPr>
          </w:p>
        </w:tc>
        <w:tc>
          <w:tcPr>
            <w:tcW w:w="7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6"/>
              </w:rPr>
              <w:t>$778,906</w:t>
            </w:r>
          </w:p>
        </w:tc>
        <w:tc>
          <w:tcPr>
            <w:tcW w:w="90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w w:val="86"/>
              </w:rPr>
              <w:t>$2,980,328</w:t>
            </w:r>
          </w:p>
        </w:tc>
        <w:tc>
          <w:tcPr>
            <w:tcW w:w="720" w:type="dxa"/>
            <w:vAlign w:val="bottom"/>
            <w:gridSpan w:val="3"/>
          </w:tcPr>
          <w:p>
            <w:pPr>
              <w:jc w:val="right"/>
              <w:ind w:right="60"/>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3,759,234</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938,087</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DEPRECIATION—CONTINUED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2009</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Total Cost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$ 3,204,258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rPr>
              <w:t>Additions during period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Acquisitions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860"/>
              <w:spacing w:after="0"/>
              <w:rPr>
                <w:sz w:val="20"/>
                <w:szCs w:val="20"/>
                <w:color w:val="auto"/>
              </w:rPr>
            </w:pPr>
            <w:r>
              <w:rPr>
                <w:rFonts w:ascii="Arial" w:cs="Arial" w:eastAsia="Arial" w:hAnsi="Arial"/>
                <w:sz w:val="18"/>
                <w:szCs w:val="18"/>
                <w:color w:val="auto"/>
              </w:rPr>
              <w:t>Improvements</w:t>
            </w:r>
          </w:p>
        </w:tc>
        <w:tc>
          <w:tcPr>
            <w:tcW w:w="820" w:type="dxa"/>
            <w:vAlign w:val="bottom"/>
          </w:tcPr>
          <w:p>
            <w:pPr>
              <w:jc w:val="right"/>
              <w:spacing w:after="0"/>
              <w:rPr>
                <w:sz w:val="20"/>
                <w:szCs w:val="20"/>
                <w:color w:val="auto"/>
              </w:rPr>
            </w:pPr>
            <w:r>
              <w:rPr>
                <w:rFonts w:ascii="Arial" w:cs="Arial" w:eastAsia="Arial" w:hAnsi="Arial"/>
                <w:sz w:val="18"/>
                <w:szCs w:val="18"/>
                <w:color w:val="auto"/>
              </w:rPr>
              <w:t>140,613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 during period—disposition and retirements of property</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(205,958)</w:t>
            </w:r>
          </w:p>
        </w:tc>
      </w:tr>
      <w:tr>
        <w:trPr>
          <w:trHeight w:val="222"/>
        </w:trPr>
        <w:tc>
          <w:tcPr>
            <w:tcW w:w="10480" w:type="dxa"/>
            <w:vAlign w:val="bottom"/>
            <w:gridSpan w:val="3"/>
          </w:tcPr>
          <w:p>
            <w:pPr>
              <w:spacing w:after="0"/>
              <w:rPr>
                <w:sz w:val="20"/>
                <w:szCs w:val="20"/>
                <w:color w:val="auto"/>
              </w:rPr>
            </w:pPr>
            <w:r>
              <w:rPr>
                <w:rFonts w:ascii="Arial" w:cs="Arial" w:eastAsia="Arial" w:hAnsi="Arial"/>
                <w:sz w:val="18"/>
                <w:szCs w:val="18"/>
                <w:color w:val="auto"/>
              </w:rPr>
              <w:t>Balance, December 31, 2007</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3,452,847</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10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during period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860"/>
              <w:spacing w:after="0"/>
              <w:rPr>
                <w:sz w:val="20"/>
                <w:szCs w:val="20"/>
                <w:color w:val="auto"/>
              </w:rPr>
            </w:pPr>
            <w:r>
              <w:rPr>
                <w:rFonts w:ascii="Arial" w:cs="Arial" w:eastAsia="Arial" w:hAnsi="Arial"/>
                <w:sz w:val="18"/>
                <w:szCs w:val="18"/>
                <w:color w:val="auto"/>
              </w:rPr>
              <w:t>Acquisitions</w:t>
            </w:r>
          </w:p>
        </w:tc>
        <w:tc>
          <w:tcPr>
            <w:tcW w:w="820" w:type="dxa"/>
            <w:vAlign w:val="bottom"/>
          </w:tcPr>
          <w:p>
            <w:pPr>
              <w:jc w:val="right"/>
              <w:spacing w:after="0"/>
              <w:rPr>
                <w:sz w:val="20"/>
                <w:szCs w:val="20"/>
                <w:color w:val="auto"/>
              </w:rPr>
            </w:pPr>
            <w:r>
              <w:rPr>
                <w:rFonts w:ascii="Arial" w:cs="Arial" w:eastAsia="Arial" w:hAnsi="Arial"/>
                <w:sz w:val="18"/>
                <w:szCs w:val="18"/>
                <w:color w:val="auto"/>
              </w:rPr>
              <w:t>122,662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Improvements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144,192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rPr>
              <w:t>Deduction during period—disposition and retirements of property</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(46,016)</w:t>
            </w: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3,673,685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rPr>
              <w:t>Additions during period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Acquisitions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860"/>
              <w:spacing w:after="0"/>
              <w:rPr>
                <w:sz w:val="20"/>
                <w:szCs w:val="20"/>
                <w:color w:val="auto"/>
              </w:rPr>
            </w:pPr>
            <w:r>
              <w:rPr>
                <w:rFonts w:ascii="Arial" w:cs="Arial" w:eastAsia="Arial" w:hAnsi="Arial"/>
                <w:sz w:val="18"/>
                <w:szCs w:val="18"/>
                <w:color w:val="auto"/>
              </w:rPr>
              <w:t>Improvements</w:t>
            </w:r>
          </w:p>
        </w:tc>
        <w:tc>
          <w:tcPr>
            <w:tcW w:w="820" w:type="dxa"/>
            <w:vAlign w:val="bottom"/>
          </w:tcPr>
          <w:p>
            <w:pPr>
              <w:jc w:val="right"/>
              <w:spacing w:after="0"/>
              <w:rPr>
                <w:sz w:val="20"/>
                <w:szCs w:val="20"/>
                <w:color w:val="auto"/>
              </w:rPr>
            </w:pPr>
            <w:r>
              <w:rPr>
                <w:rFonts w:ascii="Arial" w:cs="Arial" w:eastAsia="Arial" w:hAnsi="Arial"/>
                <w:sz w:val="18"/>
                <w:szCs w:val="18"/>
                <w:color w:val="auto"/>
              </w:rPr>
              <w:t>93,304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 during period—disposition and retirements of property</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(42,240)</w:t>
            </w:r>
          </w:p>
        </w:tc>
      </w:tr>
      <w:tr>
        <w:trPr>
          <w:trHeight w:val="222"/>
        </w:trPr>
        <w:tc>
          <w:tcPr>
            <w:tcW w:w="10480" w:type="dxa"/>
            <w:vAlign w:val="bottom"/>
            <w:gridSpan w:val="3"/>
          </w:tcPr>
          <w:p>
            <w:pPr>
              <w:spacing w:after="0"/>
              <w:rPr>
                <w:sz w:val="20"/>
                <w:szCs w:val="20"/>
                <w:color w:val="auto"/>
              </w:rPr>
            </w:pPr>
            <w:r>
              <w:rPr>
                <w:rFonts w:ascii="Arial" w:cs="Arial" w:eastAsia="Arial" w:hAnsi="Arial"/>
                <w:sz w:val="18"/>
                <w:szCs w:val="18"/>
                <w:color w:val="auto"/>
              </w:rPr>
              <w:t>Balance, December 31, 2009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3,759,234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For Federal tax purposes, the aggregate cost basis is approximately $3.3 billion as of December 31, 2009.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DEPRECIATION—CONTINUED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2009</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Accumulated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Depreciation and Amortization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6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w w:val="95"/>
              </w:rPr>
              <w:t>Additions during period—depreciation and amortization expense</w:t>
            </w:r>
          </w:p>
        </w:tc>
        <w:tc>
          <w:tcPr>
            <w:tcW w:w="6080" w:type="dxa"/>
            <w:vAlign w:val="bottom"/>
            <w:gridSpan w:val="3"/>
          </w:tcPr>
          <w:p>
            <w:pPr>
              <w:jc w:val="right"/>
              <w:ind w:right="100"/>
              <w:spacing w:after="0"/>
              <w:rPr>
                <w:sz w:val="20"/>
                <w:szCs w:val="20"/>
                <w:color w:val="auto"/>
              </w:rPr>
            </w:pPr>
            <w:r>
              <w:rPr>
                <w:rFonts w:ascii="Arial" w:cs="Arial" w:eastAsia="Arial" w:hAnsi="Arial"/>
                <w:sz w:val="18"/>
                <w:szCs w:val="18"/>
                <w:color w:val="auto"/>
              </w:rPr>
              <w:t>96,454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Deductions during period—disposition and retirements of property</w:t>
            </w:r>
          </w:p>
        </w:tc>
        <w:tc>
          <w:tcPr>
            <w:tcW w:w="5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(80,258)</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Balance, December 31, 2007</w:t>
            </w:r>
          </w:p>
        </w:tc>
        <w:tc>
          <w:tcPr>
            <w:tcW w:w="5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Additions during period—depreciation and amortization expense</w:t>
            </w:r>
          </w:p>
        </w:tc>
        <w:tc>
          <w:tcPr>
            <w:tcW w:w="6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w w:val="93"/>
              </w:rPr>
              <w:t>Deductions during period—disposition and retirements of property</w:t>
            </w:r>
          </w:p>
        </w:tc>
        <w:tc>
          <w:tcPr>
            <w:tcW w:w="53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5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w w:val="95"/>
              </w:rPr>
              <w:t>Additions during period—depreciation and amortization expense</w:t>
            </w:r>
          </w:p>
        </w:tc>
        <w:tc>
          <w:tcPr>
            <w:tcW w:w="6080" w:type="dxa"/>
            <w:vAlign w:val="bottom"/>
            <w:gridSpan w:val="3"/>
          </w:tcPr>
          <w:p>
            <w:pPr>
              <w:jc w:val="right"/>
              <w:ind w:right="100"/>
              <w:spacing w:after="0"/>
              <w:rPr>
                <w:sz w:val="20"/>
                <w:szCs w:val="20"/>
                <w:color w:val="auto"/>
              </w:rPr>
            </w:pPr>
            <w:r>
              <w:rPr>
                <w:rFonts w:ascii="Arial" w:cs="Arial" w:eastAsia="Arial" w:hAnsi="Arial"/>
                <w:sz w:val="18"/>
                <w:szCs w:val="18"/>
                <w:color w:val="auto"/>
              </w:rPr>
              <w:t>103.698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Deductions during period—disposition and retirements of property</w:t>
            </w:r>
          </w:p>
        </w:tc>
        <w:tc>
          <w:tcPr>
            <w:tcW w:w="5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(11,869)</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2009</w:t>
            </w:r>
          </w:p>
        </w:tc>
        <w:tc>
          <w:tcPr>
            <w:tcW w:w="5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60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938,087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080" w:type="dxa"/>
            <w:vAlign w:val="bottom"/>
            <w:gridSpan w:val="3"/>
          </w:tcPr>
          <w:p>
            <w:pPr>
              <w:jc w:val="right"/>
              <w:ind w:right="5540"/>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40" w:type="dxa"/>
            <w:vAlign w:val="bottom"/>
            <w:gridSpan w:val="2"/>
          </w:tcPr>
          <w:p>
            <w:pPr>
              <w:ind w:left="660"/>
              <w:spacing w:after="0"/>
              <w:rPr>
                <w:sz w:val="20"/>
                <w:szCs w:val="20"/>
                <w:color w:val="auto"/>
              </w:rPr>
            </w:pPr>
            <w:r>
              <w:rPr>
                <w:rFonts w:ascii="Arial" w:cs="Arial" w:eastAsia="Arial" w:hAnsi="Arial"/>
                <w:sz w:val="14"/>
                <w:szCs w:val="14"/>
                <w:b w:val="1"/>
                <w:bCs w:val="1"/>
                <w:color w:val="auto"/>
              </w:rPr>
              <w:t>Column A</w:t>
            </w:r>
          </w:p>
        </w:tc>
        <w:tc>
          <w:tcPr>
            <w:tcW w:w="320" w:type="dxa"/>
            <w:vAlign w:val="bottom"/>
          </w:tcPr>
          <w:p>
            <w:pPr>
              <w:spacing w:after="0"/>
              <w:rPr>
                <w:sz w:val="15"/>
                <w:szCs w:val="15"/>
                <w:color w:val="auto"/>
              </w:rPr>
            </w:pPr>
          </w:p>
        </w:tc>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Column B</w:t>
            </w:r>
          </w:p>
        </w:tc>
        <w:tc>
          <w:tcPr>
            <w:tcW w:w="320" w:type="dxa"/>
            <w:vAlign w:val="bottom"/>
          </w:tcPr>
          <w:p>
            <w:pPr>
              <w:spacing w:after="0"/>
              <w:rPr>
                <w:sz w:val="15"/>
                <w:szCs w:val="15"/>
                <w:color w:val="auto"/>
              </w:rPr>
            </w:pPr>
          </w:p>
        </w:tc>
        <w:tc>
          <w:tcPr>
            <w:tcW w:w="900" w:type="dxa"/>
            <w:vAlign w:val="bottom"/>
          </w:tcPr>
          <w:p>
            <w:pPr>
              <w:ind w:left="160"/>
              <w:spacing w:after="0"/>
              <w:rPr>
                <w:sz w:val="20"/>
                <w:szCs w:val="20"/>
                <w:color w:val="auto"/>
              </w:rPr>
            </w:pPr>
            <w:r>
              <w:rPr>
                <w:rFonts w:ascii="Arial" w:cs="Arial" w:eastAsia="Arial" w:hAnsi="Arial"/>
                <w:sz w:val="14"/>
                <w:szCs w:val="14"/>
                <w:b w:val="1"/>
                <w:bCs w:val="1"/>
                <w:color w:val="auto"/>
              </w:rPr>
              <w:t>Column C</w:t>
            </w:r>
          </w:p>
        </w:tc>
        <w:tc>
          <w:tcPr>
            <w:tcW w:w="3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Column D</w:t>
            </w:r>
          </w:p>
        </w:tc>
        <w:tc>
          <w:tcPr>
            <w:tcW w:w="3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Column 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Column F</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Column G</w:t>
            </w: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Column H</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Principal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Loans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Subject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Periodic Payment</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Carrying</w:t>
            </w: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delinquent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tcPr>
          <w:p>
            <w:pPr>
              <w:jc w:val="right"/>
              <w:ind w:right="540"/>
              <w:spacing w:after="0" w:line="135" w:lineRule="exact"/>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3"/>
              </w:rPr>
              <w:t>Face Amount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90"/>
              </w:rPr>
              <w:t>Amount</w:t>
            </w:r>
          </w:p>
        </w:tc>
        <w:tc>
          <w:tcPr>
            <w:tcW w:w="64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75"/>
        </w:trPr>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Description of Lien</w:t>
            </w:r>
          </w:p>
        </w:tc>
        <w:tc>
          <w:tcPr>
            <w:tcW w:w="320" w:type="dxa"/>
            <w:vAlign w:val="bottom"/>
          </w:tcPr>
          <w:p>
            <w:pPr>
              <w:spacing w:after="0"/>
              <w:rPr>
                <w:sz w:val="15"/>
                <w:szCs w:val="15"/>
                <w:color w:val="auto"/>
              </w:rPr>
            </w:pPr>
          </w:p>
        </w:tc>
        <w:tc>
          <w:tcPr>
            <w:tcW w:w="1220" w:type="dxa"/>
            <w:vAlign w:val="bottom"/>
          </w:tcPr>
          <w:p>
            <w:pPr>
              <w:ind w:left="240"/>
              <w:spacing w:after="0"/>
              <w:rPr>
                <w:sz w:val="20"/>
                <w:szCs w:val="20"/>
                <w:color w:val="auto"/>
              </w:rPr>
            </w:pPr>
            <w:r>
              <w:rPr>
                <w:rFonts w:ascii="Arial" w:cs="Arial" w:eastAsia="Arial" w:hAnsi="Arial"/>
                <w:sz w:val="14"/>
                <w:szCs w:val="14"/>
                <w:b w:val="1"/>
                <w:bCs w:val="1"/>
                <w:color w:val="auto"/>
              </w:rPr>
              <w:t>Interest Rate</w:t>
            </w:r>
          </w:p>
        </w:tc>
        <w:tc>
          <w:tcPr>
            <w:tcW w:w="32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w w:val="94"/>
              </w:rPr>
              <w:t>Maturity Date</w:t>
            </w:r>
          </w:p>
        </w:tc>
        <w:tc>
          <w:tcPr>
            <w:tcW w:w="3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Terms</w:t>
            </w:r>
          </w:p>
        </w:tc>
        <w:tc>
          <w:tcPr>
            <w:tcW w:w="32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Liens</w:t>
            </w:r>
          </w:p>
        </w:tc>
        <w:tc>
          <w:tcPr>
            <w:tcW w:w="1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4"/>
              </w:rPr>
              <w:t>of Mortgages</w:t>
            </w:r>
          </w:p>
        </w:tc>
        <w:tc>
          <w:tcPr>
            <w:tcW w:w="320" w:type="dxa"/>
            <w:vAlign w:val="bottom"/>
          </w:tcPr>
          <w:p>
            <w:pPr>
              <w:spacing w:after="0"/>
              <w:rPr>
                <w:sz w:val="15"/>
                <w:szCs w:val="15"/>
                <w:color w:val="auto"/>
              </w:rPr>
            </w:pPr>
          </w:p>
        </w:tc>
        <w:tc>
          <w:tcPr>
            <w:tcW w:w="15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of Mortgages(1)</w:t>
            </w: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or Interest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Mortgage on a commercial</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Greater of 10%</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w:t>
            </w:r>
          </w:p>
        </w:tc>
        <w:tc>
          <w:tcPr>
            <w:tcW w:w="3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only, balloon</w:t>
            </w:r>
          </w:p>
        </w:tc>
        <w:tc>
          <w:tcPr>
            <w:tcW w:w="130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$ 11,000(3)</w:t>
            </w:r>
          </w:p>
        </w:tc>
        <w:tc>
          <w:tcPr>
            <w:tcW w:w="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7,150</w:t>
            </w:r>
          </w:p>
        </w:tc>
        <w:tc>
          <w:tcPr>
            <w:tcW w:w="4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7,380(4)</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7,150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and second</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or LIBOR plus</w:t>
            </w: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payment due</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on two</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2"/>
              </w:rPr>
              <w:t>725 basis points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at maturity(2)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buildings in</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Norwalk, CT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960" w:type="dxa"/>
            <w:vAlign w:val="bottom"/>
            <w:gridSpan w:val="3"/>
          </w:tcPr>
          <w:p>
            <w:pPr>
              <w:spacing w:after="0"/>
              <w:rPr>
                <w:sz w:val="20"/>
                <w:szCs w:val="20"/>
                <w:color w:val="auto"/>
              </w:rPr>
            </w:pPr>
            <w:r>
              <w:rPr>
                <w:rFonts w:ascii="Arial" w:cs="Arial" w:eastAsia="Arial" w:hAnsi="Arial"/>
                <w:sz w:val="18"/>
                <w:szCs w:val="18"/>
                <w:color w:val="auto"/>
                <w:w w:val="91"/>
              </w:rPr>
              <w:t>Second Mortgage on hotel</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87"/>
              </w:rPr>
              <w:t>August 2016</w:t>
            </w:r>
          </w:p>
        </w:tc>
        <w:tc>
          <w:tcPr>
            <w:tcW w:w="3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7"/>
              </w:rPr>
              <w:t>Principal and interest;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36,000(3)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15,493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11,817</w:t>
            </w:r>
          </w:p>
        </w:tc>
        <w:tc>
          <w:tcPr>
            <w:tcW w:w="160" w:type="dxa"/>
            <w:vAlign w:val="bottom"/>
          </w:tcPr>
          <w:p>
            <w:pPr>
              <w:spacing w:after="0"/>
              <w:rPr>
                <w:sz w:val="24"/>
                <w:szCs w:val="24"/>
                <w:color w:val="auto"/>
              </w:rPr>
            </w:pP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in San Jose, CA</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balloon payment due</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at maturity(5)</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on retail</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8% or 10%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May 2021</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Interest only</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19,889(6)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buildings in Philadelphia,</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4"/>
              </w:rPr>
              <w:t>based on timing</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monthly; balloon</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of draws,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86"/>
              </w:rPr>
              <w:t>payment due at maturity</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88"/>
              </w:rPr>
              <w:t>plus participation</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960" w:type="dxa"/>
            <w:vAlign w:val="bottom"/>
            <w:gridSpan w:val="3"/>
          </w:tcPr>
          <w:p>
            <w:pPr>
              <w:spacing w:after="0"/>
              <w:rPr>
                <w:sz w:val="20"/>
                <w:szCs w:val="20"/>
                <w:color w:val="auto"/>
              </w:rPr>
            </w:pPr>
            <w:r>
              <w:rPr>
                <w:rFonts w:ascii="Arial" w:cs="Arial" w:eastAsia="Arial" w:hAnsi="Arial"/>
                <w:sz w:val="18"/>
                <w:szCs w:val="18"/>
                <w:color w:val="auto"/>
              </w:rPr>
              <w:t>Mortgage on retail</w:t>
            </w:r>
          </w:p>
        </w:tc>
        <w:tc>
          <w:tcPr>
            <w:tcW w:w="3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10% plus</w:t>
            </w:r>
          </w:p>
        </w:tc>
        <w:tc>
          <w:tcPr>
            <w:tcW w:w="3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May 2021</w:t>
            </w:r>
          </w:p>
        </w:tc>
        <w:tc>
          <w:tcPr>
            <w:tcW w:w="3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8"/>
              </w:rPr>
              <w:t>Interest only monthly;</w:t>
            </w:r>
          </w:p>
        </w:tc>
        <w:tc>
          <w:tcPr>
            <w:tcW w:w="320" w:type="dxa"/>
            <w:vAlign w:val="bottom"/>
          </w:tcPr>
          <w:p>
            <w:pPr>
              <w:spacing w:after="0"/>
              <w:rPr>
                <w:sz w:val="24"/>
                <w:szCs w:val="2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9,250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9,250</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w w:val="97"/>
              </w:rPr>
              <w:t>buildings in Philadelphia,</w:t>
            </w:r>
          </w:p>
        </w:tc>
        <w:tc>
          <w:tcPr>
            <w:tcW w:w="3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participation</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balloon payment</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960" w:type="dxa"/>
            <w:vAlign w:val="bottom"/>
            <w:gridSpan w:val="3"/>
          </w:tcPr>
          <w:p>
            <w:pPr>
              <w:spacing w:after="0"/>
              <w:rPr>
                <w:sz w:val="20"/>
                <w:szCs w:val="20"/>
                <w:color w:val="auto"/>
              </w:rPr>
            </w:pPr>
            <w:r>
              <w:rPr>
                <w:rFonts w:ascii="Arial" w:cs="Arial" w:eastAsia="Arial" w:hAnsi="Arial"/>
                <w:sz w:val="18"/>
                <w:szCs w:val="18"/>
                <w:color w:val="auto"/>
              </w:rPr>
              <w:t>PA</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due at maturity</w:t>
            </w:r>
          </w:p>
        </w:tc>
        <w:tc>
          <w:tcPr>
            <w:tcW w:w="3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$ 47,000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48,336</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Federal tax purposes, the aggregate tax basis is approximately $52.0 million as of December 31, 2009.</w:t>
      </w:r>
    </w:p>
    <w:p>
      <w:pPr>
        <w:spacing w:after="0" w:line="15"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 was due monthly in arrears and was payable out of net cash flow from the two properties. Any unpaid interest was due at maturity. Included in the carrying amount of the mortgage at December 31, 2009 was $0.4 million of accrued but unpaid interest.</w:t>
      </w:r>
    </w:p>
    <w:p>
      <w:pPr>
        <w:ind w:left="460" w:hanging="452"/>
        <w:spacing w:after="0"/>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do not hold the first mortgage loan on one of these properties. Accordingly, the amount of the prior lien at December 31, 2009 is estimated.</w:t>
      </w:r>
    </w:p>
    <w:p>
      <w:pPr>
        <w:spacing w:after="0" w:line="3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borrower had two one-year extension options with interest at the greater of 12% or LIBOR plus 925 basis points, however, because the borrower failed to timely exercise its notice to extend the loan, the loan matured on November 4, 2009. Subsequent to the loan maturing, we placed the borrower in default and filed foreclosure proceedings. If we foreclose on the properties, we believe the fair value of the properties is in excess of the value of our mortgage note receivable plus the outstanding amount of the first lien on one property. Due to the status of the loan, we ceased recording interest income on the loan during 2009.</w:t>
      </w:r>
    </w:p>
    <w:p>
      <w:pPr>
        <w:spacing w:after="0" w:line="2"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note was amended on August 4, 2006. The amended note decreased the interest from 14% to 9% per annum, and requires monthly payments of principal and interest based on 15-year amortization schedule.</w:t>
      </w: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mortgage is available for up to $25.0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99"/>
              </w:rPr>
              <w:t>FEDERAL REALTY INVESTMENT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99"/>
              </w:rPr>
              <w:t>SCHEDULE IV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97"/>
              </w:rPr>
              <w:t>MORTGAGE LOANS ON REAL ESTATE—CONTINUED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7"/>
              </w:rPr>
              <w:t>Three Years Ended December 31, 2009</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9"/>
              </w:rPr>
              <w:t>Reconciliation of Carrying Amount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8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Additions during period:</w:t>
            </w:r>
          </w:p>
        </w:tc>
        <w:tc>
          <w:tcPr>
            <w:tcW w:w="7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loans</w:t>
            </w:r>
          </w:p>
        </w:tc>
        <w:tc>
          <w:tcPr>
            <w:tcW w:w="8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Deductions during period:</w:t>
            </w:r>
          </w:p>
        </w:tc>
        <w:tc>
          <w:tcPr>
            <w:tcW w:w="7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Collection and satisfaction of loans</w:t>
            </w:r>
          </w:p>
        </w:tc>
        <w:tc>
          <w:tcPr>
            <w:tcW w:w="8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860"/>
              <w:spacing w:after="0"/>
              <w:rPr>
                <w:sz w:val="20"/>
                <w:szCs w:val="20"/>
                <w:color w:val="auto"/>
              </w:rPr>
            </w:pPr>
            <w:r>
              <w:rPr>
                <w:rFonts w:ascii="Arial" w:cs="Arial" w:eastAsia="Arial" w:hAnsi="Arial"/>
                <w:sz w:val="18"/>
                <w:szCs w:val="18"/>
                <w:color w:val="auto"/>
              </w:rPr>
              <w:t>Amortization of discount</w:t>
            </w:r>
          </w:p>
        </w:tc>
        <w:tc>
          <w:tcPr>
            <w:tcW w:w="7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8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Additions during period:</w:t>
            </w:r>
          </w:p>
        </w:tc>
        <w:tc>
          <w:tcPr>
            <w:tcW w:w="7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loans</w:t>
            </w:r>
          </w:p>
        </w:tc>
        <w:tc>
          <w:tcPr>
            <w:tcW w:w="8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860"/>
              <w:spacing w:after="0"/>
              <w:rPr>
                <w:sz w:val="20"/>
                <w:szCs w:val="20"/>
                <w:color w:val="auto"/>
              </w:rPr>
            </w:pPr>
            <w:r>
              <w:rPr>
                <w:rFonts w:ascii="Arial" w:cs="Arial" w:eastAsia="Arial" w:hAnsi="Arial"/>
                <w:sz w:val="18"/>
                <w:szCs w:val="18"/>
                <w:color w:val="auto"/>
              </w:rPr>
              <w:t>Loan fee</w:t>
            </w:r>
          </w:p>
        </w:tc>
        <w:tc>
          <w:tcPr>
            <w:tcW w:w="8020" w:type="dxa"/>
            <w:vAlign w:val="bottom"/>
            <w:gridSpan w:val="3"/>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Deductions during period:</w:t>
            </w:r>
          </w:p>
        </w:tc>
        <w:tc>
          <w:tcPr>
            <w:tcW w:w="7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860"/>
              <w:spacing w:after="0"/>
              <w:rPr>
                <w:sz w:val="20"/>
                <w:szCs w:val="20"/>
                <w:color w:val="auto"/>
              </w:rPr>
            </w:pPr>
            <w:r>
              <w:rPr>
                <w:rFonts w:ascii="Arial" w:cs="Arial" w:eastAsia="Arial" w:hAnsi="Arial"/>
                <w:sz w:val="18"/>
                <w:szCs w:val="18"/>
                <w:color w:val="auto"/>
                <w:w w:val="90"/>
              </w:rPr>
              <w:t>Collection and satisfaction of loans</w:t>
            </w:r>
          </w:p>
        </w:tc>
        <w:tc>
          <w:tcPr>
            <w:tcW w:w="8020" w:type="dxa"/>
            <w:vAlign w:val="bottom"/>
            <w:gridSpan w:val="3"/>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Amortization of discount /loan fee</w:t>
            </w:r>
          </w:p>
        </w:tc>
        <w:tc>
          <w:tcPr>
            <w:tcW w:w="7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Balance, December 31, 2008</w:t>
            </w:r>
          </w:p>
        </w:tc>
        <w:tc>
          <w:tcPr>
            <w:tcW w:w="8020" w:type="dxa"/>
            <w:vAlign w:val="bottom"/>
            <w:gridSpan w:val="3"/>
          </w:tcPr>
          <w:p>
            <w:pPr>
              <w:jc w:val="right"/>
              <w:ind w:right="100"/>
              <w:spacing w:after="0"/>
              <w:rPr>
                <w:sz w:val="20"/>
                <w:szCs w:val="20"/>
                <w:color w:val="auto"/>
              </w:rPr>
            </w:pPr>
            <w:r>
              <w:rPr>
                <w:rFonts w:ascii="Arial" w:cs="Arial" w:eastAsia="Arial" w:hAnsi="Arial"/>
                <w:sz w:val="18"/>
                <w:szCs w:val="18"/>
                <w:color w:val="auto"/>
              </w:rPr>
              <w:t>45,780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during period:</w:t>
            </w:r>
          </w:p>
        </w:tc>
        <w:tc>
          <w:tcPr>
            <w:tcW w:w="7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860"/>
              <w:spacing w:after="0"/>
              <w:rPr>
                <w:sz w:val="20"/>
                <w:szCs w:val="20"/>
                <w:color w:val="auto"/>
              </w:rPr>
            </w:pPr>
            <w:r>
              <w:rPr>
                <w:rFonts w:ascii="Arial" w:cs="Arial" w:eastAsia="Arial" w:hAnsi="Arial"/>
                <w:sz w:val="18"/>
                <w:szCs w:val="18"/>
                <w:color w:val="auto"/>
              </w:rPr>
              <w:t>Issuance of loans</w:t>
            </w:r>
          </w:p>
        </w:tc>
        <w:tc>
          <w:tcPr>
            <w:tcW w:w="8020" w:type="dxa"/>
            <w:vAlign w:val="bottom"/>
            <w:gridSpan w:val="3"/>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Loan fee</w:t>
            </w:r>
          </w:p>
        </w:tc>
        <w:tc>
          <w:tcPr>
            <w:tcW w:w="8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Deductions during period:</w:t>
            </w:r>
          </w:p>
        </w:tc>
        <w:tc>
          <w:tcPr>
            <w:tcW w:w="7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Collection and satisfaction of loans</w:t>
            </w:r>
          </w:p>
        </w:tc>
        <w:tc>
          <w:tcPr>
            <w:tcW w:w="8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860"/>
              <w:spacing w:after="0"/>
              <w:rPr>
                <w:sz w:val="20"/>
                <w:szCs w:val="20"/>
                <w:color w:val="auto"/>
              </w:rPr>
            </w:pPr>
            <w:r>
              <w:rPr>
                <w:rFonts w:ascii="Arial" w:cs="Arial" w:eastAsia="Arial" w:hAnsi="Arial"/>
                <w:sz w:val="18"/>
                <w:szCs w:val="18"/>
                <w:color w:val="auto"/>
                <w:w w:val="93"/>
              </w:rPr>
              <w:t>Amortization of discount /loan fee</w:t>
            </w:r>
          </w:p>
        </w:tc>
        <w:tc>
          <w:tcPr>
            <w:tcW w:w="7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8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color w:val="auto"/>
                <w:w w:val="91"/>
              </w:rPr>
              <w:t>F-40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560" w:type="dxa"/>
            <w:vAlign w:val="bottom"/>
          </w:tcPr>
          <w:p>
            <w:pPr>
              <w:jc w:val="center"/>
              <w:ind w:right="1712"/>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181"/>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5"/>
                <w:szCs w:val="15"/>
                <w:color w:val="auto"/>
              </w:rPr>
            </w:pPr>
          </w:p>
        </w:tc>
        <w:tc>
          <w:tcPr>
            <w:tcW w:w="10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c>
          <w:tcPr>
            <w:tcW w:w="66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6"/>
              </w:rPr>
              <w:t>Declaration</w:t>
            </w:r>
          </w:p>
        </w:tc>
        <w:tc>
          <w:tcPr>
            <w:tcW w:w="9560" w:type="dxa"/>
            <w:vAlign w:val="bottom"/>
          </w:tcPr>
          <w:p>
            <w:pPr>
              <w:ind w:left="160"/>
              <w:spacing w:after="0" w:line="195" w:lineRule="exact"/>
              <w:rPr>
                <w:sz w:val="20"/>
                <w:szCs w:val="20"/>
                <w:color w:val="auto"/>
              </w:rPr>
            </w:pPr>
            <w:r>
              <w:rPr>
                <w:rFonts w:ascii="Arial" w:cs="Arial" w:eastAsia="Arial" w:hAnsi="Arial"/>
                <w:sz w:val="18"/>
                <w:szCs w:val="18"/>
                <w:color w:val="auto"/>
                <w:w w:val="89"/>
              </w:rPr>
              <w:t>of Trust of Federal Realty Investment Trust dated May 5, 1999 as amended by the Articles of Amendment of Declaration of Trust of</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2"/>
              </w:rPr>
              <w:t>Federal Realty Investment Trust dated May 6, 2004, as corrected by the Certificate of Correction of Articles of Amendment of Declaration of</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2"/>
              </w:rPr>
              <w:t>Trust of Federal Realty Investment Trust dated June 17, 2004, as amended by the Articles of Amendment of Declaration of Trust of Federal</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2"/>
              </w:rPr>
              <w:t>Realty Investment Trust dated May 6, 2009 (previously filed as Exhibit 3.1 to the Trust’s Registration Statement on Form S-3 (File No. 333-</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160009)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February 17, 2006 and May 6, 2009 (previously filed as Exhibit 3.2 to the Trust’s Registration Statement on Form S-3 (File No. 333-160009) and</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Specimen Common Share certificate (previously filed as Exhibit 4(i) to the Trust’s Annual Report on Form 10-K for the year ended December 31,</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1999 (File No. 1-07533)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2"/>
              </w:rPr>
              <w:t>filed as Exhibit 1 to the Trust’s Registration Statement on Form 8-A/A filed on March 11, 1999 (File No. 1-07533) and incorporated herein by</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First Amendment to Amended and Restated Rights Agreement, dated as of November 2003, between the Trust and American Stock Transfer &amp;</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1"/>
              </w:rPr>
              <w:t>Trust Company (previously filed as Exhibit 4.5 to the Trust’s Annual Report on Form 10-K for the year ended December 31, 2003 (File No. 1-</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07533)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8"/>
              </w:rPr>
              <w:t>Second Amendment to Amended and Restated Rights Agreement, dated as of March 11, 2009, between the Trust and American Stock Transfer &amp;</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4"/>
              </w:rPr>
              <w:t>Trust Company (previously filed as Exhibit 4.3 to the Trust’s current Report on Form 8-K (File No. 001-07533) and incorporated herein by</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8"/>
              </w:rPr>
              <w:t>Indenture dated December 1, 1993 related to the Trust’s 7.48% Debentures due August 15, 2026; and 6.82% Medium Term Notes due August 1,</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4"/>
              </w:rPr>
              <w:t>2027; (previously filed as Exhibit 4(a) to the Trust’s Registration Statement on Form S-3 (File No. 33-51029), and amended on Form S-3</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(File No. 33-63687), filed on December 13, 1993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6 </w:t>
            </w:r>
            <w:r>
              <w:rPr>
                <w:rFonts w:ascii="Arial" w:cs="Arial" w:eastAsia="Arial" w:hAnsi="Arial"/>
                <w:sz w:val="11"/>
                <w:szCs w:val="11"/>
                <w:color w:val="auto"/>
                <w:w w:val="87"/>
              </w:rPr>
              <w:t>1</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November 15, 2007; 4.50% Notes</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7"/>
              </w:rPr>
              <w:t>due 2011; 5.65% Notes due 2016; 6.00% Notes due 2012; 6.20% Notes due 2017; 5.40% Notes due 2013; and 5.95% Notes due 2014 (previously</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filed as Exhibit 4(a) to the Trust’s Registration Statement on Form S-3 (File No. 333-63619) filed on September 17, 1998 and incorporated herein</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7"/>
              </w:rPr>
              <w:t>Amended and Restated 1993 Long-Term Incentive Plan, as amended on October 6, 1997 and further amended on May 6, 1998 (previously filed as</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Exhibit 10.26 to the Trust’s Annual Report on Form 10-K for the year ended December 31, 1998 (File No. 1-07533) and incorporated herein by</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65"/>
        </w:trPr>
        <w:tc>
          <w:tcPr>
            <w:tcW w:w="460" w:type="dxa"/>
            <w:vAlign w:val="bottom"/>
          </w:tcPr>
          <w:p>
            <w:pPr>
              <w:spacing w:after="0"/>
              <w:rPr>
                <w:sz w:val="24"/>
                <w:szCs w:val="24"/>
                <w:color w:val="auto"/>
              </w:rPr>
            </w:pPr>
          </w:p>
        </w:tc>
        <w:tc>
          <w:tcPr>
            <w:tcW w:w="10940" w:type="dxa"/>
            <w:vAlign w:val="bottom"/>
            <w:gridSpan w:val="3"/>
          </w:tcPr>
          <w:p>
            <w:pPr>
              <w:jc w:val="right"/>
              <w:ind w:right="555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40" w:type="dxa"/>
            <w:vAlign w:val="bottom"/>
          </w:tcPr>
          <w:p>
            <w:pPr>
              <w:ind w:left="32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Exhibit</w:t>
            </w:r>
          </w:p>
        </w:tc>
        <w:tc>
          <w:tcPr>
            <w:tcW w:w="720" w:type="dxa"/>
            <w:vAlign w:val="bottom"/>
          </w:tcPr>
          <w:p>
            <w:pPr>
              <w:spacing w:after="0"/>
              <w:rPr>
                <w:sz w:val="24"/>
                <w:szCs w:val="24"/>
                <w:color w:val="auto"/>
              </w:rPr>
            </w:pPr>
          </w:p>
        </w:tc>
        <w:tc>
          <w:tcPr>
            <w:tcW w:w="9640" w:type="dxa"/>
            <w:vAlign w:val="bottom"/>
          </w:tcPr>
          <w:p>
            <w:pPr>
              <w:spacing w:after="0"/>
              <w:rPr>
                <w:sz w:val="24"/>
                <w:szCs w:val="24"/>
                <w:color w:val="auto"/>
              </w:rPr>
            </w:pPr>
          </w:p>
        </w:tc>
      </w:tr>
      <w:tr>
        <w:trPr>
          <w:trHeight w:val="18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5"/>
                <w:szCs w:val="15"/>
                <w:color w:val="auto"/>
              </w:rPr>
            </w:pPr>
          </w:p>
        </w:tc>
        <w:tc>
          <w:tcPr>
            <w:tcW w:w="103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2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rPr>
              <w:t>10.2</w:t>
            </w: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Form of</w:t>
            </w:r>
          </w:p>
        </w:tc>
        <w:tc>
          <w:tcPr>
            <w:tcW w:w="9640" w:type="dxa"/>
            <w:vAlign w:val="bottom"/>
          </w:tcPr>
          <w:p>
            <w:pPr>
              <w:spacing w:after="0" w:line="195" w:lineRule="exact"/>
              <w:rPr>
                <w:sz w:val="20"/>
                <w:szCs w:val="20"/>
                <w:color w:val="auto"/>
              </w:rPr>
            </w:pPr>
            <w:r>
              <w:rPr>
                <w:rFonts w:ascii="Arial" w:cs="Arial" w:eastAsia="Arial" w:hAnsi="Arial"/>
                <w:sz w:val="18"/>
                <w:szCs w:val="18"/>
                <w:color w:val="auto"/>
                <w:w w:val="88"/>
              </w:rPr>
              <w:t>Severance Agreement between the Trust and Certain of its Officers dated December 31, 1994 (previously filed as a portion of Exhibit 10</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to the Trust’s Annual Report on Form 10-K for the year ended December 31, 1994 (File No. 1-07533)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10.3</w:t>
            </w: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 Severance Agreement between the Trust and Donald C. Wood dated February 22, 1999 (previously filed as a portion of Exhibit 10 to the Trust’s</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Quarterly Report on Form 10-Q for the quarter ended March 31, 1999 (File No. 1-07533) (the “1999 1Q Form 10-Q”) and incorporated herein by</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10.4</w:t>
            </w: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 Executive Agreement between Federal Realty Investment Trust and Donald C. Wood dated February 22, 1999 (previously filed as a portion of</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10.5</w:t>
            </w:r>
          </w:p>
        </w:tc>
        <w:tc>
          <w:tcPr>
            <w:tcW w:w="10360" w:type="dxa"/>
            <w:vAlign w:val="bottom"/>
            <w:gridSpan w:val="2"/>
          </w:tcPr>
          <w:p>
            <w:pPr>
              <w:spacing w:after="0"/>
              <w:rPr>
                <w:sz w:val="20"/>
                <w:szCs w:val="20"/>
                <w:color w:val="auto"/>
              </w:rPr>
            </w:pPr>
            <w:r>
              <w:rPr>
                <w:rFonts w:ascii="Arial" w:cs="Arial" w:eastAsia="Arial" w:hAnsi="Arial"/>
                <w:sz w:val="18"/>
                <w:szCs w:val="18"/>
                <w:color w:val="auto"/>
                <w:w w:val="88"/>
              </w:rPr>
              <w:t>* Amendment to Executive Agreement between Federal Realty Investment Trust and Donald C. Wood dated February 16, 2005 (previously filed as</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Exhibit 10.12 to the Trust’s Annual Report on Form 10-K for the year ended December 31, 2004 (File No. 1-07533) (the “2004 Form 10-K”) and</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10.6</w:t>
            </w: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 Split Dollar Life Insurance Agreement dated August 12, 1998 between the Trust and Donald C. Wood (previously filed as a portion of Exhibit 10</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to the Trust’s Annual Report on Form 10-K for the year ended December 31, 2000 (File No. 1-07533)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10.7</w:t>
            </w: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 Severance Agreement between the Trust and Jeffrey S. Berkes dated March 1, 2000 (previously filed as a portion of Exhibit 10 to the Trust’s</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2001 (File No. 1-07533)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10.8</w:t>
            </w: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 Amendment to Severance Agreement between Federal Realty Investment Trust and Jeffrey S. Berkes dated February 16, 2005 (previously filed</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as Exhibit 10.17 to the 2004 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10.9</w:t>
            </w: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 Severance Agreement dated March 1, 2002 between the Trust and Larry E. Finger (previously filed as a portion of Exhibit 10 to the Trust’s</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2002 (File No. 1-07533)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10.10</w:t>
            </w:r>
          </w:p>
        </w:tc>
        <w:tc>
          <w:tcPr>
            <w:tcW w:w="10360" w:type="dxa"/>
            <w:vAlign w:val="bottom"/>
            <w:gridSpan w:val="2"/>
          </w:tcPr>
          <w:p>
            <w:pPr>
              <w:spacing w:after="0"/>
              <w:rPr>
                <w:sz w:val="20"/>
                <w:szCs w:val="20"/>
                <w:color w:val="auto"/>
              </w:rPr>
            </w:pPr>
            <w:r>
              <w:rPr>
                <w:rFonts w:ascii="Arial" w:cs="Arial" w:eastAsia="Arial" w:hAnsi="Arial"/>
                <w:sz w:val="18"/>
                <w:szCs w:val="18"/>
                <w:color w:val="auto"/>
                <w:w w:val="88"/>
              </w:rPr>
              <w:t>* Amendment to Severance Agreement between Federal Realty Investment Trust and Larry E. Finger dated February 16, 2005 (previously filed as</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Exhibit 10.19 to the 2004 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10.11</w:t>
            </w: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 Amendment to Stock Option Agreement dated August 15, 2002 between the Trust and Dawn M. Becker (previously filed as a portion of Exhibit</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4"/>
              </w:rPr>
              <w:t>10 to the Trust’s Quarterly Report on Form 10-Q for the quarter ended September 30, 2002 (File No. 1-075330 and incorporated herein by</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10.12</w:t>
            </w: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10.13</w:t>
            </w: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 Health Coverage Continuation Agreement between Federal Realty Investment Trust and Donald C. Wood dated February 16, 2005 (previously</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filed as Exhibit 10.26 to the 2004 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10.14</w:t>
            </w: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 Severance Agreement between the Trust and Dawn M. Becker dated April 19, 2000 (previously filed as Exhibit 10.26 to the Trust’s 2005 2Q</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Form 10-Q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10.15</w:t>
            </w: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 Amendment to Severance Agreement between the Trust and Dawn M. Becker dated February 16, 2005 (previously filed as Exhibit 10.27 to the</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2004 Form 10-K and incorporated herein by reference)</w:t>
            </w:r>
          </w:p>
        </w:tc>
      </w:tr>
      <w:tr>
        <w:trPr>
          <w:trHeight w:val="365"/>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360" w:type="dxa"/>
            <w:vAlign w:val="bottom"/>
            <w:gridSpan w:val="2"/>
          </w:tcPr>
          <w:p>
            <w:pPr>
              <w:ind w:left="464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-8255</wp:posOffset>
            </wp:positionV>
            <wp:extent cx="2832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ind w:left="80"/>
        <w:spacing w:after="0"/>
        <w:tabs>
          <w:tab w:leader="none" w:pos="10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Form of Restricted Share Award Agreement for awards made under the Trust’s 2003 Long-Term Incentive Award Program for shares issued out of</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p>
      <w:pPr>
        <w:spacing w:after="0" w:line="111" w:lineRule="exact"/>
        <w:rPr>
          <w:sz w:val="20"/>
          <w:szCs w:val="20"/>
          <w:color w:val="auto"/>
        </w:rPr>
      </w:pPr>
    </w:p>
    <w:p>
      <w:pPr>
        <w:ind w:left="1040" w:right="360" w:hanging="961"/>
        <w:spacing w:after="0" w:line="332" w:lineRule="auto"/>
        <w:tabs>
          <w:tab w:leader="none" w:pos="10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Restricted Share Award Agreement for awards made under the Trust’s Annual Incentive Bonus Program for shares issued out of 2001 Long-Term Incentive Plan (previously filed as Exhibit 10.29 to the 2004 Form 10-K and incorporated herein by reference)</w:t>
      </w:r>
    </w:p>
    <w:p>
      <w:pPr>
        <w:spacing w:after="0" w:line="31"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Form of Option Award Agreement for options awarded under 2001 Long-Term Incentive Plan (previously filed as Exhibit 10.30 to the 2004 Form</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10-K and incorporated herein by reference)</w:t>
      </w:r>
    </w:p>
    <w:p>
      <w:pPr>
        <w:spacing w:after="0" w:line="111" w:lineRule="exact"/>
        <w:rPr>
          <w:sz w:val="20"/>
          <w:szCs w:val="20"/>
          <w:color w:val="auto"/>
        </w:rPr>
      </w:pPr>
    </w:p>
    <w:p>
      <w:pPr>
        <w:ind w:left="1040" w:right="80" w:hanging="961"/>
        <w:spacing w:after="0" w:line="332" w:lineRule="auto"/>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Option Award Agreement for awards made under the Trust’s 2003 Long-Term Incentive Award Program for shares issued out of the 2001 Long-Term Incentive Plan (previously filed as Exhibit 10.32 to the 2005 Form 10-K and incorporated herein by reference)</w:t>
      </w:r>
    </w:p>
    <w:p>
      <w:pPr>
        <w:spacing w:after="0" w:line="31" w:lineRule="exact"/>
        <w:rPr>
          <w:sz w:val="20"/>
          <w:szCs w:val="20"/>
          <w:color w:val="auto"/>
        </w:rPr>
      </w:pPr>
    </w:p>
    <w:p>
      <w:pPr>
        <w:jc w:val="both"/>
        <w:ind w:left="1040" w:right="40" w:hanging="961"/>
        <w:spacing w:after="0" w:line="259"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Credit Agreement dated as of July 28, 2006, by and between the Trust, Wachovia Capital Markets LLC, Wachovia Bank, National Association and various other financial institutions (previously filed as Exhibit 10.1 to the Trust’s Current Report on Form 8-K (File No. 1-07533), filed on July 31, 2006 and incorporated herein by reference)</w:t>
      </w:r>
    </w:p>
    <w:p>
      <w:pPr>
        <w:spacing w:after="0" w:line="86" w:lineRule="exact"/>
        <w:rPr>
          <w:sz w:val="20"/>
          <w:szCs w:val="20"/>
          <w:color w:val="auto"/>
        </w:rPr>
      </w:pPr>
    </w:p>
    <w:p>
      <w:pPr>
        <w:ind w:left="1040" w:right="300" w:hanging="961"/>
        <w:spacing w:after="0" w:line="268"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Amended and Restated 2001 Long-Term Incentive Plan (previously filed as Exhibit 10.34 to the Trust’s Quarterly Report on Form 10-Q for the quarter ended June 30, 2008 (File No. 1-07533) and incorporated herein by reference)</w:t>
      </w:r>
    </w:p>
    <w:p>
      <w:pPr>
        <w:spacing w:after="0" w:line="78" w:lineRule="exact"/>
        <w:rPr>
          <w:sz w:val="20"/>
          <w:szCs w:val="20"/>
          <w:color w:val="auto"/>
        </w:rPr>
      </w:pPr>
    </w:p>
    <w:p>
      <w:pPr>
        <w:ind w:left="1040" w:right="60" w:hanging="961"/>
        <w:spacing w:after="0" w:line="259"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Restricted Share Award Agreement between the Trust and Joseph M. Squeri dated October 1, 2007 (previously filed as Exhibit 10.23 to the Trust’s Annual Report on Form 10-K for the year ended December 31, 2007 (File No 1-07533) (the “2007 Form 10-K”) and incorporated herein by reference)</w:t>
      </w:r>
    </w:p>
    <w:p>
      <w:pPr>
        <w:spacing w:after="0" w:line="86" w:lineRule="exact"/>
        <w:rPr>
          <w:sz w:val="20"/>
          <w:szCs w:val="20"/>
          <w:color w:val="auto"/>
        </w:rPr>
      </w:pPr>
    </w:p>
    <w:p>
      <w:pPr>
        <w:ind w:left="1040" w:hanging="961"/>
        <w:spacing w:after="0" w:line="268" w:lineRule="auto"/>
        <w:tabs>
          <w:tab w:leader="none" w:pos="10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Severance Agreement between the Trust and Joseph M. Squeri dated October 1, 2007 (previously filed as Exhibit 10.24 to the 2007 Form 10-K and incorporated herein by reference)</w:t>
      </w:r>
    </w:p>
    <w:p>
      <w:pPr>
        <w:spacing w:after="0" w:line="78" w:lineRule="exact"/>
        <w:rPr>
          <w:sz w:val="20"/>
          <w:szCs w:val="20"/>
          <w:color w:val="auto"/>
        </w:rPr>
      </w:pPr>
    </w:p>
    <w:p>
      <w:pPr>
        <w:ind w:left="1040" w:right="100" w:hanging="961"/>
        <w:spacing w:after="0" w:line="332" w:lineRule="auto"/>
        <w:tabs>
          <w:tab w:leader="none" w:pos="10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Credit Agreement dated as of November 9, 2007, by and among the Trust, Wachovia Capital Markets LLC, Wachovia Bank, National Association and various other financial institutions (previously filed as Exhibit 10.25 to the 2007 Form 10-K and incorporated herein by reference)</w:t>
      </w:r>
    </w:p>
    <w:p>
      <w:pPr>
        <w:spacing w:after="0" w:line="31"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5"/>
          <w:szCs w:val="15"/>
          <w:color w:val="auto"/>
        </w:rPr>
        <w:t>Change in Control Agreement between the Trust and Andrew P. Blocher dated February 12, 2007 (previously filed as Exhibit 10.27 to the Trust’s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Quarterly Report on Form 10-Q for the quarter ended September 30, 2008 (File No. 1-07533) and incorporated herein by reference)</w:t>
      </w:r>
    </w:p>
    <w:p>
      <w:pPr>
        <w:spacing w:after="0" w:line="111" w:lineRule="exact"/>
        <w:rPr>
          <w:sz w:val="20"/>
          <w:szCs w:val="20"/>
          <w:color w:val="auto"/>
        </w:rPr>
      </w:pPr>
    </w:p>
    <w:p>
      <w:pPr>
        <w:ind w:left="1040" w:right="180" w:hanging="961"/>
        <w:spacing w:after="0" w:line="259" w:lineRule="auto"/>
        <w:tabs>
          <w:tab w:leader="none" w:pos="10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Amendment to Severance Agreement between the Trust and Donald C. Wood dated January 1, 2009 (previously filed as Exhibit 10.26 to the Trust’s Annual Report on Form 10-K for the year ended December 31, 2008 (File No. 1-07533) (“the 2008 Form 10-K”) and incorporated herein by reference)</w:t>
      </w:r>
    </w:p>
    <w:p>
      <w:pPr>
        <w:spacing w:after="0" w:line="86" w:lineRule="exact"/>
        <w:rPr>
          <w:sz w:val="20"/>
          <w:szCs w:val="20"/>
          <w:color w:val="auto"/>
        </w:rPr>
      </w:pPr>
    </w:p>
    <w:p>
      <w:pPr>
        <w:ind w:left="1040" w:right="220" w:hanging="961"/>
        <w:spacing w:after="0" w:line="268" w:lineRule="auto"/>
        <w:tabs>
          <w:tab w:leader="none" w:pos="10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Second Amendment to Executive Agreement between the Trust and Donald C. Wood dated January 1, 2009 (previously filed as Exhibit 10.27 to the Trust’s 2008 Form 10-K and incorporated herein by reference)</w:t>
      </w:r>
    </w:p>
    <w:p>
      <w:pPr>
        <w:spacing w:after="0" w:line="78" w:lineRule="exact"/>
        <w:rPr>
          <w:sz w:val="20"/>
          <w:szCs w:val="20"/>
          <w:color w:val="auto"/>
        </w:rPr>
      </w:pPr>
    </w:p>
    <w:p>
      <w:pPr>
        <w:ind w:left="1040" w:right="500" w:hanging="961"/>
        <w:spacing w:after="0" w:line="268" w:lineRule="auto"/>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Amendment to Health Coverage Continuation Agreement between the Trust and Donald C. Wood dated January 1, 2009 (previously filed as Exhibit 10.28 to the Trust’s 2008 Form 10-K and incorporated herein by reference)</w:t>
      </w:r>
    </w:p>
    <w:p>
      <w:pPr>
        <w:spacing w:after="0" w:line="78" w:lineRule="exact"/>
        <w:rPr>
          <w:sz w:val="20"/>
          <w:szCs w:val="20"/>
          <w:color w:val="auto"/>
        </w:rPr>
      </w:pPr>
    </w:p>
    <w:p>
      <w:pPr>
        <w:ind w:left="1040" w:right="180" w:hanging="961"/>
        <w:spacing w:after="0" w:line="268" w:lineRule="auto"/>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Second Amendment to Severance Agreement between the Trust and Jeffrey S. Berkes dated January 1, 2009 (previously filed as Exhibit 10.29 to the Trust’s 2008 Form 10-K and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40" w:type="dxa"/>
            <w:vAlign w:val="bottom"/>
          </w:tcPr>
          <w:p>
            <w:pPr>
              <w:ind w:left="32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Exhibit</w:t>
            </w:r>
          </w:p>
        </w:tc>
        <w:tc>
          <w:tcPr>
            <w:tcW w:w="720" w:type="dxa"/>
            <w:vAlign w:val="bottom"/>
          </w:tcPr>
          <w:p>
            <w:pPr>
              <w:spacing w:after="0"/>
              <w:rPr>
                <w:sz w:val="24"/>
                <w:szCs w:val="24"/>
                <w:color w:val="auto"/>
              </w:rPr>
            </w:pPr>
          </w:p>
        </w:tc>
        <w:tc>
          <w:tcPr>
            <w:tcW w:w="9640" w:type="dxa"/>
            <w:vAlign w:val="bottom"/>
          </w:tcPr>
          <w:p>
            <w:pPr>
              <w:spacing w:after="0"/>
              <w:rPr>
                <w:sz w:val="24"/>
                <w:szCs w:val="24"/>
                <w:color w:val="auto"/>
              </w:rPr>
            </w:pPr>
          </w:p>
        </w:tc>
      </w:tr>
      <w:tr>
        <w:trPr>
          <w:trHeight w:val="18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5"/>
                <w:szCs w:val="15"/>
                <w:color w:val="auto"/>
              </w:rPr>
            </w:pPr>
          </w:p>
        </w:tc>
        <w:tc>
          <w:tcPr>
            <w:tcW w:w="103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2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w w:val="97"/>
              </w:rPr>
              <w:t>10.30</w:t>
            </w: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Second</w:t>
            </w:r>
          </w:p>
        </w:tc>
        <w:tc>
          <w:tcPr>
            <w:tcW w:w="9640" w:type="dxa"/>
            <w:vAlign w:val="bottom"/>
          </w:tcPr>
          <w:p>
            <w:pPr>
              <w:spacing w:after="0" w:line="195" w:lineRule="exact"/>
              <w:rPr>
                <w:sz w:val="20"/>
                <w:szCs w:val="20"/>
                <w:color w:val="auto"/>
              </w:rPr>
            </w:pPr>
            <w:r>
              <w:rPr>
                <w:rFonts w:ascii="Arial" w:cs="Arial" w:eastAsia="Arial" w:hAnsi="Arial"/>
                <w:sz w:val="18"/>
                <w:szCs w:val="18"/>
                <w:color w:val="auto"/>
                <w:w w:val="88"/>
              </w:rPr>
              <w:t>Amendment to Severance Agreement between the Trust and Dawn M. Becker dated January 1, 2009 (previously filed as Exhibit 10.30 to</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the Trust’s 2008 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10.31</w:t>
            </w:r>
          </w:p>
        </w:tc>
        <w:tc>
          <w:tcPr>
            <w:tcW w:w="10360" w:type="dxa"/>
            <w:vAlign w:val="bottom"/>
            <w:gridSpan w:val="2"/>
          </w:tcPr>
          <w:p>
            <w:pPr>
              <w:spacing w:after="0"/>
              <w:rPr>
                <w:sz w:val="20"/>
                <w:szCs w:val="20"/>
                <w:color w:val="auto"/>
              </w:rPr>
            </w:pPr>
            <w:r>
              <w:rPr>
                <w:rFonts w:ascii="Arial" w:cs="Arial" w:eastAsia="Arial" w:hAnsi="Arial"/>
                <w:sz w:val="18"/>
                <w:szCs w:val="18"/>
                <w:color w:val="auto"/>
                <w:w w:val="88"/>
              </w:rPr>
              <w:t>Amendment to Change in Control Agreement between the Trust and Andrew P. Blocher dated January 1, 2009 (previously filed as Exhibit 10.31 to</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the Trust’s 2008 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10.32</w:t>
            </w: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Amendment to Stock Option Agreements between the Trust and Andrew P. Blocher dated February 17, 2009 (previously filed as Exhibit 10.32 to</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the Trust’s 2008 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10.33</w:t>
            </w: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Restricted Share Award Agreement between the Trust and Andrew P. Blocher dated February 17, 2009 (previously filed as Exhibit 10.33 to the</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Trust’s 2008 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10.34</w:t>
            </w: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Combined Incentive and Non-Qualified Stock Option Agreement between the Trust and Andrew P. Blocher dated February 17, 2009 (previously</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filed as Exhibit 10.34 to the Trust’s 2008 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10.35</w:t>
            </w: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Severance Agreement between the Trust and Andrew P. Blocher dated February 17, 2009 (previously filed as Exhibit 10.35 to the Trust’s 2008</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10.36</w:t>
            </w: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Credit Agreement dated as of May 4, 2009, by and among the Trust, Wachovia Capital Markets LLC, PNC Capital Markets LLC, Wachovia Bank,</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National Association, PNC Bank, National Association and various other financial institutions (previously filed as Exhibit 10.37 to the Trust’s</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2009 (File No. 1-07533) and incorporated herein by reference)</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21.1</w:t>
            </w:r>
          </w:p>
        </w:tc>
        <w:tc>
          <w:tcPr>
            <w:tcW w:w="10360" w:type="dxa"/>
            <w:vAlign w:val="bottom"/>
            <w:gridSpan w:val="2"/>
          </w:tcPr>
          <w:p>
            <w:pPr>
              <w:spacing w:after="0"/>
              <w:rPr>
                <w:sz w:val="20"/>
                <w:szCs w:val="20"/>
                <w:color w:val="auto"/>
              </w:rPr>
            </w:pPr>
            <w:r>
              <w:rPr>
                <w:rFonts w:ascii="Arial" w:cs="Arial" w:eastAsia="Arial" w:hAnsi="Arial"/>
                <w:sz w:val="18"/>
                <w:szCs w:val="18"/>
                <w:color w:val="auto"/>
              </w:rPr>
              <w:t>Subsidiaries of Federal Realty Investment Trust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23.1</w:t>
            </w:r>
          </w:p>
        </w:tc>
        <w:tc>
          <w:tcPr>
            <w:tcW w:w="10360" w:type="dxa"/>
            <w:vAlign w:val="bottom"/>
            <w:gridSpan w:val="2"/>
          </w:tcPr>
          <w:p>
            <w:pPr>
              <w:spacing w:after="0"/>
              <w:rPr>
                <w:sz w:val="20"/>
                <w:szCs w:val="20"/>
                <w:color w:val="auto"/>
              </w:rPr>
            </w:pPr>
            <w:r>
              <w:rPr>
                <w:rFonts w:ascii="Arial" w:cs="Arial" w:eastAsia="Arial" w:hAnsi="Arial"/>
                <w:sz w:val="18"/>
                <w:szCs w:val="18"/>
                <w:color w:val="auto"/>
              </w:rPr>
              <w:t>Consent of Grant Thornton LLP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24.1</w:t>
            </w:r>
          </w:p>
        </w:tc>
        <w:tc>
          <w:tcPr>
            <w:tcW w:w="1036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31.1</w:t>
            </w:r>
          </w:p>
        </w:tc>
        <w:tc>
          <w:tcPr>
            <w:tcW w:w="1036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31.2</w:t>
            </w:r>
          </w:p>
        </w:tc>
        <w:tc>
          <w:tcPr>
            <w:tcW w:w="1036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32.1</w:t>
            </w:r>
          </w:p>
        </w:tc>
        <w:tc>
          <w:tcPr>
            <w:tcW w:w="10360" w:type="dxa"/>
            <w:vAlign w:val="bottom"/>
            <w:gridSpan w:val="2"/>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32.2</w:t>
            </w:r>
          </w:p>
        </w:tc>
        <w:tc>
          <w:tcPr>
            <w:tcW w:w="10360" w:type="dxa"/>
            <w:vAlign w:val="bottom"/>
            <w:gridSpan w:val="2"/>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80" w:right="5040" w:hanging="5672"/>
        <w:spacing w:after="0" w:line="525" w:lineRule="auto"/>
        <w:tabs>
          <w:tab w:leader="none" w:pos="234" w:val="left"/>
        </w:tabs>
        <w:numPr>
          <w:ilvl w:val="0"/>
          <w:numId w:val="72"/>
        </w:numPr>
        <w:rPr>
          <w:rFonts w:ascii="Arial" w:cs="Arial" w:eastAsia="Arial" w:hAnsi="Arial"/>
          <w:sz w:val="16"/>
          <w:szCs w:val="16"/>
          <w:color w:val="auto"/>
        </w:rPr>
      </w:pPr>
      <w:r>
        <w:rPr>
          <w:rFonts w:ascii="Arial" w:cs="Arial" w:eastAsia="Arial" w:hAnsi="Arial"/>
          <w:sz w:val="16"/>
          <w:szCs w:val="16"/>
          <w:color w:val="auto"/>
        </w:rPr>
        <w:t>Management contract or compensatory plan to be filed under Item 15(b) of Form 10-K. 4</w:t>
      </w:r>
    </w:p>
    <w:p>
      <w:pPr>
        <w:sectPr>
          <w:pgSz w:w="11900" w:h="16838" w:orient="portrait"/>
          <w:cols w:equalWidth="0" w:num="1">
            <w:col w:w="11400"/>
          </w:cols>
          <w:pgMar w:left="240" w:top="459" w:right="25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jc w:val="center"/>
              <w:spacing w:after="0"/>
              <w:rPr>
                <w:sz w:val="20"/>
                <w:szCs w:val="20"/>
                <w:color w:val="auto"/>
              </w:rPr>
            </w:pPr>
            <w:r>
              <w:rPr>
                <w:rFonts w:ascii="Arial" w:cs="Arial" w:eastAsia="Arial" w:hAnsi="Arial"/>
                <w:sz w:val="14"/>
                <w:szCs w:val="14"/>
                <w:b w:val="1"/>
                <w:bCs w:val="1"/>
                <w:color w:val="auto"/>
                <w:w w:val="95"/>
              </w:rPr>
              <w:t>NAME OF</w:t>
            </w:r>
          </w:p>
        </w:tc>
        <w:tc>
          <w:tcPr>
            <w:tcW w:w="44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6"/>
              </w:rPr>
              <w:t>STATE OF INCORPORATION OF</w:t>
            </w:r>
          </w:p>
        </w:tc>
      </w:tr>
      <w:tr>
        <w:trPr>
          <w:trHeight w:val="17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SUBSIDIARY</w:t>
            </w:r>
          </w:p>
        </w:tc>
        <w:tc>
          <w:tcPr>
            <w:tcW w:w="44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ORGANIZATION</w:t>
            </w:r>
          </w:p>
        </w:tc>
      </w:tr>
      <w:tr>
        <w:trPr>
          <w:trHeight w:val="132"/>
        </w:trPr>
        <w:tc>
          <w:tcPr>
            <w:tcW w:w="5620" w:type="dxa"/>
            <w:vAlign w:val="bottom"/>
          </w:tcPr>
          <w:p>
            <w:pPr>
              <w:jc w:val="center"/>
              <w:spacing w:after="0" w:line="132" w:lineRule="exact"/>
              <w:rPr>
                <w:sz w:val="20"/>
                <w:szCs w:val="20"/>
                <w:color w:val="auto"/>
              </w:rPr>
            </w:pPr>
            <w:r>
              <w:rPr>
                <w:rFonts w:ascii="Arial" w:cs="Arial" w:eastAsia="Arial" w:hAnsi="Arial"/>
                <w:sz w:val="14"/>
                <w:szCs w:val="14"/>
                <w:color w:val="auto"/>
                <w:w w:val="86"/>
              </w:rPr>
              <w:t>Street Retail, Inc</w:t>
            </w:r>
          </w:p>
        </w:tc>
        <w:tc>
          <w:tcPr>
            <w:tcW w:w="440" w:type="dxa"/>
            <w:vAlign w:val="bottom"/>
          </w:tcPr>
          <w:p>
            <w:pPr>
              <w:spacing w:after="0"/>
              <w:rPr>
                <w:sz w:val="11"/>
                <w:szCs w:val="11"/>
                <w:color w:val="auto"/>
              </w:rPr>
            </w:pPr>
          </w:p>
        </w:tc>
        <w:tc>
          <w:tcPr>
            <w:tcW w:w="5360" w:type="dxa"/>
            <w:vAlign w:val="bottom"/>
          </w:tcPr>
          <w:p>
            <w:pPr>
              <w:jc w:val="center"/>
              <w:spacing w:after="0" w:line="132" w:lineRule="exact"/>
              <w:rPr>
                <w:sz w:val="20"/>
                <w:szCs w:val="20"/>
                <w:color w:val="auto"/>
              </w:rPr>
            </w:pPr>
            <w:r>
              <w:rPr>
                <w:rFonts w:ascii="Arial" w:cs="Arial" w:eastAsia="Arial" w:hAnsi="Arial"/>
                <w:sz w:val="14"/>
                <w:szCs w:val="14"/>
                <w:color w:val="auto"/>
                <w:w w:val="90"/>
              </w:rPr>
              <w:t>Maryland</w:t>
            </w:r>
          </w:p>
        </w:tc>
      </w:tr>
      <w:tr>
        <w:trPr>
          <w:trHeight w:val="149"/>
        </w:trPr>
        <w:tc>
          <w:tcPr>
            <w:tcW w:w="5620" w:type="dxa"/>
            <w:vAlign w:val="bottom"/>
          </w:tcPr>
          <w:p>
            <w:pPr>
              <w:jc w:val="center"/>
              <w:spacing w:after="0" w:line="149" w:lineRule="exact"/>
              <w:rPr>
                <w:sz w:val="20"/>
                <w:szCs w:val="20"/>
                <w:color w:val="auto"/>
              </w:rPr>
            </w:pPr>
            <w:r>
              <w:rPr>
                <w:rFonts w:ascii="Arial" w:cs="Arial" w:eastAsia="Arial" w:hAnsi="Arial"/>
                <w:sz w:val="14"/>
                <w:szCs w:val="14"/>
                <w:color w:val="auto"/>
                <w:w w:val="86"/>
              </w:rPr>
              <w:t>FRIT San Jose Town and</w:t>
            </w:r>
          </w:p>
        </w:tc>
        <w:tc>
          <w:tcPr>
            <w:tcW w:w="440" w:type="dxa"/>
            <w:vAlign w:val="bottom"/>
          </w:tcPr>
          <w:p>
            <w:pPr>
              <w:spacing w:after="0"/>
              <w:rPr>
                <w:sz w:val="12"/>
                <w:szCs w:val="12"/>
                <w:color w:val="auto"/>
              </w:rPr>
            </w:pPr>
          </w:p>
        </w:tc>
        <w:tc>
          <w:tcPr>
            <w:tcW w:w="5360" w:type="dxa"/>
            <w:vAlign w:val="bottom"/>
          </w:tcPr>
          <w:p>
            <w:pPr>
              <w:spacing w:after="0"/>
              <w:rPr>
                <w:sz w:val="12"/>
                <w:szCs w:val="12"/>
                <w:color w:val="auto"/>
              </w:rPr>
            </w:pPr>
          </w:p>
        </w:tc>
      </w:tr>
      <w:tr>
        <w:trPr>
          <w:trHeight w:val="186"/>
        </w:trPr>
        <w:tc>
          <w:tcPr>
            <w:tcW w:w="5620" w:type="dxa"/>
            <w:vAlign w:val="bottom"/>
          </w:tcPr>
          <w:p>
            <w:pPr>
              <w:jc w:val="center"/>
              <w:spacing w:after="0"/>
              <w:rPr>
                <w:sz w:val="20"/>
                <w:szCs w:val="20"/>
                <w:color w:val="auto"/>
              </w:rPr>
            </w:pPr>
            <w:r>
              <w:rPr>
                <w:rFonts w:ascii="Arial" w:cs="Arial" w:eastAsia="Arial" w:hAnsi="Arial"/>
                <w:sz w:val="14"/>
                <w:szCs w:val="14"/>
                <w:color w:val="auto"/>
                <w:w w:val="91"/>
              </w:rPr>
              <w:t>Country Village, LLC</w:t>
            </w:r>
          </w:p>
        </w:tc>
        <w:tc>
          <w:tcPr>
            <w:tcW w:w="44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94"/>
              </w:rPr>
              <w:t>California</w:t>
            </w:r>
          </w:p>
        </w:tc>
      </w:tr>
    </w:tbl>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have issued our reports dated February 17, 2010, with respect to the consolidated financial statements, schedules and internal control over financial reporting included in the Annual Report of Federal Realty Investment Trust on Form 10-K for the year ended December 31, 2009. We hereby consent to the incorporation by reference of said reports in the Registration Statements of Federal Realty Investment Trust on Forms S-3 (File No. 333-100819 effective 11/30/2005, File No. 333-84210 effective 04/26/2002, File No. 333-97945 effective 08/12/2002, File No. 333-63619 effective 11/18/2002, File No. 033-63687 effective 03/06/1998, File No. 033-63955 effective 11/03/1995, File No. 033-15264 effective 08/04/1987, File No. 333-142231 effective 01/10/2008, File No. 333-120498 effective 11/15/2004, File No. 333-124195 effective 04/20/2005, File No. 333-125467 effective 06/03/2005 and File No. 333-135159 effective 12/21/2007) and on Forms S-8 (File No. 333-60364 effective 05/07/2001, File No. 333-63617 effective 09/17/1998, File No. 333-147080 effective 11/01/2007 and File No. 333-147081 effective 11/01/2007).</w:t>
      </w:r>
    </w:p>
    <w:p>
      <w:pPr>
        <w:spacing w:after="0" w:line="28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17, 2010</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February 17, 2010</w:t>
            </w:r>
          </w:p>
        </w:tc>
        <w:tc>
          <w:tcPr>
            <w:tcW w:w="2940" w:type="dxa"/>
            <w:vAlign w:val="bottom"/>
          </w:tcPr>
          <w:p>
            <w:pPr>
              <w:ind w:left="204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16"/>
        </w:trPr>
        <w:tc>
          <w:tcPr>
            <w:tcW w:w="3340" w:type="dxa"/>
            <w:vAlign w:val="bottom"/>
          </w:tcPr>
          <w:p>
            <w:pPr>
              <w:spacing w:after="0"/>
              <w:rPr>
                <w:sz w:val="18"/>
                <w:szCs w:val="18"/>
                <w:color w:val="auto"/>
              </w:rPr>
            </w:pPr>
          </w:p>
        </w:tc>
        <w:tc>
          <w:tcPr>
            <w:tcW w:w="2940" w:type="dxa"/>
            <w:vAlign w:val="bottom"/>
          </w:tcPr>
          <w:p>
            <w:pPr>
              <w:ind w:left="20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 Trustee</w:t>
            </w:r>
          </w:p>
        </w:tc>
      </w:t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P. Blocher, certify that:</w:t>
      </w:r>
    </w:p>
    <w:p>
      <w:pPr>
        <w:spacing w:after="0" w:line="9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7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February 17, 2010</w:t>
            </w:r>
          </w:p>
        </w:tc>
        <w:tc>
          <w:tcPr>
            <w:tcW w:w="2940" w:type="dxa"/>
            <w:vAlign w:val="bottom"/>
          </w:tcPr>
          <w:p>
            <w:pPr>
              <w:ind w:left="204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Andrew P. Blocher</w:t>
            </w:r>
          </w:p>
        </w:tc>
      </w:tr>
      <w:tr>
        <w:trPr>
          <w:trHeight w:val="216"/>
        </w:trPr>
        <w:tc>
          <w:tcPr>
            <w:tcW w:w="3340" w:type="dxa"/>
            <w:vAlign w:val="bottom"/>
          </w:tcPr>
          <w:p>
            <w:pPr>
              <w:spacing w:after="0"/>
              <w:rPr>
                <w:sz w:val="18"/>
                <w:szCs w:val="18"/>
                <w:color w:val="auto"/>
              </w:rPr>
            </w:pPr>
          </w:p>
        </w:tc>
        <w:tc>
          <w:tcPr>
            <w:tcW w:w="2940" w:type="dxa"/>
            <w:vAlign w:val="bottom"/>
          </w:tcPr>
          <w:p>
            <w:pPr>
              <w:ind w:left="20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2009 (the “Report”). The undersigned hereby certifies, to the best of his knowledge, that:</w:t>
      </w:r>
    </w:p>
    <w:p>
      <w:pPr>
        <w:spacing w:after="0" w:line="59"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February 17, 2010</w:t>
            </w:r>
          </w:p>
        </w:tc>
        <w:tc>
          <w:tcPr>
            <w:tcW w:w="2940" w:type="dxa"/>
            <w:vAlign w:val="bottom"/>
          </w:tcPr>
          <w:p>
            <w:pPr>
              <w:ind w:left="204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16"/>
        </w:trPr>
        <w:tc>
          <w:tcPr>
            <w:tcW w:w="3340" w:type="dxa"/>
            <w:vAlign w:val="bottom"/>
          </w:tcPr>
          <w:p>
            <w:pPr>
              <w:spacing w:after="0"/>
              <w:rPr>
                <w:sz w:val="18"/>
                <w:szCs w:val="18"/>
                <w:color w:val="auto"/>
              </w:rPr>
            </w:pPr>
          </w:p>
        </w:tc>
        <w:tc>
          <w:tcPr>
            <w:tcW w:w="2940" w:type="dxa"/>
            <w:vAlign w:val="bottom"/>
          </w:tcPr>
          <w:p>
            <w:pPr>
              <w:ind w:left="20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 Trustee</w:t>
            </w:r>
          </w:p>
        </w:tc>
      </w:t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Annual Report on Form 10-K for the period ended December 31, 2009 (the “Report”). The undersigned hereby certifies, to the best of his knowledge, that:</w:t>
      </w:r>
    </w:p>
    <w:p>
      <w:pPr>
        <w:spacing w:after="0" w:line="2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/s/  Andrew P. Blocher</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February 17, 2010</w:t>
            </w:r>
          </w:p>
        </w:tc>
        <w:tc>
          <w:tcPr>
            <w:tcW w:w="2780" w:type="dxa"/>
            <w:vAlign w:val="bottom"/>
            <w:vMerge w:val="restart"/>
          </w:tcPr>
          <w:p>
            <w:pPr>
              <w:ind w:left="2040"/>
              <w:spacing w:after="0"/>
              <w:rPr>
                <w:sz w:val="20"/>
                <w:szCs w:val="20"/>
                <w:color w:val="auto"/>
              </w:rPr>
            </w:pPr>
            <w:r>
              <w:rPr>
                <w:rFonts w:ascii="Arial" w:cs="Arial" w:eastAsia="Arial" w:hAnsi="Arial"/>
                <w:sz w:val="18"/>
                <w:szCs w:val="18"/>
                <w:color w:val="auto"/>
              </w:rPr>
              <w:t>NAME:</w:t>
            </w:r>
          </w:p>
        </w:tc>
        <w:tc>
          <w:tcPr>
            <w:tcW w:w="38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Andrew P. Blocher</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780" w:type="dxa"/>
            <w:vAlign w:val="bottom"/>
          </w:tcPr>
          <w:p>
            <w:pPr>
              <w:ind w:left="2040"/>
              <w:spacing w:after="0"/>
              <w:rPr>
                <w:sz w:val="20"/>
                <w:szCs w:val="20"/>
                <w:color w:val="auto"/>
              </w:rPr>
            </w:pPr>
            <w:r>
              <w:rPr>
                <w:rFonts w:ascii="Arial" w:cs="Arial" w:eastAsia="Arial" w:hAnsi="Arial"/>
                <w:sz w:val="18"/>
                <w:szCs w:val="18"/>
                <w:color w:val="auto"/>
              </w:rPr>
              <w:t>TITLE:</w:t>
            </w: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Senior Vice President, Chief Financial Officer and Treasurer</w:t>
            </w: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300" w:type="dxa"/>
            <w:vAlign w:val="bottom"/>
            <w:gridSpan w:val="2"/>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lvl w:ilvl="1">
      <w:lvlJc w:val="left"/>
      <w:lvlText w:val="☐"/>
      <w:numFmt w:val="bullet"/>
      <w:start w:val="1"/>
    </w:lvl>
  </w:abstractNum>
  <w:abstractNum w:abstractNumId="1">
    <w:nsid w:val="5E884ADC"/>
    <w:multiLevelType w:val="hybridMultilevel"/>
    <w:lvl w:ilvl="0">
      <w:lvlJc w:val="left"/>
      <w:lvlText w:val="%1."/>
      <w:numFmt w:val="upperLetter"/>
      <w:start w:val="1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4"/>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5"/>
    </w:lvl>
  </w:abstractNum>
  <w:abstractNum w:abstractNumId="31">
    <w:nsid w:val="374A3FE6"/>
    <w:multiLevelType w:val="hybridMultilevel"/>
    <w:lvl w:ilvl="0">
      <w:lvlJc w:val="left"/>
      <w:lvlText w:val="(%1)"/>
      <w:numFmt w:val="decimal"/>
      <w:start w:val="8"/>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lowerLetter"/>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2"/>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1)"/>
      <w:numFmt w:val="lowerLetter"/>
      <w:start w:val="2"/>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decimal"/>
      <w:start w:val="1"/>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2019-12-10T00:29:27Z</dcterms:created>
  <dcterms:modified xsi:type="dcterms:W3CDTF">2019-12-10T00:29:27Z</dcterms:modified>
</cp:coreProperties>
</file>