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spacing w:after="0"/>
        <w:tabs>
          <w:tab w:leader="none" w:pos="2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3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80" w:type="dxa"/>
            <w:vAlign w:val="bottom"/>
          </w:tcPr>
          <w:p>
            <w:pPr>
              <w:ind w:left="7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4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8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4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October 29, 2010 was 61,522,294.</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840" w:type="dxa"/>
            <w:vAlign w:val="bottom"/>
            <w:tcBorders>
              <w:bottom w:val="single" w:sz="8" w:color="auto"/>
            </w:tcBorders>
          </w:tcPr>
          <w:p>
            <w:pPr>
              <w:spacing w:after="0"/>
              <w:rPr>
                <w:sz w:val="14"/>
                <w:szCs w:val="14"/>
                <w:color w:val="auto"/>
              </w:rPr>
            </w:pPr>
          </w:p>
        </w:tc>
        <w:tc>
          <w:tcPr>
            <w:tcW w:w="63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SEPTEMBER 30, 2010</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7560" w:type="dxa"/>
            <w:vAlign w:val="bottom"/>
            <w:gridSpan w:val="12"/>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58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September 30, 2010 (unaudited) and December 31, 2009</w:t>
              </w:r>
            </w:hyperlink>
          </w:p>
        </w:tc>
        <w:tc>
          <w:tcPr>
            <w:tcW w:w="260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2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for the three and nine months ended September 30, 2010 and 2009</w:t>
              </w:r>
            </w:hyperlink>
          </w:p>
        </w:tc>
        <w:tc>
          <w:tcPr>
            <w:tcW w:w="7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Shareholders’ Equity (unaudited) for the nine months ended September 30, 2010</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nine months ended September 30, 2010 and 2009</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 (unaudited)</w:t>
              </w:r>
            </w:hyperlink>
          </w:p>
        </w:tc>
        <w:tc>
          <w:tcPr>
            <w:tcW w:w="3740" w:type="dxa"/>
            <w:vAlign w:val="bottom"/>
            <w:tcBorders>
              <w:top w:val="single" w:sz="8" w:color="0000EE"/>
            </w:tcBorders>
            <w:gridSpan w:val="6"/>
          </w:tcPr>
          <w:p>
            <w:pPr>
              <w:spacing w:after="0"/>
              <w:rPr>
                <w:sz w:val="17"/>
                <w:szCs w:val="17"/>
                <w:color w:val="auto"/>
              </w:rPr>
            </w:pPr>
          </w:p>
        </w:tc>
        <w:tc>
          <w:tcPr>
            <w:tcW w:w="138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06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27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4"/>
          </w:tcPr>
          <w:p>
            <w:pPr>
              <w:spacing w:after="0"/>
              <w:rPr>
                <w:sz w:val="17"/>
                <w:szCs w:val="17"/>
                <w:color w:val="auto"/>
              </w:rPr>
            </w:pPr>
          </w:p>
        </w:tc>
        <w:tc>
          <w:tcPr>
            <w:tcW w:w="486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04"/>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788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06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76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06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482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[Removed and Reserved]</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280" w:type="dxa"/>
            <w:vAlign w:val="bottom"/>
            <w:gridSpan w:val="10"/>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78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4"/>
          </w:tcPr>
          <w:p>
            <w:pPr>
              <w:ind w:left="43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following balance sheet as of December 31, 2009,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2010 are not necessarily indicative of the results that may be expected for the full year.</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20" w:type="dxa"/>
            <w:vAlign w:val="bottom"/>
            <w:gridSpan w:val="3"/>
          </w:tcPr>
          <w:p>
            <w:pPr>
              <w:jc w:val="center"/>
              <w:ind w:right="352"/>
              <w:spacing w:after="0"/>
              <w:rPr>
                <w:sz w:val="20"/>
                <w:szCs w:val="20"/>
                <w:color w:val="auto"/>
              </w:rPr>
            </w:pPr>
            <w:r>
              <w:rPr>
                <w:rFonts w:ascii="Arial" w:cs="Arial" w:eastAsia="Arial" w:hAnsi="Arial"/>
                <w:sz w:val="14"/>
                <w:szCs w:val="14"/>
                <w:b w:val="1"/>
                <w:bCs w:val="1"/>
                <w:color w:val="auto"/>
                <w:w w:val="85"/>
              </w:rPr>
              <w:t>September 30,</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except</w:t>
            </w:r>
          </w:p>
        </w:tc>
        <w:tc>
          <w:tcPr>
            <w:tcW w:w="880" w:type="dxa"/>
            <w:vAlign w:val="bottom"/>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w w:val="93"/>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(including $97,265 and $68,643 of consolidated variable interest entities,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3,688,805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3,626,476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158,060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3,846,865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3,759,234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3"/>
              </w:rPr>
              <w:t>Less accumulated depreciation and amortization (including $3,803 and $3,053 of consolidated variable interest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entities, respectively)</w:t>
            </w:r>
          </w:p>
        </w:tc>
        <w:tc>
          <w:tcPr>
            <w:tcW w:w="80" w:type="dxa"/>
            <w:vAlign w:val="bottom"/>
          </w:tcPr>
          <w:p>
            <w:pPr>
              <w:spacing w:after="0"/>
              <w:rPr>
                <w:sz w:val="20"/>
                <w:szCs w:val="20"/>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8"/>
                <w:szCs w:val="18"/>
                <w:color w:val="auto"/>
                <w:w w:val="93"/>
              </w:rPr>
              <w:t>(1,011,975)</w:t>
            </w: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2,834,890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Mortgage notes receivable,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43,828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105,625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$8,545 and $8,291, respectively</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3,127,159</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3,222,309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Mortgages payable (including $22,946 and $23,417 of consolidated variable interest entities,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532,089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1,079,854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41,554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1,940,283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9,997</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61,451,155 and 61,242,050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1,663,934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1,653,177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(519,050)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1,155,496</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1,177,337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1,186,876</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3,127,159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3,222,309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18"/>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thousands,</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78"/>
              </w:rPr>
              <w:t>except</w:t>
            </w:r>
          </w:p>
        </w:tc>
        <w:tc>
          <w:tcPr>
            <w:tcW w:w="680" w:type="dxa"/>
            <w:vAlign w:val="bottom"/>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per share</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75"/>
              </w:rPr>
              <w:t>data)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130,144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w w:val="86"/>
              </w:rPr>
              <w:t>126,169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w w:val="86"/>
              </w:rPr>
              <w:t>391,892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11,245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134,064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130,992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w w:val="86"/>
              </w:rPr>
              <w:t>406,369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392,406</w:t>
            </w: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24,367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82,724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15,263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14,485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45,272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17,062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235,106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57,651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w w:val="86"/>
              </w:rPr>
              <w:t>171,263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(30,209)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w w:val="92"/>
              </w:rPr>
              <w:t>(76,679)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partnerships</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31,010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28,839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92,522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Discontinued operations—income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operations—gain on sale of real estate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93,522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93,932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(3,958)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4"/>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27,297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89,568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65,928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1.43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1.46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4"/>
              <w:spacing w:after="0"/>
              <w:rPr>
                <w:sz w:val="20"/>
                <w:szCs w:val="20"/>
                <w:color w:val="auto"/>
              </w:rPr>
            </w:pPr>
            <w:r>
              <w:rPr>
                <w:rFonts w:ascii="Arial" w:cs="Arial" w:eastAsia="Arial" w:hAnsi="Arial"/>
                <w:sz w:val="18"/>
                <w:szCs w:val="18"/>
                <w:color w:val="auto"/>
              </w:rPr>
              <w:t>1.42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1.45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w w:val="87"/>
              </w:rPr>
              <w:t>Shareholders’ Equity of the Trust</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9"/>
              </w:rPr>
              <w:t>Preferred Shares</w:t>
            </w:r>
          </w:p>
        </w:tc>
        <w:tc>
          <w:tcPr>
            <w:tcW w:w="180" w:type="dxa"/>
            <w:vAlign w:val="bottom"/>
          </w:tcPr>
          <w:p>
            <w:pPr>
              <w:spacing w:after="0"/>
              <w:rPr>
                <w:sz w:val="12"/>
                <w:szCs w:val="12"/>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84"/>
              </w:rPr>
              <w:t>Common 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Dividends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Borders>
              <w:bottom w:val="single" w:sz="8" w:color="auto"/>
            </w:tcBorders>
            <w:gridSpan w:val="3"/>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8"/>
                <w:szCs w:val="8"/>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Excess of Net</w:t>
            </w:r>
          </w:p>
        </w:tc>
        <w:tc>
          <w:tcPr>
            <w:tcW w:w="80" w:type="dxa"/>
            <w:vAlign w:val="bottom"/>
          </w:tcPr>
          <w:p>
            <w:pPr>
              <w:spacing w:after="0"/>
              <w:rPr>
                <w:sz w:val="8"/>
                <w:szCs w:val="8"/>
                <w:color w:val="auto"/>
              </w:rPr>
            </w:pP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60" w:type="dxa"/>
            <w:vAlign w:val="bottom"/>
          </w:tcPr>
          <w:p>
            <w:pPr>
              <w:spacing w:after="0"/>
              <w:rPr>
                <w:sz w:val="8"/>
                <w:szCs w:val="8"/>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8"/>
          </w:tcPr>
          <w:p>
            <w:pPr>
              <w:ind w:left="4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399,896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$9,997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61,242,050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$1,653,177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(486,449)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31,726</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$ 1,209,063</w:t>
            </w: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income/Comprehensive income</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89,974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3,958</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93,932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(122,169)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to noncontrolling interests</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Common shares issued</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4,051</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26,964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1,933</w:t>
            </w:r>
          </w:p>
        </w:tc>
        <w:tc>
          <w:tcPr>
            <w:tcW w:w="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Conversion and redemption of OP units</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399,896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9,997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61,451,155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615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1,663,934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(519,050)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31,380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1,186,876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ind w:right="453"/>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93,932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89,701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86,635</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20,632</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Early extinguishment of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16"/>
        </w:trPr>
        <w:tc>
          <w:tcPr>
            <w:tcW w:w="942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23"/>
        </w:trPr>
        <w:tc>
          <w:tcPr>
            <w:tcW w:w="9420" w:type="dxa"/>
            <w:vAlign w:val="bottom"/>
          </w:tcPr>
          <w:p>
            <w:pPr>
              <w:ind w:left="880"/>
              <w:spacing w:after="0"/>
              <w:rPr>
                <w:sz w:val="20"/>
                <w:szCs w:val="20"/>
                <w:color w:val="auto"/>
              </w:rPr>
            </w:pPr>
            <w:r>
              <w:rPr>
                <w:rFonts w:ascii="Arial" w:cs="Arial" w:eastAsia="Arial" w:hAnsi="Arial"/>
                <w:sz w:val="18"/>
                <w:szCs w:val="18"/>
                <w:color w:val="auto"/>
              </w:rPr>
              <w:t>(Decrease) increase in security deposits and other liabilities</w:t>
            </w:r>
          </w:p>
        </w:tc>
        <w:tc>
          <w:tcPr>
            <w:tcW w:w="10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(2,159)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179,685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194,204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(17,582)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(34,775)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(57,739)</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(21,873)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(16,627)</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real estate partnerships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(16,930)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Issuance of mortgage and other notes receivable, net</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(13,218)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(111,305)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(80,342)</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borrowings (repayments) under revolving credit facility,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(123,500)</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Issuance of senior notes, net of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148,457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147,534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and retirement of senior notes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(52,278)</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526,617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(259,342)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(212,424)</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113,694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(121,823)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(115,593)</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(4,384)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(194,595)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279,343</w:t>
            </w: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w w:val="85"/>
              </w:rPr>
              <w:t>(126,215)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393,205</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135,389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9,174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408,428</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September 30, 2010, we owned or had a majority interest in community and neighborhood shopping centers and mixed-use properties which are operated as 85 predominantly retail real estate projects.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Certain 2009 amounts have been reclassified to conform to current period presentation.</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81,272</w:t>
            </w:r>
          </w:p>
        </w:tc>
        <w:tc>
          <w:tcPr>
            <w:tcW w:w="48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83,815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(4,593)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2"/>
        </w:trPr>
        <w:tc>
          <w:tcPr>
            <w:tcW w:w="9040" w:type="dxa"/>
            <w:vAlign w:val="bottom"/>
          </w:tcPr>
          <w:p>
            <w:pPr>
              <w:ind w:left="88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77,773</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44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48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4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 our balance sheet. These parenthetical amounts relate to Melville Mall in Huntington, New York, a shopping center and adjacent commercial building in Norwalk, Connecticut, which is further discussed in Note 3 below, and Huntington Square in East Northport, New York, which is further discussed in Note 2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Although the adoption of this standard did not have a material impact to our financial statements, this standard could impact future consolidation of entities based on the specific facts and circumstances of those entities.</w:t>
      </w:r>
    </w:p>
    <w:p>
      <w:pPr>
        <w:spacing w:after="0" w:line="13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During the quarter ended March 31, 2010, the FASB issued an amendment eliminating the requirement to disclose the date through which subsequent events have been evaluated, which was effective upon issuance of the amendment. Consequently, this disclosure is no longer included in the notes to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July 2010, the FASB issued a new accounting standard that requires enhanced disclosures about financing receivables, including the allowance for credit losses, credit quality, and impaired loans. This standard is effective for fiscal years ending after December 15, 2010. We are currently evaluating the impact this standard will have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2—REAL ESTATE</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August 16, 2010, we acquired the leasehold interest in Huntington Square located in East Northport, New York for a purchase price of $17.6 million. The property contains approximately 74,000 square feet of gross leasable area and is adjacent to a 194,000 square foot Sears department store. As part of the purchase price allocation, approximately $9.2 million of the net assets acquired were allocated to other assets for “above market leases” and a “below market ground lease” for which we are the lessee. Approximately $1.7 million of the net assets acquired were allocated to liabilities for “below market leases”. We incurred approximately $0.3 million of acquisition costs related to Huntington Square which are included in “general and administrative expenses”.</w:t>
      </w:r>
    </w:p>
    <w:p>
      <w:pPr>
        <w:spacing w:after="0" w:line="1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conjunction with the acquisition, we entered into a reverse Section 1031 like-kind exchange agreement with a qualified intermediary which is for a maximum of 180 days and allows us to defer gains on the sale of other properties sold within this period. Until the earlier of termination of this exchange agreement or February 12, 2011, the qualified intermediary is the legal owner of the property. However, we direct the activities that most significantly impact the property and have the obligation to absorb losses and the right to receive benefits from the property. Therefore, we have determined we are the primary beneficiary and consolidated the property and its operations as of August 16, 2010.</w:t>
      </w:r>
    </w:p>
    <w:p>
      <w:pPr>
        <w:spacing w:after="0" w:line="1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We reached a settlement with the contractors responsible for performing defective work in previous years related to the conversion and sale of certain condominium units at Santana Row. The gain related to this settlement of $1.0 million is included in “discontinued operations - gain on sale of real estate”.</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$0.4 million gain on sale of real estate relates to condemnation proceeds, net of costs, at one of our Northern Virginia properties in order to expand a local road.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3—MORTGAGE NOTES RECEIVABLE</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March 30, 2010, we acquired the first mortgage loan on a shopping center located in Norwalk, Connecticut. The first mortgage loan bears interest at 7.25%, matures on September 1, 2032, and as of September 30, 2010, had an outstanding principal balance of $11.3 million. Since November 5, 2008, we have held the second mortgage on this shopping center and a first mortgage on an adjacent commercial building which had an outstanding balance of $7.4 million at September 30, 2010. All of these loans are currently in default and foreclosure proceedings have been filed. If we foreclose on the properties, we believe the fair value of the properties approximates our carrying amount of these loans which are on non-accrual status.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Because the loans are in default, we have certain rights under the first mortgage loan agreement that gives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 as of September 30, 2010.</w:t>
      </w:r>
    </w:p>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2010, we reached an agreement with the borrower whereby the borrower must repay the loans by September 30, 2010, subject to a possible extension through December 30, 2010. If the borrower fails to repay the loans at that time, we will be entitled to receive a deed-in-lieu of foreclosure for both properties. The borrower has entered into a non-binding letter of intent which contemplates a transaction pursuant to which we would be paid the full carrying amount of our loans upon closing which is anticipated to be in December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2010,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The Partnership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700" w:type="dxa"/>
            <w:vAlign w:val="bottom"/>
            <w:gridSpan w:val="7"/>
          </w:tcPr>
          <w:p>
            <w:pPr>
              <w:jc w:val="right"/>
              <w:ind w:right="332"/>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jc w:val="right"/>
              <w:ind w:right="198"/>
              <w:spacing w:after="0" w:line="142" w:lineRule="exact"/>
              <w:rPr>
                <w:sz w:val="20"/>
                <w:szCs w:val="20"/>
                <w:color w:val="auto"/>
              </w:rPr>
            </w:pPr>
            <w:r>
              <w:rPr>
                <w:rFonts w:ascii="Arial" w:cs="Arial" w:eastAsia="Arial" w:hAnsi="Arial"/>
                <w:sz w:val="14"/>
                <w:szCs w:val="14"/>
                <w:b w:val="1"/>
                <w:bCs w:val="1"/>
                <w:color w:val="auto"/>
                <w:w w:val="79"/>
              </w:rPr>
              <w:t>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4,510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5,027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1,323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3"/>
              </w:rPr>
              <w:t>1,278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1,131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3"/>
              </w:rPr>
              <w:t>3,732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1,295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6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w w:val="71"/>
              </w:rPr>
              <w:t>thousands)</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Real estate, net</w:t>
            </w:r>
          </w:p>
        </w:tc>
        <w:tc>
          <w:tcPr>
            <w:tcW w:w="326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98"/>
              <w:spacing w:after="0"/>
              <w:rPr>
                <w:sz w:val="20"/>
                <w:szCs w:val="20"/>
                <w:color w:val="auto"/>
              </w:rPr>
            </w:pPr>
            <w:r>
              <w:rPr>
                <w:rFonts w:ascii="Arial" w:cs="Arial" w:eastAsia="Arial" w:hAnsi="Arial"/>
                <w:sz w:val="18"/>
                <w:szCs w:val="18"/>
                <w:color w:val="auto"/>
                <w:w w:val="98"/>
              </w:rPr>
              <w:t>182,161</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183,757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3,291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assets</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Arial" w:cs="Arial" w:eastAsia="Arial" w:hAnsi="Arial"/>
                <w:sz w:val="18"/>
                <w:szCs w:val="18"/>
                <w:color w:val="auto"/>
              </w:rPr>
              <w:t>7,607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26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w w:val="98"/>
              </w:rPr>
              <w:t>193,059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vMerge w:val="continue"/>
          </w:tcPr>
          <w:p>
            <w:pPr>
              <w:spacing w:after="0"/>
              <w:rPr>
                <w:sz w:val="18"/>
                <w:szCs w:val="18"/>
                <w:color w:val="auto"/>
              </w:rPr>
            </w:pPr>
          </w:p>
        </w:tc>
        <w:tc>
          <w:tcPr>
            <w:tcW w:w="326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98"/>
              <w:spacing w:after="0"/>
              <w:rPr>
                <w:sz w:val="20"/>
                <w:szCs w:val="20"/>
                <w:color w:val="auto"/>
              </w:rPr>
            </w:pPr>
            <w:r>
              <w:rPr>
                <w:rFonts w:ascii="Arial" w:cs="Arial" w:eastAsia="Arial" w:hAnsi="Arial"/>
                <w:sz w:val="18"/>
                <w:szCs w:val="18"/>
                <w:color w:val="auto"/>
              </w:rPr>
              <w:t>57,634</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5,812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Partners’ capital</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Arial" w:cs="Arial" w:eastAsia="Arial" w:hAnsi="Arial"/>
                <w:sz w:val="18"/>
                <w:szCs w:val="18"/>
                <w:color w:val="auto"/>
                <w:w w:val="98"/>
              </w:rPr>
              <w:t>129,613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26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w w:val="98"/>
              </w:rPr>
              <w:t>193,059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326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98"/>
              <w:spacing w:after="0"/>
              <w:rPr>
                <w:sz w:val="20"/>
                <w:szCs w:val="20"/>
                <w:color w:val="auto"/>
              </w:rPr>
            </w:pPr>
            <w:r>
              <w:rPr>
                <w:rFonts w:ascii="Arial" w:cs="Arial" w:eastAsia="Arial" w:hAnsi="Arial"/>
                <w:sz w:val="18"/>
                <w:szCs w:val="18"/>
                <w:color w:val="auto"/>
              </w:rPr>
              <w:t>17,290</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26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35,577</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During the second quarter 2010, we recorded expenses of approximately $0.2 million related to formation costs of Newbury Street Partnership.</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26, 2010, Newbury Street Partnership acquired the fee interest in two buildings located on Newbury Street in Boston, Massachusetts for a purchase price of $17.5 million. The properties include approximately 32,000 square feet of retail and office space. We contributed $7.8 million towards this acquisition and provided an $8.8 million interest-only loan secured by the two buildings. The loan matures in May 2012, subject to a one-year extension option, and bears interest at 30-day LIBOR plus 400 basis points. Intercompany profit generated from interest income on the loan is eliminated in consolidation. All amounts contributed and advanced to Newbury Street Partnership are included in “Investment in real estate partnerships” in the consolidated balance sheet. During the third quarter 2010, we recorded approximately $0.2 million related to our share of acquisition related costs.</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the timing of receiving financial information from the general partner, our share of operating earnings is recorded one quarter in arrears. Consequently, the following tables provide summarized operating results from formation through June 30, 2010, and the financial position of the Newbury Street Partnership as of June 30,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RESULTS </w:t>
            </w:r>
            <w:r>
              <w:rPr>
                <w:rFonts w:ascii="Arial" w:cs="Arial" w:eastAsia="Arial" w:hAnsi="Arial"/>
                <w:sz w:val="18"/>
                <w:szCs w:val="18"/>
                <w:i w:val="1"/>
                <w:iCs w:val="1"/>
                <w:color w:val="auto"/>
              </w:rPr>
              <w:t>(in thousands)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and formation expenses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7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10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BALANCE SHEET </w:t>
            </w:r>
            <w:r>
              <w:rPr>
                <w:rFonts w:ascii="Arial" w:cs="Arial" w:eastAsia="Arial" w:hAnsi="Arial"/>
                <w:sz w:val="18"/>
                <w:szCs w:val="18"/>
                <w:i w:val="1"/>
                <w:iCs w:val="1"/>
                <w:color w:val="auto"/>
              </w:rPr>
              <w:t>(in thousands)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Real estate,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color w:val="auto"/>
              </w:rPr>
              <w:t>Mortgages payable</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7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Partners’ capital</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partners’ capital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color w:val="auto"/>
              </w:rPr>
              <w:t>Our investment in real estate partnership</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7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28, 2010, we delivered notice exercising our option to extend the maturity date by one year to July 27, 2011 on our revolving credit facility, which bears interest at LIBOR plus 42.5 basis points. We paid an extension fee of $0.5 million which is being amortized over the remaining term of the revolving credit facility.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three and nine months ended September 30, 2010, the maximum amount of borrowings outstanding under our $300.0 million revolving credit facility was $42.0 million. The weighted average amount of borrowings outstanding was $24.6 million and $9.8 million for the three and nine months ended September 30, 2010, respectively. Our revolving credit facility had a weighted average interest rate, before amortization of debt fees, of 0.73% for the three and nine months ended September 30, 2010. At September 30, 2010, there was $27.0 million outstanding on our revolving credit facility.</w:t>
      </w:r>
    </w:p>
    <w:p>
      <w:pPr>
        <w:spacing w:after="0" w:line="11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September 30, 2010,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September 30, 2010</w:t>
            </w:r>
          </w:p>
        </w:tc>
        <w:tc>
          <w:tcPr>
            <w:tcW w:w="300" w:type="dxa"/>
            <w:vAlign w:val="bottom"/>
          </w:tcPr>
          <w:p>
            <w:pPr>
              <w:spacing w:after="0"/>
              <w:rPr>
                <w:sz w:val="14"/>
                <w:szCs w:val="14"/>
                <w:color w:val="auto"/>
              </w:rPr>
            </w:pPr>
          </w:p>
        </w:tc>
        <w:tc>
          <w:tcPr>
            <w:tcW w:w="17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47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Carrying</w:t>
            </w: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580,029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635,349</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$801,354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$819,733</w:t>
            </w:r>
          </w:p>
        </w:tc>
        <w:tc>
          <w:tcPr>
            <w:tcW w:w="100" w:type="dxa"/>
            <w:vAlign w:val="bottom"/>
            <w:shd w:val="clear" w:color="auto" w:fill="CCEEFF"/>
          </w:tcPr>
          <w:p>
            <w:pPr>
              <w:spacing w:after="0"/>
              <w:rPr>
                <w:sz w:val="18"/>
                <w:szCs w:val="18"/>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1,079,854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1,190,320</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$930,219</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$951,861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reflects our best estimate of the litigation liability. The net increase in our accrual in 2009 is included in “litigation provision” in our consolidated statement of operations, and the $16.4 million accrual is included in the “accounts payable and accrued expenses” line item in our consolidated balance sheets. During 2009 and 2010, we incurred additional legal and other costs related to this lawsuit and appeal process which are also included in the “litigation provision” line item in the consolidated statements of operations.</w:t>
      </w:r>
    </w:p>
    <w:p>
      <w:pPr>
        <w:spacing w:after="0" w:line="12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Oral arguments on the appeal are scheduled for late 2010. The enforcement of the judgment has been stayed until completion of the 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for a net purchase price of approximately $14.7 million. Vornado has appealed the ruling, however, the appeal has not yet been accepted. We expect a ruling in late 2010 as to whether the appeal will be accepted. The judgment has been stayed until completion of the appeal process.</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369,260 operating partnership units are outstanding which have a total fair value of $30.2 million, based on our closing stock price on September 30,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80" w:type="dxa"/>
            <w:vAlign w:val="bottom"/>
            <w:gridSpan w:val="10"/>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834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4"/>
              </w:rPr>
              <w:t>Declared</w:t>
            </w:r>
          </w:p>
        </w:tc>
        <w:tc>
          <w:tcPr>
            <w:tcW w:w="3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$ 1.990</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$1.980</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$ 1.960</w:t>
            </w:r>
          </w:p>
        </w:tc>
        <w:tc>
          <w:tcPr>
            <w:tcW w:w="800" w:type="dxa"/>
            <w:vAlign w:val="bottom"/>
            <w:gridSpan w:val="2"/>
            <w:shd w:val="clear" w:color="auto" w:fill="CCEEFF"/>
          </w:tcPr>
          <w:p>
            <w:pPr>
              <w:jc w:val="center"/>
              <w:ind w:left="219"/>
              <w:spacing w:after="0"/>
              <w:rPr>
                <w:sz w:val="20"/>
                <w:szCs w:val="20"/>
                <w:color w:val="auto"/>
              </w:rPr>
            </w:pPr>
            <w:r>
              <w:rPr>
                <w:rFonts w:ascii="Arial" w:cs="Arial" w:eastAsia="Arial" w:hAnsi="Arial"/>
                <w:sz w:val="18"/>
                <w:szCs w:val="18"/>
                <w:color w:val="auto"/>
                <w:w w:val="90"/>
              </w:rPr>
              <w:t>$1.950</w:t>
            </w:r>
          </w:p>
        </w:tc>
        <w:tc>
          <w:tcPr>
            <w:tcW w:w="100" w:type="dxa"/>
            <w:vAlign w:val="bottom"/>
            <w:shd w:val="clear" w:color="auto" w:fill="CCEEFF"/>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$ 1.016</w:t>
            </w:r>
          </w:p>
        </w:tc>
        <w:tc>
          <w:tcPr>
            <w:tcW w:w="300" w:type="dxa"/>
            <w:vAlign w:val="bottom"/>
          </w:tcPr>
          <w:p>
            <w:pPr>
              <w:spacing w:after="0"/>
              <w:rPr>
                <w:sz w:val="19"/>
                <w:szCs w:val="19"/>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$1.016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86"/>
              </w:rPr>
              <w:t>$ 1.016</w:t>
            </w:r>
          </w:p>
        </w:tc>
        <w:tc>
          <w:tcPr>
            <w:tcW w:w="800" w:type="dxa"/>
            <w:vAlign w:val="bottom"/>
            <w:gridSpan w:val="2"/>
          </w:tcPr>
          <w:p>
            <w:pPr>
              <w:jc w:val="center"/>
              <w:ind w:left="219"/>
              <w:spacing w:after="0"/>
              <w:rPr>
                <w:sz w:val="20"/>
                <w:szCs w:val="20"/>
                <w:color w:val="auto"/>
              </w:rPr>
            </w:pPr>
            <w:r>
              <w:rPr>
                <w:rFonts w:ascii="Arial" w:cs="Arial" w:eastAsia="Arial" w:hAnsi="Arial"/>
                <w:sz w:val="18"/>
                <w:szCs w:val="18"/>
                <w:color w:val="auto"/>
                <w:w w:val="90"/>
              </w:rPr>
              <w:t>$1.016</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w w:val="71"/>
              </w:rPr>
              <w:t>thousands)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95,035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93,312</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$284,266</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$280,084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Cost reimbursement</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26,039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24,304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81,184</w:t>
            </w:r>
          </w:p>
        </w:tc>
        <w:tc>
          <w:tcPr>
            <w:tcW w:w="660" w:type="dxa"/>
            <w:vAlign w:val="bottom"/>
          </w:tcPr>
          <w:p>
            <w:pPr>
              <w:jc w:val="right"/>
              <w:spacing w:after="0"/>
              <w:rPr>
                <w:sz w:val="20"/>
                <w:szCs w:val="20"/>
                <w:color w:val="auto"/>
              </w:rPr>
            </w:pPr>
            <w:r>
              <w:rPr>
                <w:rFonts w:ascii="Arial" w:cs="Arial" w:eastAsia="Arial" w:hAnsi="Arial"/>
                <w:sz w:val="18"/>
                <w:szCs w:val="18"/>
                <w:color w:val="auto"/>
              </w:rPr>
              <w:t>74,277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2,088</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6,539</w:t>
            </w:r>
          </w:p>
        </w:tc>
        <w:tc>
          <w:tcPr>
            <w:tcW w:w="660" w:type="dxa"/>
            <w:vAlign w:val="bottom"/>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130,144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126,169</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391,892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379,465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Minimum rents include $1.1 million and $1.3 million for the three months ended September 30, 2010 and 2009, respectively, and $3.6 million and $3.9 million for the nine months ended September 30, 2010 and 2009, respectively, to recognize minimum rents on a straight-line basis. In addition, minimum rents include $0.4 million for the three months ended September 30, 2010 and 2009, and $1.3 million and $1.1 million for the nine months ended September 30, 2010 and 2009, respectively, to recognize income from the amortization of in-place leases. Residential minimum rents consist of the rental amounts for residential units at Rollingwood Apartments, the Crest at Congressional Plaza Apartments, Santana Row, and Bethesda Row.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580" w:type="dxa"/>
            <w:vAlign w:val="bottom"/>
            <w:gridSpan w:val="5"/>
          </w:tcPr>
          <w:p>
            <w:pPr>
              <w:jc w:val="right"/>
              <w:ind w:right="198"/>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8280" w:type="dxa"/>
            <w:vAlign w:val="bottom"/>
          </w:tcPr>
          <w:p>
            <w:pPr>
              <w:spacing w:after="0"/>
              <w:rPr>
                <w:sz w:val="14"/>
                <w:szCs w:val="14"/>
                <w:color w:val="auto"/>
              </w:rPr>
            </w:pPr>
          </w:p>
        </w:tc>
        <w:tc>
          <w:tcPr>
            <w:tcW w:w="1580" w:type="dxa"/>
            <w:vAlign w:val="bottom"/>
            <w:gridSpan w:val="5"/>
          </w:tcPr>
          <w:p>
            <w:pPr>
              <w:jc w:val="right"/>
              <w:ind w:right="39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2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8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3"/>
          </w:tcPr>
          <w:p>
            <w:pPr>
              <w:jc w:val="right"/>
              <w:ind w:right="184"/>
              <w:spacing w:after="0"/>
              <w:rPr>
                <w:sz w:val="20"/>
                <w:szCs w:val="20"/>
                <w:color w:val="auto"/>
              </w:rPr>
            </w:pPr>
            <w:r>
              <w:rPr>
                <w:rFonts w:ascii="Arial" w:cs="Arial" w:eastAsia="Arial" w:hAnsi="Arial"/>
                <w:sz w:val="12"/>
                <w:szCs w:val="12"/>
                <w:b w:val="1"/>
                <w:bCs w:val="1"/>
                <w:color w:val="auto"/>
                <w:w w:val="80"/>
              </w:rPr>
              <w:t>thousands)</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$ 1,244</w:t>
            </w:r>
          </w:p>
        </w:tc>
        <w:tc>
          <w:tcPr>
            <w:tcW w:w="180" w:type="dxa"/>
            <w:vAlign w:val="bottom"/>
          </w:tcPr>
          <w:p>
            <w:pPr>
              <w:spacing w:after="0"/>
              <w:rPr>
                <w:sz w:val="18"/>
                <w:szCs w:val="18"/>
                <w:color w:val="auto"/>
              </w:rPr>
            </w:pPr>
          </w:p>
        </w:tc>
        <w:tc>
          <w:tcPr>
            <w:tcW w:w="860" w:type="dxa"/>
            <w:vAlign w:val="bottom"/>
            <w:gridSpan w:val="3"/>
          </w:tcPr>
          <w:p>
            <w:pPr>
              <w:jc w:val="right"/>
              <w:ind w:right="118"/>
              <w:spacing w:after="0"/>
              <w:rPr>
                <w:sz w:val="20"/>
                <w:szCs w:val="20"/>
                <w:color w:val="auto"/>
              </w:rPr>
            </w:pPr>
            <w:r>
              <w:rPr>
                <w:rFonts w:ascii="Arial" w:cs="Arial" w:eastAsia="Arial" w:hAnsi="Arial"/>
                <w:sz w:val="18"/>
                <w:szCs w:val="18"/>
                <w:color w:val="auto"/>
              </w:rPr>
              <w:t>$ 1,357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$3,996</w:t>
            </w: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$ 4,342</w:t>
            </w: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r>
      <w:tr>
        <w:trPr>
          <w:trHeight w:val="221"/>
        </w:trPr>
        <w:tc>
          <w:tcPr>
            <w:tcW w:w="8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9"/>
                <w:szCs w:val="19"/>
                <w:color w:val="auto"/>
              </w:rPr>
            </w:pPr>
          </w:p>
        </w:tc>
        <w:tc>
          <w:tcPr>
            <w:tcW w:w="860" w:type="dxa"/>
            <w:vAlign w:val="bottom"/>
            <w:gridSpan w:val="3"/>
          </w:tcPr>
          <w:p>
            <w:pPr>
              <w:jc w:val="right"/>
              <w:ind w:right="118"/>
              <w:spacing w:after="0"/>
              <w:rPr>
                <w:sz w:val="20"/>
                <w:szCs w:val="20"/>
                <w:color w:val="auto"/>
              </w:rPr>
            </w:pPr>
            <w:r>
              <w:rPr>
                <w:rFonts w:ascii="Arial" w:cs="Arial" w:eastAsia="Arial" w:hAnsi="Arial"/>
                <w:sz w:val="18"/>
                <w:szCs w:val="18"/>
                <w:color w:val="auto"/>
              </w:rPr>
              <w:t>1,681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4,845</w:t>
            </w:r>
          </w:p>
        </w:tc>
        <w:tc>
          <w:tcPr>
            <w:tcW w:w="3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5,449</w:t>
            </w: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86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(248)</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4,269</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$ 4,745</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SHARE</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each of the three and nine months ended September 30, 2010 and 2009,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EPS.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78"/>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7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78"/>
              </w:rPr>
              <w:t>except</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data)</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31,010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28,839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92,522</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68,990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share dividends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w w:val="94"/>
              </w:rPr>
              <w:t>(1,370)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8"/>
                <w:szCs w:val="18"/>
                <w:color w:val="auto"/>
                <w:w w:val="91"/>
              </w:rPr>
              <w:t>(1,406)</w:t>
            </w:r>
          </w:p>
        </w:tc>
        <w:tc>
          <w:tcPr>
            <w:tcW w:w="10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1"/>
              </w:rPr>
              <w:t>(3,958)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1"/>
        </w:trPr>
        <w:tc>
          <w:tcPr>
            <w:tcW w:w="652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29,368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27,168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87,754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29,368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27,168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89,164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65,547</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61,215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61,158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outstanding—diluted</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61,359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60,140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61,297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Continuing operations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0.48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29,640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27,433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88,564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64,818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2010, Donald C. Wood, our Chief Executive Officer, was granted approximately $5,000,000 of restricted stock, or 60,931 shares, which will vest on October 12, 2015. Additionally, Mr. Wood’s annual base pay was increased from $700,000 to $850,000 per year effective November 1, 2010, his target bonus was increased from 100% of his base salary to 150% of his base salary beginning with the 2010 bonus, and his target amount for potential equity to be issued in February 2011 under our Long-term Incentive Award Plan was increased from $2.0 million to $4.0 million. Grants under the Long-term Incentive Award Plan generally vest over three to five years.</w:t>
      </w:r>
    </w:p>
    <w:p>
      <w:pPr>
        <w:spacing w:after="0" w:line="14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Compensation Committee of the Board of Trustees determined that these compensation adjustments were prudent, consistent with the Trust’s compensation philosophy and in the best interest of the Trust’s shareholders after considering four primary factors: (a) the appropriate market value for Mr. Wood’s services after retaining a consultant to benchmark comparable real estate companies and make recommendations; (b) the historical outperformance of the Trust over the last decade in terms of shareholder value creation and the prospects for continued outperformance in the future; (c) the active recruiting for Mr. Wood’s services in the marketplace and the related strong desire to retain him and his senior management team at the Trust; and (d) the ability of the current senior management team to take advantage of future opportunities to increase shareholder value.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2009 filed with the Securities and Exchange Commission on February 17, 2010.</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2009,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2010, we owned or had a majority interest in community and neighborhood shopping centers and mixed-use properties which are operated as 85 predominantly retail real estate projects comprising approximately 18.2 million square feet. In total, the real estate projects were 93.9% leased and 93.3% occupied at September 30, 2010. A joint venture in which we own a 30% interest owned seven retail real estate projects totaling approximately 1.0 million square feet as of September 30, 2010. In total, the joint venture properties in which we own a 30% interest were 91.3% leased and 90.8% occupied at September 30,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Significant Property Acquisition</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August 16, 2010, we acquired the leasehold interest in Huntington Square located in East Northport, New York for a purchase price of $17.6 million. The property contains approximately 74,000 square feet of gross leasable area and is adjacent to a 194,000 square foot Sears department store. As part of the purchase price allocation, approximately $9.2 million of the net assets acquired were allocated to other assets for “above market leases” and a “below market ground lease” for which we are the lessee. Approximately $1.7 million of the net assets acquired were allocated to liabilities for “below market leases”. We incurred approximately $0.3 million of acquisition costs related to Huntington Square which are included in “general and administrative expenses”.</w:t>
      </w:r>
    </w:p>
    <w:p>
      <w:pPr>
        <w:spacing w:after="0" w:line="1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conjunction with the acquisition, we entered into a reverse Section 1031 like-kind exchange agreement with a qualified intermediary which is for a maximum of 180 days and allows us to defer gains on the sale of other properties sold within this period. Until the earlier of termination of this exchange agreement or February 12, 2011, the qualified intermediary is the legal owner of the property. However, we direct the activities that most significantly impact the property and have the obligation to absorb losses and the right to receive benefits from the property. Therefore, we have determined we are the primary beneficiary and consolidated the property and its operations as of August 16,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Significant Debt, Equity and Other Transactions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28, 2010, we delivered notice exercising our option to extend the maturity date by one year to July 27, 2011 on our revolving credit facility, which bears interest at LIBOR plus 42.5 basis points. We paid an extension fee of $0.5 million which is being amortized over the remaining term of the revolving credit facility.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32"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March 30, 2010, we acquired the first mortgage loan on a shopping center located in Norwalk, Connecticut. The first mortgage loan bears interest at 7.25%, matures on September 1, 2032, and as of September 30, 2010, had an outstanding principal balance of $11.3 million. Since November 5, 2008, we have held the second mortgage on this shopping center and a first mortgage on an adjacent commercial building which had an outstanding balance of $7.4 million at September 30, 2010. All of these loans are currently in default and foreclosure proceedings have been filed. If we foreclose on the properties, we believe the fair value of the properties approximates our carrying amount of these loans which are on non-accrual status.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Because the loans are in default, we have certain rights under the first mortgage loan agreement that gives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 as of September 30, 2010.</w:t>
      </w:r>
    </w:p>
    <w:p>
      <w:pPr>
        <w:spacing w:after="0" w:line="1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2010, we reached an agreement with the borrower whereby the borrower must repay the loans by September 30, 2010, subject to a possible extension through December 30, 2010. If the borrower fails to repay the loans at that time, we will be entitled to receive a deed-in-lieu of foreclosure for both properties. The borrower has entered into a non-binding letter of intent which contemplates a transaction pursuant to which we would be paid the full carrying amount of our loans upon closing which is anticipated to be in December 2010.</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for a net purchase price of approximately $14.7 million. Vornado has appealed the ruling, however, the appeal has not yet been accepted. We expect a ruling in late 2010 as to whether the appeal will be accepted. The judgment has been stayed until completion of the appeal process.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2010, Donald C. Wood, our Chief Executive Officer, was granted approximately $5,000,000 of restricted stock, or 60,931 shares, which will vest on October 12, 2015. Additionally, Mr. Wood’s annual base pay was increased from $700,000 to $850,000 per year effective November 1, 2010, his target bonus was increased from 100% of his base salary to 150% of his base salary beginning with the 2010 bonus, and his target amount for potential equity to be issued in February 2011 under our Long-term Incentive Award Plan was increased from $2.0 million to $4.0 million. Grants under the Long-term Incentive Award Plan generally vest over three to five years.</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Compensation Committee of the Board of Trustees determined that these compensation adjustments were prudent, consistent with the Trust’s compensation philosophy and in the best interest of the Trust’s shareholders after considering four primary factors: (a) the appropriate market value for Mr. Wood’s services after retaining a consultant to benchmark comparable real estate companies and make recommendations; (b) the historical outperformance of the Trust over the last decade in terms of shareholder value creation and the prospects for continued outperformance in the future; (c) the active recruiting for Mr. Wood’s services in the marketplace and the related strong desire to retain him and his senior management team at the Trust; and (d) the ability of the current senior management team to take advantage of future opportunities to increase shareholder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Joint Venture</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During the second quarter 2010, we recorded expenses of approximately $0.2 million related to formation costs of Newbury Street Partnership.</w:t>
      </w:r>
    </w:p>
    <w:p>
      <w:pPr>
        <w:spacing w:after="0" w:line="11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26, 2010, Newbury Street Partnership acquired the fee interest in two buildings located on Newbury Street in Boston, Massachusetts for a purchase price of $17.5 million. The properties include approximately 32,000 square feet of retail and office space. We contributed $7.8 million towards this acquisition and provided an $8.8 million interest-only loan secured by the two buildings. The loan matures in May 2012, subject to a one-year extension option, and bears interest at 30-day LIBOR plus 400 basis points. All amounts contributed and advanced to Newbury Street Partnership are included in “Investment in real estate partnerships” in the consolidated balance sheet. Intercompany profit generated from interest income on the loan is eliminated in consolidation. Due to the timing of receiving financial information from the general partner, our share of operating earnings is recorded one quarter in arrears. During the third quarter 2010, we recorded approximately $0.2 million related to our share of acquisition related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Our properties are located in densely populated and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and believe that the decrease in occupancy we have experienced since 2008 as a result of the economic recession will provide, and have provided, redevelopment opportunities that may not have otherwise been available. In 2010 and 2011, we expect to have redevelopment projects stabilizing with projected costs of approximately $28 million and $57 million, respectively.</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Additionally, we continue to invest in the development at Assembly Row which is a long-term development project we expect to be involved in over the coming years.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real estate companies. Continuing throughout 2010, we will be completing certain infrastructure work as well as continuing our current pre-development work. We received $10 million of public funding in April 2010, which is included in “notes payable” in the consolidated balance sheet, related to the infrastructure work we have completed and we expect the Commonwealth of Massachusetts will complete certain additional infrastructure work using government stimulus funds. We expect to invest between $15 million and $20 million related to the development in 2010, net of expected public funding.</w:t>
      </w:r>
    </w:p>
    <w:p>
      <w:pPr>
        <w:spacing w:after="0" w:line="11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long-term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the assumption or creation of mortgages.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these vacant spaces. We seek to maintain a mix of strong national, regional, and local retailers. At September 30, 2010, no single tenant accounted for more than 2.7% of annualized base rent.</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current downturn in the economy has impacted the success of our tenants’ retail operations and therefore the amount of rent and expense reimbursements we receive from our tenants. We have seen tenants experiencing declining sales, vacating early, or filing for bankruptcy, as well as seeking rent relief from us as landlord. Any reduction in our tenants’ abilities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mitigate the negative impact of the economic environment, we may continue to see an increase in vacancy that will have a negative impact on our revenue and bad debt expense. We continue to monitor our tenants’ operating performances as well as trends in the retail industry to evaluate any future impact.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September 30, 2010, the leasable square feet in our properties was 93.3% occupied and 93.9%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SEPTEMBER 30, 2010 AND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w w:val="96"/>
              </w:rPr>
              <w:t>Dollars</w:t>
            </w: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4"/>
              </w:rPr>
              <w:t>(Dollar amounts</w:t>
            </w:r>
          </w:p>
        </w:tc>
        <w:tc>
          <w:tcPr>
            <w:tcW w:w="3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130,144</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126,169</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$ 3,975</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3,714</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(889)</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134,064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130,992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2,773</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91,661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92,140</w:t>
            </w:r>
          </w:p>
        </w:tc>
        <w:tc>
          <w:tcPr>
            <w:tcW w:w="18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9"/>
              </w:rPr>
              <w:t>(30,209)</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4,910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(5,749)</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(330)</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(29,591)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w w:val="89"/>
              </w:rPr>
              <w:t>(28,410)</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(1,181)</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(60,651)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9"/>
              </w:rPr>
              <w:t>(63,301)</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2,650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(1,406)</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29,640</w:t>
            </w:r>
          </w:p>
        </w:tc>
        <w:tc>
          <w:tcPr>
            <w:tcW w:w="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27,433</w:t>
            </w:r>
          </w:p>
        </w:tc>
        <w:tc>
          <w:tcPr>
            <w:tcW w:w="18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$ 2,207</w:t>
            </w:r>
          </w:p>
        </w:tc>
        <w:tc>
          <w:tcPr>
            <w:tcW w:w="4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property revenue increased $3.1 million, or 2.3%, to $134.1 million in the three months ended September 30, 2010 compared to $131.0 million in the three months ended September 30, 2009. The percentage occupied at our shopping centers increased slightly to 93.3% at September 30, 2010 compared to 93.1% at September 30, 2009.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$4.0 million, or 3.2%, to $130.1 million in the three months ended September 30, 2010 compared to $126.2 million in the three months ended September 30, 2009 due primarily to the following:</w:t>
      </w:r>
    </w:p>
    <w:p>
      <w:pPr>
        <w:spacing w:after="0" w:line="59" w:lineRule="exact"/>
        <w:rPr>
          <w:sz w:val="20"/>
          <w:szCs w:val="20"/>
          <w:color w:val="auto"/>
        </w:rPr>
      </w:pPr>
    </w:p>
    <w:p>
      <w:pPr>
        <w:ind w:left="900" w:right="4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$3.3 million at same-center properties due primarily to increased cost reimbursements and higher rental rates on new and renewal leases,</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$0.4 million at redevelopment properties due primarily to increased occupancy and rental rates on new leases and higher cost reimbursements,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$0.2 million attributable to a property acquired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Other property income decreased $0.9 million, or 23.9%, to $2.8 million in the three months ended September 30, 2010 compared to $3.7 million in the three months ended September 30, 2009. Included in other property income are items which, although recurring, tend to fluctuate more than rental income from period to period, such as lease termination fees. This decrease is primarily due to a decrease in lease termination fees at redevelopment properties.</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Total property expenses increased $3.6 million, or 9.1%, to $42.4 million in the three months ended September 30, 2010 compared to $38.9 million in the three months ended September 30, 2009.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expenses increased $2.8 million, or 11.4%, to $27.1 million in the three months ended September 30, 2010 compared to $24.4 million in the three months ended September 30, 2009. This increase is primarily due to the following:</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$1.3 million in repairs and maintenance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$0.6 million in other operating costs at same-center properties due primarily to higher demolition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$0.3 million in utility expenses at same-center properties.</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increased to 20.4% in the three months ended September 30, 2010 from 18.8% in the three months ended September 30,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Real estate tax expense increased $0.8 million, or 5.4% to $15.3 million in the three months ended September 30, 2010 compared to $14.5 million in the three months ended September 30, 2009 due primarily to net higher tax assessments at same-center and redevelopment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Property operating income decreased $0.5 million, or 0.5%, to $91.7 million in the three months ended September 30, 2010 compared to $92.1 million in the three months ended September 30, 2009. This decrease is primarily due to lower earnings at redevelopment properties primarily from lower lease termination fees.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Interest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interest income decreased $0.9 million, or 98.1%, to less than $0.1 million in the three months ended September 30, 2010 compared to $0.9 million in the three months ended September 30, 2009. This decrease is due primarily to decreased short-term investing. During 2009, we invested the funds from our 2009 debt and equity transactions on a short-term basis in money market and other highly liquid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Income from real estate partnerships decreased $0.3 million, or 73.6%, to $0.1 million for the three months ended September 30, 2010 compared to $0.5 million in the three months ended September 30, 2009. The decrease is due primarily to $0.2 million of acquisition related expenses from our Newbury Street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expense decreased $4.9 million, or 16.3%, to $25.3 million in the three months ended September 30, 2010 compared to $30.2 million in the three months ended September 30, 2009. This decrease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$4.0 million due to lower borrowings,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$0.5 million due to a lower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$0.4 million in capitalized interest.</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Gross interest costs were $26.9 million and $31.4 million in the three months ended September 30, 2010 and 2009, respectively. Capitalized interest was $1.6 million and $1.2 million in the three months ended September 30,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litigation provision in the three months ended September 30, 2010 and 2009 is due to certain costs related to the litigation and appeal process over a parcel of land located adjacent to Santana Row. See Note 7 to the consolidated financial statements in this Form 10-Q for further discussion on the litigation.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increased $1.2 million, or 4.2%, to $29.6 million in the three months ended September 30, 2010 from $28.4 million in the three months ended September 30, 2009. This increase is due primarily to capital improvements at same-center and redevelopment properties and accelerated depreciation related to the change in use of certain redevelopment buildings.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OPERATIONS—NINE MONTHS ENDED SEPTEMBER 30, 2010 AND 2009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(Dollar amounts</w:t>
            </w:r>
          </w:p>
        </w:tc>
        <w:tc>
          <w:tcPr>
            <w:tcW w:w="3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391,892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379,465</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$12,427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property income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9,258</w:t>
            </w:r>
          </w:p>
        </w:tc>
        <w:tc>
          <w:tcPr>
            <w:tcW w:w="1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1,987</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406,369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392,406</w:t>
            </w:r>
          </w:p>
        </w:tc>
        <w:tc>
          <w:tcPr>
            <w:tcW w:w="1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13,963</w:t>
            </w:r>
          </w:p>
        </w:tc>
        <w:tc>
          <w:tcPr>
            <w:tcW w:w="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78,144</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4,580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Real estate taxes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43,138</w:t>
            </w:r>
          </w:p>
        </w:tc>
        <w:tc>
          <w:tcPr>
            <w:tcW w:w="1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2,134</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127,996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121,282</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6,714</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860"/>
              <w:spacing w:after="0"/>
              <w:rPr>
                <w:sz w:val="20"/>
                <w:szCs w:val="20"/>
                <w:color w:val="auto"/>
              </w:rPr>
            </w:pPr>
            <w:r>
              <w:rPr>
                <w:rFonts w:ascii="Arial" w:cs="Arial" w:eastAsia="Arial" w:hAnsi="Arial"/>
                <w:sz w:val="18"/>
                <w:szCs w:val="18"/>
                <w:color w:val="auto"/>
              </w:rPr>
              <w:t>Property operating income</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278,373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271,124</w:t>
            </w:r>
          </w:p>
        </w:tc>
        <w:tc>
          <w:tcPr>
            <w:tcW w:w="18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7,249</w:t>
            </w:r>
          </w:p>
        </w:tc>
        <w:tc>
          <w:tcPr>
            <w:tcW w:w="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1,074</w:t>
            </w: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(79,622)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2,943</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(968)</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(1,833)</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(16,170)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Litigation provision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(21,087)</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20,740</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(86,635)</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(3,066)</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(185,851)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(202,134)</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16,283</w:t>
            </w:r>
          </w:p>
        </w:tc>
        <w:tc>
          <w:tcPr>
            <w:tcW w:w="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68,990</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23,532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70,506</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23,426</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(4,172)</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the Trust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23,640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Total property revenue increased $14.0 million, or 3.6%, to $406.4 million in the nine months ended September 30, 2010 compared to $392.4 million in the nine months ended September 30, 2009. The percentage occupied at our shopping centers increased slightly to 93.3% at September 30, 2010 compared to 93.1% at September 30, 2009.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$12.4 million, or 3.3%, to $391.9 million in the nine months ended September 30, 2010 compared to $379.5 million in the nine months ended September 30, 2009 due primarily to the following:</w:t>
      </w:r>
    </w:p>
    <w:p>
      <w:pPr>
        <w:spacing w:after="0" w:line="59" w:lineRule="exact"/>
        <w:rPr>
          <w:sz w:val="20"/>
          <w:szCs w:val="20"/>
          <w:color w:val="auto"/>
        </w:rPr>
      </w:pPr>
    </w:p>
    <w:p>
      <w:pPr>
        <w:ind w:left="900" w:right="2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$10.6 million at same-center properties due primarily to increased cost reimbursements as a result of higher snow removal costs and real estate taxes, higher rental rates on new and renewal leases, and increased temporary tenant income,</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$1.6 million at redevelopment properties due primarily to increased occupancy and rental rates on new leases and higher cost reimbursements,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$0.2 million attributable to a property acquired in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Other property income increased $2.0 million, or 21.5%, to $11.2 million in the nine months ended September 30, 2010 compared to $9.3 million in the nine months ended September 30, 2009. Included in other property income are items which, although recurring, tend to fluctuate more than rental income from period to period, such as lease termination fees. This increase is primarily due to an increase in lease termination fees at redevelopment and same-center properties.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property expenses increased $6.7 million, or 5.5%, to $128.0 million in the nine months ended September 30, 2010 compared to $121.3 million in the nine months ended September 30, 2009.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Rental expenses increased $4.6 million, or 5.9%, to $82.7 million in the nine months ended September 30, 2010 compared to $78.1 million in the nine months ended September 30, 2009.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$3.4 million in repairs and maintenance primarily due to snow removal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$1.0 million in other operating costs at same-center properties due primarily to higher demolition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$0.3 million in payroll costs at same-center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$0.2 million in insurance costs at same-center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$0.6 million in bad debt expense.</w:t>
      </w:r>
    </w:p>
    <w:p>
      <w:pPr>
        <w:spacing w:after="0" w:line="17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As a result of the changes in rental income, other property income and rental expenses as discussed above, rental expenses as a percentage of rental income plus other property income increased slightly to 20.5% in the nine months ended September 30, 2010 from 20.1% in the nine months ended September 30,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Real estate tax expense increased $2.1 million, or 4.9%, to $45.3 million in the nine months ended September 30, 2010 compared to $43.1 million in the nine months ended September 30, 2009 due primarily to net higher tax assessments at same-center and redevelopment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Property operating income increased $7.2 million, or 2.7%, to $278.4 million in the nine months ended September 30, 2010 compared to $271.1 million in the nine months ended September 30, 2009. This increase is primarily due to growth in earnings at same-center and redevelopment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Interest Income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interest income decreased $1.0 million, or 81.7%, to $0.2 million in the nine months ended September 30, 2010 compared to $1.3 million in the nine months ended September 30, 2009. This decrease is due primarily to decreased short-term investing. During 2009, we invested the funds from our 2009 debt and equity transactions on a short-term basis in money market and other highly liquid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real estate partnerships decreased $0.6 million, or 52.9%, to $0.5 million for the nine months ended September 30, 2010 compared to $1.1 million in the nine months ended September 30, 2009. The decrease is due primarily to $0.4 million of formation and acquisition related expenses from our Newbury Street Partnership.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Interest expense decreased $2.9 million, or 3.7%, to $76.7 million in the nine months ended September 30, 2010 compared to $79.6 million in the nine months ended September 30, 2009. This decrease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$5.6 million due to lower borrowings,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$0.4 million in 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$3.0 million due to a higher overall weighted average borrowing rate.</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Gross interest costs were $81.3 million and $83.8 million in the nine months ended September 30, 2010 and 2009, respectively. Capitalized interest was $4.6 million and $4.2 million in the nine months ended September 30, 2010 and 2009,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$2.8 million early extinguishment of debt expense in the nine months ended September 30, 2010 is due to the write-off of unamortized debt fees related to the $250.0 million payoff of the term loan prior to its maturity date. The $1.0 million early extinguishment of debt for the nine months ended September 30, 2009 is primarily related to a cash tender offer for $40.3 million of our 8.75% senior notes due December 1, 2009, which were purchased and retired at a 2% premium to par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General and administrative expense increased $0.9 million, or 5.5%, to $17.1 million in the nine months ended September 30, 2010 compared to $16.2 million in the nine months ended September 30, 2009. The increase is primarily due to higher legal fees, as a result of the litigation regarding certain rights to acquire the land under Pentagon Row further discussed in Note 7 to the consolidated financial statements in this Form 10-Q and higher personnel related costs partially offset by lower expensing of previously capitalized predevelopment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$0.3 million litigation provision in the nine months ended September 30, 2010 is due to certain costs related to the litigation and appeal process over a parcel of land located adjacent to Santana Row. The $21.1 million litigation provision in the nine months ended September 30, 2009 relates to increasing the accrual as well as costs related to the litigation and appeal process for such litigation matter. See Note 7 to the consolidated financial statements in this Form 10-Q for further discussion on the litigation.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Depreciation and amortization expense increased $3.1 million, or 3.5%, to $89.7 million in the nine months ended September 30, 2010 from $86.6 million in the nine months ended September 30, 2009. This increase is due primarily to capital improvements at same-center and redevelopment properties and accelerated depreciation related to the change in use of certain redevelopment buildings.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Operations—Income</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The reported operating income of $0.2 million for the nine months ended September 30, 2009 primarily represents the operating income for the period during which we owned properties sold in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$1.0 million gain on sale of real estate from discontinued operations for the nine months ended September 30, 2010 relates to the final settlement reached with the contractors responsible for performing defective work in previous years related to the work done in connection with the sale of certain condominium units at Santana Row. The $1.3 million gain on sale of real estate from discontinued operations for the nine months ended September 30, 2009 consists primarily of $0.9 million in insurance proceeds received related to repairs we performed on certain condominium units at Santana Row as the result of defective work done by third party contractors in prior years and $0.4 million on the sale of our fee interest in a land parcel in White Marsh, Maryland, that was subject to a long-term ground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$0.4 million gain on sale of real estate in the nine months ended September 30, 2010 is due to condemnation proceeds, net of costs, at one of our Northern Virginia properties in order to expand a local road.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Adopted/Issued Accounting Pronouncements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balance sheet. These parenthetical amounts relate to Melville Mall in Huntington, New York, a shopping center and adjacent commercial building in Norwalk, Connecticut, which is further discussed in Note 3 to the consolidated financial statements in this Form 10-Q, and Huntington Square in East Northport, New York, which is further discussed in Note 2 to the consolidated financial statements in this Form 10-Q.</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Although the adoption of this standard did not have a material impact to our financial statements, this standard could impact future consolidation of entities based on the specific facts and circumstances of those entities.</w:t>
      </w:r>
    </w:p>
    <w:p>
      <w:pPr>
        <w:spacing w:after="0" w:line="13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During the quarter ended March 31, 2010, the FASB issued an amendment eliminating the requirement to disclose the date through which subsequent events have been evaluated, which was effective upon issuance of the amendment. Consequently, this disclosure is no longer included in the notes to our financial statements.</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July 2010, the FASB issued a new accounting standard that requires enhanced disclosures about financing receivables, including the allowance for credit losses, credit quality, and impaired loans. This standard is effective for fiscal years ending after December 15, 2010. We are currently evaluating the impact this standard will have on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 In March 2010, we took advantage of lower long-term interest rates and issued $150 million of 10-year senior notes at a 5.90% interest rate. Using funds from the senior note offering as well as cash on hand, we repaid the outstanding $250 million balance on our term loan in advance of it maturing in July 2011. Cash and cash equivalents decreased $126.2 million to $9.2 million at September 30, 2010 due primarily to the debt transactions discussed above and capital investments during 2010; however, cash and cash equivalents are not a good indicator of our liquidity. We have a $300 million unsecured revolving credit facility that matures July 27, 2011, of which we had a $27 million outstanding balance at September 30,</w:t>
      </w:r>
    </w:p>
    <w:p>
      <w:pPr>
        <w:spacing w:after="0" w:line="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2010. At September 30, 2010, we also have no scheduled debt maturities until 2011. We currently believe that cash flows from operations, cash on hand and our revolving credit facility will be sufficient to finance our operations and fund our capital expenditures. While our revolving credit facility matures in July 2011, we anticipate being able to obtain at least similar levels of commitments under a new credit facility.</w:t>
      </w:r>
    </w:p>
    <w:p>
      <w:pPr>
        <w:spacing w:after="0" w:line="14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overall capital requirements during the remainder of 2010 will depend upon acquisition opportunities, the level of improvements and redevelopments of existing properties and the timing and cost of development of future phases of existing properties. While the amount of future investments will depend on numerous factors, we expect to invest similar levels of capital in 2010 compared to prior periods which will be funded on a short-term basis with cash flow from operations and/or the revolving credit facility, and on a long-term basis, with long-term debt or equity. If market conditions deteriorate, we may also delay the timing of certain development and redevelopment projects as well as limit future acquisitions, or re-evaluate our dividend policy.</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42"/>
        </w:trPr>
        <w:tc>
          <w:tcPr>
            <w:tcW w:w="9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74"/>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179,685</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194,204</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1040" w:type="dxa"/>
            <w:vAlign w:val="bottom"/>
            <w:gridSpan w:val="2"/>
          </w:tcPr>
          <w:p>
            <w:pPr>
              <w:jc w:val="right"/>
              <w:ind w:right="72"/>
              <w:spacing w:after="0"/>
              <w:rPr>
                <w:sz w:val="20"/>
                <w:szCs w:val="20"/>
                <w:color w:val="auto"/>
              </w:rPr>
            </w:pPr>
            <w:r>
              <w:rPr>
                <w:rFonts w:ascii="Arial" w:cs="Arial" w:eastAsia="Arial" w:hAnsi="Arial"/>
                <w:sz w:val="18"/>
                <w:szCs w:val="18"/>
                <w:color w:val="auto"/>
              </w:rPr>
              <w:t>(111,305)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(80,342)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(194,595)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279,343</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72"/>
              <w:spacing w:after="0"/>
              <w:rPr>
                <w:sz w:val="20"/>
                <w:szCs w:val="20"/>
                <w:color w:val="auto"/>
              </w:rPr>
            </w:pPr>
            <w:r>
              <w:rPr>
                <w:rFonts w:ascii="Arial" w:cs="Arial" w:eastAsia="Arial" w:hAnsi="Arial"/>
                <w:sz w:val="18"/>
                <w:szCs w:val="18"/>
                <w:color w:val="auto"/>
              </w:rPr>
              <w:t>(126,215)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393,205</w:t>
            </w:r>
          </w:p>
        </w:tc>
        <w:tc>
          <w:tcPr>
            <w:tcW w:w="0" w:type="dxa"/>
            <w:vAlign w:val="bottom"/>
          </w:tcPr>
          <w:p>
            <w:pPr>
              <w:spacing w:after="0"/>
              <w:rPr>
                <w:sz w:val="1"/>
                <w:szCs w:val="1"/>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9,174</w:t>
            </w:r>
          </w:p>
        </w:tc>
        <w:tc>
          <w:tcPr>
            <w:tcW w:w="2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408,428</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cash provided by operating activities decreased $14.5 million to $179.7 million during the nine months ended September 30, 2010 from $194.2 million during the nine months ended September 30, 2009. The decrease was primarily attributable to timing of interest payments on our senior notes and term loan as a result of changes in the debt outstanding in 2009 and 2010, higher unbilled accounts receivable as a result of significant increases in snow removal costs in 2010, timing of payments related to operating expenses, and timing of cash receipts related to recoverable expense billings.</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cash used in investing activities increased $31.0 million to $111.3 million during the nine months ended September 30, 2010 from $80.3 million during the nine months ended September 30, 2009.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$17.6 million acquisition of Huntington Square,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$16.7 million investment in the Newbury Street Partnership,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$10.5 million acquisition of a first mortgage loan in March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$17.7 million decrease in capital investments.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cash used in financing activities increased $473.9 million to $194.6 million during the nine months ended September 30, 2010 from $279.3 million provided during the nine months ended September 30, 2009. The increase was primarily attributable to:</w:t>
      </w:r>
    </w:p>
    <w:p>
      <w:pPr>
        <w:spacing w:after="0" w:line="51" w:lineRule="exact"/>
        <w:rPr>
          <w:sz w:val="20"/>
          <w:szCs w:val="20"/>
          <w:color w:val="auto"/>
        </w:rPr>
      </w:pPr>
    </w:p>
    <w:p>
      <w:pPr>
        <w:ind w:left="900" w:right="2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$516.7 million decrease in net proceeds from the issuance of mortgages, capital leases and notes payable due primarily to the 2009 issuance of our $372 million term loan and $163.1 million in new mortgage loans,</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$107.7 million decrease in net proceeds from the issuance of common shares due primarily to the 2009 issuance of 2.0 million shares in August 2009,</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$46.9 million increase in repayment of mortgages, capital leases and notes payable due substantially to the $250 million payoff of our term loan in 2010 partially offset by the payoff of our $200 million term loan in May 2009, and</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$6.2 million increase in dividends paid to common and preferred shareholders due to an increase in the dividend rate as well as an increase in the number of shares outstanding primarily as a result of the August 2009 issuance of 2.0 million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$150.1 million decrease in net repayments on our revolving credit facility,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$52.3 million decrease in repayment of senior notes as a portion of our 8.75% senior notes due December 1, 2009, were repaid in the first and second quarter of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2010,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these provisions at any time, which could result in either the sale of our interest or the use of available cash or borrowings to acquire Clarion’s interest. At September 30, 2010, the Partnership had approximately $57.6 million of mortgages payable outstanding; our investment in the Partnership was $35.6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in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The entity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 At September 30, 2010, we had invested approximately $16.7 million in Newbury Street Partnership including an $8.8 million mortgage loan.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Original</w:t>
            </w:r>
          </w:p>
        </w:tc>
        <w:tc>
          <w:tcPr>
            <w:tcW w:w="20" w:type="dxa"/>
            <w:vAlign w:val="bottom"/>
          </w:tcPr>
          <w:p>
            <w:pPr>
              <w:spacing w:after="0"/>
              <w:rPr>
                <w:sz w:val="14"/>
                <w:szCs w:val="14"/>
                <w:color w:val="auto"/>
              </w:rPr>
            </w:pP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89"/>
              </w:rPr>
              <w:t>Principal Balance</w:t>
            </w: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Stated Interest Rate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Debt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rPr>
              <w:t>as of</w:t>
            </w: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as of</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2010</w:t>
            </w: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September 30, 2010</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60" w:type="dxa"/>
            <w:vAlign w:val="bottom"/>
            <w:gridSpan w:val="7"/>
          </w:tcPr>
          <w:p>
            <w:pPr>
              <w:jc w:val="right"/>
              <w:ind w:righ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Mortgages payable (1)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36,500</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32,059</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5,761</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7.40%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7,348</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19,994</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5.37%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4,199</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White Marsh Plaza (2)</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9,651</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6.04%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20,503</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Idylwood Plaza</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16,910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16,608</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28,898</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Loehmann’s Plaza</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38,047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37,368</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Pentagon Row</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54,619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53,643</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Melville Mall (3)</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23,254</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5.25%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58,093</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44,300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40,053</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15,099</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31,400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28,390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24,954</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32,000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28,932</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29,589</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Rollingwood Apartments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24,050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23,648</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5.54%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Mount Vernon (4)</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13,250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11,029</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5.66%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Acquired</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Subtotal</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532,534</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(445)</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Total mortgages payable</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532,089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 (5)</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Various thru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facility (6)</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LIBOR + 0.425%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(7)</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0.39%</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47,940</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175,000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135,000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5.40%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5.95% notes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5.65% notes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5.65%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 notes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5.90% notes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5.90%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29,200</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7.48%</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6.82%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1,079,200</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20" w:type="dxa"/>
            <w:vAlign w:val="bottom"/>
          </w:tcPr>
          <w:p>
            <w:pPr>
              <w:ind w:left="100"/>
              <w:spacing w:after="0"/>
              <w:rPr>
                <w:sz w:val="20"/>
                <w:szCs w:val="20"/>
                <w:color w:val="auto"/>
              </w:rPr>
            </w:pPr>
            <w:r>
              <w:rPr>
                <w:rFonts w:ascii="Arial" w:cs="Arial" w:eastAsia="Arial" w:hAnsi="Arial"/>
                <w:sz w:val="18"/>
                <w:szCs w:val="18"/>
                <w:color w:val="auto"/>
              </w:rPr>
              <w:t>Net unamortized premium</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senior notes and debentures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1,079,854</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Capital lease obligations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61,306</w:t>
            </w:r>
          </w:p>
        </w:tc>
        <w:tc>
          <w:tcPr>
            <w:tcW w:w="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Various</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Various through 2106</w:t>
            </w:r>
          </w:p>
        </w:tc>
        <w:tc>
          <w:tcPr>
            <w:tcW w:w="0" w:type="dxa"/>
            <w:vAlign w:val="bottom"/>
          </w:tcPr>
          <w:p>
            <w:pPr>
              <w:spacing w:after="0"/>
              <w:rPr>
                <w:sz w:val="1"/>
                <w:szCs w:val="1"/>
                <w:color w:val="auto"/>
              </w:rPr>
            </w:pP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1,721,189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8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Mortgages payable do not include our 30% share ($17.3 million) of the $57.6 million debt of the partnership with a discretionary fund created and advised by ING Clarion Partners. It also excludes the $8.8 million mortgage loan on our Newbury Street Partnership for which we are the lender.</w:t>
      </w:r>
    </w:p>
    <w:p>
      <w:pPr>
        <w:ind w:left="460" w:right="3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ind w:left="460" w:right="2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of 3.61% represents the weighted average interest rate for three unsecured fixed rate notes payable. These notes mature between April 1, 2012 and January 31, 2013.</w:t>
      </w: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and nine months ended September 30, 2010 was $42.0 million. The weighted average effective interest rate on borrowings under our revolving credit facility, before amortization of debt fees, was 0.73% for the three and nine months ended September 30, 2010.</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3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September 30, 2010,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0"/>
              </w:rPr>
              <w:t>Unsecured</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Secured</w:t>
            </w: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2010</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2011</w:t>
            </w:r>
          </w:p>
        </w:tc>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102,720(1)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47,571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151,690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185,727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204,607</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72,107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156,364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308,089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553,600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236,753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54,734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845,087</w:t>
            </w:r>
          </w:p>
        </w:tc>
      </w:tr>
      <w:tr>
        <w:trPr>
          <w:trHeight w:val="27"/>
        </w:trPr>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1,127,140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532,534</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61,306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1,720,980(2)</w:t>
            </w: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$300 million revolving credit facility matures on July 27, 2011. As of September 30, 2010, there was $27 million drawn under this credit facility.</w:t>
      </w:r>
    </w:p>
    <w:p>
      <w:pPr>
        <w:spacing w:after="0" w:line="38" w:lineRule="exact"/>
        <w:rPr>
          <w:rFonts w:ascii="Arial" w:cs="Arial" w:eastAsia="Arial" w:hAnsi="Arial"/>
          <w:sz w:val="16"/>
          <w:szCs w:val="16"/>
          <w:color w:val="auto"/>
        </w:rPr>
      </w:pPr>
    </w:p>
    <w:p>
      <w:pPr>
        <w:ind w:left="460" w:right="56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September 30,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had no hedging instruments outstanding during the three and nine months ended September 30, 2010.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Included below is a reconciliation of net income to FFO available for common shareholders as well as FFO available to common shareholders excluding the litigation provision. As further discussed in Note 7 to the consolidated financial statements, net income includes certain charges related to the litigation and appeal process over a parcel of land adjacent to Santana Row; net income for the nine months ended September 30, 2009 also includes a $20.6 million charge for increasing the accrual for such litigation matter. Management believes FFO excluding this litigation provision provides a more meaningful evaluation of operations; while litigation is not unusual, we believe the premise of the underlying litigation matter (see Note 7 for discussion) warrants presentation of FFO excluding the related charges.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24"/>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24"/>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gridSpan w:val="2"/>
          </w:tcPr>
          <w:p>
            <w:pPr>
              <w:ind w:left="40"/>
              <w:spacing w:after="0"/>
              <w:rPr>
                <w:sz w:val="20"/>
                <w:szCs w:val="20"/>
                <w:color w:val="auto"/>
              </w:rPr>
            </w:pPr>
            <w:r>
              <w:rPr>
                <w:rFonts w:ascii="Arial" w:cs="Arial" w:eastAsia="Arial" w:hAnsi="Arial"/>
                <w:sz w:val="11"/>
                <w:szCs w:val="11"/>
                <w:b w:val="1"/>
                <w:bCs w:val="1"/>
                <w:color w:val="auto"/>
                <w:w w:val="74"/>
              </w:rPr>
              <w:t>except</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 share</w:t>
            </w:r>
          </w:p>
        </w:tc>
        <w:tc>
          <w:tcPr>
            <w:tcW w:w="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31,010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87"/>
              </w:rPr>
              <w:t>28,839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93,932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(1,370)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4"/>
              <w:spacing w:after="0"/>
              <w:rPr>
                <w:sz w:val="20"/>
                <w:szCs w:val="20"/>
                <w:color w:val="auto"/>
              </w:rPr>
            </w:pPr>
            <w:r>
              <w:rPr>
                <w:rFonts w:ascii="Arial" w:cs="Arial" w:eastAsia="Arial" w:hAnsi="Arial"/>
                <w:sz w:val="18"/>
                <w:szCs w:val="18"/>
                <w:color w:val="auto"/>
                <w:w w:val="94"/>
              </w:rPr>
              <w:t>(1,406)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rPr>
              <w:t>(3,958)</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(1,410)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26,491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4"/>
              <w:spacing w:after="0"/>
              <w:rPr>
                <w:sz w:val="20"/>
                <w:szCs w:val="20"/>
                <w:color w:val="auto"/>
              </w:rPr>
            </w:pPr>
            <w:r>
              <w:rPr>
                <w:rFonts w:ascii="Arial" w:cs="Arial" w:eastAsia="Arial" w:hAnsi="Arial"/>
                <w:sz w:val="18"/>
                <w:szCs w:val="18"/>
                <w:color w:val="auto"/>
                <w:w w:val="87"/>
              </w:rPr>
              <w:t>25,682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80,375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7,226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87"/>
              </w:rPr>
              <w:t>55,666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177,229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Dividends on preferred shares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4"/>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4"/>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Funds from operations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58,842</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87"/>
              </w:rPr>
              <w:t>55,595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176,969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150,970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Litigation provision, net of allocation to unvested shares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Funds from operations available for common shareholders excluding litigation 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58,901</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w w:val="87"/>
              </w:rPr>
              <w:t>55,924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177,315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171,988</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61,729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4"/>
              <w:spacing w:after="0"/>
              <w:rPr>
                <w:sz w:val="20"/>
                <w:szCs w:val="20"/>
                <w:color w:val="auto"/>
              </w:rPr>
            </w:pPr>
            <w:r>
              <w:rPr>
                <w:rFonts w:ascii="Arial" w:cs="Arial" w:eastAsia="Arial" w:hAnsi="Arial"/>
                <w:sz w:val="18"/>
                <w:szCs w:val="18"/>
                <w:color w:val="auto"/>
                <w:w w:val="87"/>
              </w:rPr>
              <w:t>60,511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61,667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Litigation provision per diluted share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Funds from operations available for common shareholders excluding litigation provision, per diluted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0.95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shd w:val="clear" w:color="auto" w:fill="CCEEFF"/>
              </w:rPr>
              <w:t>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shd w:val="clear" w:color="auto" w:fill="CCEEFF"/>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jc w:val="both"/>
        <w:ind w:left="452" w:hanging="452"/>
        <w:spacing w:after="0" w:line="306"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t>For the three and nine months ended September 30, 2010 and 2009,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9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12"/>
          </w:cols>
          <w:pgMar w:left="248" w:top="36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September 30, 2010,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September 30, 2010, we had $1.7 billion of fixed-rate debt outstanding. If market interest rates on our fixed-rate debt instruments at September 30, 2010 had been 1.0% higher, the fair value of those debt instruments on that date would have decreased by approximately $71.9 million. If market interest rates on our fixed-rate debt instruments at September 30, 2010 had been 1.0% lower, the fair value of those debt instruments on that date would have increased by approximately $76.8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September 30, 2010, we had $36.4 million of variable rate debt outstanding which consisted of $27 million outstanding on our revolving credit facility and $9.4 million of municipal bonds. Based upon this amount of variable rate debt and the specific terms, if market interest rates increased 1.0%, our annual interest expense would increase by approximately $0.4 million, and our net income and cash flows for the year would decrease by approximately $0.4 million. Conversely, if market interest rates decreased 1.0%, our annual interest expense would decrease by approximately $0.2 million with a corresponding increase in our net income and cash flows for the year.</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2010. Based on this evaluation, our management, including our Chief Executive Officer and Chief Financial Officer, concluded that our disclosure controls and procedures were effective as of September 30, 2010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4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reflects our best estimate of the litigation liability. The net increase in our accrual in 2009 is included in “litigation provision” in our consolidated statement of operations, and the $16.4 million accrual is included in the “accounts payable and accrued expenses” line item in our consolidated balance sheets. During 2009 and 2010, we incurred additional legal and other costs related to this lawsuit and appeal process which are also included in the “litigation provision” line item in the consolidated statements of operations.</w:t>
      </w:r>
    </w:p>
    <w:p>
      <w:pPr>
        <w:spacing w:after="0" w:line="12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Oral arguments on the appeal are scheduled for late 2010. The enforcement of the judgment has been stayed until completion of the appeals.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2008, we and a subsidiary of Post Properties, Inc.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for a net purchase price of approximately $14.7 million. Vornado has appealed the ruling, however, the appeal has not yet been accepted. We expect a ruling in late 2010 as to whether the appeal will be accepted. The judgment has been stayed until completion of the appeal process.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2009 filed with the Securities and Exchange Commission on February 17, 2010. These factors include, but are not limited to, the following:</w:t>
      </w:r>
    </w:p>
    <w:p>
      <w:pPr>
        <w:spacing w:after="0" w:line="51" w:lineRule="exact"/>
        <w:rPr>
          <w:sz w:val="20"/>
          <w:szCs w:val="20"/>
          <w:color w:val="auto"/>
        </w:rPr>
      </w:pPr>
    </w:p>
    <w:p>
      <w:pPr>
        <w:ind w:left="900" w:right="5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our status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November 3,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November 3,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Senior Vice President, Chief Financial Officer and Treasurer</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24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 Trust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Federal Realty Investment Trust dated May 6, 2004, as corrected by the Certificate of Correction of Articles of Amendment of Declaration of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of Federal Realty Investment Trust dated September 17, 2004, as amended by the Articles of Amendment of Declaration of Trust of Federal Realty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Investment Trust dated May 6, 2009 (previously filed as Exhibit 3.1 to the Trust’s Registration Statement on Form S-3 (File No. 333-160009)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 No. 333-160009)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 31,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6"/>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(previously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filed as Exhibit 1 to the Trust’s Registration Statement on Form 8-A/A filed on March 11, 1999 (File No. 1-07533)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Second Amendment to Amended and Restated Rights Agreement, dated as of March 16, 2009, between the Trust and American Stock Transfer &amp;</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Trust Company (previously filed as Exhibit 4.3 to the Trust’s Current Report on Form 8-K filed on March 19, 2009 (File No. 001-07533)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Indenture dated December 1, 1993 related to the Trust’s 7.48% Debentures due August 15, 2026; and 6.82% Medium Term Notes due August 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2027; (previously filed as Exhibit 4(a) to the Trust’s Registration Statement on Form S-3 (File No. 33-51029), and amended on Form S-3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11"/>
                <w:szCs w:val="11"/>
                <w:color w:val="auto"/>
                <w:w w:val="87"/>
              </w:rPr>
              <w:t>1</w:t>
            </w:r>
            <w:r>
              <w:rPr>
                <w:rFonts w:ascii="Arial" w:cs="Arial" w:eastAsia="Arial" w:hAnsi="Arial"/>
                <w:sz w:val="18"/>
                <w:szCs w:val="18"/>
                <w:color w:val="auto"/>
                <w:w w:val="87"/>
              </w:rPr>
              <w:t xml:space="preserve"> /8% Notes due November 15, 2007; 4.50% Notes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due 2011; 5.65% Notes due 2016; 6.00% Notes due 2012; 6.20% Notes due 2017; 5.40% Notes due 2013; and 5.95% Notes due 2014 (previously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filed as Exhibit 4(a) to the Trust’s Registration Statement on Form S-3 (File No. 333-63619) filed on September 17, 1998 and incorporated herein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 10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 to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the Trust’s Annual Report on Form 10-K for the year ended December 31, 2000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10.7</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Severance Agreement between the Trust and Jeffrey S. Berkes dated March 1, 2000 (previously filed as a portion of Exhibit 10 to the Trust’s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Jeffrey S. Berkes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dated March 1, 2002 between the Trust and Larry E. Finger (previously filed as a portion of Exhibit 10 to the Trust’s Quarterly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10-Q for the quarter ended June 30, 2002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to Severance Agreement between Federal Realty Investment Trust and Larry E. Finger dated February 16, 2005 (previously filed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Amendment to Stock Option Agreement dated August 15, 2002 between the Trust and Dawn M. Becker (previously filed as a portion of Exhibit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to the Trust’s Quarterly Report on Form 10-Q for the quarter ended September 30, 2002 (File No. 1-075330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2001 Long-Term Incentive Plan (previously filed as Exhibit 99.1 to the Trust’s Registration Statement on Form S-8 (File No. 333-60364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May 7, 2001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Health Coverage Continuation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 Exhibit 10.26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Dawn M. Becker dated April 19, 2000 (previously filed as Exhibit 10.26 to the Trust’s Quarterly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on Form 10-Q for the quarter ended June 30, 2005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Dawn M. Becker dated February 16, 2005 (previously filed as Exhibit 10.27 to the 2004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 Long-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Term Incentive Plan (previously filed as Exhibit 10.29 to the 2004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 2001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July 28, 2006, by and between the Trust, Wachovia Capital Markets LLC, Wachovia Bank, National Association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various other financial institutions (previously filed as Exhibit 10.20 to the Trust’s Quarterly Report on Form 10-Q for the quarter ended March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(File No. 1-07533) (the “First Quarter 2010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 ended June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Change in Control Agreement between the Trust and Andrew P. Blocher dated February 12, 2007 (previously filed as Exhibit 10.27 to the Trust’s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September 30, 2008 (File No. 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Donald C. Wood dated January 1, 2009 (previously filed as Exhibit 10.26 to the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2008 (File No. 1-07533) (“the 2008 Form 10-K”) and incorporated herein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Executive Agreement between the Trust and Donald C. Wood dated January 1, 2009 (previously filed as Exhibit 10.27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Health Coverage Continuation Agreement between the Trust and Donald C. Wood dated January 1, 2009 (previously filed as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10.28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Jeffrey S. Berkes dated January 1, 2009 (previously filed as Exhibit 10.29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Dawn M. Becker dated January 1, 2009 (previously filed as Exhibit 10.30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Change in Control Agreement between the Trust and Andrew P. Blocher dated January 1, 2009 (previously filed as Exhibit 10.31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Trust’s 2008 Form 10-K and incorporated herein by reference)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Stock Option Agreements between the Trust and Andrew P. Blocher dated February 17, 2009 (previously filed as Exhibit 10.32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Restricted Share Award Agreement between the Trust and Andrew P. Blocher dated February 17, 2009 (previously filed as Exhibit 10.33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Combined Incentive and Non-Qualified Stock Option Agreement between the Trust and Andrew P. Blocher dated February 17, 2009 (previously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as Exhibit 10.34 to the Trust’s 2008 Form 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Andrew P. Blocher dated February 17, 2009 (previously filed as Exhibit 10.35 to the Trust’s 2008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May 4, 2009, by and among the Trust, Wachovia Capital Markets LLC, PNC Capital Markets LLC, Wachovia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National Association, PNC Bank, National Association and various other financial institutions (previously filed as Exhibit 10.36 to the First Quarter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Form 10-Q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to 2010 Performance Incentive Plan (previously filed as Appendix A to the Trust’s Proxy Supplement for the 2010 Annual Meeting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Restricted Share Award Agreement between the Trust and Donald C. Wood dated October 12, 2010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20" w:right="40" w:hanging="912"/>
        <w:spacing w:after="0" w:line="305" w:lineRule="auto"/>
        <w:tabs>
          <w:tab w:leader="none" w:pos="9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following materials from Federal Realty Investment Trust’s Quarterly Report on Form 10-Q for the quarter ended September 30, 2010, formatted in XBRL (Extensible Business Reporting Language): (1) the Consolidated Balance Sheets, (2) the Consolidated Statements of Operations,</w:t>
      </w:r>
    </w:p>
    <w:p>
      <w:pPr>
        <w:ind w:left="920" w:right="320"/>
        <w:spacing w:after="0" w:line="261" w:lineRule="auto"/>
        <w:rPr>
          <w:rFonts w:ascii="Arial" w:cs="Arial" w:eastAsia="Arial" w:hAnsi="Arial"/>
          <w:sz w:val="15"/>
          <w:szCs w:val="15"/>
          <w:color w:val="auto"/>
        </w:rPr>
      </w:pPr>
      <w:r>
        <w:rPr>
          <w:rFonts w:ascii="Arial" w:cs="Arial" w:eastAsia="Arial" w:hAnsi="Arial"/>
          <w:sz w:val="18"/>
          <w:szCs w:val="18"/>
          <w:color w:val="auto"/>
        </w:rPr>
        <w:t>(3) the Consolidated Statement of Shareholders’ Equity, (4) the Consolidated Statements of Cash Flows, and (5) Notes to Consolidated Financial Statements, tagged as blocks of text.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SHARE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in connection with 2010 special retention bonus under the Federal Realty Investment Trust 2010 Performance Incentive Plan)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12, 2010</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parties to this Restricted Share Award Agreement (this “Agreement”), which is made and entered into in Rockville, Maryland on the date specified above, are Federal Realty Investment Trust, a Maryland real estate investment trust (the “Trust”), and </w:t>
      </w:r>
      <w:r>
        <w:rPr>
          <w:rFonts w:ascii="Arial" w:cs="Arial" w:eastAsia="Arial" w:hAnsi="Arial"/>
          <w:sz w:val="18"/>
          <w:szCs w:val="18"/>
          <w:b w:val="1"/>
          <w:bCs w:val="1"/>
          <w:color w:val="auto"/>
        </w:rPr>
        <w:t>Donald C. Wood</w:t>
      </w:r>
      <w:r>
        <w:rPr>
          <w:rFonts w:ascii="Arial" w:cs="Arial" w:eastAsia="Arial" w:hAnsi="Arial"/>
          <w:sz w:val="18"/>
          <w:szCs w:val="18"/>
          <w:color w:val="auto"/>
        </w:rPr>
        <w:t>, an individual employee of the Trust (the “Grantee”).</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Board of Trustees of the Trust (the “Board of Trustees”) has authorized the award by the Trust to the Grantee, under the Trust’s 2010 Performance Incentive Plan (the “Plan”) of a Restricted Share Award for a certain number of shares of beneficial interest of the Trust (the “Shares”), subject to certain restrictions and covenants on the part of Grantee. The parties hereto desire to set forth in this Agreement their respective rights and obligations with respect to such Shares.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covenants set forth in this Agreement, and intending to be legally bound hereby, the parties hereto agree as follows:</w:t>
      </w:r>
    </w:p>
    <w:p>
      <w:pPr>
        <w:spacing w:after="0" w:line="2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100" w:firstLine="921"/>
        <w:spacing w:after="0" w:line="306" w:lineRule="auto"/>
        <w:tabs>
          <w:tab w:leader="none" w:pos="11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 consideration of the Grantee’s covenants set forth in Section 5, the Trust hereby confirms the grant to the Grantee, as of October 12, 2010 (the “Grant Date”), of Sixty Thousand Nine Hundred Thirty-One (60,931) Shares (the “Restricted Shares”) (having a Fair Market Value equal to approximately $5,000,000 on the Grant Date), subject to the restrictions and other terms and conditions set forth herein and in the Plan.</w:t>
      </w:r>
    </w:p>
    <w:p>
      <w:pPr>
        <w:spacing w:after="0" w:line="106" w:lineRule="exact"/>
        <w:rPr>
          <w:rFonts w:ascii="Arial" w:cs="Arial" w:eastAsia="Arial" w:hAnsi="Arial"/>
          <w:sz w:val="16"/>
          <w:szCs w:val="16"/>
          <w:color w:val="auto"/>
        </w:rPr>
      </w:pPr>
    </w:p>
    <w:p>
      <w:pPr>
        <w:jc w:val="both"/>
        <w:ind w:right="120" w:firstLine="921"/>
        <w:spacing w:after="0" w:line="298" w:lineRule="auto"/>
        <w:tabs>
          <w:tab w:leader="none" w:pos="1162" w:val="left"/>
        </w:tabs>
        <w:numPr>
          <w:ilvl w:val="1"/>
          <w:numId w:val="24"/>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the Restricted Shares to be issued in certificated form or by a book-entry designation for the account of Grantee . Such Restricted Shares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w:t>
      </w:r>
    </w:p>
    <w:p>
      <w:pPr>
        <w:spacing w:after="0" w:line="113" w:lineRule="exact"/>
        <w:rPr>
          <w:sz w:val="20"/>
          <w:szCs w:val="20"/>
          <w:color w:val="auto"/>
        </w:rPr>
      </w:pPr>
    </w:p>
    <w:p>
      <w:pPr>
        <w:ind w:right="20" w:firstLine="1484"/>
        <w:spacing w:after="0" w:line="294" w:lineRule="auto"/>
        <w:rPr>
          <w:sz w:val="20"/>
          <w:szCs w:val="20"/>
          <w:color w:val="auto"/>
        </w:rPr>
      </w:pPr>
      <w:r>
        <w:rPr>
          <w:rFonts w:ascii="Arial" w:cs="Arial" w:eastAsia="Arial" w:hAnsi="Arial"/>
          <w:sz w:val="16"/>
          <w:szCs w:val="16"/>
          <w:color w:val="auto"/>
        </w:rPr>
        <w:t>If the restricted Shares are issued in certificated form, the certificate or certificates representing the Restricted Shares shall be held in custody by the Chief Financial Officer of the Trust until the Restricted Period (as hereinafter defined in Section 3) with respect thereto shall have lapsed.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Grantee shall deliver to the Trust one or more undated stock powers endorsed in blank relating to the Restricted Shares.</w:t>
      </w:r>
    </w:p>
    <w:p>
      <w:pPr>
        <w:spacing w:after="0" w:line="2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Applicable to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40" w:firstLine="921"/>
        <w:spacing w:after="0" w:line="268" w:lineRule="auto"/>
        <w:tabs>
          <w:tab w:leader="none" w:pos="11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Beginning on the Grant Date, the Grantee shall have all rights and privileges of a stockholder with respect to the Restricted Shares, except that the following restrictions shall apply:</w:t>
      </w:r>
    </w:p>
    <w:p>
      <w:pPr>
        <w:spacing w:after="0" w:line="131" w:lineRule="exact"/>
        <w:rPr>
          <w:rFonts w:ascii="Arial" w:cs="Arial" w:eastAsia="Arial" w:hAnsi="Arial"/>
          <w:sz w:val="18"/>
          <w:szCs w:val="18"/>
          <w:color w:val="auto"/>
        </w:rPr>
      </w:pPr>
    </w:p>
    <w:p>
      <w:pPr>
        <w:ind w:right="20" w:firstLine="1492"/>
        <w:spacing w:after="0" w:line="259" w:lineRule="auto"/>
        <w:tabs>
          <w:tab w:leader="none" w:pos="1693" w:val="left"/>
        </w:tabs>
        <w:numPr>
          <w:ilvl w:val="2"/>
          <w:numId w:val="25"/>
        </w:numPr>
        <w:rPr>
          <w:rFonts w:ascii="Arial" w:cs="Arial" w:eastAsia="Arial" w:hAnsi="Arial"/>
          <w:sz w:val="18"/>
          <w:szCs w:val="18"/>
          <w:color w:val="auto"/>
        </w:rPr>
      </w:pPr>
      <w:r>
        <w:rPr>
          <w:rFonts w:ascii="Arial" w:cs="Arial" w:eastAsia="Arial" w:hAnsi="Arial"/>
          <w:sz w:val="18"/>
          <w:szCs w:val="18"/>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Section 3);</w:t>
      </w:r>
    </w:p>
    <w:p>
      <w:pPr>
        <w:sectPr>
          <w:pgSz w:w="11900" w:h="16838" w:orient="portrait"/>
          <w:cols w:equalWidth="0" w:num="1">
            <w:col w:w="11420"/>
          </w:cols>
          <w:pgMar w:left="240" w:top="139"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SHARE AWARD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(Award in connection with 2010 special retention bonus under the Federal Realty Investment Trust 2010 Performance Incentive Plan)</w:t>
      </w:r>
    </w:p>
    <w:p>
      <w:pPr>
        <w:spacing w:after="0" w:line="327" w:lineRule="exact"/>
        <w:rPr>
          <w:sz w:val="20"/>
          <w:szCs w:val="20"/>
          <w:color w:val="auto"/>
        </w:rPr>
      </w:pPr>
    </w:p>
    <w:p>
      <w:pPr>
        <w:ind w:left="1760" w:hanging="268"/>
        <w:spacing w:after="0"/>
        <w:tabs>
          <w:tab w:leader="none" w:pos="17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in accordance with Section 4; and</w:t>
      </w:r>
    </w:p>
    <w:p>
      <w:pPr>
        <w:spacing w:after="0" w:line="171" w:lineRule="exact"/>
        <w:rPr>
          <w:rFonts w:ascii="Arial" w:cs="Arial" w:eastAsia="Arial" w:hAnsi="Arial"/>
          <w:sz w:val="18"/>
          <w:szCs w:val="18"/>
          <w:color w:val="auto"/>
        </w:rPr>
      </w:pPr>
    </w:p>
    <w:p>
      <w:pPr>
        <w:ind w:right="120" w:firstLine="1492"/>
        <w:spacing w:after="0" w:line="306" w:lineRule="auto"/>
        <w:tabs>
          <w:tab w:leader="none" w:pos="1791" w:val="left"/>
        </w:tabs>
        <w:numPr>
          <w:ilvl w:val="2"/>
          <w:numId w:val="26"/>
        </w:numPr>
        <w:rPr>
          <w:rFonts w:ascii="Arial" w:cs="Arial" w:eastAsia="Arial" w:hAnsi="Arial"/>
          <w:sz w:val="16"/>
          <w:szCs w:val="16"/>
          <w:color w:val="auto"/>
        </w:rPr>
      </w:pPr>
      <w:r>
        <w:rPr>
          <w:rFonts w:ascii="Arial" w:cs="Arial" w:eastAsia="Arial" w:hAnsi="Arial"/>
          <w:sz w:val="16"/>
          <w:szCs w:val="16"/>
          <w:color w:val="auto"/>
        </w:rPr>
        <w:t>any Shares distributed as a dividend or otherwise and any other property (other than ordinary dividends) distributed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06" w:lineRule="exact"/>
        <w:rPr>
          <w:rFonts w:ascii="Arial" w:cs="Arial" w:eastAsia="Arial" w:hAnsi="Arial"/>
          <w:sz w:val="16"/>
          <w:szCs w:val="16"/>
          <w:color w:val="auto"/>
        </w:rPr>
      </w:pPr>
    </w:p>
    <w:p>
      <w:pPr>
        <w:ind w:right="20" w:firstLine="921"/>
        <w:spacing w:after="0" w:line="259" w:lineRule="auto"/>
        <w:tabs>
          <w:tab w:leader="none" w:pos="116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attempt to dispose of Restricted Shares in a manner contrary to the restrictions set forth in this Agreement shall be null, void and ineffective. As the restrictions set forth in this Section 2 hereof lapse in accordance with the terms of this Agreement as to all or a portion of the Restricted Shares, such shares shall no longer be considered Restricted Shares for purposes of this Agreement.</w:t>
      </w:r>
    </w:p>
    <w:p>
      <w:pPr>
        <w:spacing w:after="0" w:line="25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Period</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0" w:firstLine="921"/>
        <w:spacing w:after="0" w:line="256" w:lineRule="auto"/>
        <w:tabs>
          <w:tab w:leader="none" w:pos="11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restrictions set forth in Section 2 shall apply for a period (the “Restricted Period”) from the Grant Date until the date that is five (5) years after the Grant Date; provided, however, that the Restricted Period for the Restricted Shares shall not lapse on the date set forth above unless the Grantee has tendered to the Trust, on or before that date, the amount of any state and federal withholding tax obligation which will be imposed on the Trust by reason of the lapsing of the Restricted Period for such Restricted Shares on that date.</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Notwithstanding the foregoing and subject to the proviso below, the Restricted Period shall lapse, as to all Restricted Shares, as follows:</w:t>
      </w:r>
    </w:p>
    <w:p>
      <w:pPr>
        <w:spacing w:after="0" w:line="194" w:lineRule="exact"/>
        <w:rPr>
          <w:rFonts w:ascii="Arial" w:cs="Arial" w:eastAsia="Arial" w:hAnsi="Arial"/>
          <w:sz w:val="16"/>
          <w:szCs w:val="16"/>
          <w:color w:val="auto"/>
        </w:rPr>
      </w:pPr>
    </w:p>
    <w:p>
      <w:pPr>
        <w:ind w:left="1700" w:hanging="208"/>
        <w:spacing w:after="0"/>
        <w:tabs>
          <w:tab w:leader="none" w:pos="17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in the event that the Grantee is discharged by the Trust without Cause as defined in the Plan; or</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there occurs a Change in Control;</w:t>
      </w:r>
    </w:p>
    <w:p>
      <w:pPr>
        <w:spacing w:after="0" w:line="171"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provided in any case that the Grantee or his legal representative shall first tender, in accordance with Section 3(c) , the amount of any state and federal withholding tax obligation which will be imposed on the Trust by reason of the lapsing of the Restricted Period for such Restricted Shares.</w:t>
      </w:r>
    </w:p>
    <w:p>
      <w:pPr>
        <w:spacing w:after="0" w:line="85" w:lineRule="exact"/>
        <w:rPr>
          <w:sz w:val="20"/>
          <w:szCs w:val="20"/>
          <w:color w:val="auto"/>
        </w:rPr>
      </w:pPr>
    </w:p>
    <w:p>
      <w:pPr>
        <w:ind w:firstLine="921"/>
        <w:spacing w:after="0" w:line="288" w:lineRule="auto"/>
        <w:tabs>
          <w:tab w:leader="none" w:pos="11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soon as reasonably practicable after the Restricted Period has ended, the Trust shall notify Grantee of the amount of required withholding taxes due on the vesting of the Restricted Shares (“Tax Notice”). Grantee shall tender to the Trust the amount specified in the Tax Notice within five (5) business days after the date of the Tax Notice, or such longer period of time as the Trust may designate. The Trust shall not be required to remove the restrictions on such Restricted Shares until such time as the Grantee shall have paid such tax withholding amount in full. The Trust, at its sole discretion and on such terms and conditions determined by the Trust from time to time, may permit the Grantee to satisfy the tax withholding obligations through the sale of all or a portion of such Shares resulting from this Agreement or by a return to the Trust of a number of Shares having a Fair Market Value equal to the withholding amount due. In the event Grantee fails to make appropriate arrangement to satisfy tax and withholding obligations, the Trust may return to the Trust any Shares resulting from this Agreement and thereby withhold from benefits payable under this Agreement or the Trust may withhold from other amounts due the Grantee and pay over to the appropriate authority, all federal, state, county, city or other taxes as shall be required pursuant to any law or governmental regulation or ruling.</w:t>
      </w:r>
    </w:p>
    <w:p>
      <w:pPr>
        <w:sectPr>
          <w:pgSz w:w="11900" w:h="16838" w:orient="portrait"/>
          <w:cols w:equalWidth="0" w:num="1">
            <w:col w:w="11400"/>
          </w:cols>
          <w:pgMar w:left="240" w:top="274"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RESTRICTED SHARE AWARD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(Award in connection with 2010 special retention bonus under the Federal Realty Investment Trust 2010 Performance Incentive Plan)</w:t>
      </w:r>
    </w:p>
    <w:p>
      <w:pPr>
        <w:spacing w:after="0" w:line="200" w:lineRule="exact"/>
        <w:rPr>
          <w:sz w:val="20"/>
          <w:szCs w:val="20"/>
          <w:color w:val="auto"/>
        </w:rPr>
      </w:pPr>
    </w:p>
    <w:p>
      <w:pPr>
        <w:spacing w:after="0" w:line="20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w:t>
      </w:r>
      <w:r>
        <w:rPr>
          <w:rFonts w:ascii="Arial" w:cs="Arial" w:eastAsia="Arial" w:hAnsi="Arial"/>
          <w:sz w:val="18"/>
          <w:szCs w:val="18"/>
          <w:b w:val="1"/>
          <w:bCs w:val="1"/>
          <w:color w:val="auto"/>
        </w:rPr>
        <w:t>.</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If there is a termination of the Grantee’s Service with the Trust for any reason, then all rights of the Grantee to any and all then-remaining Restricted Shares, after giving application to Sections 3(a) and (b), shall terminate and be forfeited. Upon forfeiture of all or any portion of Restricted Shares, the certificate(s) representing the forfeited Restricted Shares shall be canceled or the forfeited Restricted Shares shall be removed from the Grantee’s book entry account, returned to the Trust and canceled, as applicable.</w:t>
      </w:r>
    </w:p>
    <w:p>
      <w:pPr>
        <w:spacing w:after="0" w:line="2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Non-Competition; Non-Solicitation; Garden Leave</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Grantee acknowledges that, due to his long-term position as CEO of the Trust, he currently possesses and, through the course of his future employment at the Trust, will acquire additional secret, confidential or proprietary information, or trade secrets concerning the operations, clientele, intellectual property, future plans, or business methods of the Trust or its Affiliates (collectively, “Confidential Information”). In addition to the other mutual covenants and agreements set forth in this Award Agreement, the Trust has provided the Grantee with the Restricted Share Award as consideration for the Grantee’s promises, more fully described below in this Section 5, to refrain from disclosing Confidential Information, participating in competitive activity against the Trust or its Affiliates, and soliciting business or employment from certain individuals with a business relationship with the Trust or its Affiliates. The Grantee acknowledges that the terms and conditions of this Agreement, including his receipt of Restricted Shares valued at approximately five million dollars ($5,000,000) protect him against any undue hardship as a result of the enforcement of any and all terms of this Section 5, in full accordance with the provisions set forth below.</w:t>
      </w:r>
    </w:p>
    <w:p>
      <w:pPr>
        <w:spacing w:after="0" w:line="118" w:lineRule="exact"/>
        <w:rPr>
          <w:sz w:val="20"/>
          <w:szCs w:val="20"/>
          <w:color w:val="auto"/>
        </w:rPr>
      </w:pPr>
    </w:p>
    <w:p>
      <w:pPr>
        <w:ind w:right="100" w:firstLine="464"/>
        <w:spacing w:after="0" w:line="298"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Nondisclosure of Confidential Information. </w:t>
      </w:r>
      <w:r>
        <w:rPr>
          <w:rFonts w:ascii="Arial" w:cs="Arial" w:eastAsia="Arial" w:hAnsi="Arial"/>
          <w:sz w:val="16"/>
          <w:szCs w:val="16"/>
          <w:color w:val="auto"/>
        </w:rPr>
        <w:t>The Grantee acknowledges and reaffirms that the Grantee will comply with the terms of the confidentiality</w:t>
      </w:r>
      <w:r>
        <w:rPr>
          <w:rFonts w:ascii="Arial" w:cs="Arial" w:eastAsia="Arial" w:hAnsi="Arial"/>
          <w:sz w:val="16"/>
          <w:szCs w:val="16"/>
          <w:i w:val="1"/>
          <w:iCs w:val="1"/>
          <w:color w:val="auto"/>
        </w:rPr>
        <w:t xml:space="preserve"> </w:t>
      </w:r>
      <w:r>
        <w:rPr>
          <w:rFonts w:ascii="Arial" w:cs="Arial" w:eastAsia="Arial" w:hAnsi="Arial"/>
          <w:sz w:val="16"/>
          <w:szCs w:val="16"/>
          <w:color w:val="auto"/>
        </w:rPr>
        <w:t>letter executed by the Grantee upon commencement of his employment with the Trust. Without limiting the provisions of the confidentiality letter, the Grantee promises not to use or disclose any Confidential Information before it has become generally known within the relevant industry through no fault of the Grantee. The Grantee also agrees that this promise will remain in effect following his termination of employment with the Trust for any reason.</w:t>
      </w:r>
    </w:p>
    <w:p>
      <w:pPr>
        <w:spacing w:after="0" w:line="112" w:lineRule="exact"/>
        <w:rPr>
          <w:rFonts w:ascii="Arial" w:cs="Arial" w:eastAsia="Arial" w:hAnsi="Arial"/>
          <w:sz w:val="16"/>
          <w:szCs w:val="16"/>
          <w:color w:val="auto"/>
        </w:rPr>
      </w:pPr>
    </w:p>
    <w:p>
      <w:pPr>
        <w:ind w:firstLine="464"/>
        <w:spacing w:after="0" w:line="288"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Non-Competition. </w:t>
      </w:r>
      <w:r>
        <w:rPr>
          <w:rFonts w:ascii="Arial" w:cs="Arial" w:eastAsia="Arial" w:hAnsi="Arial"/>
          <w:sz w:val="16"/>
          <w:szCs w:val="16"/>
          <w:color w:val="auto"/>
        </w:rPr>
        <w:t>The Grantee acknowledges that the nature of the Trust’s business is highly competitive, and that the Trust operates on a national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potentially international level, and has entrusted oversight of its operations to the Grantee as its Chief Executive Officer. Accordingly, in order to protect the Trust’s Confidential Information, the Grantee recognizes and agrees that he cannot engage in competitive activity without harming the Trust’s legitimate business interests, and to that end the Grantee agrees that for a period of one (1) year following his termination from employment with the Trust for any reason, whether voluntarily or involuntarily, he will not accept any employment with or engage in any activity, on behalf of himself or any other person, persons, company, firm, partnership, corporation, business, group or other entity (each, a “Person”) conducting business activity as a public or private retail real estate company or public real estate investment trust, in which the Grantee could benefit himself or other Person by using or disclosing the Trust’s Confidential Information. Because of the scope of the Grantee’s duties and responsibilities for the Trust, and the extent of the Grantee’s knowledge of and access to the Trust’s Confidential Information, this restriction applies throughout the United States.</w:t>
      </w:r>
    </w:p>
    <w:p>
      <w:pPr>
        <w:spacing w:after="0" w:line="119" w:lineRule="exact"/>
        <w:rPr>
          <w:rFonts w:ascii="Arial" w:cs="Arial" w:eastAsia="Arial" w:hAnsi="Arial"/>
          <w:sz w:val="16"/>
          <w:szCs w:val="16"/>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Non-Solicitation. </w:t>
      </w:r>
      <w:r>
        <w:rPr>
          <w:rFonts w:ascii="Arial" w:cs="Arial" w:eastAsia="Arial" w:hAnsi="Arial"/>
          <w:sz w:val="18"/>
          <w:szCs w:val="18"/>
          <w:color w:val="auto"/>
        </w:rPr>
        <w:t>For the reasons set forth above in this Section 5, the Grantee further agrees that:</w:t>
      </w:r>
    </w:p>
    <w:p>
      <w:pPr>
        <w:spacing w:after="0" w:line="171" w:lineRule="exact"/>
        <w:rPr>
          <w:rFonts w:ascii="Arial" w:cs="Arial" w:eastAsia="Arial" w:hAnsi="Arial"/>
          <w:sz w:val="18"/>
          <w:szCs w:val="18"/>
          <w:color w:val="auto"/>
        </w:rPr>
      </w:pPr>
    </w:p>
    <w:p>
      <w:pPr>
        <w:ind w:right="80" w:firstLine="921"/>
        <w:spacing w:after="0" w:line="259" w:lineRule="auto"/>
        <w:tabs>
          <w:tab w:leader="none" w:pos="1123"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a period of one (1) year following the termination of the Grantee’s employment for any reason, whether voluntary or involuntary, he will not, at any time or for any reason, acting alone or with or on behalf of any Person, whether as principal, director, partner, agent, employee, consultant or otherwise, directly or indirectly:</w:t>
      </w:r>
    </w:p>
    <w:p>
      <w:pPr>
        <w:spacing w:after="0" w:line="59" w:lineRule="exact"/>
        <w:rPr>
          <w:rFonts w:ascii="Arial" w:cs="Arial" w:eastAsia="Arial" w:hAnsi="Arial"/>
          <w:sz w:val="18"/>
          <w:szCs w:val="18"/>
          <w:color w:val="auto"/>
        </w:rPr>
      </w:pPr>
    </w:p>
    <w:p>
      <w:pPr>
        <w:ind w:left="1920" w:right="140" w:hanging="440"/>
        <w:spacing w:after="0" w:line="332" w:lineRule="auto"/>
        <w:tabs>
          <w:tab w:leader="none" w:pos="1920" w:val="left"/>
        </w:tabs>
        <w:numPr>
          <w:ilvl w:val="2"/>
          <w:numId w:val="32"/>
        </w:numPr>
        <w:rPr>
          <w:rFonts w:ascii="Arial" w:cs="Arial" w:eastAsia="Arial" w:hAnsi="Arial"/>
          <w:sz w:val="16"/>
          <w:szCs w:val="16"/>
          <w:color w:val="auto"/>
        </w:rPr>
      </w:pPr>
      <w:r>
        <w:rPr>
          <w:rFonts w:ascii="Arial" w:cs="Arial" w:eastAsia="Arial" w:hAnsi="Arial"/>
          <w:sz w:val="16"/>
          <w:szCs w:val="16"/>
          <w:color w:val="auto"/>
        </w:rPr>
        <w:t>Solicit, induce, or entice any client, customer, contractor, tenant, licensor, supplier, partner, or other business relationship of the Trust or any of its Affiliates to terminate, renegotiate, or otherwise cease or modify its relationship with the Trust or its Affiliates.</w:t>
      </w:r>
    </w:p>
    <w:p>
      <w:pPr>
        <w:sectPr>
          <w:pgSz w:w="11900" w:h="16838" w:orient="portrait"/>
          <w:cols w:equalWidth="0" w:num="1">
            <w:col w:w="11400"/>
          </w:cols>
          <w:pgMar w:left="240" w:top="274" w:right="25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RESTRICTED SHARE AWARD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(Award in connection with 2010 special retention bonus under the Federal Realty Investment Trust 2010 Performance Incentive Plan)</w:t>
      </w:r>
    </w:p>
    <w:p>
      <w:pPr>
        <w:spacing w:after="0" w:line="246" w:lineRule="exact"/>
        <w:rPr>
          <w:sz w:val="20"/>
          <w:szCs w:val="20"/>
          <w:color w:val="auto"/>
        </w:rPr>
      </w:pPr>
    </w:p>
    <w:p>
      <w:pPr>
        <w:ind w:left="1920" w:right="20" w:hanging="440"/>
        <w:spacing w:after="0" w:line="256" w:lineRule="auto"/>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Solicit the employment or engagement of any person currently (and for a period of one year prior to the Grantee’s termination of employment) employed by the Trust or any of its Affiliates, whether or not such person would commit any breach of a contract by reason of his or her leaving the service of the Trust; provided, however, the foregoing restriction shall not apply to Grantee’s executive assistant.</w:t>
      </w:r>
    </w:p>
    <w:p>
      <w:pPr>
        <w:spacing w:after="0" w:line="143" w:lineRule="exact"/>
        <w:rPr>
          <w:rFonts w:ascii="Arial" w:cs="Arial" w:eastAsia="Arial" w:hAnsi="Arial"/>
          <w:sz w:val="18"/>
          <w:szCs w:val="18"/>
          <w:color w:val="auto"/>
        </w:rPr>
      </w:pPr>
    </w:p>
    <w:p>
      <w:pPr>
        <w:ind w:right="120" w:firstLine="921"/>
        <w:spacing w:after="0" w:line="256" w:lineRule="auto"/>
        <w:tabs>
          <w:tab w:leader="none" w:pos="11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During the Grantee’s employment with the Trust and at all times following his termination from employment for any reason, he is prohibited, at any time or for any reason, from using the Trust’s Confidential Information or any other unlawful means to directly or indirectly solicit, induce, or entice any client, customer, contractor, tenant, licensor, supplier, partner, or other business relationship of the Trust or any of its Affiliates to terminate, renegotiate, or otherwise cease or modify its relationship with the Trust or its Affiliates.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Reasonableness of Provisions. </w:t>
      </w:r>
      <w:r>
        <w:rPr>
          <w:rFonts w:ascii="Arial" w:cs="Arial" w:eastAsia="Arial" w:hAnsi="Arial"/>
          <w:sz w:val="16"/>
          <w:szCs w:val="16"/>
          <w:color w:val="auto"/>
        </w:rPr>
        <w:t>The Grantee agrees that the covenants contained in this Section 5 are reasonably tailored to protect the Trust’s</w:t>
      </w:r>
    </w:p>
    <w:p>
      <w:pPr>
        <w:spacing w:after="0" w:line="38" w:lineRule="exact"/>
        <w:rPr>
          <w:rFonts w:ascii="Arial" w:cs="Arial" w:eastAsia="Arial" w:hAnsi="Arial"/>
          <w:sz w:val="16"/>
          <w:szCs w:val="16"/>
          <w:color w:val="auto"/>
        </w:rPr>
      </w:pPr>
    </w:p>
    <w:p>
      <w:pPr>
        <w:ind w:right="80"/>
        <w:spacing w:after="0" w:line="323" w:lineRule="auto"/>
        <w:rPr>
          <w:rFonts w:ascii="Arial" w:cs="Arial" w:eastAsia="Arial" w:hAnsi="Arial"/>
          <w:sz w:val="16"/>
          <w:szCs w:val="16"/>
          <w:color w:val="auto"/>
        </w:rPr>
      </w:pPr>
      <w:r>
        <w:rPr>
          <w:rFonts w:ascii="Arial" w:cs="Arial" w:eastAsia="Arial" w:hAnsi="Arial"/>
          <w:sz w:val="16"/>
          <w:szCs w:val="16"/>
          <w:color w:val="auto"/>
        </w:rPr>
        <w:t>Confidential Information and business interests and to ensure that he does not violate his duty of loyalty or his fiduciary duties to the Trust, and are reasonable in all circumstances in scope, duration, and all other respects. The provisions of this Section 5 will survive the expiration or earlier termination of this Agreement.</w:t>
      </w:r>
    </w:p>
    <w:p>
      <w:pPr>
        <w:spacing w:after="0" w:line="92" w:lineRule="exact"/>
        <w:rPr>
          <w:rFonts w:ascii="Arial" w:cs="Arial" w:eastAsia="Arial" w:hAnsi="Arial"/>
          <w:sz w:val="16"/>
          <w:szCs w:val="16"/>
          <w:color w:val="auto"/>
        </w:rPr>
      </w:pPr>
    </w:p>
    <w:p>
      <w:pPr>
        <w:ind w:firstLine="464"/>
        <w:spacing w:after="0" w:line="323" w:lineRule="auto"/>
        <w:tabs>
          <w:tab w:leader="none" w:pos="695"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Remedies; Equitable Relief. </w:t>
      </w:r>
      <w:r>
        <w:rPr>
          <w:rFonts w:ascii="Arial" w:cs="Arial" w:eastAsia="Arial" w:hAnsi="Arial"/>
          <w:sz w:val="15"/>
          <w:szCs w:val="15"/>
          <w:color w:val="auto"/>
        </w:rPr>
        <w:t>The Grantee agrees that the Trust would be irreparably harmed if the Grantee (i) used or disclosed Confidential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the Trust’s express authorization or (ii) took any action or participated in any activity contrary to the terms set forth above during or after termination of his employment with the Trust. The Grantee expressly agrees that the Trust will be entitled, in addition to damages and any other remedies provided by law, to an injunction or other equitable remedy respecting such violation or continued violation by the Grantee of the promises set forth in this Section 5.</w:t>
      </w:r>
    </w:p>
    <w:p>
      <w:pPr>
        <w:spacing w:after="0" w:line="97" w:lineRule="exact"/>
        <w:rPr>
          <w:rFonts w:ascii="Arial" w:cs="Arial" w:eastAsia="Arial" w:hAnsi="Arial"/>
          <w:sz w:val="15"/>
          <w:szCs w:val="15"/>
          <w:color w:val="auto"/>
        </w:rPr>
      </w:pPr>
    </w:p>
    <w:p>
      <w:pPr>
        <w:ind w:right="320" w:firstLine="464"/>
        <w:spacing w:after="0" w:line="255" w:lineRule="auto"/>
        <w:tabs>
          <w:tab w:leader="none" w:pos="676"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Importance of Enforcement. </w:t>
      </w:r>
      <w:r>
        <w:rPr>
          <w:rFonts w:ascii="Arial" w:cs="Arial" w:eastAsia="Arial" w:hAnsi="Arial"/>
          <w:sz w:val="18"/>
          <w:szCs w:val="18"/>
          <w:color w:val="auto"/>
        </w:rPr>
        <w:t>The Grantee recognizes and agrees that the covenants set forth in this Section 5 are the essential consideration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that the invalidation of any provision of this Section 5 by a court of competent jurisdiction shall (i) represent a failure of the consideration on which this Agreement is based, and therefore (ii) result in the Grantee’s forfeiture of any Restricted Shares and any vested shares of the Trust (or proceeds thereof) that he receives pursuant to this Agreement. Such forfeiture shall not prejudice the Company’s right to enforce this Section 5, to the extent it is enforceable by law.</w:t>
      </w:r>
    </w:p>
    <w:p>
      <w:pPr>
        <w:spacing w:after="0" w:line="142"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Relationship to Severance Agreement. </w:t>
      </w:r>
      <w:r>
        <w:rPr>
          <w:rFonts w:ascii="Arial" w:cs="Arial" w:eastAsia="Arial" w:hAnsi="Arial"/>
          <w:sz w:val="18"/>
          <w:szCs w:val="18"/>
          <w:color w:val="auto"/>
        </w:rPr>
        <w:t>The provisions in this Section 5 shall supersede and control in all respects the provisions in Section 13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Severance Agreement dated February 22, 1999, as amended.</w:t>
      </w:r>
    </w:p>
    <w:p>
      <w:pPr>
        <w:sectPr>
          <w:pgSz w:w="11900" w:h="16838" w:orient="portrait"/>
          <w:cols w:equalWidth="0" w:num="1">
            <w:col w:w="11400"/>
          </w:cols>
          <w:pgMar w:left="240" w:top="274" w:right="25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RESTRICTED SHARE AWARD AGREEMENT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(Award in connection with 2010 special retention bonus under the Federal Realty Investment Trust 2010 Performance Incentive Plan)</w:t>
      </w:r>
    </w:p>
    <w:p>
      <w:pPr>
        <w:spacing w:after="0" w:line="200" w:lineRule="exact"/>
        <w:rPr>
          <w:sz w:val="20"/>
          <w:szCs w:val="20"/>
          <w:color w:val="auto"/>
        </w:rPr>
      </w:pPr>
    </w:p>
    <w:p>
      <w:pPr>
        <w:spacing w:after="0" w:line="20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on Other Agreements and Arrangements</w:t>
      </w:r>
      <w:r>
        <w:rPr>
          <w:rFonts w:ascii="Arial" w:cs="Arial" w:eastAsia="Arial" w:hAnsi="Arial"/>
          <w:sz w:val="18"/>
          <w:szCs w:val="18"/>
          <w:b w:val="1"/>
          <w:bCs w:val="1"/>
          <w:color w:val="auto"/>
        </w:rPr>
        <w:t>.</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Unless otherwise expressly set forth herein, this Agreement shall not affect or supersede any severance or Change in Control agreement or arrangement previously entered into between the Grantee and the Trust.</w:t>
      </w:r>
    </w:p>
    <w:p>
      <w:pPr>
        <w:spacing w:after="0" w:line="248"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This Agreement shall be binding upon and inure to the benefit of the heirs and representatives of the Grantee and the assigns and successors of the Trust, but neither this Agreement nor any rights hereunder shall be assignable or otherwise subject to hypothecation by the Grantee.</w:t>
      </w:r>
    </w:p>
    <w:p>
      <w:pPr>
        <w:spacing w:after="0" w:line="20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w:t>
      </w:r>
    </w:p>
    <w:p>
      <w:pPr>
        <w:spacing w:after="0" w:line="178"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This Agreement and its validity, interpretation, performance and enforcement shall be governed by the laws of the State of Maryland other than the conflict of laws provisions of such laws, and shall be construed in accordance therewith.</w:t>
      </w:r>
    </w:p>
    <w:p>
      <w:pPr>
        <w:spacing w:after="0" w:line="248"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ectPr>
          <w:pgSz w:w="11900" w:h="16838" w:orient="portrait"/>
          <w:cols w:equalWidth="0" w:num="1">
            <w:col w:w="11340"/>
          </w:cols>
          <w:pgMar w:left="240" w:top="274" w:right="31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RESTRICTED SHARE AWARD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(Award in connection with 2010 special retention bonus under the Federal Realty Investment Trust 2010 Performance Incentive Plan)</w:t>
      </w:r>
    </w:p>
    <w:p>
      <w:pPr>
        <w:spacing w:after="0" w:line="200" w:lineRule="exact"/>
        <w:rPr>
          <w:sz w:val="20"/>
          <w:szCs w:val="20"/>
          <w:color w:val="auto"/>
        </w:rPr>
      </w:pPr>
    </w:p>
    <w:p>
      <w:pPr>
        <w:spacing w:after="0" w:line="20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Employment</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not confer upon the Grantee any right with respect to continuance of employment by the Trust.</w:t>
      </w:r>
    </w:p>
    <w:p>
      <w:pPr>
        <w:spacing w:after="0" w:line="28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References</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References to the Grantee in any provision of this Agreement under circumstances where the provision should logically be construed to apply to the Grantee’s executors or the administrators, or the person or persons to whom all or any portion of the Restricted Shares may be transferred by will or the laws of descent and distribution, shall be deemed to include such person or persons.</w:t>
      </w:r>
    </w:p>
    <w:p>
      <w:pPr>
        <w:spacing w:after="0" w:line="25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Grantee acknowledges that it is the Grantee’s sole responsibility, and not the Trust’s, to file a timely election under section 83(b) of the Internal Revenue Code, of 1986, as amended. The Grantee acknowledges that he or she is relying on his or her own advisors with respect to the decision as to whether or not to file any section 83(b) election.</w:t>
      </w:r>
    </w:p>
    <w:p>
      <w:pPr>
        <w:spacing w:after="0" w:line="134" w:lineRule="exact"/>
        <w:rPr>
          <w:sz w:val="20"/>
          <w:szCs w:val="20"/>
          <w:color w:val="auto"/>
        </w:rPr>
      </w:pPr>
    </w:p>
    <w:p>
      <w:pPr>
        <w:ind w:right="40" w:firstLine="464"/>
        <w:spacing w:after="0" w:line="275" w:lineRule="auto"/>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Notwithstanding anything herein to the contrary, Grantee shall be solely responsible and liable for the satisfaction of all taxes and penalties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arise in connection with this Agreement (including any taxes arising under Section 409A of the Code).</w:t>
      </w:r>
    </w:p>
    <w:p>
      <w:pPr>
        <w:spacing w:after="0" w:line="12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WITNESS WHEREOF, the Trust has caused this Agreement to be duly executed and the Grantee has hereunto set his hand effective as of the day and year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380" w:type="dxa"/>
            <w:vAlign w:val="bottom"/>
            <w:gridSpan w:val="4"/>
          </w:tcPr>
          <w:p>
            <w:pPr>
              <w:ind w:left="2080"/>
              <w:spacing w:after="0"/>
              <w:rPr>
                <w:sz w:val="20"/>
                <w:szCs w:val="20"/>
                <w:color w:val="auto"/>
              </w:rPr>
            </w:pPr>
            <w:r>
              <w:rPr>
                <w:rFonts w:ascii="Arial" w:cs="Arial" w:eastAsia="Arial" w:hAnsi="Arial"/>
                <w:sz w:val="18"/>
                <w:szCs w:val="18"/>
                <w:color w:val="auto"/>
                <w:w w:val="95"/>
              </w:rPr>
              <w:t>FEDERAL REALTY INVESTMENT TRUST</w:t>
            </w:r>
          </w:p>
        </w:tc>
      </w:tr>
      <w:tr>
        <w:trPr>
          <w:trHeight w:val="394"/>
        </w:trPr>
        <w:tc>
          <w:tcPr>
            <w:tcW w:w="1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Joseph S. Vassalluzzo</w:t>
            </w:r>
          </w:p>
        </w:tc>
      </w:tr>
      <w:tr>
        <w:trPr>
          <w:trHeight w:val="228"/>
        </w:trPr>
        <w:tc>
          <w:tcPr>
            <w:tcW w:w="1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Joseph S. Vassalluzzo</w:t>
            </w:r>
          </w:p>
        </w:tc>
        <w:tc>
          <w:tcPr>
            <w:tcW w:w="980" w:type="dxa"/>
            <w:vAlign w:val="bottom"/>
          </w:tcPr>
          <w:p>
            <w:pPr>
              <w:spacing w:after="0"/>
              <w:rPr>
                <w:sz w:val="19"/>
                <w:szCs w:val="19"/>
                <w:color w:val="auto"/>
              </w:rPr>
            </w:pPr>
          </w:p>
        </w:tc>
      </w:tr>
      <w:tr>
        <w:trPr>
          <w:trHeight w:val="222"/>
        </w:trPr>
        <w:tc>
          <w:tcPr>
            <w:tcW w:w="1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2720" w:type="dxa"/>
            <w:vAlign w:val="bottom"/>
            <w:gridSpan w:val="3"/>
          </w:tcPr>
          <w:p>
            <w:pPr>
              <w:spacing w:after="0"/>
              <w:rPr>
                <w:sz w:val="20"/>
                <w:szCs w:val="20"/>
                <w:color w:val="auto"/>
              </w:rPr>
            </w:pPr>
            <w:r>
              <w:rPr>
                <w:rFonts w:ascii="Arial" w:cs="Arial" w:eastAsia="Arial" w:hAnsi="Arial"/>
                <w:sz w:val="18"/>
                <w:szCs w:val="18"/>
                <w:color w:val="auto"/>
                <w:w w:val="89"/>
              </w:rPr>
              <w:t>Non-Executive Chairman of the Board</w:t>
            </w:r>
          </w:p>
        </w:tc>
      </w:tr>
      <w:tr>
        <w:trPr>
          <w:trHeight w:val="432"/>
        </w:trPr>
        <w:tc>
          <w:tcPr>
            <w:tcW w:w="352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5380" w:type="dxa"/>
            <w:vAlign w:val="bottom"/>
            <w:gridSpan w:val="4"/>
          </w:tcPr>
          <w:p>
            <w:pPr>
              <w:ind w:left="2080"/>
              <w:spacing w:after="0"/>
              <w:rPr>
                <w:sz w:val="20"/>
                <w:szCs w:val="20"/>
                <w:color w:val="auto"/>
              </w:rPr>
            </w:pPr>
            <w:r>
              <w:rPr>
                <w:rFonts w:ascii="Arial" w:cs="Arial" w:eastAsia="Arial" w:hAnsi="Arial"/>
                <w:sz w:val="18"/>
                <w:szCs w:val="18"/>
                <w:color w:val="auto"/>
              </w:rPr>
              <w:t>GRANTEE</w:t>
            </w:r>
          </w:p>
        </w:tc>
      </w:tr>
      <w:tr>
        <w:trPr>
          <w:trHeight w:val="394"/>
        </w:trPr>
        <w:tc>
          <w:tcPr>
            <w:tcW w:w="3520" w:type="dxa"/>
            <w:vAlign w:val="bottom"/>
            <w:gridSpan w:val="2"/>
          </w:tcPr>
          <w:p>
            <w:pPr>
              <w:spacing w:after="0"/>
              <w:rPr>
                <w:sz w:val="20"/>
                <w:szCs w:val="20"/>
                <w:color w:val="auto"/>
              </w:rPr>
            </w:pPr>
            <w:r>
              <w:rPr>
                <w:rFonts w:ascii="Arial" w:cs="Arial" w:eastAsia="Arial" w:hAnsi="Arial"/>
                <w:sz w:val="18"/>
                <w:szCs w:val="18"/>
                <w:color w:val="auto"/>
              </w:rPr>
              <w:t>/s/ Dawn M. Becker</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2720" w:type="dxa"/>
            <w:vAlign w:val="bottom"/>
            <w:gridSpan w:val="3"/>
          </w:tcPr>
          <w:p>
            <w:pPr>
              <w:spacing w:after="0"/>
              <w:rPr>
                <w:sz w:val="20"/>
                <w:szCs w:val="20"/>
                <w:color w:val="auto"/>
              </w:rPr>
            </w:pPr>
            <w:r>
              <w:rPr>
                <w:rFonts w:ascii="Arial" w:cs="Arial" w:eastAsia="Arial" w:hAnsi="Arial"/>
                <w:sz w:val="18"/>
                <w:szCs w:val="18"/>
                <w:color w:val="auto"/>
              </w:rPr>
              <w:t>/s/ Donald C. Wood</w:t>
            </w:r>
          </w:p>
        </w:tc>
      </w:tr>
      <w:tr>
        <w:trPr>
          <w:trHeight w:val="235"/>
        </w:trPr>
        <w:tc>
          <w:tcPr>
            <w:tcW w:w="1420" w:type="dxa"/>
            <w:vAlign w:val="bottom"/>
            <w:tcBorders>
              <w:top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Donald C. Wood</w:t>
            </w:r>
          </w:p>
        </w:tc>
        <w:tc>
          <w:tcPr>
            <w:tcW w:w="1320" w:type="dxa"/>
            <w:vAlign w:val="bottom"/>
            <w:gridSpan w:val="2"/>
          </w:tcPr>
          <w:p>
            <w:pPr>
              <w:spacing w:after="0"/>
              <w:rPr>
                <w:sz w:val="20"/>
                <w:szCs w:val="20"/>
                <w:color w:val="auto"/>
              </w:rPr>
            </w:pPr>
          </w:p>
        </w:tc>
      </w:tr>
    </w:tbl>
    <w:p>
      <w:pPr>
        <w:sectPr>
          <w:pgSz w:w="11900" w:h="16838" w:orient="portrait"/>
          <w:cols w:equalWidth="0" w:num="1">
            <w:col w:w="11360"/>
          </w:cols>
          <w:pgMar w:left="240" w:top="274"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November 3,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3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November 3,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3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2010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November 3,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3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September 30, 2010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November 3,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lvl w:ilvl="1">
      <w:lvlJc w:val="left"/>
      <w:lvlText w:val="•"/>
      <w:numFmt w:val="bullet"/>
      <w:start w:val="1"/>
    </w:lvl>
  </w:abstractNum>
  <w:abstractNum w:abstractNumId="21">
    <w:nsid w:val="5577F8E1"/>
    <w:multiLevelType w:val="hybridMultilevel"/>
    <w:lvl w:ilvl="0">
      <w:lvlJc w:val="left"/>
      <w:lvlText w:val="•"/>
      <w:numFmt w:val="bullet"/>
      <w:start w:val="1"/>
    </w:lvl>
    <w:lvl w:ilvl="1">
      <w:lvlJc w:val="left"/>
      <w:lvlText w:val="•"/>
      <w:numFmt w:val="bullet"/>
      <w:start w:val="1"/>
    </w:lvl>
  </w:abstractNum>
  <w:abstractNum w:abstractNumId="22">
    <w:nsid w:val="440BADFC"/>
    <w:multiLevelType w:val="hybridMultilevel"/>
    <w:lvl w:ilvl="0">
      <w:lvlJc w:val="left"/>
      <w:lvlText w:val="%1"/>
      <w:numFmt w:val="decimal"/>
      <w:start w:val="101"/>
    </w:lvl>
  </w:abstractNum>
  <w:abstractNum w:abstractNumId="23">
    <w:nsid w:val="5072367"/>
    <w:multiLevelType w:val="hybridMultilevel"/>
    <w:lvl w:ilvl="0">
      <w:lvlJc w:val="left"/>
      <w:lvlText w:val="%1."/>
      <w:numFmt w:val="decimal"/>
      <w:start w:val="1"/>
    </w:lvl>
    <w:lvl w:ilvl="1">
      <w:lvlJc w:val="left"/>
      <w:lvlText w:val="(%2)"/>
      <w:numFmt w:val="lowerLetter"/>
      <w:start w:val="1"/>
    </w:lvl>
  </w:abstractNum>
  <w:abstractNum w:abstractNumId="24">
    <w:nsid w:val="3804823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5">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
    <w:nsid w:val="7724C67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
    <w:nsid w:val="5C482A9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
    <w:nsid w:val="2463B9EA"/>
    <w:multiLevelType w:val="hybridMultilevel"/>
    <w:lvl w:ilvl="0">
      <w:lvlJc w:val="left"/>
      <w:lvlText w:val="(%1)"/>
      <w:numFmt w:val="lowerLetter"/>
      <w:start w:val="3"/>
    </w:lvl>
  </w:abstractNum>
  <w:abstractNum w:abstractNumId="29">
    <w:nsid w:val="5E884ADC"/>
    <w:multiLevelType w:val="hybridMultilevel"/>
    <w:lvl w:ilvl="0">
      <w:lvlJc w:val="left"/>
      <w:lvlText w:val="%1."/>
      <w:numFmt w:val="decimal"/>
      <w:start w:val="4"/>
    </w:lvl>
  </w:abstractNum>
  <w:abstractNum w:abstractNumId="30">
    <w:nsid w:val="51EAD36B"/>
    <w:multiLevelType w:val="hybridMultilevel"/>
    <w:lvl w:ilvl="0">
      <w:lvlJc w:val="left"/>
      <w:lvlText w:val="%1."/>
      <w:numFmt w:val="decimal"/>
      <w:start w:val="5"/>
    </w:lvl>
  </w:abstractNum>
  <w:abstractNum w:abstractNumId="31">
    <w:nsid w:val="2D5177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
    <w:nsid w:val="580BD78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3">
    <w:nsid w:val="153EA43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4">
    <w:nsid w:val="3855585C"/>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35">
    <w:nsid w:val="70A64E2A"/>
    <w:multiLevelType w:val="hybridMultilevel"/>
    <w:lvl w:ilvl="0">
      <w:lvlJc w:val="left"/>
      <w:lvlText w:val="%1."/>
      <w:numFmt w:val="decimal"/>
      <w:start w:val="6"/>
    </w:lvl>
  </w:abstractNum>
  <w:abstractNum w:abstractNumId="36">
    <w:nsid w:val="6A2342EC"/>
    <w:multiLevelType w:val="hybridMultilevel"/>
    <w:lvl w:ilvl="0">
      <w:lvlJc w:val="left"/>
      <w:lvlText w:val="%1."/>
      <w:numFmt w:val="decimal"/>
      <w:start w:val="7"/>
    </w:lvl>
  </w:abstractNum>
  <w:abstractNum w:abstractNumId="37">
    <w:nsid w:val="2A487CB0"/>
    <w:multiLevelType w:val="hybridMultilevel"/>
    <w:lvl w:ilvl="0">
      <w:lvlJc w:val="left"/>
      <w:lvlText w:val="%1."/>
      <w:numFmt w:val="decimal"/>
      <w:start w:val="8"/>
    </w:lvl>
  </w:abstractNum>
  <w:abstractNum w:abstractNumId="38">
    <w:nsid w:val="1D4ED43B"/>
    <w:multiLevelType w:val="hybridMultilevel"/>
    <w:lvl w:ilvl="0">
      <w:lvlJc w:val="left"/>
      <w:lvlText w:val="%1."/>
      <w:numFmt w:val="decimal"/>
      <w:start w:val="9"/>
    </w:lvl>
  </w:abstractNum>
  <w:abstractNum w:abstractNumId="39">
    <w:nsid w:val="725A06FB"/>
    <w:multiLevelType w:val="hybridMultilevel"/>
    <w:lvl w:ilvl="0">
      <w:lvlJc w:val="left"/>
      <w:lvlText w:val="%1."/>
      <w:numFmt w:val="decimal"/>
      <w:start w:val="10"/>
    </w:lvl>
  </w:abstractNum>
  <w:abstractNum w:abstractNumId="40">
    <w:nsid w:val="2CD89A32"/>
    <w:multiLevelType w:val="hybridMultilevel"/>
    <w:lvl w:ilvl="0">
      <w:lvlJc w:val="left"/>
      <w:lvlText w:val="%1."/>
      <w:numFmt w:val="decimal"/>
      <w:start w:val="11"/>
    </w:lvl>
  </w:abstractNum>
  <w:abstractNum w:abstractNumId="41">
    <w:nsid w:val="57E4CCAF"/>
    <w:multiLevelType w:val="hybridMultilevel"/>
    <w:lvl w:ilvl="0">
      <w:lvlJc w:val="left"/>
      <w:lvlText w:val="%1."/>
      <w:numFmt w:val="decimal"/>
      <w:start w:val="12"/>
    </w:lvl>
  </w:abstractNum>
  <w:abstractNum w:abstractNumId="42">
    <w:nsid w:val="7A6D8D3C"/>
    <w:multiLevelType w:val="hybridMultilevel"/>
    <w:lvl w:ilvl="0">
      <w:lvlJc w:val="left"/>
      <w:lvlText w:val="%1."/>
      <w:numFmt w:val="decimal"/>
      <w:start w:val="13"/>
    </w:lvl>
  </w:abstractNum>
  <w:abstractNum w:abstractNumId="43">
    <w:nsid w:val="4B588F54"/>
    <w:multiLevelType w:val="hybridMultilevel"/>
    <w:lvl w:ilvl="0">
      <w:lvlJc w:val="left"/>
      <w:lvlText w:val="%1."/>
      <w:numFmt w:val="decimal"/>
      <w:start w:val="1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2019-12-10T00:14:37Z</dcterms:created>
  <dcterms:modified xsi:type="dcterms:W3CDTF">2019-12-10T00:14:37Z</dcterms:modified>
</cp:coreProperties>
</file>