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Form 10-Q</w:t>
      </w:r>
    </w:p>
    <w:p>
      <w:pPr>
        <w:spacing w:after="0" w:line="378"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78"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For the Quarter Ended: June 30, 1999</w:t>
      </w:r>
    </w:p>
    <w:p>
      <w:pPr>
        <w:spacing w:after="0" w:line="5"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Commission File No. 17533</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78" w:lineRule="exact"/>
        <w:rPr>
          <w:sz w:val="24"/>
          <w:szCs w:val="24"/>
          <w:color w:val="auto"/>
        </w:rPr>
      </w:pPr>
    </w:p>
    <w:tbl>
      <w:tblPr>
        <w:tblLayout w:type="fixed"/>
        <w:tblInd w:w="1261" w:type="dxa"/>
        <w:tblCellMar>
          <w:top w:w="0" w:type="dxa"/>
          <w:left w:w="0" w:type="dxa"/>
          <w:bottom w:w="0" w:type="dxa"/>
          <w:right w:w="0" w:type="dxa"/>
        </w:tblCellMar>
      </w:tblP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Maryland</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52-0782497</w:t>
            </w:r>
          </w:p>
        </w:tc>
      </w:tr>
    </w:tbl>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4"/>
          <w:szCs w:val="24"/>
          <w:color w:val="auto"/>
        </w:rPr>
      </w:pPr>
    </w:p>
    <w:p>
      <w:pPr>
        <w:ind w:left="481" w:right="2759"/>
        <w:spacing w:after="0" w:line="248"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371" w:lineRule="exact"/>
        <w:rPr>
          <w:sz w:val="24"/>
          <w:szCs w:val="24"/>
          <w:color w:val="auto"/>
        </w:rPr>
      </w:pPr>
    </w:p>
    <w:p>
      <w:pPr>
        <w:ind w:left="581"/>
        <w:spacing w:after="0"/>
        <w:tabs>
          <w:tab w:leader="none" w:pos="5980" w:val="left"/>
        </w:tabs>
        <w:rPr>
          <w:sz w:val="20"/>
          <w:szCs w:val="20"/>
          <w:color w:val="auto"/>
        </w:rPr>
      </w:pPr>
      <w:r>
        <w:rPr>
          <w:rFonts w:ascii="Courier New" w:cs="Courier New" w:eastAsia="Courier New" w:hAnsi="Courier New"/>
          <w:sz w:val="16"/>
          <w:szCs w:val="16"/>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881"/>
        <w:spacing w:after="0"/>
        <w:tabs>
          <w:tab w:leader="none" w:pos="598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8" w:lineRule="exact"/>
        <w:rPr>
          <w:sz w:val="24"/>
          <w:szCs w:val="24"/>
          <w:color w:val="auto"/>
        </w:rPr>
      </w:pPr>
    </w:p>
    <w:p>
      <w:pPr>
        <w:ind w:left="3581" w:hanging="577"/>
        <w:spacing w:after="0"/>
        <w:tabs>
          <w:tab w:leader="none" w:pos="35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0"/>
          </w:cols>
          <w:pgMar w:left="239" w:top="614" w:right="1440" w:bottom="1440" w:gutter="0" w:footer="0" w:header="0"/>
        </w:sectPr>
      </w:pPr>
    </w:p>
    <w:p>
      <w:pPr>
        <w:spacing w:after="0" w:line="18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7" w:lineRule="exact"/>
        <w:rPr>
          <w:sz w:val="24"/>
          <w:szCs w:val="24"/>
          <w:color w:val="auto"/>
        </w:rPr>
      </w:pPr>
    </w:p>
    <w:p>
      <w:pPr>
        <w:sectPr>
          <w:pgSz w:w="11900" w:h="16838" w:orient="portrait"/>
          <w:cols w:equalWidth="0" w:num="6">
            <w:col w:w="781" w:space="0"/>
            <w:col w:w="580" w:space="0"/>
            <w:col w:w="340" w:space="720"/>
            <w:col w:w="200" w:space="0"/>
            <w:col w:w="580" w:space="0"/>
            <w:col w:w="7019"/>
          </w:cols>
          <w:pgMar w:left="239" w:top="614" w:right="1440" w:bottom="1440" w:gutter="0" w:footer="0" w:header="0"/>
          <w:type w:val="continuous"/>
        </w:sectPr>
      </w:pPr>
    </w:p>
    <w:p>
      <w:pPr>
        <w:ind w:left="1" w:right="2659" w:firstLine="484"/>
        <w:spacing w:after="0" w:line="2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20"/>
          </w:cols>
          <w:pgMar w:left="239" w:top="614" w:right="1440" w:bottom="1440" w:gutter="0" w:footer="0" w:header="0"/>
          <w:type w:val="continuous"/>
        </w:sectPr>
      </w:pPr>
    </w:p>
    <w:p>
      <w:pPr>
        <w:spacing w:after="0" w:line="371"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Outstanding at July 26, 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40,304,982</w:t>
      </w:r>
    </w:p>
    <w:p>
      <w:pPr>
        <w:spacing w:after="0" w:line="191" w:lineRule="exact"/>
        <w:rPr>
          <w:sz w:val="24"/>
          <w:szCs w:val="24"/>
          <w:color w:val="auto"/>
        </w:rPr>
      </w:pPr>
    </w:p>
    <w:p>
      <w:pPr>
        <w:sectPr>
          <w:pgSz w:w="11900" w:h="16838" w:orient="portrait"/>
          <w:cols w:equalWidth="0" w:num="2">
            <w:col w:w="3681" w:space="680"/>
            <w:col w:w="585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This report contains 24 pages.</w:t>
      </w:r>
    </w:p>
    <w:p>
      <w:pPr>
        <w:sectPr>
          <w:pgSz w:w="11900" w:h="16838" w:orient="portrait"/>
          <w:cols w:equalWidth="0" w:num="1">
            <w:col w:w="10220"/>
          </w:cols>
          <w:pgMar w:left="239" w:top="61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1260" w:type="dxa"/>
            <w:vAlign w:val="bottom"/>
          </w:tcPr>
          <w:p>
            <w:pPr>
              <w:spacing w:after="0"/>
              <w:rPr>
                <w:sz w:val="15"/>
                <w:szCs w:val="15"/>
                <w:color w:val="auto"/>
              </w:rPr>
            </w:pPr>
          </w:p>
        </w:tc>
        <w:tc>
          <w:tcPr>
            <w:tcW w:w="53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FEDERAL REALTY INVESTMENT TRUST</w:t>
            </w:r>
          </w:p>
        </w:tc>
        <w:tc>
          <w:tcPr>
            <w:tcW w:w="600" w:type="dxa"/>
            <w:vAlign w:val="bottom"/>
          </w:tcPr>
          <w:p>
            <w:pPr>
              <w:spacing w:after="0"/>
              <w:rPr>
                <w:sz w:val="15"/>
                <w:szCs w:val="15"/>
                <w:color w:val="auto"/>
              </w:rPr>
            </w:pPr>
          </w:p>
        </w:tc>
      </w:tr>
      <w:tr>
        <w:trPr>
          <w:trHeight w:val="373"/>
        </w:trPr>
        <w:tc>
          <w:tcPr>
            <w:tcW w:w="1260" w:type="dxa"/>
            <w:vAlign w:val="bottom"/>
          </w:tcPr>
          <w:p>
            <w:pPr>
              <w:spacing w:after="0"/>
              <w:rPr>
                <w:sz w:val="24"/>
                <w:szCs w:val="24"/>
                <w:color w:val="auto"/>
              </w:rPr>
            </w:pPr>
          </w:p>
        </w:tc>
        <w:tc>
          <w:tcPr>
            <w:tcW w:w="5320" w:type="dxa"/>
            <w:vAlign w:val="bottom"/>
            <w:gridSpan w:val="2"/>
          </w:tcPr>
          <w:p>
            <w:pPr>
              <w:ind w:left="1740"/>
              <w:spacing w:after="0"/>
              <w:rPr>
                <w:sz w:val="20"/>
                <w:szCs w:val="20"/>
                <w:color w:val="auto"/>
              </w:rPr>
            </w:pPr>
            <w:r>
              <w:rPr>
                <w:rFonts w:ascii="Courier New" w:cs="Courier New" w:eastAsia="Courier New" w:hAnsi="Courier New"/>
                <w:sz w:val="16"/>
                <w:szCs w:val="16"/>
                <w:color w:val="auto"/>
              </w:rPr>
              <w:t>S.E.C. FORM 10-Q</w:t>
            </w:r>
          </w:p>
        </w:tc>
        <w:tc>
          <w:tcPr>
            <w:tcW w:w="600" w:type="dxa"/>
            <w:vAlign w:val="bottom"/>
          </w:tcPr>
          <w:p>
            <w:pPr>
              <w:spacing w:after="0"/>
              <w:rPr>
                <w:sz w:val="24"/>
                <w:szCs w:val="24"/>
                <w:color w:val="auto"/>
              </w:rPr>
            </w:pPr>
          </w:p>
        </w:tc>
      </w:tr>
      <w:tr>
        <w:trPr>
          <w:trHeight w:val="373"/>
        </w:trPr>
        <w:tc>
          <w:tcPr>
            <w:tcW w:w="1260" w:type="dxa"/>
            <w:vAlign w:val="bottom"/>
          </w:tcPr>
          <w:p>
            <w:pPr>
              <w:spacing w:after="0"/>
              <w:rPr>
                <w:sz w:val="24"/>
                <w:szCs w:val="24"/>
                <w:color w:val="auto"/>
              </w:rPr>
            </w:pPr>
          </w:p>
        </w:tc>
        <w:tc>
          <w:tcPr>
            <w:tcW w:w="2760" w:type="dxa"/>
            <w:vAlign w:val="bottom"/>
          </w:tcPr>
          <w:p>
            <w:pPr>
              <w:ind w:left="1940"/>
              <w:spacing w:after="0"/>
              <w:rPr>
                <w:sz w:val="20"/>
                <w:szCs w:val="20"/>
                <w:color w:val="auto"/>
              </w:rPr>
            </w:pPr>
            <w:r>
              <w:rPr>
                <w:rFonts w:ascii="Courier New" w:cs="Courier New" w:eastAsia="Courier New" w:hAnsi="Courier New"/>
                <w:sz w:val="16"/>
                <w:szCs w:val="16"/>
                <w:color w:val="auto"/>
              </w:rPr>
              <w:t>June 30,</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600" w:type="dxa"/>
            <w:vAlign w:val="bottom"/>
          </w:tcPr>
          <w:p>
            <w:pPr>
              <w:spacing w:after="0"/>
              <w:rPr>
                <w:sz w:val="24"/>
                <w:szCs w:val="24"/>
                <w:color w:val="auto"/>
              </w:rPr>
            </w:pPr>
          </w:p>
        </w:tc>
      </w:tr>
      <w:tr>
        <w:trPr>
          <w:trHeight w:val="373"/>
        </w:trPr>
        <w:tc>
          <w:tcPr>
            <w:tcW w:w="1260" w:type="dxa"/>
            <w:vAlign w:val="bottom"/>
          </w:tcPr>
          <w:p>
            <w:pPr>
              <w:spacing w:after="0"/>
              <w:rPr>
                <w:sz w:val="24"/>
                <w:szCs w:val="24"/>
                <w:color w:val="auto"/>
              </w:rPr>
            </w:pPr>
          </w:p>
        </w:tc>
        <w:tc>
          <w:tcPr>
            <w:tcW w:w="5320" w:type="dxa"/>
            <w:vAlign w:val="bottom"/>
            <w:gridSpan w:val="2"/>
          </w:tcPr>
          <w:p>
            <w:pPr>
              <w:jc w:val="center"/>
              <w:ind w:right="99"/>
              <w:spacing w:after="0"/>
              <w:rPr>
                <w:sz w:val="20"/>
                <w:szCs w:val="20"/>
                <w:color w:val="auto"/>
              </w:rPr>
            </w:pPr>
            <w:r>
              <w:rPr>
                <w:rFonts w:ascii="Courier New" w:cs="Courier New" w:eastAsia="Courier New" w:hAnsi="Courier New"/>
                <w:sz w:val="16"/>
                <w:szCs w:val="16"/>
                <w:color w:val="auto"/>
                <w:w w:val="99"/>
              </w:rPr>
              <w:t>I N D E X</w:t>
            </w:r>
          </w:p>
        </w:tc>
        <w:tc>
          <w:tcPr>
            <w:tcW w:w="600" w:type="dxa"/>
            <w:vAlign w:val="bottom"/>
          </w:tcPr>
          <w:p>
            <w:pPr>
              <w:spacing w:after="0"/>
              <w:rPr>
                <w:sz w:val="24"/>
                <w:szCs w:val="24"/>
                <w:color w:val="auto"/>
              </w:rPr>
            </w:pPr>
          </w:p>
        </w:tc>
      </w:tr>
      <w:tr>
        <w:trPr>
          <w:trHeight w:val="745"/>
        </w:trPr>
        <w:tc>
          <w:tcPr>
            <w:tcW w:w="12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FINANCIAL INFORMATION</w:t>
            </w:r>
          </w:p>
        </w:tc>
        <w:tc>
          <w:tcPr>
            <w:tcW w:w="3160" w:type="dxa"/>
            <w:vAlign w:val="bottom"/>
            <w:gridSpan w:val="2"/>
          </w:tcPr>
          <w:p>
            <w:pPr>
              <w:ind w:left="2380"/>
              <w:spacing w:after="0"/>
              <w:rPr>
                <w:sz w:val="20"/>
                <w:szCs w:val="20"/>
                <w:color w:val="auto"/>
              </w:rPr>
            </w:pPr>
            <w:r>
              <w:rPr>
                <w:rFonts w:ascii="Courier New" w:cs="Courier New" w:eastAsia="Courier New" w:hAnsi="Courier New"/>
                <w:sz w:val="16"/>
                <w:szCs w:val="16"/>
                <w:color w:val="auto"/>
                <w:w w:val="98"/>
              </w:rPr>
              <w:t>PAGE NO.</w:t>
            </w:r>
          </w:p>
        </w:tc>
      </w:tr>
      <w:tr>
        <w:trPr>
          <w:trHeight w:val="559"/>
        </w:trPr>
        <w:tc>
          <w:tcPr>
            <w:tcW w:w="12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Consolidated Balance Sheets</w:t>
            </w:r>
          </w:p>
        </w:tc>
        <w:tc>
          <w:tcPr>
            <w:tcW w:w="60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30, 1999 (unaudited) and</w:t>
            </w:r>
          </w:p>
        </w:tc>
        <w:tc>
          <w:tcPr>
            <w:tcW w:w="600" w:type="dxa"/>
            <w:vAlign w:val="bottom"/>
          </w:tcPr>
          <w:p>
            <w:pPr>
              <w:spacing w:after="0"/>
              <w:rPr>
                <w:sz w:val="16"/>
                <w:szCs w:val="16"/>
                <w:color w:val="auto"/>
              </w:rPr>
            </w:pPr>
          </w:p>
        </w:tc>
      </w:tr>
      <w:tr>
        <w:trPr>
          <w:trHeight w:val="186"/>
        </w:trPr>
        <w:tc>
          <w:tcPr>
            <w:tcW w:w="1260" w:type="dxa"/>
            <w:vAlign w:val="bottom"/>
          </w:tcPr>
          <w:p>
            <w:pPr>
              <w:spacing w:after="0"/>
              <w:rPr>
                <w:sz w:val="16"/>
                <w:szCs w:val="16"/>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December 31, 1998 (audited)</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126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Consolidated Statements</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of Operations (unaudited)</w:t>
            </w:r>
          </w:p>
        </w:tc>
        <w:tc>
          <w:tcPr>
            <w:tcW w:w="60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Six months ended June 30, 1999 and 1998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126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Consolidated Statements</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of Operations (unaudited)</w:t>
            </w:r>
          </w:p>
        </w:tc>
        <w:tc>
          <w:tcPr>
            <w:tcW w:w="60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Three months ended June</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30, 1999 and 1998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26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Consolidated Statements</w:t>
            </w:r>
          </w:p>
        </w:tc>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of Shareholders' Equity</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(unaudited)</w:t>
            </w:r>
          </w:p>
        </w:tc>
        <w:tc>
          <w:tcPr>
            <w:tcW w:w="600" w:type="dxa"/>
            <w:vAlign w:val="bottom"/>
          </w:tcPr>
          <w:p>
            <w:pPr>
              <w:spacing w:after="0"/>
              <w:rPr>
                <w:sz w:val="16"/>
                <w:szCs w:val="16"/>
                <w:color w:val="auto"/>
              </w:rPr>
            </w:pPr>
          </w:p>
        </w:tc>
      </w:tr>
      <w:tr>
        <w:trPr>
          <w:trHeight w:val="186"/>
        </w:trPr>
        <w:tc>
          <w:tcPr>
            <w:tcW w:w="1260" w:type="dxa"/>
            <w:vAlign w:val="bottom"/>
          </w:tcPr>
          <w:p>
            <w:pPr>
              <w:spacing w:after="0"/>
              <w:rPr>
                <w:sz w:val="16"/>
                <w:szCs w:val="16"/>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Six months ended June 30, 1999 and 1998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3"/>
        </w:trPr>
        <w:tc>
          <w:tcPr>
            <w:tcW w:w="126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Consolidated Statements</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of Cash Flows (unaudited)</w:t>
            </w:r>
          </w:p>
        </w:tc>
        <w:tc>
          <w:tcPr>
            <w:tcW w:w="60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Six months ended June 30, 1999 and 1998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3"/>
        </w:trPr>
        <w:tc>
          <w:tcPr>
            <w:tcW w:w="1260" w:type="dxa"/>
            <w:vAlign w:val="bottom"/>
          </w:tcPr>
          <w:p>
            <w:pPr>
              <w:spacing w:after="0"/>
              <w:rPr>
                <w:sz w:val="24"/>
                <w:szCs w:val="24"/>
                <w:color w:val="auto"/>
              </w:rPr>
            </w:pPr>
          </w:p>
        </w:tc>
        <w:tc>
          <w:tcPr>
            <w:tcW w:w="53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Notes to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9-13</w:t>
            </w:r>
          </w:p>
        </w:tc>
      </w:tr>
      <w:tr>
        <w:trPr>
          <w:trHeight w:val="373"/>
        </w:trPr>
        <w:tc>
          <w:tcPr>
            <w:tcW w:w="126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Management's Discussion</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and Analysis of</w:t>
            </w:r>
          </w:p>
        </w:tc>
        <w:tc>
          <w:tcPr>
            <w:tcW w:w="60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Financial Condition and</w:t>
            </w:r>
          </w:p>
        </w:tc>
        <w:tc>
          <w:tcPr>
            <w:tcW w:w="2560" w:type="dxa"/>
            <w:vAlign w:val="bottom"/>
          </w:tcPr>
          <w:p>
            <w:pPr>
              <w:ind w:left="40"/>
              <w:spacing w:after="0"/>
              <w:rPr>
                <w:sz w:val="20"/>
                <w:szCs w:val="20"/>
                <w:color w:val="auto"/>
              </w:rPr>
            </w:pPr>
            <w:r>
              <w:rPr>
                <w:rFonts w:ascii="Courier New" w:cs="Courier New" w:eastAsia="Courier New" w:hAnsi="Courier New"/>
                <w:sz w:val="16"/>
                <w:szCs w:val="16"/>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14-23</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OTHER INFORMATION</w:t>
            </w:r>
          </w:p>
        </w:tc>
        <w:tc>
          <w:tcPr>
            <w:tcW w:w="2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73"/>
        </w:trPr>
        <w:tc>
          <w:tcPr>
            <w:tcW w:w="1260" w:type="dxa"/>
            <w:vAlign w:val="bottom"/>
          </w:tcPr>
          <w:p>
            <w:pPr>
              <w:spacing w:after="0"/>
              <w:rPr>
                <w:sz w:val="24"/>
                <w:szCs w:val="24"/>
                <w:color w:val="auto"/>
              </w:rPr>
            </w:pPr>
          </w:p>
        </w:tc>
        <w:tc>
          <w:tcPr>
            <w:tcW w:w="2760" w:type="dxa"/>
            <w:vAlign w:val="bottom"/>
          </w:tcPr>
          <w:p>
            <w:pPr>
              <w:jc w:val="center"/>
              <w:ind w:left="2299"/>
              <w:spacing w:after="0"/>
              <w:rPr>
                <w:sz w:val="20"/>
                <w:szCs w:val="20"/>
                <w:color w:val="auto"/>
              </w:rPr>
            </w:pPr>
            <w:r>
              <w:rPr>
                <w:rFonts w:ascii="Courier New" w:cs="Courier New" w:eastAsia="Courier New" w:hAnsi="Courier New"/>
                <w:sz w:val="16"/>
                <w:szCs w:val="16"/>
                <w:color w:val="auto"/>
              </w:rPr>
              <w:t>2</w:t>
            </w:r>
          </w:p>
        </w:tc>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S.E.C. FORM 10-Q</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June 30, 1999</w:t>
      </w:r>
    </w:p>
    <w:p>
      <w:pPr>
        <w:spacing w:after="0" w:line="3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1" w:lineRule="exact"/>
        <w:rPr>
          <w:sz w:val="20"/>
          <w:szCs w:val="20"/>
          <w:color w:val="auto"/>
        </w:rPr>
      </w:pPr>
    </w:p>
    <w:p>
      <w:pPr>
        <w:ind w:left="880" w:right="2659" w:firstLine="581"/>
        <w:spacing w:after="0" w:line="246" w:lineRule="auto"/>
        <w:rPr>
          <w:sz w:val="20"/>
          <w:szCs w:val="20"/>
          <w:color w:val="auto"/>
        </w:rPr>
      </w:pPr>
      <w:r>
        <w:rPr>
          <w:rFonts w:ascii="Courier New" w:cs="Courier New" w:eastAsia="Courier New" w:hAnsi="Courier New"/>
          <w:sz w:val="16"/>
          <w:szCs w:val="16"/>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spacing w:after="0"/>
              <w:rPr>
                <w:sz w:val="15"/>
                <w:szCs w:val="15"/>
                <w:color w:val="auto"/>
              </w:rPr>
            </w:pPr>
          </w:p>
        </w:tc>
        <w:tc>
          <w:tcPr>
            <w:tcW w:w="2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June 30,</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(unaudited)</w:t>
            </w:r>
          </w:p>
        </w:tc>
        <w:tc>
          <w:tcPr>
            <w:tcW w:w="1640" w:type="dxa"/>
            <w:vAlign w:val="bottom"/>
          </w:tcPr>
          <w:p>
            <w:pPr>
              <w:spacing w:after="0"/>
              <w:rPr>
                <w:sz w:val="16"/>
                <w:szCs w:val="16"/>
                <w:color w:val="auto"/>
              </w:rPr>
            </w:pP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ind w:left="3480"/>
              <w:spacing w:after="0"/>
              <w:rPr>
                <w:sz w:val="20"/>
                <w:szCs w:val="20"/>
                <w:color w:val="auto"/>
              </w:rPr>
            </w:pPr>
            <w:r>
              <w:rPr>
                <w:rFonts w:ascii="Courier New" w:cs="Courier New" w:eastAsia="Courier New" w:hAnsi="Courier New"/>
                <w:sz w:val="16"/>
                <w:szCs w:val="16"/>
                <w:color w:val="auto"/>
              </w:rPr>
              <w:t>ASSETS</w:t>
            </w:r>
          </w:p>
        </w:tc>
        <w:tc>
          <w:tcPr>
            <w:tcW w:w="372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74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Real estate, at cost</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$1,701,981</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$1,642,136</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(308,580)</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(286,053)</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1,393,401</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1,356,083</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Mortgage notes receivable</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56,451</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51,154</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1,449,852</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1,407,237</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Cash</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11,853</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17,230</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Accounts and notes receivable</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14,923</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17,873</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 assets, principally</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380"/>
              <w:spacing w:after="0"/>
              <w:rPr>
                <w:sz w:val="20"/>
                <w:szCs w:val="20"/>
                <w:color w:val="auto"/>
              </w:rPr>
            </w:pPr>
            <w:r>
              <w:rPr>
                <w:rFonts w:ascii="Courier New" w:cs="Courier New" w:eastAsia="Courier New" w:hAnsi="Courier New"/>
                <w:sz w:val="16"/>
                <w:szCs w:val="16"/>
                <w:color w:val="auto"/>
              </w:rPr>
              <w:t>property taxes and lease commissions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35,243</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38,502</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Debt issue costs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3,026</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3,475</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$1,514,897</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$1,484,317</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ind w:left="1940"/>
              <w:spacing w:after="0"/>
              <w:rPr>
                <w:sz w:val="20"/>
                <w:szCs w:val="20"/>
                <w:color w:val="auto"/>
              </w:rPr>
            </w:pPr>
            <w:r>
              <w:rPr>
                <w:rFonts w:ascii="Courier New" w:cs="Courier New" w:eastAsia="Courier New" w:hAnsi="Courier New"/>
                <w:sz w:val="16"/>
                <w:szCs w:val="16"/>
                <w:color w:val="auto"/>
              </w:rPr>
              <w:t>LIABILITIES AND SHAREHOLDERS' EQUITY</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3"/>
        </w:trPr>
        <w:tc>
          <w:tcPr>
            <w:tcW w:w="74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Obligations under capital leases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122,219</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122,401</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Mortgages payable</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50,819</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51,079</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Notes payable</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308,840</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263,159</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and accrued expenses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32,308</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34,073</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Dividends payable</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19,037</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18,972</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Security deposits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5,116</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5,214</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Prepaid rents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4,703</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3,641</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Senior notes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335,000</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335,000</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75,289</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75,289</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46,976</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45,542</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3"/>
        </w:trPr>
        <w:tc>
          <w:tcPr>
            <w:tcW w:w="74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6"/>
        </w:trPr>
        <w:tc>
          <w:tcPr>
            <w:tcW w:w="7420" w:type="dxa"/>
            <w:vAlign w:val="bottom"/>
          </w:tcPr>
          <w:p>
            <w:pPr>
              <w:ind w:left="300"/>
              <w:spacing w:after="0"/>
              <w:rPr>
                <w:sz w:val="20"/>
                <w:szCs w:val="20"/>
                <w:color w:val="auto"/>
              </w:rPr>
            </w:pPr>
            <w:r>
              <w:rPr>
                <w:rFonts w:ascii="Courier New" w:cs="Courier New" w:eastAsia="Courier New" w:hAnsi="Courier New"/>
                <w:sz w:val="16"/>
                <w:szCs w:val="16"/>
                <w:color w:val="auto"/>
              </w:rPr>
              <w:t>7.95% Series A Cumulative Redeemable Preferred Shares, liquidation</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480"/>
              <w:spacing w:after="0"/>
              <w:rPr>
                <w:sz w:val="20"/>
                <w:szCs w:val="20"/>
                <w:color w:val="auto"/>
              </w:rPr>
            </w:pPr>
            <w:r>
              <w:rPr>
                <w:rFonts w:ascii="Courier New" w:cs="Courier New" w:eastAsia="Courier New" w:hAnsi="Courier New"/>
                <w:sz w:val="16"/>
                <w:szCs w:val="16"/>
                <w:color w:val="auto"/>
              </w:rPr>
              <w:t>preference $25 per share, 4,000,000 shares issued in 1997</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100,000</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Common shares of beneficial interest, no par</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380"/>
              <w:spacing w:after="0"/>
              <w:rPr>
                <w:sz w:val="20"/>
                <w:szCs w:val="20"/>
                <w:color w:val="auto"/>
              </w:rPr>
            </w:pPr>
            <w:r>
              <w:rPr>
                <w:rFonts w:ascii="Courier New" w:cs="Courier New" w:eastAsia="Courier New" w:hAnsi="Courier New"/>
                <w:sz w:val="16"/>
                <w:szCs w:val="16"/>
                <w:color w:val="auto"/>
              </w:rPr>
              <w:t>or stated value, unlimited authorization,</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380"/>
              <w:spacing w:after="0"/>
              <w:rPr>
                <w:sz w:val="20"/>
                <w:szCs w:val="20"/>
                <w:color w:val="auto"/>
              </w:rPr>
            </w:pPr>
            <w:r>
              <w:rPr>
                <w:rFonts w:ascii="Courier New" w:cs="Courier New" w:eastAsia="Courier New" w:hAnsi="Courier New"/>
                <w:sz w:val="16"/>
                <w:szCs w:val="16"/>
                <w:color w:val="auto"/>
              </w:rPr>
              <w:t>issued 40,327,397 and 40,139,675 shares,</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380"/>
              <w:spacing w:after="0"/>
              <w:rPr>
                <w:sz w:val="20"/>
                <w:szCs w:val="20"/>
                <w:color w:val="auto"/>
              </w:rPr>
            </w:pPr>
            <w:r>
              <w:rPr>
                <w:rFonts w:ascii="Courier New" w:cs="Courier New" w:eastAsia="Courier New" w:hAnsi="Courier New"/>
                <w:sz w:val="16"/>
                <w:szCs w:val="16"/>
                <w:color w:val="auto"/>
              </w:rPr>
              <w:t>respectively</w:t>
            </w: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711,877</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707,724</w:t>
            </w: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2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(274,201)</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(255,211)</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537,676</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552,513</w:t>
            </w:r>
          </w:p>
        </w:tc>
      </w:tr>
      <w:tr>
        <w:trPr>
          <w:trHeight w:val="186"/>
        </w:trPr>
        <w:tc>
          <w:tcPr>
            <w:tcW w:w="7420" w:type="dxa"/>
            <w:vAlign w:val="bottom"/>
          </w:tcPr>
          <w:p>
            <w:pPr>
              <w:spacing w:after="0"/>
              <w:rPr>
                <w:sz w:val="20"/>
                <w:szCs w:val="20"/>
                <w:color w:val="auto"/>
              </w:rPr>
            </w:pPr>
            <w:r>
              <w:rPr>
                <w:rFonts w:ascii="Courier New" w:cs="Courier New" w:eastAsia="Courier New" w:hAnsi="Courier New"/>
                <w:sz w:val="16"/>
                <w:szCs w:val="16"/>
                <w:color w:val="auto"/>
              </w:rPr>
              <w:t>Less 58,419 and 59,425 common shares in treasury - at cost, respectively</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742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 and subscriptions receivable</w:t>
            </w:r>
          </w:p>
        </w:tc>
        <w:tc>
          <w:tcPr>
            <w:tcW w:w="2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(23,086)</w:t>
            </w:r>
          </w:p>
        </w:tc>
        <w:tc>
          <w:tcPr>
            <w:tcW w:w="1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(22,566)</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514,590</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529,947</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$1,514,897</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$1,484,317</w:t>
            </w:r>
          </w:p>
        </w:tc>
      </w:tr>
      <w:tr>
        <w:trPr>
          <w:trHeight w:val="186"/>
        </w:trPr>
        <w:tc>
          <w:tcPr>
            <w:tcW w:w="7420" w:type="dxa"/>
            <w:vAlign w:val="bottom"/>
          </w:tcPr>
          <w:p>
            <w:pPr>
              <w:spacing w:after="0"/>
              <w:rPr>
                <w:sz w:val="16"/>
                <w:szCs w:val="16"/>
                <w:color w:val="auto"/>
              </w:rPr>
            </w:pPr>
          </w:p>
        </w:tc>
        <w:tc>
          <w:tcPr>
            <w:tcW w:w="2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40"/>
          </w:cols>
          <w:pgMar w:left="240" w:top="676" w:right="5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gridSpan w:val="2"/>
          </w:tcPr>
          <w:p>
            <w:pPr>
              <w:ind w:left="2040"/>
              <w:spacing w:after="0"/>
              <w:rPr>
                <w:sz w:val="20"/>
                <w:szCs w:val="20"/>
                <w:color w:val="auto"/>
              </w:rPr>
            </w:pPr>
            <w:r>
              <w:rPr>
                <w:rFonts w:ascii="Courier New" w:cs="Courier New" w:eastAsia="Courier New" w:hAnsi="Courier New"/>
                <w:sz w:val="16"/>
                <w:szCs w:val="16"/>
                <w:color w:val="auto"/>
              </w:rPr>
              <w:t>(unaudited)</w:t>
            </w:r>
          </w:p>
        </w:tc>
        <w:tc>
          <w:tcPr>
            <w:tcW w:w="1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45"/>
        </w:trPr>
        <w:tc>
          <w:tcPr>
            <w:tcW w:w="2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Six months ended June 30,</w:t>
            </w:r>
          </w:p>
        </w:tc>
        <w:tc>
          <w:tcPr>
            <w:tcW w:w="680" w:type="dxa"/>
            <w:vAlign w:val="bottom"/>
          </w:tcPr>
          <w:p>
            <w:pPr>
              <w:spacing w:after="0"/>
              <w:rPr>
                <w:sz w:val="24"/>
                <w:szCs w:val="24"/>
                <w:color w:val="auto"/>
              </w:rPr>
            </w:pP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1998</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3"/>
        </w:trPr>
        <w:tc>
          <w:tcPr>
            <w:tcW w:w="22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Rental income</w:t>
            </w: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$119,107</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$106,608</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and other income</w:t>
            </w: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3,844</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2,935</w:t>
            </w: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property income</w:t>
            </w: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4,827</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5,036</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w w:val="98"/>
              </w:rPr>
              <w:t>127,778</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114,579</w:t>
            </w:r>
          </w:p>
        </w:tc>
      </w:tr>
      <w:tr>
        <w:trPr>
          <w:trHeight w:val="745"/>
        </w:trPr>
        <w:tc>
          <w:tcPr>
            <w:tcW w:w="22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Rental</w:t>
            </w: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26,104</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23,269</w:t>
            </w: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11,867</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11,217</w:t>
            </w: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30,518</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26,097</w:t>
            </w: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5,414</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5,836</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24,932</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21,972</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98,835</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88,391</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1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of operations and loss on sale of real estate</w:t>
            </w: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28,943</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26,188</w:t>
            </w:r>
          </w:p>
        </w:tc>
      </w:tr>
      <w:tr>
        <w:trPr>
          <w:trHeight w:val="373"/>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Investors' share of operations</w:t>
            </w:r>
          </w:p>
        </w:tc>
        <w:tc>
          <w:tcPr>
            <w:tcW w:w="1400" w:type="dxa"/>
            <w:vAlign w:val="bottom"/>
          </w:tcPr>
          <w:p>
            <w:pPr>
              <w:spacing w:after="0"/>
              <w:rPr>
                <w:sz w:val="24"/>
                <w:szCs w:val="24"/>
                <w:color w:val="auto"/>
              </w:rPr>
            </w:pPr>
          </w:p>
        </w:tc>
        <w:tc>
          <w:tcPr>
            <w:tcW w:w="18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(1,524)</w:t>
            </w:r>
          </w:p>
        </w:tc>
        <w:tc>
          <w:tcPr>
            <w:tcW w:w="1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(1,531)</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ind w:left="106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Income before loss on</w:t>
            </w:r>
          </w:p>
        </w:tc>
        <w:tc>
          <w:tcPr>
            <w:tcW w:w="3840" w:type="dxa"/>
            <w:vAlign w:val="bottom"/>
          </w:tcPr>
          <w:p>
            <w:pPr>
              <w:spacing w:after="0"/>
              <w:rPr>
                <w:sz w:val="20"/>
                <w:szCs w:val="20"/>
                <w:color w:val="auto"/>
              </w:rPr>
            </w:pPr>
            <w:r>
              <w:rPr>
                <w:rFonts w:ascii="Courier New" w:cs="Courier New" w:eastAsia="Courier New" w:hAnsi="Courier New"/>
                <w:sz w:val="16"/>
                <w:szCs w:val="16"/>
                <w:color w:val="auto"/>
              </w:rPr>
              <w:t>sale of real estate</w:t>
            </w: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27,419</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24,657</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Estimated loss on  sale of real estate</w:t>
            </w:r>
          </w:p>
        </w:tc>
        <w:tc>
          <w:tcPr>
            <w:tcW w:w="1400" w:type="dxa"/>
            <w:vAlign w:val="bottom"/>
          </w:tcPr>
          <w:p>
            <w:pPr>
              <w:spacing w:after="0"/>
              <w:rPr>
                <w:sz w:val="24"/>
                <w:szCs w:val="24"/>
                <w:color w:val="auto"/>
              </w:rPr>
            </w:pPr>
          </w:p>
        </w:tc>
        <w:tc>
          <w:tcPr>
            <w:tcW w:w="18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(7,050)</w:t>
            </w:r>
          </w:p>
        </w:tc>
        <w:tc>
          <w:tcPr>
            <w:tcW w:w="126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$ 20,369</w:t>
            </w:r>
          </w:p>
        </w:tc>
        <w:tc>
          <w:tcPr>
            <w:tcW w:w="126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24,657</w:t>
            </w:r>
          </w:p>
        </w:tc>
      </w:tr>
      <w:tr>
        <w:trPr>
          <w:trHeight w:val="373"/>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Dividends on preferred stock</w:t>
            </w:r>
          </w:p>
        </w:tc>
        <w:tc>
          <w:tcPr>
            <w:tcW w:w="1400" w:type="dxa"/>
            <w:vAlign w:val="bottom"/>
          </w:tcPr>
          <w:p>
            <w:pPr>
              <w:spacing w:after="0"/>
              <w:rPr>
                <w:sz w:val="24"/>
                <w:szCs w:val="24"/>
                <w:color w:val="auto"/>
              </w:rPr>
            </w:pPr>
          </w:p>
        </w:tc>
        <w:tc>
          <w:tcPr>
            <w:tcW w:w="18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(3,975)</w:t>
            </w:r>
          </w:p>
        </w:tc>
        <w:tc>
          <w:tcPr>
            <w:tcW w:w="1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(3,975)</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Net income available for common shareholders</w:t>
            </w: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$ 16,394</w:t>
            </w:r>
          </w:p>
        </w:tc>
        <w:tc>
          <w:tcPr>
            <w:tcW w:w="126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20,682</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common share, basic</w:t>
            </w: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before loss on sale of real estate</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0.59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0.53</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Loss on sale of real estate</w:t>
            </w:r>
          </w:p>
        </w:tc>
        <w:tc>
          <w:tcPr>
            <w:tcW w:w="1400" w:type="dxa"/>
            <w:vAlign w:val="bottom"/>
          </w:tcPr>
          <w:p>
            <w:pPr>
              <w:spacing w:after="0"/>
              <w:rPr>
                <w:sz w:val="16"/>
                <w:szCs w:val="16"/>
                <w:color w:val="auto"/>
              </w:rPr>
            </w:pPr>
          </w:p>
        </w:tc>
        <w:tc>
          <w:tcPr>
            <w:tcW w:w="18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(0.18)</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0.41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0.53</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shares, basic</w:t>
            </w: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39,489</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39,057</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common share, diluted</w:t>
            </w: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Income before loss on</w:t>
            </w:r>
          </w:p>
        </w:tc>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sale of real estate</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0.58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0.52</w:t>
            </w:r>
          </w:p>
        </w:tc>
      </w:tr>
      <w:tr>
        <w:trPr>
          <w:trHeight w:val="186"/>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Loss on sale of real estate</w:t>
            </w:r>
          </w:p>
        </w:tc>
        <w:tc>
          <w:tcPr>
            <w:tcW w:w="1400" w:type="dxa"/>
            <w:vAlign w:val="bottom"/>
          </w:tcPr>
          <w:p>
            <w:pPr>
              <w:spacing w:after="0"/>
              <w:rPr>
                <w:sz w:val="16"/>
                <w:szCs w:val="16"/>
                <w:color w:val="auto"/>
              </w:rPr>
            </w:pPr>
          </w:p>
        </w:tc>
        <w:tc>
          <w:tcPr>
            <w:tcW w:w="18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(0.17)</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0.41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0.52</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shares, diluted</w:t>
            </w:r>
          </w:p>
        </w:tc>
        <w:tc>
          <w:tcPr>
            <w:tcW w:w="1400" w:type="dxa"/>
            <w:vAlign w:val="bottom"/>
          </w:tcPr>
          <w:p>
            <w:pPr>
              <w:spacing w:after="0"/>
              <w:rPr>
                <w:sz w:val="16"/>
                <w:szCs w:val="16"/>
                <w:color w:val="auto"/>
              </w:rPr>
            </w:pPr>
          </w:p>
        </w:tc>
        <w:tc>
          <w:tcPr>
            <w:tcW w:w="18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40,613</w:t>
            </w:r>
          </w:p>
        </w:tc>
        <w:tc>
          <w:tcPr>
            <w:tcW w:w="12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39,896</w:t>
            </w:r>
          </w:p>
        </w:tc>
      </w:tr>
      <w:tr>
        <w:trPr>
          <w:trHeight w:val="186"/>
        </w:trPr>
        <w:tc>
          <w:tcPr>
            <w:tcW w:w="2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240"/>
          </w:cols>
          <w:pgMar w:left="240" w:top="676" w:right="4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ind w:left="2520"/>
              <w:spacing w:after="0"/>
              <w:rPr>
                <w:sz w:val="20"/>
                <w:szCs w:val="20"/>
                <w:color w:val="auto"/>
              </w:rPr>
            </w:pPr>
            <w:r>
              <w:rPr>
                <w:rFonts w:ascii="Courier New" w:cs="Courier New" w:eastAsia="Courier New" w:hAnsi="Courier New"/>
                <w:sz w:val="16"/>
                <w:szCs w:val="16"/>
                <w:color w:val="auto"/>
              </w:rPr>
              <w:t>(unaudited)</w:t>
            </w:r>
          </w:p>
        </w:tc>
        <w:tc>
          <w:tcPr>
            <w:tcW w:w="1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45"/>
        </w:trPr>
        <w:tc>
          <w:tcPr>
            <w:tcW w:w="6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June 30,</w:t>
            </w:r>
          </w:p>
        </w:tc>
        <w:tc>
          <w:tcPr>
            <w:tcW w:w="660" w:type="dxa"/>
            <w:vAlign w:val="bottom"/>
          </w:tcPr>
          <w:p>
            <w:pPr>
              <w:spacing w:after="0"/>
              <w:rPr>
                <w:sz w:val="24"/>
                <w:szCs w:val="24"/>
                <w:color w:val="auto"/>
              </w:rPr>
            </w:pP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1219"/>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60" w:type="dxa"/>
            <w:vAlign w:val="bottom"/>
          </w:tcPr>
          <w:p>
            <w:pPr>
              <w:spacing w:after="0"/>
              <w:rPr>
                <w:sz w:val="16"/>
                <w:szCs w:val="16"/>
                <w:color w:val="auto"/>
              </w:rPr>
            </w:pP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Rental income</w:t>
            </w: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$59,674</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$54,127</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Interest and other income</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1,966</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1,341</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Other property income</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2,555</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2,934</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64,195</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58,402</w:t>
            </w:r>
          </w:p>
        </w:tc>
      </w:tr>
      <w:tr>
        <w:trPr>
          <w:trHeight w:val="745"/>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Rental</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12,456</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11,347</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5,855</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5,745</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15,385</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13,404</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3,160</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3,995</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12,651</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11,203</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49,507</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45,694</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1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of operations and loss on sale of real estate</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14,688</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12,708</w:t>
            </w:r>
          </w:p>
        </w:tc>
      </w:tr>
      <w:tr>
        <w:trPr>
          <w:trHeight w:val="373"/>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Investors' share of operations</w:t>
            </w:r>
          </w:p>
        </w:tc>
        <w:tc>
          <w:tcPr>
            <w:tcW w:w="1980" w:type="dxa"/>
            <w:vAlign w:val="bottom"/>
          </w:tcPr>
          <w:p>
            <w:pPr>
              <w:spacing w:after="0"/>
              <w:rPr>
                <w:sz w:val="24"/>
                <w:szCs w:val="24"/>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(823)</w:t>
            </w:r>
          </w:p>
        </w:tc>
        <w:tc>
          <w:tcPr>
            <w:tcW w:w="1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(745)</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before loss on sale of real estate</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13,865</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11,963</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Estimated loss on sale of real estate</w:t>
            </w:r>
          </w:p>
        </w:tc>
        <w:tc>
          <w:tcPr>
            <w:tcW w:w="1980" w:type="dxa"/>
            <w:vAlign w:val="bottom"/>
          </w:tcPr>
          <w:p>
            <w:pPr>
              <w:spacing w:after="0"/>
              <w:rPr>
                <w:sz w:val="24"/>
                <w:szCs w:val="24"/>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8"/>
              </w:rPr>
              <w:t>(7,050)</w:t>
            </w:r>
          </w:p>
        </w:tc>
        <w:tc>
          <w:tcPr>
            <w:tcW w:w="1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$ 6,815</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$11,963</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Dividends on preferred stock</w:t>
            </w:r>
          </w:p>
        </w:tc>
        <w:tc>
          <w:tcPr>
            <w:tcW w:w="198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8"/>
              </w:rPr>
              <w:t>(1,987)</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(1,987)</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 shareholders</w:t>
            </w: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$ 4,828</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$ 9,976</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Earnings per common share, basic</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Income before loss on sale of real estate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0.30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0.26</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Loss on sale of real estate</w:t>
            </w:r>
          </w:p>
        </w:tc>
        <w:tc>
          <w:tcPr>
            <w:tcW w:w="198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(0.18)</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0.12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0.26</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basic</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39,543</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39,122</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Earnings per common share, diluted</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Income before loss on sale of real estate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0.29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r>
      <w:tr>
        <w:trPr>
          <w:trHeight w:val="186"/>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Loss on  sale of real estate</w:t>
            </w:r>
          </w:p>
        </w:tc>
        <w:tc>
          <w:tcPr>
            <w:tcW w:w="198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(0.17)</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0.12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diluted</w:t>
            </w:r>
          </w:p>
        </w:tc>
        <w:tc>
          <w:tcPr>
            <w:tcW w:w="198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7"/>
              </w:rPr>
              <w:t>40,682</w:t>
            </w: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39,900</w:t>
            </w:r>
          </w:p>
        </w:tc>
      </w:tr>
      <w:tr>
        <w:trPr>
          <w:trHeight w:val="186"/>
        </w:trPr>
        <w:tc>
          <w:tcPr>
            <w:tcW w:w="6060" w:type="dxa"/>
            <w:vAlign w:val="bottom"/>
          </w:tcPr>
          <w:p>
            <w:pPr>
              <w:spacing w:after="0"/>
              <w:rPr>
                <w:sz w:val="16"/>
                <w:szCs w:val="16"/>
                <w:color w:val="auto"/>
              </w:rPr>
            </w:pPr>
          </w:p>
        </w:tc>
        <w:tc>
          <w:tcPr>
            <w:tcW w:w="33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0"/>
          </w:cols>
          <w:pgMar w:left="240" w:top="67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20" w:type="dxa"/>
            <w:vAlign w:val="bottom"/>
          </w:tcPr>
          <w:p>
            <w:pPr>
              <w:ind w:left="1640"/>
              <w:spacing w:after="0"/>
              <w:rPr>
                <w:sz w:val="20"/>
                <w:szCs w:val="20"/>
                <w:color w:val="auto"/>
              </w:rPr>
            </w:pPr>
            <w:r>
              <w:rPr>
                <w:rFonts w:ascii="Courier New" w:cs="Courier New" w:eastAsia="Courier New" w:hAnsi="Courier New"/>
                <w:sz w:val="16"/>
                <w:szCs w:val="16"/>
                <w:color w:val="auto"/>
              </w:rPr>
              <w:t>(unaudited)</w:t>
            </w:r>
          </w:p>
        </w:tc>
        <w:tc>
          <w:tcPr>
            <w:tcW w:w="22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932"/>
        </w:trPr>
        <w:tc>
          <w:tcPr>
            <w:tcW w:w="7120" w:type="dxa"/>
            <w:vAlign w:val="bottom"/>
          </w:tcPr>
          <w:p>
            <w:pPr>
              <w:spacing w:after="0"/>
              <w:rPr>
                <w:sz w:val="24"/>
                <w:szCs w:val="24"/>
                <w:color w:val="auto"/>
              </w:rPr>
            </w:pPr>
          </w:p>
        </w:tc>
        <w:tc>
          <w:tcPr>
            <w:tcW w:w="41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Six months ended June 30,</w:t>
            </w:r>
          </w:p>
        </w:tc>
      </w:tr>
      <w:tr>
        <w:trPr>
          <w:trHeight w:val="186"/>
        </w:trPr>
        <w:tc>
          <w:tcPr>
            <w:tcW w:w="7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40" w:type="dxa"/>
            <w:vAlign w:val="bottom"/>
          </w:tcPr>
          <w:p>
            <w:pPr>
              <w:jc w:val="right"/>
              <w:ind w:right="1379"/>
              <w:spacing w:after="0"/>
              <w:rPr>
                <w:sz w:val="20"/>
                <w:szCs w:val="20"/>
                <w:color w:val="auto"/>
              </w:rPr>
            </w:pPr>
            <w:r>
              <w:rPr>
                <w:rFonts w:ascii="Courier New" w:cs="Courier New" w:eastAsia="Courier New" w:hAnsi="Courier New"/>
                <w:sz w:val="16"/>
                <w:szCs w:val="16"/>
                <w:color w:val="auto"/>
                <w:w w:val="93"/>
              </w:rPr>
              <w:t>1999</w:t>
            </w:r>
          </w:p>
        </w:tc>
      </w:tr>
      <w:tr>
        <w:trPr>
          <w:trHeight w:val="186"/>
        </w:trPr>
        <w:tc>
          <w:tcPr>
            <w:tcW w:w="7120" w:type="dxa"/>
            <w:vAlign w:val="bottom"/>
          </w:tcPr>
          <w:p>
            <w:pPr>
              <w:spacing w:after="0"/>
              <w:rPr>
                <w:sz w:val="16"/>
                <w:szCs w:val="16"/>
                <w:color w:val="auto"/>
              </w:rPr>
            </w:pPr>
          </w:p>
        </w:tc>
        <w:tc>
          <w:tcPr>
            <w:tcW w:w="2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12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2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Shares</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Amount</w:t>
            </w:r>
          </w:p>
        </w:tc>
      </w:tr>
      <w:tr>
        <w:trPr>
          <w:trHeight w:val="373"/>
        </w:trPr>
        <w:tc>
          <w:tcPr>
            <w:tcW w:w="712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2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40,139,675</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$707,724</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Exercise of stock options</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49,917</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1,044</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77,151</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1,735</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Performance and Restricted Shares granted, net of retirements</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60,654</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1,374</w:t>
            </w:r>
          </w:p>
        </w:tc>
      </w:tr>
      <w:tr>
        <w:trPr>
          <w:trHeight w:val="186"/>
        </w:trPr>
        <w:tc>
          <w:tcPr>
            <w:tcW w:w="7120" w:type="dxa"/>
            <w:vAlign w:val="bottom"/>
          </w:tcPr>
          <w:p>
            <w:pPr>
              <w:spacing w:after="0"/>
              <w:rPr>
                <w:sz w:val="16"/>
                <w:szCs w:val="16"/>
                <w:color w:val="auto"/>
              </w:rPr>
            </w:pP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40,327,397</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$711,877</w:t>
            </w:r>
          </w:p>
        </w:tc>
      </w:tr>
      <w:tr>
        <w:trPr>
          <w:trHeight w:val="186"/>
        </w:trPr>
        <w:tc>
          <w:tcPr>
            <w:tcW w:w="7120" w:type="dxa"/>
            <w:vAlign w:val="bottom"/>
          </w:tcPr>
          <w:p>
            <w:pPr>
              <w:spacing w:after="0"/>
              <w:rPr>
                <w:sz w:val="16"/>
                <w:szCs w:val="16"/>
                <w:color w:val="auto"/>
              </w:rPr>
            </w:pP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712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2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6"/>
        </w:trPr>
        <w:tc>
          <w:tcPr>
            <w:tcW w:w="7120" w:type="dxa"/>
            <w:vAlign w:val="bottom"/>
          </w:tcPr>
          <w:p>
            <w:pPr>
              <w:ind w:left="380"/>
              <w:spacing w:after="0"/>
              <w:rPr>
                <w:sz w:val="20"/>
                <w:szCs w:val="20"/>
                <w:color w:val="auto"/>
              </w:rPr>
            </w:pPr>
            <w:r>
              <w:rPr>
                <w:rFonts w:ascii="Courier New" w:cs="Courier New" w:eastAsia="Courier New" w:hAnsi="Courier New"/>
                <w:sz w:val="16"/>
                <w:szCs w:val="16"/>
                <w:color w:val="auto"/>
              </w:rPr>
              <w:t>in Treasury, Deferred Compensation and</w:t>
            </w:r>
          </w:p>
        </w:tc>
        <w:tc>
          <w:tcPr>
            <w:tcW w:w="22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7120" w:type="dxa"/>
            <w:vAlign w:val="bottom"/>
          </w:tcPr>
          <w:p>
            <w:pPr>
              <w:ind w:left="380"/>
              <w:spacing w:after="0"/>
              <w:rPr>
                <w:sz w:val="20"/>
                <w:szCs w:val="20"/>
                <w:color w:val="auto"/>
              </w:rPr>
            </w:pPr>
            <w:r>
              <w:rPr>
                <w:rFonts w:ascii="Courier New" w:cs="Courier New" w:eastAsia="Courier New" w:hAnsi="Courier New"/>
                <w:sz w:val="16"/>
                <w:szCs w:val="16"/>
                <w:color w:val="auto"/>
              </w:rPr>
              <w:t>Subscriptions Receivable</w:t>
            </w:r>
          </w:p>
        </w:tc>
        <w:tc>
          <w:tcPr>
            <w:tcW w:w="22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(979,446)</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($22,566)</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deferred compensation</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28,738</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571</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Performance and Restricted Shares granted, net of retirements</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(45,654)</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(1,039)</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Purchase of shares under share purchase plan</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9,000</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Reissuance of treasury shares</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Decrease (increase) in stock option loans, net</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(8,995)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6"/>
        </w:trPr>
        <w:tc>
          <w:tcPr>
            <w:tcW w:w="7120" w:type="dxa"/>
            <w:vAlign w:val="bottom"/>
          </w:tcPr>
          <w:p>
            <w:pPr>
              <w:spacing w:after="0"/>
              <w:rPr>
                <w:sz w:val="16"/>
                <w:szCs w:val="16"/>
                <w:color w:val="auto"/>
              </w:rPr>
            </w:pP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(996,357)</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($23,086)</w:t>
            </w:r>
          </w:p>
        </w:tc>
      </w:tr>
      <w:tr>
        <w:trPr>
          <w:trHeight w:val="186"/>
        </w:trPr>
        <w:tc>
          <w:tcPr>
            <w:tcW w:w="7120" w:type="dxa"/>
            <w:vAlign w:val="bottom"/>
          </w:tcPr>
          <w:p>
            <w:pPr>
              <w:spacing w:after="0"/>
              <w:rPr>
                <w:sz w:val="16"/>
                <w:szCs w:val="16"/>
                <w:color w:val="auto"/>
              </w:rPr>
            </w:pP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712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2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2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($255,211)</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280" w:type="dxa"/>
            <w:vAlign w:val="bottom"/>
          </w:tcPr>
          <w:p>
            <w:pPr>
              <w:spacing w:after="0"/>
              <w:rPr>
                <w:sz w:val="16"/>
                <w:szCs w:val="16"/>
                <w:color w:val="auto"/>
              </w:rPr>
            </w:pP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20,369</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Dividends declared to shareholders</w:t>
            </w:r>
          </w:p>
        </w:tc>
        <w:tc>
          <w:tcPr>
            <w:tcW w:w="2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(39,359)</w:t>
            </w:r>
          </w:p>
        </w:tc>
      </w:tr>
      <w:tr>
        <w:trPr>
          <w:trHeight w:val="186"/>
        </w:trPr>
        <w:tc>
          <w:tcPr>
            <w:tcW w:w="7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120" w:type="dxa"/>
            <w:vAlign w:val="bottom"/>
          </w:tcPr>
          <w:p>
            <w:pPr>
              <w:ind w:left="200"/>
              <w:spacing w:after="0"/>
              <w:rPr>
                <w:sz w:val="20"/>
                <w:szCs w:val="20"/>
                <w:color w:val="auto"/>
              </w:rPr>
            </w:pPr>
            <w:r>
              <w:rPr>
                <w:rFonts w:ascii="Courier New" w:cs="Courier New" w:eastAsia="Courier New" w:hAnsi="Courier New"/>
                <w:sz w:val="16"/>
                <w:szCs w:val="16"/>
                <w:color w:val="auto"/>
              </w:rPr>
              <w:t>Balance, end of period</w:t>
            </w:r>
          </w:p>
        </w:tc>
        <w:tc>
          <w:tcPr>
            <w:tcW w:w="22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($274,201)</w:t>
            </w:r>
          </w:p>
        </w:tc>
      </w:tr>
      <w:tr>
        <w:trPr>
          <w:trHeight w:val="186"/>
        </w:trPr>
        <w:tc>
          <w:tcPr>
            <w:tcW w:w="7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240"/>
          </w:cols>
          <w:pgMar w:left="240" w:top="676" w:right="4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(unaudited)</w:t>
            </w:r>
          </w:p>
        </w:tc>
        <w:tc>
          <w:tcPr>
            <w:tcW w:w="21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745"/>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Six months ended June 30,</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8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1999</w:t>
            </w:r>
          </w:p>
        </w:tc>
        <w:tc>
          <w:tcPr>
            <w:tcW w:w="19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4100" w:type="dxa"/>
            <w:vAlign w:val="bottom"/>
            <w:gridSpan w:val="2"/>
          </w:tcPr>
          <w:p>
            <w:pPr>
              <w:jc w:val="right"/>
              <w:ind w:right="1179"/>
              <w:spacing w:after="0"/>
              <w:rPr>
                <w:sz w:val="20"/>
                <w:szCs w:val="20"/>
                <w:color w:val="auto"/>
              </w:rPr>
            </w:pPr>
            <w:r>
              <w:rPr>
                <w:rFonts w:ascii="Courier New" w:cs="Courier New" w:eastAsia="Courier New" w:hAnsi="Courier New"/>
                <w:sz w:val="16"/>
                <w:szCs w:val="16"/>
                <w:color w:val="auto"/>
              </w:rPr>
              <w:t>(In thousands)</w:t>
            </w:r>
          </w:p>
        </w:tc>
      </w:tr>
      <w:tr>
        <w:trPr>
          <w:trHeight w:val="373"/>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OPERATING ACTIVITIES</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Net income</w:t>
            </w:r>
          </w:p>
        </w:tc>
        <w:tc>
          <w:tcPr>
            <w:tcW w:w="4420" w:type="dxa"/>
            <w:vAlign w:val="bottom"/>
          </w:tcPr>
          <w:p>
            <w:pPr>
              <w:spacing w:after="0"/>
              <w:rPr>
                <w:sz w:val="16"/>
                <w:szCs w:val="16"/>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$20,369</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$24,657</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Items not requiring cash outlays</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5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24,932</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21,972</w:t>
            </w:r>
          </w:p>
        </w:tc>
      </w:tr>
      <w:tr>
        <w:trPr>
          <w:trHeight w:val="186"/>
        </w:trPr>
        <w:tc>
          <w:tcPr>
            <w:tcW w:w="55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Estimated loss on sale of real estate</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7,050</w:t>
            </w:r>
          </w:p>
        </w:tc>
        <w:tc>
          <w:tcPr>
            <w:tcW w:w="1920" w:type="dxa"/>
            <w:vAlign w:val="bottom"/>
          </w:tcPr>
          <w:p>
            <w:pPr>
              <w:spacing w:after="0"/>
              <w:rPr>
                <w:sz w:val="16"/>
                <w:szCs w:val="16"/>
                <w:color w:val="auto"/>
              </w:rPr>
            </w:pPr>
          </w:p>
        </w:tc>
      </w:tr>
      <w:tr>
        <w:trPr>
          <w:trHeight w:val="186"/>
        </w:trPr>
        <w:tc>
          <w:tcPr>
            <w:tcW w:w="5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Other, net</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1,419</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414</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Changes in assets and liabilities</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5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Decrease  in accounts and notes receivable</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2,950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752</w:t>
            </w:r>
          </w:p>
        </w:tc>
      </w:tr>
      <w:tr>
        <w:trPr>
          <w:trHeight w:val="186"/>
        </w:trPr>
        <w:tc>
          <w:tcPr>
            <w:tcW w:w="5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Decrease (Increase) in prepaid expenses and other</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55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assets before depreciation and amortization</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895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(3,436)</w:t>
            </w:r>
          </w:p>
        </w:tc>
      </w:tr>
      <w:tr>
        <w:trPr>
          <w:trHeight w:val="186"/>
        </w:trPr>
        <w:tc>
          <w:tcPr>
            <w:tcW w:w="5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Increase (decrease) in operating accounts payable,</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55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security deposits and prepaid rent</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(2,850)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1,528</w:t>
            </w:r>
          </w:p>
        </w:tc>
      </w:tr>
      <w:tr>
        <w:trPr>
          <w:trHeight w:val="186"/>
        </w:trPr>
        <w:tc>
          <w:tcPr>
            <w:tcW w:w="5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Increase (decrease)  in accrued expenses</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761</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(1,314)</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55,526</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44,573</w:t>
            </w:r>
          </w:p>
        </w:tc>
      </w:tr>
      <w:tr>
        <w:trPr>
          <w:trHeight w:val="373"/>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INVESTING ACTIVITIES</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Acquisition of real estate</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(22,736)</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(29,013)</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(40,239)</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(26,913)</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mortgage notes receivable, net</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(5,297)</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(5,104)</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cash used in investing activities</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(68,272)</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(61,030)</w:t>
            </w:r>
          </w:p>
        </w:tc>
      </w:tr>
      <w:tr>
        <w:trPr>
          <w:trHeight w:val="373"/>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FINANCING ACTIVITIES</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Borrowing (repayment) of short-term debt, net</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45,853</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6,209</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senior notes, net of costs</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79,540</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Issuance of common shares</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1,743</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2,742</w:t>
            </w:r>
          </w:p>
        </w:tc>
      </w:tr>
      <w:tr>
        <w:trPr>
          <w:trHeight w:val="186"/>
        </w:trPr>
        <w:tc>
          <w:tcPr>
            <w:tcW w:w="5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Payments on mortgages, capital leases, and</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notes payable</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(614)</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(37,811)</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Dividends</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paid</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(38,031)</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(36,845)</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Decrease</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in minority interest</w:t>
            </w:r>
          </w:p>
        </w:tc>
        <w:tc>
          <w:tcPr>
            <w:tcW w:w="2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(1,582)</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(867)</w:t>
            </w:r>
          </w:p>
        </w:tc>
      </w:tr>
      <w:tr>
        <w:trPr>
          <w:trHeight w:val="373"/>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Net cash</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provided by financing activities</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7,369</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12,968</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Decrease in cash</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(5,377)</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(3,489)</w:t>
            </w:r>
          </w:p>
        </w:tc>
      </w:tr>
      <w:tr>
        <w:trPr>
          <w:trHeight w:val="373"/>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Cash at beginning of period</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17,230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17,043</w:t>
            </w:r>
          </w:p>
        </w:tc>
      </w:tr>
      <w:tr>
        <w:trPr>
          <w:trHeight w:val="373"/>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Cash at end of period</w:t>
            </w: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$11,853</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$13,554</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June 30, 1999</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Reference should be made to the notes to financial statements included in the Annual Report to shareholders for the year ended December 31, 1998 which contain the Trust's accounting policies and other data.</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sets forth the reconciliation between basic and diluted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2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Six months ending</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ending</w:t>
            </w:r>
          </w:p>
        </w:tc>
      </w:tr>
      <w:tr>
        <w:trPr>
          <w:trHeight w:val="186"/>
        </w:trPr>
        <w:tc>
          <w:tcPr>
            <w:tcW w:w="3300" w:type="dxa"/>
            <w:vAlign w:val="bottom"/>
          </w:tcPr>
          <w:p>
            <w:pPr>
              <w:spacing w:after="0"/>
              <w:rPr>
                <w:sz w:val="16"/>
                <w:szCs w:val="16"/>
                <w:color w:val="auto"/>
              </w:rPr>
            </w:pPr>
          </w:p>
        </w:tc>
        <w:tc>
          <w:tcPr>
            <w:tcW w:w="20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June 30,</w:t>
            </w:r>
          </w:p>
        </w:tc>
        <w:tc>
          <w:tcPr>
            <w:tcW w:w="20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shareholders - basic</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$16,394</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$20,682</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$ 4,828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$ 9,976</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partnership units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361</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shareholders - diluted</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$16,755</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$21,096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$ 4,925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$10,183</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Denominator for basic EPS-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shares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39,489</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39,057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39,543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39,122</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Stock options and awards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244</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358</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297</w:t>
            </w: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Operating partnership units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880</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481</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Denominator for diluted EPS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40,613</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39,896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40,682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39,900</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REAL ESTATE ACQUISITIONS AND DISPOSALS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the first six months of 1999, the Trust acquired a ninety percent interest in two buildings in Hollywood, California. The Trust invested $15.3 million in cash in the $16.9 million Galaxy Building and $7.5 million in cash in the $8.3 million building adjacent to the Galaxy Building. The buildings have 120,000 and 64,0000 leasable square feet, respectively.</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In addition, the Trust invested $5.5 million in mortgage notes receivable with an average weighted interest rate of 10% during the first six months of 1999.</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During the second quarter of 1999, the Trust recorded a $7.1 million charge, representing the estimated loss on a potential sale of certain assets, principally Northeast Plaza in Atlanta, Georgia, thereby valuing the assets at their estimated fair value less estimated costs to sell. The Trust is in sale negotiations on this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448,000 square foot shopping center which is currently 66% occupied.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NOTES PAYABLE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At June 30, 1999 there was $180.0 million borrowed under the Trust's syndicated credit facility, which also represents the maximum drawn during the first two quarters. The weighted average interest rate on borrowings for the six months ended June 30, 1999 was 5.7%. The facility requires fees and has various covenants including the maintenance of a minimum shareholders' equity and a maximum ratio of debt to net worth.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REORGANIZATION EXPENSES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At September 30, 1998 the Trust recorded a $4.7 million charge related to a comprehensive restructuring program, the implementation of which was begun during the fourth quarter of 1998. As of June 30, 1999 cash payments of $2.9 million had been made against the reserve with most of the remaining cash expected to be paid during the remainder of 1999.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SHAREHOLDERS' EQUITY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 February 22, 1999, options for 705,000 shares at a price of $21 1/16 per share, fair value at the date of award, were awarded to officers and certain employees. The options vest evenly over three years.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INTEREST EXPENSE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Trust incurred interest expense totaling $33.3 million during the first six months of 1999 and $28.9 million during the first six months of 1998, of which $2.8 million and $2.8 million, respectively, was capitalized in connection with development projects. Interest paid was $33.2 million in the first six months of 1999 and $27.3 million in the first six months of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COMMITMENTS AND CONTINGENCIES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Pursuant to the provisions of the Congressional Plaza partnership agreement, in the event of the exercise of put options by another partner, the Trust would be required to purchase a 37.5% interest of Congressional Plaza at its then fair market value. On January 1, 1999 the Loehmann's Plaza Limited Partnership Agreement was amended to extend the partnership to December 31, 2000 and to delete the put and call options.</w:t>
      </w:r>
    </w:p>
    <w:p>
      <w:pPr>
        <w:spacing w:after="0" w:line="185"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Under the terms of certain other partnerships, if certain leasing and revenue levels are obtained for the properties owned by the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0" w:name="page11"/>
    <w:bookmarkEnd w:id="10"/>
    <w:p>
      <w:pPr>
        <w:ind w:right="2559"/>
        <w:spacing w:after="0" w:line="246" w:lineRule="auto"/>
        <w:rPr>
          <w:sz w:val="20"/>
          <w:szCs w:val="20"/>
          <w:color w:val="auto"/>
        </w:rPr>
      </w:pPr>
      <w:r>
        <w:rPr>
          <w:rFonts w:ascii="Courier New" w:cs="Courier New" w:eastAsia="Courier New" w:hAnsi="Courier New"/>
          <w:sz w:val="16"/>
          <w:szCs w:val="16"/>
          <w:color w:val="auto"/>
        </w:rPr>
        <w:t>partnerships, the limited partners may require the Trust to purchase their partnership interests at a formula price based upon net operating income. The purchase price may be paid in cash or common stock of the Trust at the election of the limited partners. In certain of these partnerships, if the limited partners do not redeem their interest, the Trust may choose to purchase the limited partnership interest upon the same terms. Under the terms of other partnerships, the partners may exchange their 879,541 operating units into cash or the same number of common shares of the Trust, at the option of the Trust.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 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however, testing is still ongoing. In addition, the Trust has requested information concerning and reviewed the equipment at its properties, including the use of embedded chips in machinery. Based on the review and since the Trust primarily owns shopping centers and street retail buildings with limited use of technology, the Trust believes it is year 2000 compliant.</w:t>
      </w:r>
    </w:p>
    <w:p>
      <w:pPr>
        <w:spacing w:after="0" w:line="19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Trust has requested information from its major banks, tenants, and suppliers to determine their Year 2000 compliance in order to assess the possibility of any major year 2000 risk to the Trust related to these parties' Year 2000 noncompliance. Based on their responses, the Trust does not believe there is any material risk to the Trust in these areas.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Trust is developing, with the aid of an outside consultant, a contingency plan for its critical internal systems, which is to be completed by the end of the third quarter. Costs spent to date and projections of future costs are not expected to exceed $75,000.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COMPONENTS OF RENTAL INCOME</w:t>
      </w:r>
    </w:p>
    <w:p>
      <w:pPr>
        <w:spacing w:after="0" w:line="191" w:lineRule="exact"/>
        <w:rPr>
          <w:sz w:val="20"/>
          <w:szCs w:val="20"/>
          <w:color w:val="auto"/>
        </w:rPr>
      </w:pPr>
    </w:p>
    <w:p>
      <w:pPr>
        <w:ind w:right="3139" w:firstLine="484"/>
        <w:spacing w:after="0" w:line="246" w:lineRule="auto"/>
        <w:rPr>
          <w:sz w:val="20"/>
          <w:szCs w:val="20"/>
          <w:color w:val="auto"/>
        </w:rPr>
      </w:pPr>
      <w:r>
        <w:rPr>
          <w:rFonts w:ascii="Courier New" w:cs="Courier New" w:eastAsia="Courier New" w:hAnsi="Courier New"/>
          <w:sz w:val="16"/>
          <w:szCs w:val="16"/>
          <w:color w:val="auto"/>
        </w:rPr>
        <w:t>The components of rental income for the periods ended June 30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214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Six months</w:t>
            </w:r>
          </w:p>
        </w:tc>
        <w:tc>
          <w:tcPr>
            <w:tcW w:w="19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Three months</w:t>
            </w:r>
          </w:p>
        </w:tc>
      </w:tr>
      <w:tr>
        <w:trPr>
          <w:trHeight w:val="373"/>
        </w:trPr>
        <w:tc>
          <w:tcPr>
            <w:tcW w:w="208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20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Retail properties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080" w:type="dxa"/>
            <w:vAlign w:val="bottom"/>
          </w:tcPr>
          <w:p>
            <w:pPr>
              <w:ind w:left="100"/>
              <w:spacing w:after="0"/>
              <w:rPr>
                <w:sz w:val="20"/>
                <w:szCs w:val="20"/>
                <w:color w:val="auto"/>
              </w:rPr>
            </w:pPr>
            <w:r>
              <w:rPr>
                <w:rFonts w:ascii="Courier New" w:cs="Courier New" w:eastAsia="Courier New" w:hAnsi="Courier New"/>
                <w:sz w:val="16"/>
                <w:szCs w:val="16"/>
                <w:color w:val="auto"/>
              </w:rPr>
              <w:t>Minimum rents</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$ 96,718</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$ 85,627</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$ 48,584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$ 43,383</w:t>
            </w:r>
          </w:p>
        </w:tc>
      </w:tr>
      <w:tr>
        <w:trPr>
          <w:trHeight w:val="186"/>
        </w:trPr>
        <w:tc>
          <w:tcPr>
            <w:tcW w:w="2080" w:type="dxa"/>
            <w:vAlign w:val="bottom"/>
          </w:tcPr>
          <w:p>
            <w:pPr>
              <w:ind w:left="100"/>
              <w:spacing w:after="0"/>
              <w:rPr>
                <w:sz w:val="20"/>
                <w:szCs w:val="20"/>
                <w:color w:val="auto"/>
              </w:rPr>
            </w:pPr>
            <w:r>
              <w:rPr>
                <w:rFonts w:ascii="Courier New" w:cs="Courier New" w:eastAsia="Courier New" w:hAnsi="Courier New"/>
                <w:sz w:val="16"/>
                <w:szCs w:val="16"/>
                <w:color w:val="auto"/>
              </w:rPr>
              <w:t>Cost reimbursements</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18,534</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16,918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9,335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8,925</w:t>
            </w:r>
          </w:p>
        </w:tc>
      </w:tr>
      <w:tr>
        <w:trPr>
          <w:trHeight w:val="186"/>
        </w:trPr>
        <w:tc>
          <w:tcPr>
            <w:tcW w:w="2080" w:type="dxa"/>
            <w:vAlign w:val="bottom"/>
          </w:tcPr>
          <w:p>
            <w:pPr>
              <w:ind w:left="100"/>
              <w:spacing w:after="0"/>
              <w:rPr>
                <w:sz w:val="20"/>
                <w:szCs w:val="20"/>
                <w:color w:val="auto"/>
              </w:rPr>
            </w:pPr>
            <w:r>
              <w:rPr>
                <w:rFonts w:ascii="Courier New" w:cs="Courier New" w:eastAsia="Courier New" w:hAnsi="Courier New"/>
                <w:sz w:val="16"/>
                <w:szCs w:val="16"/>
                <w:color w:val="auto"/>
              </w:rPr>
              <w:t>Percentage rents</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2,526</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2,786</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1,181</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Apartments</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1,329</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1,277</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638</w:t>
            </w:r>
          </w:p>
        </w:tc>
      </w:tr>
      <w:tr>
        <w:trPr>
          <w:trHeight w:val="186"/>
        </w:trPr>
        <w:tc>
          <w:tcPr>
            <w:tcW w:w="20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$119,107</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$106,608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$ 59,674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$ 54,127</w:t>
            </w:r>
          </w:p>
        </w:tc>
      </w:tr>
      <w:tr>
        <w:trPr>
          <w:trHeight w:val="186"/>
        </w:trPr>
        <w:tc>
          <w:tcPr>
            <w:tcW w:w="20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NOTE I - SEGMENT INFORMATION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185"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A summary of the Trust's operations by geographic region is presented below (in thousands):</w:t>
      </w:r>
    </w:p>
    <w:p>
      <w:pPr>
        <w:spacing w:after="0" w:line="200" w:lineRule="exact"/>
        <w:rPr>
          <w:sz w:val="20"/>
          <w:szCs w:val="20"/>
          <w:color w:val="auto"/>
        </w:rPr>
      </w:pPr>
    </w:p>
    <w:p>
      <w:pPr>
        <w:spacing w:after="0" w:line="357" w:lineRule="exact"/>
        <w:rPr>
          <w:sz w:val="20"/>
          <w:szCs w:val="20"/>
          <w:color w:val="auto"/>
        </w:rPr>
      </w:pPr>
    </w:p>
    <w:p>
      <w:pPr>
        <w:spacing w:after="0"/>
        <w:tabs>
          <w:tab w:leader="none" w:pos="2700" w:val="left"/>
          <w:tab w:leader="none" w:pos="4040" w:val="left"/>
        </w:tabs>
        <w:rPr>
          <w:sz w:val="20"/>
          <w:szCs w:val="20"/>
          <w:color w:val="auto"/>
        </w:rPr>
      </w:pPr>
      <w:r>
        <w:rPr>
          <w:rFonts w:ascii="Courier New" w:cs="Courier New" w:eastAsia="Courier New" w:hAnsi="Courier New"/>
          <w:sz w:val="16"/>
          <w:szCs w:val="16"/>
          <w:color w:val="auto"/>
        </w:rPr>
        <w:t>Six months ended</w:t>
      </w:r>
      <w:r>
        <w:rPr>
          <w:sz w:val="20"/>
          <w:szCs w:val="20"/>
          <w:color w:val="auto"/>
        </w:rPr>
        <w:tab/>
      </w:r>
      <w:r>
        <w:rPr>
          <w:rFonts w:ascii="Courier New" w:cs="Courier New" w:eastAsia="Courier New" w:hAnsi="Courier New"/>
          <w:sz w:val="16"/>
          <w:szCs w:val="16"/>
          <w:color w:val="auto"/>
        </w:rPr>
        <w:t>North</w:t>
      </w:r>
      <w:r>
        <w:rPr>
          <w:sz w:val="20"/>
          <w:szCs w:val="20"/>
          <w:color w:val="auto"/>
        </w:rPr>
        <w:tab/>
      </w:r>
      <w:r>
        <w:rPr>
          <w:rFonts w:ascii="Courier New" w:cs="Courier New" w:eastAsia="Courier New" w:hAnsi="Courier New"/>
          <w:sz w:val="16"/>
          <w:szCs w:val="16"/>
          <w:color w:val="auto"/>
        </w:rPr>
        <w:t>Mid</w:t>
      </w:r>
    </w:p>
    <w:p>
      <w:pPr>
        <w:spacing w:after="0" w:line="5" w:lineRule="exact"/>
        <w:rPr>
          <w:sz w:val="20"/>
          <w:szCs w:val="20"/>
          <w:color w:val="auto"/>
        </w:rPr>
      </w:pPr>
    </w:p>
    <w:p>
      <w:pPr>
        <w:ind w:left="200"/>
        <w:spacing w:after="0"/>
        <w:tabs>
          <w:tab w:leader="none" w:pos="2700" w:val="left"/>
          <w:tab w:leader="none" w:pos="4040" w:val="left"/>
          <w:tab w:leader="none" w:pos="5800" w:val="left"/>
          <w:tab w:leader="none" w:pos="6960" w:val="left"/>
          <w:tab w:leader="none" w:pos="8500" w:val="left"/>
        </w:tabs>
        <w:rPr>
          <w:sz w:val="20"/>
          <w:szCs w:val="20"/>
          <w:color w:val="auto"/>
        </w:rPr>
      </w:pPr>
      <w:r>
        <w:rPr>
          <w:rFonts w:ascii="Courier New" w:cs="Courier New" w:eastAsia="Courier New" w:hAnsi="Courier New"/>
          <w:sz w:val="16"/>
          <w:szCs w:val="16"/>
          <w:color w:val="auto"/>
        </w:rPr>
        <w:t>June 30, 1999</w:t>
      </w:r>
      <w:r>
        <w:rPr>
          <w:sz w:val="20"/>
          <w:szCs w:val="20"/>
          <w:color w:val="auto"/>
        </w:rPr>
        <w:tab/>
      </w:r>
      <w:r>
        <w:rPr>
          <w:rFonts w:ascii="Courier New" w:cs="Courier New" w:eastAsia="Courier New" w:hAnsi="Courier New"/>
          <w:sz w:val="16"/>
          <w:szCs w:val="16"/>
          <w:color w:val="auto"/>
        </w:rPr>
        <w:t>East</w:t>
      </w:r>
      <w:r>
        <w:rPr>
          <w:sz w:val="20"/>
          <w:szCs w:val="20"/>
          <w:color w:val="auto"/>
        </w:rPr>
        <w:tab/>
      </w:r>
      <w:r>
        <w:rPr>
          <w:rFonts w:ascii="Courier New" w:cs="Courier New" w:eastAsia="Courier New" w:hAnsi="Courier New"/>
          <w:sz w:val="16"/>
          <w:szCs w:val="16"/>
          <w:color w:val="auto"/>
        </w:rPr>
        <w:t>Atlantic</w:t>
      </w:r>
      <w:r>
        <w:rPr>
          <w:sz w:val="20"/>
          <w:szCs w:val="20"/>
          <w:color w:val="auto"/>
        </w:rPr>
        <w:tab/>
      </w:r>
      <w:r>
        <w:rPr>
          <w:rFonts w:ascii="Courier New" w:cs="Courier New" w:eastAsia="Courier New" w:hAnsi="Courier New"/>
          <w:sz w:val="16"/>
          <w:szCs w:val="16"/>
          <w:color w:val="auto"/>
        </w:rPr>
        <w:t>West</w:t>
      </w:r>
      <w:r>
        <w:rPr>
          <w:sz w:val="20"/>
          <w:szCs w:val="20"/>
          <w:color w:val="auto"/>
        </w:rPr>
        <w:tab/>
      </w: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$ 49,910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$ 54,513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14,684</w:t>
            </w:r>
          </w:p>
        </w:tc>
        <w:tc>
          <w:tcPr>
            <w:tcW w:w="1200" w:type="dxa"/>
            <w:vAlign w:val="bottom"/>
          </w:tcPr>
          <w:p>
            <w:pPr>
              <w:spacing w:after="0"/>
              <w:rPr>
                <w:sz w:val="15"/>
                <w:szCs w:val="15"/>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119,107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2,550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1,564</w:t>
            </w:r>
          </w:p>
        </w:tc>
        <w:tc>
          <w:tcPr>
            <w:tcW w:w="42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713</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4,827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(10,676)</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(11,838)</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(3,590)</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(26,104)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(6,014)</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(4,395)</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(1,458)</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(11,867)</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35,770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39,844</w:t>
            </w:r>
          </w:p>
        </w:tc>
        <w:tc>
          <w:tcPr>
            <w:tcW w:w="42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10,349</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85,963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3,844</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3,844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(30,518)</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(30,518)</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(5,414)</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(5,414)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(11,074)</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(11,523)</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(1,886)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449)</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(24,932)</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$ 24,696</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$ 28,321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8,463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(32,537)</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28,943</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$ 13,167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$ 11,600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42,932</w:t>
            </w:r>
          </w:p>
        </w:tc>
        <w:tc>
          <w:tcPr>
            <w:tcW w:w="12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67,699</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$696,786</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$681,344</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$ 323,851</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$1,701,981</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520" w:type="dxa"/>
            <w:vAlign w:val="bottom"/>
          </w:tcPr>
          <w:p>
            <w:pPr>
              <w:spacing w:after="0"/>
              <w:rPr>
                <w:sz w:val="20"/>
                <w:szCs w:val="20"/>
                <w:color w:val="auto"/>
              </w:rPr>
            </w:pPr>
            <w:r>
              <w:rPr>
                <w:rFonts w:ascii="Courier New" w:cs="Courier New" w:eastAsia="Courier New" w:hAnsi="Courier New"/>
                <w:sz w:val="16"/>
                <w:szCs w:val="16"/>
                <w:color w:val="auto"/>
              </w:rPr>
              <w:t>Six months ended</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North</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Mid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June 30, 1998</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East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Atlantic</w:t>
            </w:r>
          </w:p>
        </w:tc>
        <w:tc>
          <w:tcPr>
            <w:tcW w:w="420" w:type="dxa"/>
            <w:vAlign w:val="bottom"/>
          </w:tcPr>
          <w:p>
            <w:pPr>
              <w:spacing w:after="0"/>
              <w:rPr>
                <w:sz w:val="16"/>
                <w:szCs w:val="16"/>
                <w:color w:val="auto"/>
              </w:rPr>
            </w:pPr>
          </w:p>
        </w:tc>
        <w:tc>
          <w:tcPr>
            <w:tcW w:w="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West</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Other</w:t>
            </w:r>
          </w:p>
        </w:tc>
        <w:tc>
          <w:tcPr>
            <w:tcW w:w="40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$ 45,407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$ 50,070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11,131</w:t>
            </w:r>
          </w:p>
        </w:tc>
        <w:tc>
          <w:tcPr>
            <w:tcW w:w="1200" w:type="dxa"/>
            <w:vAlign w:val="bottom"/>
          </w:tcPr>
          <w:p>
            <w:pPr>
              <w:spacing w:after="0"/>
              <w:rPr>
                <w:sz w:val="15"/>
                <w:szCs w:val="15"/>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106,608</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2,794</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1,777</w:t>
            </w:r>
          </w:p>
        </w:tc>
        <w:tc>
          <w:tcPr>
            <w:tcW w:w="42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465</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5,036</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(9,756)</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(10,873)</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(2,640)</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(23,269)</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(6,048)</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(4,044)</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(1,125)</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(11,217)</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32,397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36,930</w:t>
            </w:r>
          </w:p>
        </w:tc>
        <w:tc>
          <w:tcPr>
            <w:tcW w:w="42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7,831</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77,158</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2,935</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2,935</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(26,097)</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(26,097)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(5,836)</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(5,836)</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(9,502)</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(10,748)</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(709)</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(21,972)</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$ 22,895</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$ 26,182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6,818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(29,707)</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26,188</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$ 15,810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$ 10,873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35,145</w:t>
            </w:r>
          </w:p>
        </w:tc>
        <w:tc>
          <w:tcPr>
            <w:tcW w:w="12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61,828</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$645,443</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$627,977</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$ 239,707</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$1,513,127</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520" w:type="dxa"/>
            <w:vAlign w:val="bottom"/>
          </w:tcPr>
          <w:p>
            <w:pPr>
              <w:spacing w:after="0"/>
              <w:rPr>
                <w:sz w:val="20"/>
                <w:szCs w:val="20"/>
                <w:color w:val="auto"/>
              </w:rPr>
            </w:pPr>
            <w:r>
              <w:rPr>
                <w:rFonts w:ascii="Courier New" w:cs="Courier New" w:eastAsia="Courier New" w:hAnsi="Courier New"/>
                <w:sz w:val="16"/>
                <w:szCs w:val="16"/>
                <w:color w:val="auto"/>
              </w:rPr>
              <w:t>Three months ended</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North</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Mid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June 30, 1999</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East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Atlantic</w:t>
            </w:r>
          </w:p>
        </w:tc>
        <w:tc>
          <w:tcPr>
            <w:tcW w:w="420" w:type="dxa"/>
            <w:vAlign w:val="bottom"/>
          </w:tcPr>
          <w:p>
            <w:pPr>
              <w:spacing w:after="0"/>
              <w:rPr>
                <w:sz w:val="16"/>
                <w:szCs w:val="16"/>
                <w:color w:val="auto"/>
              </w:rPr>
            </w:pPr>
          </w:p>
        </w:tc>
        <w:tc>
          <w:tcPr>
            <w:tcW w:w="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West</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Other</w:t>
            </w:r>
          </w:p>
        </w:tc>
        <w:tc>
          <w:tcPr>
            <w:tcW w:w="40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$ 25,052</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$ 27,051</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7,571</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59,674</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1,381</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753</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421</w:t>
            </w:r>
          </w:p>
        </w:tc>
        <w:tc>
          <w:tcPr>
            <w:tcW w:w="1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2,555</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(4,863)</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(5,904)</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(1,689)</w:t>
            </w:r>
          </w:p>
        </w:tc>
        <w:tc>
          <w:tcPr>
            <w:tcW w:w="1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(12,456)</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(2,927)</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(2,226)</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(702)</w:t>
            </w:r>
          </w:p>
        </w:tc>
        <w:tc>
          <w:tcPr>
            <w:tcW w:w="1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(5,855)</w:t>
            </w:r>
          </w:p>
        </w:tc>
      </w:tr>
      <w:tr>
        <w:trPr>
          <w:trHeight w:val="186"/>
        </w:trPr>
        <w:tc>
          <w:tcPr>
            <w:tcW w:w="238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18,643</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19,674</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5,601</w:t>
            </w:r>
          </w:p>
        </w:tc>
        <w:tc>
          <w:tcPr>
            <w:tcW w:w="1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43,918</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1,966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1,966</w:t>
            </w:r>
          </w:p>
        </w:tc>
      </w:tr>
      <w:tr>
        <w:trPr>
          <w:trHeight w:val="559"/>
        </w:trPr>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12</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76" w:right="1440" w:bottom="1066"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(15,385)</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(15,385)</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(3,160)</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(3,160)</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(5,636)</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(5,829)</w:t>
            </w:r>
          </w:p>
        </w:tc>
        <w:tc>
          <w:tcPr>
            <w:tcW w:w="4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(218)</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(12,651)</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$ 13,007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$ 13,845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4,633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(16,797)</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14,688</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$ 11,072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4,163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17,912</w:t>
            </w:r>
          </w:p>
        </w:tc>
        <w:tc>
          <w:tcPr>
            <w:tcW w:w="12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33,147</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$696,786</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$681,344</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$ 323,851</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$1,701,981</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520" w:type="dxa"/>
            <w:vAlign w:val="bottom"/>
          </w:tcPr>
          <w:p>
            <w:pPr>
              <w:spacing w:after="0"/>
              <w:rPr>
                <w:sz w:val="20"/>
                <w:szCs w:val="20"/>
                <w:color w:val="auto"/>
              </w:rPr>
            </w:pPr>
            <w:r>
              <w:rPr>
                <w:rFonts w:ascii="Courier New" w:cs="Courier New" w:eastAsia="Courier New" w:hAnsi="Courier New"/>
                <w:sz w:val="16"/>
                <w:szCs w:val="16"/>
                <w:color w:val="auto"/>
              </w:rPr>
              <w:t>Three months ended</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North</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Mid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June 30, 1998</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East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Atlantic</w:t>
            </w:r>
          </w:p>
        </w:tc>
        <w:tc>
          <w:tcPr>
            <w:tcW w:w="420" w:type="dxa"/>
            <w:vAlign w:val="bottom"/>
          </w:tcPr>
          <w:p>
            <w:pPr>
              <w:spacing w:after="0"/>
              <w:rPr>
                <w:sz w:val="16"/>
                <w:szCs w:val="16"/>
                <w:color w:val="auto"/>
              </w:rPr>
            </w:pPr>
          </w:p>
        </w:tc>
        <w:tc>
          <w:tcPr>
            <w:tcW w:w="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West</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Other</w:t>
            </w:r>
          </w:p>
        </w:tc>
        <w:tc>
          <w:tcPr>
            <w:tcW w:w="40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$ 23,247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$ 24,931</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5,949</w:t>
            </w:r>
          </w:p>
        </w:tc>
        <w:tc>
          <w:tcPr>
            <w:tcW w:w="1200" w:type="dxa"/>
            <w:vAlign w:val="bottom"/>
          </w:tcPr>
          <w:p>
            <w:pPr>
              <w:spacing w:after="0"/>
              <w:rPr>
                <w:sz w:val="15"/>
                <w:szCs w:val="15"/>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54,127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1,654</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1,029</w:t>
            </w:r>
          </w:p>
        </w:tc>
        <w:tc>
          <w:tcPr>
            <w:tcW w:w="4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251</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2,934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(4,562)</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(5,372)</w:t>
            </w:r>
          </w:p>
        </w:tc>
        <w:tc>
          <w:tcPr>
            <w:tcW w:w="4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(1,413)</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(11,347)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(3,025)</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(2,109)</w:t>
            </w:r>
          </w:p>
        </w:tc>
        <w:tc>
          <w:tcPr>
            <w:tcW w:w="4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(611)</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(5,745)</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17,314</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18,479</w:t>
            </w:r>
          </w:p>
        </w:tc>
        <w:tc>
          <w:tcPr>
            <w:tcW w:w="48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4,176</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39,969</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1,341</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1,341</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(13,404)</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(13,404)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(3,995)</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(3,995)</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(4,843)</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(5,315)</w:t>
            </w:r>
          </w:p>
        </w:tc>
        <w:tc>
          <w:tcPr>
            <w:tcW w:w="4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(469)</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(11,203)</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$ 12,471</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$ 13,164</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3,600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(16,527)</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12,708</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$ 10,035</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4,275</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17,949</w:t>
            </w:r>
          </w:p>
        </w:tc>
        <w:tc>
          <w:tcPr>
            <w:tcW w:w="12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32,259</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$645,443</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$627,977</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$ 239,707</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$1,513,127</w:t>
            </w:r>
          </w:p>
        </w:tc>
      </w:tr>
      <w:tr>
        <w:trPr>
          <w:trHeight w:val="186"/>
        </w:trPr>
        <w:tc>
          <w:tcPr>
            <w:tcW w:w="25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no transactions between geographic areas.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49" w:right="1440" w:bottom="1440" w:gutter="0" w:footer="0" w:header="0"/>
        </w:sectPr>
      </w:pPr>
    </w:p>
    <w:bookmarkStart w:id="13" w:name="page14"/>
    <w:bookmarkEnd w:id="13"/>
    <w:p>
      <w:pPr>
        <w:jc w:val="center"/>
        <w:ind w:right="2559"/>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June 30, 1999</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78"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Net cash provided by operating activities was $55.5 million in the first half of 1999 and $44.6 million in the first half of 1998 of which $38.0 million and $36.8 million, respectively, was distributed to shareholders. Contributions from newly acquired properties and from retenanted and redeveloped properties, as more fully described below, were the primary sources of these increases.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Net cash used in investing activities was $68.3 million during the first half of 1999 and $61.0 million during the first half of 1998. The Trust purchased real estate totaling $25.2 million in the first half of 1999 and $38.2 million in the first half of 1998,</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4" w:name="page15"/>
    <w:bookmarkEnd w:id="14"/>
    <w:p>
      <w:pPr>
        <w:ind w:right="2559"/>
        <w:spacing w:after="0" w:line="247" w:lineRule="auto"/>
        <w:rPr>
          <w:sz w:val="20"/>
          <w:szCs w:val="20"/>
          <w:color w:val="auto"/>
        </w:rPr>
      </w:pPr>
      <w:r>
        <w:rPr>
          <w:rFonts w:ascii="Courier New" w:cs="Courier New" w:eastAsia="Courier New" w:hAnsi="Courier New"/>
          <w:sz w:val="16"/>
          <w:szCs w:val="16"/>
          <w:color w:val="auto"/>
        </w:rPr>
        <w:t>requiring cash outlays of $22.7 million and $29.0 million, respectively. During these two periods, the Trust expended an additional $40.2 million and $26.9 million, respectively, in capital improvements to its properties. The Trust invested $5.3 million during the first half of 1999 and $5.1 million during the first half of 1998 in mortgage notes receivable with an average weighted interest rate of 10%.</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the first six months of 1999, the Trust acquired a ninety percent interest in two buildings in Hollywood, California. The Trust invested $15.3 million in cash in the $16.9 million Galaxy Building and $7.5 million in cash in the $8.3 million building adjacent to the Galaxy Building. The buildings have 120,000 and 64,000 leasable square feet, respectively.</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Approximately $19.7 million was invested during the first half of 1999 in predevelopment and development projects in Bethesda, Maryland; Los Gatos, California; San Antonio, Texas; and Arlington, Virginia. Furthermore, the Trust is devoting considerable time and internal resources to identify additional development opportunities.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Net cash provided by financing activities, before dividend payments, was $45.4 million in the first half of 1999 and $49.8 million in the first half of 1998. The Trust utilized its unsecured line of credit to fund acquisitions and capital expenditures in 1999. At June 30, 1999 there was $180.0 million borrowed under this syndicated credit facility, which also represents the maximum drawn during the first six months of the year. The weighted average interest rate on borrowings for the six months ended June 30, 1999 was 5.7%. The facility requires fees and has various covenants including the maintenance of a minimum shareholders' equity and a maximum ratio of debt to net worth.</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Capital requirements for the remainder of 1999 will depend on acquisition opportunities, new development efforts, improvements and redevelopments on existing properties, and tenant work and allowances. Initial funding for such projects is expected to be provided under the line of credit facility or through possible joint venture relationships.</w:t>
      </w:r>
    </w:p>
    <w:p>
      <w:pPr>
        <w:spacing w:after="0" w:line="185"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Trust will need additional capital in order to fund acquisitions, expansions, developments and upcoming debt maturities, particularly its $100 million of 8.875% Notes due January 15, 2000. Sources of this funding may be additional debt, additional equity, proceeds from the sale of properties, joint venture relationships, and the issuance of operating partnership units. The timing and choice of capital sources will depend on the cost and availability of that capital, among other things. The Trust believes, based on past experience, that access to the capital needed to execute its business plan will be available to it.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Trust is involved in various lawsuits and environmental</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5" w:name="page16"/>
    <w:bookmarkEnd w:id="15"/>
    <w:p>
      <w:pPr>
        <w:ind w:right="2459"/>
        <w:spacing w:after="0" w:line="247" w:lineRule="auto"/>
        <w:rPr>
          <w:sz w:val="20"/>
          <w:szCs w:val="20"/>
          <w:color w:val="auto"/>
        </w:rPr>
      </w:pPr>
      <w:r>
        <w:rPr>
          <w:rFonts w:ascii="Courier New" w:cs="Courier New" w:eastAsia="Courier New" w:hAnsi="Courier New"/>
          <w:sz w:val="16"/>
          <w:szCs w:val="16"/>
          <w:color w:val="auto"/>
        </w:rPr>
        <w:t>matters arising in the normal course of business. Management believes that such matters will not have a material effect on the financial condition or results of operations of the Trust.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Pursuant to the provisions of the Congressional Plaza partnership agreement, in the event of the exercise of put options by another partner, the Trust would be required to purchase a 37.5% interest of Congressional Plaza at its then fair market value. On January 1, 1999 the Loehmann's Plaza Limited Partnership Agreement was amended to extend the partnership to December 31, 2000 and to delete the put and call options.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In certain of these partnerships, if the limited partners do not redeem their interest, the Trust may choose to purchase the limited partnership interests upon the same terms. Under the terms of other partnerships, the partners may exchange their 879,541 operating units into cash or the same number of common shares of the Trust, at the option of the Trust.</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 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however, testing is still ongoing. In addition, the Trust has requested information concerning and reviewed the equipment at its properties, including the use of embedded chips in machinery. Based on the review and since the Trust primarily owns shopping centers and street retail buildings with limited use of technology, the Trust believes it is year 2000 compliant.</w:t>
      </w:r>
    </w:p>
    <w:p>
      <w:pPr>
        <w:spacing w:after="0" w:line="19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Trust has requested information from its major banks, tenants, and suppliers to determine their Year 2000 compliance in order to assess the possibility of any major year 2000 risk to the Trust related to these parties' Year 2000 noncompliance. Based on their responses, the Trust does not believe there is any material risk to the Trust in these areas.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Trust is developing, with the aid of an outside consultant, a contingency plan for its critical internal systems, which is to be completed by the end of the third quarter. Costs spent to date and projections of future costs are not expected to exceed $75,000.</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reconciliation of net income to funds from operations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2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Six months ending</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ending</w:t>
            </w:r>
          </w:p>
        </w:tc>
      </w:tr>
      <w:tr>
        <w:trPr>
          <w:trHeight w:val="186"/>
        </w:trPr>
        <w:tc>
          <w:tcPr>
            <w:tcW w:w="3300" w:type="dxa"/>
            <w:vAlign w:val="bottom"/>
          </w:tcPr>
          <w:p>
            <w:pPr>
              <w:spacing w:after="0"/>
              <w:rPr>
                <w:sz w:val="16"/>
                <w:szCs w:val="16"/>
                <w:color w:val="auto"/>
              </w:rPr>
            </w:pPr>
          </w:p>
        </w:tc>
        <w:tc>
          <w:tcPr>
            <w:tcW w:w="20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June 30,</w:t>
            </w:r>
          </w:p>
        </w:tc>
        <w:tc>
          <w:tcPr>
            <w:tcW w:w="208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shareholders - basic</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$16,394</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$20,682</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$ 4,828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$ 9,976</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Estimated loss on real estate</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to be sold</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7,050</w:t>
            </w:r>
          </w:p>
        </w:tc>
        <w:tc>
          <w:tcPr>
            <w:tcW w:w="10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7,050</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of</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real estate assets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22,617</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19,906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11,489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10,168</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Amortization of initial direct</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costs of leases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1,460</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1,181</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742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300" w:type="dxa"/>
            <w:vAlign w:val="bottom"/>
          </w:tcPr>
          <w:p>
            <w:pPr>
              <w:ind w:left="200"/>
              <w:spacing w:after="0"/>
              <w:rPr>
                <w:sz w:val="20"/>
                <w:szCs w:val="20"/>
                <w:color w:val="auto"/>
              </w:rPr>
            </w:pPr>
            <w:r>
              <w:rPr>
                <w:rFonts w:ascii="Courier New" w:cs="Courier New" w:eastAsia="Courier New" w:hAnsi="Courier New"/>
                <w:sz w:val="16"/>
                <w:szCs w:val="16"/>
                <w:color w:val="auto"/>
              </w:rPr>
              <w:t>partnership units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361</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414</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shareholders - diluted</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$47,882</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$42,183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$24,206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$20,939</w:t>
            </w:r>
          </w:p>
        </w:tc>
      </w:tr>
      <w:tr>
        <w:trPr>
          <w:trHeight w:val="186"/>
        </w:trPr>
        <w:tc>
          <w:tcPr>
            <w:tcW w:w="330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1999 and 1998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Rental income, which consists of minimum rent, percentage rent and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recoveries, increased 12% from $106.6 million in the first half of 1998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$119.1 million in the first half of 1999. If properties acquired in 1999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are excluded, rental income increased 5%, due primarily to the favorable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redeveloped and retenanted centers.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and temporary tenant income. Other property income decreased 4.2% from $5.0 million in the first six months of 1998 to $4.8 million in the first six months of 1999. Increases in temporary tenant income, an area identified by the Trust as one with additional growth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17" w:name="page18"/>
    <w:bookmarkEnd w:id="17"/>
    <w:p>
      <w:pPr>
        <w:ind w:right="2659"/>
        <w:spacing w:after="0" w:line="247" w:lineRule="auto"/>
        <w:rPr>
          <w:sz w:val="20"/>
          <w:szCs w:val="20"/>
          <w:color w:val="auto"/>
        </w:rPr>
      </w:pPr>
      <w:r>
        <w:rPr>
          <w:rFonts w:ascii="Courier New" w:cs="Courier New" w:eastAsia="Courier New" w:hAnsi="Courier New"/>
          <w:sz w:val="16"/>
          <w:szCs w:val="16"/>
          <w:color w:val="auto"/>
        </w:rPr>
        <w:t>opportunity, were outweighed by decreases in telephone income and decreases in marketing dues, as the Trust discontinued marketing funds at certain shopping centers in 1999.</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Rental expenses increased 12% from $23.3 million in the first half of 1998 to $26.1 million in the first half of 1999. If rental expenses are adjusted for properties acquired in 1999 and 1998, rental expenses increased 6% from $23.2 million in 1998 to $24.6 million in 1999. There was a decrease in marketing expenses consistent with the decrease in marketing dues, but this decrease was outweighed by increases in snow removal costs and the write off of tenant work and lease costs associated with several stores operated by a bankrupt tenant.</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Real estate taxes increased 6% from $11.2 million in the first half of 1998 to $11.9 million in the first half of 1999. If real estate taxes are adjusted for properties acquired in 1999 and 1998, real estate taxes remained constant. Increased taxes on recently redeveloped properties were offset by a refund resulting from the reassessment of a 1997 acquisition.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Depreciation and amortization expenses increased 13% from $22.0 million in the first half of 1998 to $24.9 million in the first half of 1999 reflecting the impact of property acquisitions and recent tenant work and property improvements.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During the first six months 1999 the Trust incurred interest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$33.3 million, of which $2.8 million was capitalized, as compared to 1998's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$28.9 million of which $2.8 million was capitalized.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reflects the additional debt issued to fund the Trust's acquisition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improvement programs. The ratio of earnings to combined fixed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preferred dividends was 1.54x and 1.54x for the first half of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The ratio of earnings to fixed charges was 1.7x and 1.7x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half of 1999 and 1998, respectively. The ratio of funds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to combined fixed charges and preferred dividends was 2.1x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half of 1999 and 2.1x for the first half of 1998.</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Administrative expenses decreased from $5.8 million in the first half of 1998 to $5.4 million in the first half of 1999,due to cost reductions resulting from the 1998 comprehensive restructuring of the Trust which were larger than the impact of the Emerging Issues Task Force ("EITF") Issue 97-11, which required the expensing of internal costs of acquisition activities beginning in late March 1998. Prior to this date, such costs were capitalized as a component of the basis of the acquired asset.</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During the second quarter of 1999, the Trust recorded a $7.1 million charge, representing the estimated loss on a potential sale of certain assets, principally Northeast Plaza in Atlanta, Georgia, thereby valuing the assets at their estimated fair value less estimated costs to sell. The Trust is in active negotiations for the sale of Northeast Plaza which, if successful, would have the effect 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increasing portfolio wide occupancy by 100 basis points to nearly 96%.</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As a result of the foregoing items, net income before estimated loss on real estate to be sold increased from $24.7 million in the first half of 1998 to $27.4 million in the first half of 1999, while net income decreased from $24.7 million during the first half of 1998 to $20.4 million during the first half of 1999 and net income available for common shareholders decreased from $20.7 million to $16.4 million.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Trust expects growth in net income before loss on sale of real estate and funds from operations during the remainder of 1999 both from contributions of its recent acquisitions and from contributions of its core portfolio, primarily the properties undergoing redevelopment and retenanting. However, growth of net income from the core portfolio is, in part, dependent on controlling expenses, some of which are beyond the complete control of the Trust, such as snow removal and trends in the retailing environment. The Trust currently expects that demand for its retail space should remain at levels similar to those in 1998.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 Growth in net income is also dependent on interest rates and controlling administrative costs. If interest rates increase, net income and funds from operations, as well as the ultimate cost of the Trust's development projects will be negatively impacted due to the variable interest rates on the Trust's revolving credit facilities. The Trust is aggressively managing its administrative expenses through its reorganization efforts.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185"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6"/>
          <w:szCs w:val="16"/>
          <w:color w:val="auto"/>
        </w:rPr>
        <w:t>Historical operating results for the three regions are as follows (in thousands):</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For the six months ended June 30,</w:t>
      </w:r>
    </w:p>
    <w:p>
      <w:pPr>
        <w:spacing w:after="0" w:line="5" w:lineRule="exact"/>
        <w:rPr>
          <w:sz w:val="20"/>
          <w:szCs w:val="20"/>
          <w:color w:val="auto"/>
        </w:rPr>
      </w:pPr>
    </w:p>
    <w:p>
      <w:pPr>
        <w:ind w:left="3100"/>
        <w:spacing w:after="0"/>
        <w:tabs>
          <w:tab w:leader="none" w:pos="472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6"/>
        </w:trPr>
        <w:tc>
          <w:tcPr>
            <w:tcW w:w="2560" w:type="dxa"/>
            <w:vAlign w:val="bottom"/>
          </w:tcPr>
          <w:p>
            <w:pPr>
              <w:ind w:left="880"/>
              <w:spacing w:after="0"/>
              <w:rPr>
                <w:sz w:val="20"/>
                <w:szCs w:val="20"/>
                <w:color w:val="auto"/>
              </w:rPr>
            </w:pPr>
            <w:r>
              <w:rPr>
                <w:rFonts w:ascii="Courier New" w:cs="Courier New" w:eastAsia="Courier New" w:hAnsi="Courier New"/>
                <w:sz w:val="16"/>
                <w:szCs w:val="16"/>
                <w:color w:val="auto"/>
              </w:rPr>
              <w:t>Northeast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49,910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$ 45,407</w:t>
            </w:r>
          </w:p>
        </w:tc>
      </w:tr>
      <w:tr>
        <w:trPr>
          <w:trHeight w:val="186"/>
        </w:trPr>
        <w:tc>
          <w:tcPr>
            <w:tcW w:w="2560" w:type="dxa"/>
            <w:vAlign w:val="bottom"/>
          </w:tcPr>
          <w:p>
            <w:pPr>
              <w:ind w:left="880"/>
              <w:spacing w:after="0"/>
              <w:rPr>
                <w:sz w:val="20"/>
                <w:szCs w:val="20"/>
                <w:color w:val="auto"/>
              </w:rPr>
            </w:pPr>
            <w:r>
              <w:rPr>
                <w:rFonts w:ascii="Courier New" w:cs="Courier New" w:eastAsia="Courier New" w:hAnsi="Courier New"/>
                <w:sz w:val="16"/>
                <w:szCs w:val="16"/>
                <w:color w:val="auto"/>
              </w:rPr>
              <w:t>Mid-Atlantic</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54,513</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50,070</w:t>
            </w:r>
          </w:p>
        </w:tc>
      </w:tr>
      <w:tr>
        <w:trPr>
          <w:trHeight w:val="186"/>
        </w:trPr>
        <w:tc>
          <w:tcPr>
            <w:tcW w:w="2560" w:type="dxa"/>
            <w:vAlign w:val="bottom"/>
          </w:tcPr>
          <w:p>
            <w:pPr>
              <w:ind w:left="880"/>
              <w:spacing w:after="0"/>
              <w:rPr>
                <w:sz w:val="20"/>
                <w:szCs w:val="20"/>
                <w:color w:val="auto"/>
              </w:rPr>
            </w:pPr>
            <w:r>
              <w:rPr>
                <w:rFonts w:ascii="Courier New" w:cs="Courier New" w:eastAsia="Courier New" w:hAnsi="Courier New"/>
                <w:sz w:val="16"/>
                <w:szCs w:val="16"/>
                <w:color w:val="auto"/>
              </w:rPr>
              <w:t>West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14,684</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11,131</w:t>
            </w:r>
          </w:p>
        </w:tc>
      </w:tr>
      <w:tr>
        <w:trPr>
          <w:trHeight w:val="186"/>
        </w:trPr>
        <w:tc>
          <w:tcPr>
            <w:tcW w:w="25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60" w:type="dxa"/>
            <w:vAlign w:val="bottom"/>
          </w:tcPr>
          <w:p>
            <w:pPr>
              <w:ind w:left="1740"/>
              <w:spacing w:after="0"/>
              <w:rPr>
                <w:sz w:val="20"/>
                <w:szCs w:val="20"/>
                <w:color w:val="auto"/>
              </w:rPr>
            </w:pPr>
            <w:r>
              <w:rPr>
                <w:rFonts w:ascii="Courier New" w:cs="Courier New" w:eastAsia="Courier New" w:hAnsi="Courier New"/>
                <w:sz w:val="16"/>
                <w:szCs w:val="16"/>
                <w:color w:val="auto"/>
              </w:rPr>
              <w:t>Total</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119,107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$106,608</w:t>
            </w:r>
          </w:p>
        </w:tc>
      </w:tr>
      <w:tr>
        <w:trPr>
          <w:trHeight w:val="186"/>
        </w:trPr>
        <w:tc>
          <w:tcPr>
            <w:tcW w:w="25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right"/>
              <w:ind w:right="1259"/>
              <w:spacing w:after="0"/>
              <w:rPr>
                <w:sz w:val="20"/>
                <w:szCs w:val="20"/>
                <w:color w:val="auto"/>
              </w:rPr>
            </w:pPr>
            <w:r>
              <w:rPr>
                <w:rFonts w:ascii="Courier New" w:cs="Courier New" w:eastAsia="Courier New" w:hAnsi="Courier New"/>
                <w:sz w:val="16"/>
                <w:szCs w:val="16"/>
                <w:color w:val="auto"/>
              </w:rPr>
              <w:t>19</w:t>
            </w:r>
          </w:p>
        </w:tc>
      </w:tr>
    </w:tbl>
    <w:p>
      <w:pPr>
        <w:sectPr>
          <w:pgSz w:w="11900" w:h="16838" w:orient="portrait"/>
          <w:cols w:equalWidth="0" w:num="1">
            <w:col w:w="10219"/>
          </w:cols>
          <w:pgMar w:left="240" w:top="676" w:right="1440"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6"/>
        </w:trPr>
        <w:tc>
          <w:tcPr>
            <w:tcW w:w="2280" w:type="dxa"/>
            <w:vAlign w:val="bottom"/>
          </w:tcPr>
          <w:p>
            <w:pPr>
              <w:ind w:left="880"/>
              <w:spacing w:after="0"/>
              <w:rPr>
                <w:sz w:val="20"/>
                <w:szCs w:val="20"/>
                <w:color w:val="auto"/>
              </w:rPr>
            </w:pPr>
            <w:r>
              <w:rPr>
                <w:rFonts w:ascii="Courier New" w:cs="Courier New" w:eastAsia="Courier New" w:hAnsi="Courier New"/>
                <w:sz w:val="16"/>
                <w:szCs w:val="16"/>
                <w:color w:val="auto"/>
              </w:rPr>
              <w:t>Northeast</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$ 35,770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$ 32,397</w:t>
            </w:r>
          </w:p>
        </w:tc>
      </w:tr>
      <w:tr>
        <w:trPr>
          <w:trHeight w:val="186"/>
        </w:trPr>
        <w:tc>
          <w:tcPr>
            <w:tcW w:w="2280" w:type="dxa"/>
            <w:vAlign w:val="bottom"/>
          </w:tcPr>
          <w:p>
            <w:pPr>
              <w:ind w:left="880"/>
              <w:spacing w:after="0"/>
              <w:rPr>
                <w:sz w:val="20"/>
                <w:szCs w:val="20"/>
                <w:color w:val="auto"/>
              </w:rPr>
            </w:pPr>
            <w:r>
              <w:rPr>
                <w:rFonts w:ascii="Courier New" w:cs="Courier New" w:eastAsia="Courier New" w:hAnsi="Courier New"/>
                <w:sz w:val="16"/>
                <w:szCs w:val="16"/>
                <w:color w:val="auto"/>
              </w:rPr>
              <w:t>Mid-Atlantic</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39,844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36,930</w:t>
            </w:r>
          </w:p>
        </w:tc>
      </w:tr>
      <w:tr>
        <w:trPr>
          <w:trHeight w:val="186"/>
        </w:trPr>
        <w:tc>
          <w:tcPr>
            <w:tcW w:w="2280" w:type="dxa"/>
            <w:vAlign w:val="bottom"/>
          </w:tcPr>
          <w:p>
            <w:pPr>
              <w:ind w:left="880"/>
              <w:spacing w:after="0"/>
              <w:rPr>
                <w:sz w:val="20"/>
                <w:szCs w:val="20"/>
                <w:color w:val="auto"/>
              </w:rPr>
            </w:pPr>
            <w:r>
              <w:rPr>
                <w:rFonts w:ascii="Courier New" w:cs="Courier New" w:eastAsia="Courier New" w:hAnsi="Courier New"/>
                <w:sz w:val="16"/>
                <w:szCs w:val="16"/>
                <w:color w:val="auto"/>
              </w:rPr>
              <w:t>West</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10,349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7,831</w:t>
            </w:r>
          </w:p>
        </w:tc>
      </w:tr>
      <w:tr>
        <w:trPr>
          <w:trHeight w:val="186"/>
        </w:trPr>
        <w:tc>
          <w:tcPr>
            <w:tcW w:w="2280" w:type="dxa"/>
            <w:vAlign w:val="bottom"/>
          </w:tcPr>
          <w:p>
            <w:pPr>
              <w:spacing w:after="0"/>
              <w:rPr>
                <w:sz w:val="16"/>
                <w:szCs w:val="16"/>
                <w:color w:val="auto"/>
              </w:rPr>
            </w:pP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$ 85,963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$ 77,158</w:t>
            </w:r>
          </w:p>
        </w:tc>
      </w:tr>
      <w:tr>
        <w:trPr>
          <w:trHeight w:val="186"/>
        </w:trPr>
        <w:tc>
          <w:tcPr>
            <w:tcW w:w="2280" w:type="dxa"/>
            <w:vAlign w:val="bottom"/>
          </w:tcPr>
          <w:p>
            <w:pPr>
              <w:spacing w:after="0"/>
              <w:rPr>
                <w:sz w:val="16"/>
                <w:szCs w:val="16"/>
                <w:color w:val="auto"/>
              </w:rPr>
            </w:pP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Northeast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The Northeast region is comprised of fifty-three assets, extending from suburban Philadelphia north through New York and its suburbs into New England and west to Illinois and Michigan.</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When comparing the first half of 1999 with 1998, rental income increased 10% from $45.4 million in 1998 to $49.9 million in 1999. Excluding properties acquired since January 1, 1998, rental income increased 6.5%, primarily due to increases at recently redeveloped and retenanted shopping centers, such as Brick, Finley, Gratiot, Feasterville, and Wynnewood.</w:t>
      </w:r>
    </w:p>
    <w:p>
      <w:pPr>
        <w:spacing w:after="0" w:line="185"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Net operating income increased 10% from $32.4 million in 1998 to $35.8 million in 1999. Excluding properties acquired since January 1, 1998, net operating income increased 6.5%, primarily due to increases at the recently redeveloped and retenanted shopping centers.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Mid-Atlantic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Mid-Atlantic region is comprised of thirty-two assets, located from Baltimore south to metropolitan Washington, D.C. and further south through Virginia, Georgia, and Florida.</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When comparing the first half of 1999 with 1998, rental income increased 9% from $50.1 million in 1998 to $54.5 million in 1999. Excluding properties acquired since January 1, 1998, rental income increased 4%, due in part to new anchor leases at several centers.</w:t>
      </w:r>
    </w:p>
    <w:p>
      <w:pPr>
        <w:spacing w:after="0" w:line="186"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When comparing the first half of 1999 with 1998, net operating income increased 8% from $36.9 million in 1998 to $39.8 million in 1999. Excluding properties acquired since January 1, 1998, net operating income increased 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Western region is comprised of thirty-eight assets, located from Texas to the West Coast.</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When comparing the first half of 1999 with 1998, rental income increased 32% from $11.1 million in 1998 to $14.7 million in 1999. Excluding properties acquired since January 1, 1998, rental income increased 7.6%, primarily due to increases from recently redeveloped properties in the Los Angeles, California area.</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When comparing the first half of 1999 with 1998, net operating</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0" w:name="page21"/>
    <w:bookmarkEnd w:id="20"/>
    <w:p>
      <w:pPr>
        <w:ind w:right="3139"/>
        <w:spacing w:after="0" w:line="247" w:lineRule="auto"/>
        <w:rPr>
          <w:sz w:val="20"/>
          <w:szCs w:val="20"/>
          <w:color w:val="auto"/>
        </w:rPr>
      </w:pPr>
      <w:r>
        <w:rPr>
          <w:rFonts w:ascii="Courier New" w:cs="Courier New" w:eastAsia="Courier New" w:hAnsi="Courier New"/>
          <w:sz w:val="16"/>
          <w:szCs w:val="16"/>
          <w:color w:val="auto"/>
        </w:rPr>
        <w:t>income increased 32% from $7.8 million in 1998 to $10.3 million in 1999. Excluding properties acquired since January 1, 1998, net operating income increased 4%, primarily due to increases from the recently redeveloped properties in the Los Angeles area.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JUNE 30, 1999 and 1998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Rental income, which consists of minimum rent, percentage rent and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recoveries, increased 10% from $54.1 million in the second quarter of 1998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$59.7 million in the second quarter of 1999. If properties acquired in 1999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are excluded, rental income increased 4%, due primarily to the favorable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redeveloped and retenanted centers.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and temporary tenant income. Other property income decreased 13% from $2.9 million in the second quarter of 1998 to $2.6 million in the second quarter of 1999. Increases in temporary tenant income, an area identified by the Trust as one with additional growth opportunity, were outweighed by decreases in telephone income, lease termination fees and decreases in marketing dues, as the Trust discontinued marketing funds at certain shopping centers in 1999.</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Rental expenses increased 10% from $11.3 million in the second quarter of</w:t>
      </w:r>
    </w:p>
    <w:p>
      <w:pPr>
        <w:spacing w:after="0" w:line="5" w:lineRule="exact"/>
        <w:rPr>
          <w:sz w:val="20"/>
          <w:szCs w:val="20"/>
          <w:color w:val="auto"/>
        </w:rPr>
      </w:pPr>
    </w:p>
    <w:p>
      <w:pPr>
        <w:ind w:right="2859"/>
        <w:spacing w:after="0" w:line="246" w:lineRule="auto"/>
        <w:rPr>
          <w:sz w:val="20"/>
          <w:szCs w:val="20"/>
          <w:color w:val="auto"/>
        </w:rPr>
      </w:pPr>
      <w:r>
        <w:rPr>
          <w:rFonts w:ascii="Courier New" w:cs="Courier New" w:eastAsia="Courier New" w:hAnsi="Courier New"/>
          <w:sz w:val="16"/>
          <w:szCs w:val="16"/>
          <w:color w:val="auto"/>
        </w:rPr>
        <w:t>1998 to $12.5 million in the second quarter of 1999. If rental expenses are adjusted for properties acquired in 1999 and 1998, rental expenses increased</w:t>
      </w:r>
    </w:p>
    <w:p>
      <w:pPr>
        <w:spacing w:after="0" w:line="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2.5% from $11.3 million in 1998 to $11.6 million in 1999. There was a decrease in marketing expenses consistent with the decrease in marketing dues, but this decrease was outweighed by the write off of tenant work and lease costs associated with eleven stores operated by a bankrupt tenant.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Real estate taxes increased 2% from $5.7 million in the second quarter of 1998 to $5.9 million in the second quarter of 1999. If real estate taxes are adjusted for properties acquired in 1999 and 1998, real estate taxes decreased. Increased taxes on recently redeveloped properties were offset by a refund resulting from the reassessment of a 1997 acquisition.</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Depreciation and amortization expenses increased 13% from $11.2 million in the second quarter of 1998 to $12.7 million in the second quarter of 1999 reflecting the impact of property acquisitions and recent tenant work and property improvements.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During the second quarter of 1999 the Trust incurred interest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$17.0 million, of which $1.6 million was capitalized, as compared to 1998's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$14.9 million of which $1.5 million was capitalized.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reflects the additional debt issued to fund the Trust's aquisition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improvement programs.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1" w:name="page22"/>
    <w:bookmarkEnd w:id="21"/>
    <w:p>
      <w:pPr>
        <w:ind w:right="2559" w:firstLine="484"/>
        <w:spacing w:after="0" w:line="247" w:lineRule="auto"/>
        <w:rPr>
          <w:sz w:val="20"/>
          <w:szCs w:val="20"/>
          <w:color w:val="auto"/>
        </w:rPr>
      </w:pPr>
      <w:r>
        <w:rPr>
          <w:rFonts w:ascii="Courier New" w:cs="Courier New" w:eastAsia="Courier New" w:hAnsi="Courier New"/>
          <w:sz w:val="16"/>
          <w:szCs w:val="16"/>
          <w:color w:val="auto"/>
        </w:rPr>
        <w:t>During the second quarter of 1999, the Trust recorded a $7.1 million charge, representing the estimated loss on a potential sale of certain assets, principally Northeast Plaza in Atlanta, Georgia, thereby valuing the assets at their estimated fair value less estimated costs to sell. The Trust is in active negotiation for the sale of Northeast Plaza which, if successful, would have the effect of increasing portfolio wide occupancy by 100 basis points to nearly 96%.</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Administrative expenses decreased from $4.0 million in the second quarter of 1998 to $3.2 million in the second quarter of 1999, resulting from the benefits of the 1998 comprehensive restructuring of the Trust.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As a result of the foregoing items, net income before estimated loss on real estate to be sold increased from $12.0 million in the second quarter of 1998 to $13.9 million in the second quarter of 1999, while net income decreased from $12.0 million during the second quarter of 1998 to $6.8 million during the second quarter of 1999 and net income available for common shareholders decreased from $10.0 million to $4.8 million.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185"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6"/>
          <w:szCs w:val="16"/>
          <w:color w:val="auto"/>
        </w:rPr>
        <w:t>Historical operating results for the three regions are as follows (in thousands):</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For the three months ended June 30,</w:t>
      </w:r>
    </w:p>
    <w:p>
      <w:pPr>
        <w:spacing w:after="0" w:line="5" w:lineRule="exact"/>
        <w:rPr>
          <w:sz w:val="20"/>
          <w:szCs w:val="20"/>
          <w:color w:val="auto"/>
        </w:rPr>
      </w:pPr>
    </w:p>
    <w:p>
      <w:pPr>
        <w:ind w:left="3100"/>
        <w:spacing w:after="0"/>
        <w:tabs>
          <w:tab w:leader="none" w:pos="472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6"/>
        </w:trPr>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Northeast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$25,052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$23,247</w:t>
            </w:r>
          </w:p>
        </w:tc>
      </w:tr>
      <w:tr>
        <w:trPr>
          <w:trHeight w:val="186"/>
        </w:trPr>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Mid-Atlantic</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27,051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24,931</w:t>
            </w:r>
          </w:p>
        </w:tc>
      </w:tr>
      <w:tr>
        <w:trPr>
          <w:trHeight w:val="186"/>
        </w:trPr>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West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7,571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5,949</w:t>
            </w:r>
          </w:p>
        </w:tc>
      </w:tr>
      <w:tr>
        <w:trPr>
          <w:trHeight w:val="186"/>
        </w:trPr>
        <w:tc>
          <w:tcPr>
            <w:tcW w:w="2480" w:type="dxa"/>
            <w:vAlign w:val="bottom"/>
          </w:tcPr>
          <w:p>
            <w:pPr>
              <w:spacing w:after="0"/>
              <w:rPr>
                <w:sz w:val="16"/>
                <w:szCs w:val="16"/>
                <w:color w:val="auto"/>
              </w:rPr>
            </w:pP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ind w:left="1740"/>
              <w:spacing w:after="0"/>
              <w:rPr>
                <w:sz w:val="20"/>
                <w:szCs w:val="20"/>
                <w:color w:val="auto"/>
              </w:rPr>
            </w:pPr>
            <w:r>
              <w:rPr>
                <w:rFonts w:ascii="Courier New" w:cs="Courier New" w:eastAsia="Courier New" w:hAnsi="Courier New"/>
                <w:sz w:val="16"/>
                <w:szCs w:val="16"/>
                <w:color w:val="auto"/>
              </w:rPr>
              <w:t>Total</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$59,674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$54,127</w:t>
            </w:r>
          </w:p>
        </w:tc>
      </w:tr>
      <w:tr>
        <w:trPr>
          <w:trHeight w:val="186"/>
        </w:trPr>
        <w:tc>
          <w:tcPr>
            <w:tcW w:w="2480" w:type="dxa"/>
            <w:vAlign w:val="bottom"/>
          </w:tcPr>
          <w:p>
            <w:pPr>
              <w:spacing w:after="0"/>
              <w:rPr>
                <w:sz w:val="16"/>
                <w:szCs w:val="16"/>
                <w:color w:val="auto"/>
              </w:rPr>
            </w:pP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Northeast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$18,643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$17,314</w:t>
            </w:r>
          </w:p>
        </w:tc>
      </w:tr>
      <w:tr>
        <w:trPr>
          <w:trHeight w:val="186"/>
        </w:trPr>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Mid-Atlantic</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19,674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18,479</w:t>
            </w:r>
          </w:p>
        </w:tc>
      </w:tr>
      <w:tr>
        <w:trPr>
          <w:trHeight w:val="186"/>
        </w:trPr>
        <w:tc>
          <w:tcPr>
            <w:tcW w:w="2480" w:type="dxa"/>
            <w:vAlign w:val="bottom"/>
          </w:tcPr>
          <w:p>
            <w:pPr>
              <w:ind w:left="880"/>
              <w:spacing w:after="0"/>
              <w:rPr>
                <w:sz w:val="20"/>
                <w:szCs w:val="20"/>
                <w:color w:val="auto"/>
              </w:rPr>
            </w:pPr>
            <w:r>
              <w:rPr>
                <w:rFonts w:ascii="Courier New" w:cs="Courier New" w:eastAsia="Courier New" w:hAnsi="Courier New"/>
                <w:sz w:val="16"/>
                <w:szCs w:val="16"/>
                <w:color w:val="auto"/>
              </w:rPr>
              <w:t>West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5,601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4,176</w:t>
            </w:r>
          </w:p>
        </w:tc>
      </w:tr>
      <w:tr>
        <w:trPr>
          <w:trHeight w:val="186"/>
        </w:trPr>
        <w:tc>
          <w:tcPr>
            <w:tcW w:w="2480" w:type="dxa"/>
            <w:vAlign w:val="bottom"/>
          </w:tcPr>
          <w:p>
            <w:pPr>
              <w:spacing w:after="0"/>
              <w:rPr>
                <w:sz w:val="16"/>
                <w:szCs w:val="16"/>
                <w:color w:val="auto"/>
              </w:rPr>
            </w:pP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16"/>
                <w:szCs w:val="16"/>
                <w:color w:val="auto"/>
              </w:rPr>
            </w:pP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$43,918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$39,969</w:t>
            </w:r>
          </w:p>
        </w:tc>
      </w:tr>
      <w:tr>
        <w:trPr>
          <w:trHeight w:val="186"/>
        </w:trPr>
        <w:tc>
          <w:tcPr>
            <w:tcW w:w="2480" w:type="dxa"/>
            <w:vAlign w:val="bottom"/>
          </w:tcPr>
          <w:p>
            <w:pPr>
              <w:spacing w:after="0"/>
              <w:rPr>
                <w:sz w:val="16"/>
                <w:szCs w:val="16"/>
                <w:color w:val="auto"/>
              </w:rPr>
            </w:pP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Northeast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The Northeast region is comprised of fifty-three assets, extending from suburban Philadelphia north through New York and its suburbs into New England and west to Illinois and Michigan.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2" w:name="page23"/>
    <w:bookmarkEnd w:id="22"/>
    <w:p>
      <w:pPr>
        <w:ind w:right="2959" w:firstLine="484"/>
        <w:spacing w:after="0" w:line="247" w:lineRule="auto"/>
        <w:rPr>
          <w:sz w:val="20"/>
          <w:szCs w:val="20"/>
          <w:color w:val="auto"/>
        </w:rPr>
      </w:pPr>
      <w:r>
        <w:rPr>
          <w:rFonts w:ascii="Courier New" w:cs="Courier New" w:eastAsia="Courier New" w:hAnsi="Courier New"/>
          <w:sz w:val="16"/>
          <w:szCs w:val="16"/>
          <w:color w:val="auto"/>
        </w:rPr>
        <w:t>When comparing the second quarter of 1999 with 1998, rental income increased 8% from $23.2 million in 1998 to $25.1 million in 1999. Excluding properties acquired since January 1, 1998, rental income increased 4.5%, primarily due to increases at recently redeveloped and retenanted shopping centers, such as Brick, Finley, Gratiot, Feasterville, and Wynnewood.</w:t>
      </w:r>
    </w:p>
    <w:p>
      <w:pPr>
        <w:spacing w:after="0" w:line="185"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Net operating income increased 8% from $17.3 million in 1998 to $18.6 million in 1999. Excluding properties acquired since January 1, 1998, net operating income increased 4%, primarily due to increases at the recently redeveloped and retenanted shopping centers.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Mid-Atlantic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Mid-Atlantic region is comprised of thirty-two assets, located from Baltimore south to metropolitan Washington, D.C. and further south through Virginia, Georgia, and Florida.</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When comparing the second quarter of 1999 with 1998, rental income increased 8.5% from $24.9 million in 1998 to $27.1 million in 1999. Excluding properties acquired since January 1, 1998, rental income increased 3.5%, due in part to new anchor leases at several centers.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When comparing the second quarter of 1999 with 1998, net operating income increased 6.5% from $18.5 million in 1998 to $19.7 million in 1999. Excluding properties acquired since January 1, 1998, net operating income increased 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Western region is comprised of thirty-eight assets, located from Texas to the West Coast.</w:t>
      </w:r>
    </w:p>
    <w:p>
      <w:pPr>
        <w:spacing w:after="0" w:line="184"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When comparing the second quarter of 1999 with 1998, rental income increased 27% from $6.0 million in 1998 to $7.6 million in 1999. Excluding properties acquired since January 1, 1998, rental income decreased 1.5%; increases from recently redeveloped properties in the Los Angeles, California area were outweighed by a decrease at Town &amp; Country Plaza in San Jose, whose occupancy is declining as the center is being vacated in preparation for its razing and subsequent new development.</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When comparing the second quarter of 1999 with 1998, net operating income increased 34% from $4.2 million in 1998 to $5.6 million in 1999. Excluding properties acquired since January 1, 1998, net operating income increased 2%, primarily due to increases from the recently redeveloped properties in the Los Angeles area.</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3" w:name="page24"/>
    <w:bookmarkEnd w:id="23"/>
    <w:p>
      <w:pPr>
        <w:ind w:left="1"/>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4. Submission of Matters to a Vote of Shareholders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At the 1999 Annual Meeting of Shareholders on May 5, 1999 the Shareholders elected two trustees to serve for the ensuing three years and the Shareholders approved the reorganization of the Trust under the laws of the State of Maryland through an amendment and restatement of the declaration of trust. Holders of</w:t>
      </w:r>
    </w:p>
    <w:p>
      <w:pPr>
        <w:spacing w:after="0" w:line="2"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34.3 million shares voted for and holders of 255,000 shares voted against both trustees. Holders of 28.8 million shares voted for the reorganization, holders of 1.1 million shares voted against the reorganization and holders of 365,000 shares abstained.</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1" w:lineRule="exact"/>
        <w:rPr>
          <w:sz w:val="20"/>
          <w:szCs w:val="20"/>
          <w:color w:val="auto"/>
        </w:rPr>
      </w:pPr>
    </w:p>
    <w:p>
      <w:pPr>
        <w:ind w:left="481" w:hanging="481"/>
        <w:spacing w:after="0"/>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sz w:val="20"/>
          <w:szCs w:val="20"/>
          <w:color w:val="auto"/>
        </w:rPr>
      </w:pPr>
    </w:p>
    <w:p>
      <w:pPr>
        <w:ind w:left="481"/>
        <w:spacing w:after="0"/>
        <w:tabs>
          <w:tab w:leader="none" w:pos="4920" w:val="left"/>
        </w:tabs>
        <w:rPr>
          <w:sz w:val="20"/>
          <w:szCs w:val="20"/>
          <w:color w:val="auto"/>
        </w:rPr>
      </w:pPr>
      <w:r>
        <w:rPr>
          <w:rFonts w:ascii="Courier New" w:cs="Courier New" w:eastAsia="Courier New" w:hAnsi="Courier New"/>
          <w:sz w:val="16"/>
          <w:szCs w:val="16"/>
          <w:color w:val="auto"/>
        </w:rPr>
        <w:t>(27) Financial Data Schedules</w:t>
      </w:r>
      <w:r>
        <w:rPr>
          <w:sz w:val="20"/>
          <w:szCs w:val="20"/>
          <w:color w:val="auto"/>
        </w:rPr>
        <w:tab/>
      </w:r>
      <w:r>
        <w:rPr>
          <w:rFonts w:ascii="Courier New" w:cs="Courier New" w:eastAsia="Courier New" w:hAnsi="Courier New"/>
          <w:sz w:val="16"/>
          <w:szCs w:val="16"/>
          <w:color w:val="auto"/>
        </w:rPr>
        <w:t>Edgar filing only</w:t>
      </w:r>
    </w:p>
    <w:p>
      <w:pPr>
        <w:spacing w:after="0" w:line="191"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sz w:val="20"/>
          <w:szCs w:val="20"/>
          <w:color w:val="auto"/>
        </w:rPr>
      </w:pPr>
    </w:p>
    <w:p>
      <w:pPr>
        <w:ind w:left="1" w:right="3539" w:firstLine="484"/>
        <w:spacing w:after="0" w:line="248" w:lineRule="auto"/>
        <w:rPr>
          <w:sz w:val="20"/>
          <w:szCs w:val="20"/>
          <w:color w:val="auto"/>
        </w:rPr>
      </w:pPr>
      <w:r>
        <w:rPr>
          <w:rFonts w:ascii="Courier New" w:cs="Courier New" w:eastAsia="Courier New" w:hAnsi="Courier New"/>
          <w:sz w:val="16"/>
          <w:szCs w:val="16"/>
          <w:color w:val="auto"/>
        </w:rPr>
        <w:t>A Form 8-K, dated March 31, 1999, was filed on April 28, 1999 in response to Item 5.</w:t>
      </w:r>
    </w:p>
    <w:p>
      <w:pPr>
        <w:spacing w:after="0" w:line="184"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A Form 8-K, dated May 10, 1999, was filed on May 10, 1999 in response to Item 4.</w:t>
      </w:r>
    </w:p>
    <w:p>
      <w:pPr>
        <w:spacing w:after="0" w:line="184"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A Form 8-K, dated May 25, 1999, was filed on May 25, 1999 in response to Item 5 and Item 7.</w:t>
      </w:r>
    </w:p>
    <w:p>
      <w:pPr>
        <w:spacing w:after="0" w:line="200" w:lineRule="exact"/>
        <w:rPr>
          <w:sz w:val="20"/>
          <w:szCs w:val="20"/>
          <w:color w:val="auto"/>
        </w:rPr>
      </w:pPr>
    </w:p>
    <w:p>
      <w:pPr>
        <w:spacing w:after="0" w:line="357"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20"/>
          </w:cols>
          <w:pgMar w:left="239"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July 29,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4021" w:space="720"/>
            <w:col w:w="5479"/>
          </w:cols>
          <w:pgMar w:left="239" w:top="676" w:right="1440" w:bottom="1440" w:gutter="0" w:footer="0" w:header="0"/>
          <w:type w:val="continuous"/>
        </w:sectPr>
      </w:pPr>
    </w:p>
    <w:p>
      <w:pPr>
        <w:spacing w:after="0" w:line="1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July 29, 1999</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 Controller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191" w:lineRule="exact"/>
        <w:rPr>
          <w:sz w:val="20"/>
          <w:szCs w:val="20"/>
          <w:color w:val="auto"/>
        </w:rPr>
      </w:pPr>
    </w:p>
    <w:p>
      <w:pPr>
        <w:sectPr>
          <w:pgSz w:w="11900" w:h="16838" w:orient="portrait"/>
          <w:cols w:equalWidth="0" w:num="2">
            <w:col w:w="4021" w:space="720"/>
            <w:col w:w="5479"/>
          </w:cols>
          <w:pgMar w:left="239" w:top="676" w:right="1440" w:bottom="1440" w:gutter="0" w:footer="0" w:header="0"/>
          <w:type w:val="continuous"/>
        </w:sectPr>
      </w:pPr>
    </w:p>
    <w:p>
      <w:pPr>
        <w:ind w:left="378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0"/>
          </w:cols>
          <w:pgMar w:left="239" w:top="676" w:right="1440" w:bottom="1440" w:gutter="0" w:footer="0" w:header="0"/>
          <w:type w:val="continuous"/>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8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right="2839"/>
        <w:spacing w:after="0" w:line="24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of Federal Realty Investment Trust as of June 30, 1999 and the related consolidated statement of operations for the six months ended June 30, 1999 and is qualified in its entirety by reference to such financial statements.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7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6-MOS</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JAN-01-1999</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JUN-30-1999</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11,853</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14,923</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1,701,981</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(308,580)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1,514,897</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892,167</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100,000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711,877</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(297,287)</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1,514,897</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123,934</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37,971</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30,518</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16,394</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16,394</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.41</w:t>
      </w: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301"/>
    </w:lvl>
  </w:abstractNum>
  <w:abstractNum w:abstractNumId="1">
    <w:nsid w:val="74B0DC51"/>
    <w:multiLevelType w:val="hybridMultilevel"/>
    <w:lvl w:ilvl="0">
      <w:lvlJc w:val="left"/>
      <w:lvlText w:val="(%1)"/>
      <w:numFmt w:val="upperLetter"/>
      <w:start w:val="1"/>
    </w:lvl>
  </w:abstractNum>
  <w:abstractNum w:abstractNumId="2">
    <w:nsid w:val="19495CFF"/>
    <w:multiLevelType w:val="hybridMultilevel"/>
    <w:lvl w:ilvl="0">
      <w:lvlJc w:val="left"/>
      <w:lvlText w:val="(%1)"/>
      <w:numFmt w:val="upp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2019-12-12T06:11:41Z</dcterms:created>
  <dcterms:modified xsi:type="dcterms:W3CDTF">2019-12-12T06:11:41Z</dcterms:modified>
</cp:coreProperties>
</file>