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45" w:lineRule="exact"/>
        <w:rPr>
          <w:sz w:val="24"/>
          <w:szCs w:val="24"/>
          <w:color w:val="auto"/>
        </w:rPr>
      </w:pPr>
    </w:p>
    <w:p>
      <w:pPr>
        <w:ind w:left="760" w:hanging="626"/>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THE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760" w:hanging="626"/>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9"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Commission file number: 1-07533 (Federal Realty Investment Trust)</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Commission file number: 333-262016-01 (Federal Realty OP LP)</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FEDERAL REALTY INVESTMENT TRUST</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FEDERAL REALTY OP LP</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3"/>
          </w:tcPr>
          <w:p>
            <w:pPr>
              <w:jc w:val="center"/>
              <w:ind w:left="516"/>
              <w:spacing w:after="0"/>
              <w:rPr>
                <w:sz w:val="20"/>
                <w:szCs w:val="20"/>
                <w:color w:val="auto"/>
              </w:rPr>
            </w:pPr>
            <w:r>
              <w:rPr>
                <w:rFonts w:ascii="Arial" w:cs="Arial" w:eastAsia="Arial" w:hAnsi="Arial"/>
                <w:sz w:val="18"/>
                <w:szCs w:val="18"/>
                <w:b w:val="1"/>
                <w:bCs w:val="1"/>
                <w:color w:val="auto"/>
                <w:w w:val="93"/>
              </w:rPr>
              <w:t>Maryland (Federal Realty Investment Trust)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2"/>
          </w:tcPr>
          <w:p>
            <w:pPr>
              <w:jc w:val="center"/>
              <w:ind w:right="1099"/>
              <w:spacing w:after="0"/>
              <w:rPr>
                <w:sz w:val="20"/>
                <w:szCs w:val="20"/>
                <w:color w:val="auto"/>
              </w:rPr>
            </w:pPr>
            <w:r>
              <w:rPr>
                <w:rFonts w:ascii="Arial" w:cs="Arial" w:eastAsia="Arial" w:hAnsi="Arial"/>
                <w:sz w:val="18"/>
                <w:szCs w:val="18"/>
                <w:b w:val="1"/>
                <w:bCs w:val="1"/>
                <w:color w:val="auto"/>
                <w:w w:val="91"/>
              </w:rPr>
              <w:t>87-3916363</w:t>
            </w:r>
          </w:p>
        </w:tc>
      </w:tr>
      <w:tr>
        <w:trPr>
          <w:trHeight w:val="225"/>
        </w:trPr>
        <w:tc>
          <w:tcPr>
            <w:tcW w:w="4480" w:type="dxa"/>
            <w:vAlign w:val="bottom"/>
            <w:gridSpan w:val="3"/>
          </w:tcPr>
          <w:p>
            <w:pPr>
              <w:jc w:val="center"/>
              <w:ind w:left="516"/>
              <w:spacing w:after="0"/>
              <w:rPr>
                <w:sz w:val="20"/>
                <w:szCs w:val="20"/>
                <w:color w:val="auto"/>
              </w:rPr>
            </w:pPr>
            <w:r>
              <w:rPr>
                <w:rFonts w:ascii="Arial" w:cs="Arial" w:eastAsia="Arial" w:hAnsi="Arial"/>
                <w:sz w:val="18"/>
                <w:szCs w:val="18"/>
                <w:b w:val="1"/>
                <w:bCs w:val="1"/>
                <w:color w:val="auto"/>
                <w:w w:val="93"/>
              </w:rPr>
              <w:t>Delaware (Federal Realty OP LP)</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2"/>
          </w:tcPr>
          <w:p>
            <w:pPr>
              <w:jc w:val="center"/>
              <w:ind w:right="1099"/>
              <w:spacing w:after="0"/>
              <w:rPr>
                <w:sz w:val="20"/>
                <w:szCs w:val="20"/>
                <w:color w:val="auto"/>
              </w:rPr>
            </w:pPr>
            <w:r>
              <w:rPr>
                <w:rFonts w:ascii="Arial" w:cs="Arial" w:eastAsia="Arial" w:hAnsi="Arial"/>
                <w:sz w:val="18"/>
                <w:szCs w:val="18"/>
                <w:b w:val="1"/>
                <w:bCs w:val="1"/>
                <w:color w:val="auto"/>
                <w:w w:val="91"/>
              </w:rPr>
              <w:t>52-0782497</w:t>
            </w:r>
          </w:p>
        </w:tc>
      </w:tr>
      <w:tr>
        <w:trPr>
          <w:trHeight w:val="186"/>
        </w:trPr>
        <w:tc>
          <w:tcPr>
            <w:tcW w:w="1680" w:type="dxa"/>
            <w:vAlign w:val="bottom"/>
          </w:tcPr>
          <w:p>
            <w:pPr>
              <w:spacing w:after="0"/>
              <w:rPr>
                <w:sz w:val="16"/>
                <w:szCs w:val="16"/>
                <w:color w:val="auto"/>
              </w:rPr>
            </w:pPr>
          </w:p>
        </w:tc>
        <w:tc>
          <w:tcPr>
            <w:tcW w:w="2800" w:type="dxa"/>
            <w:vAlign w:val="bottom"/>
            <w:gridSpan w:val="2"/>
          </w:tcPr>
          <w:p>
            <w:pPr>
              <w:jc w:val="center"/>
              <w:ind w:right="985"/>
              <w:spacing w:after="0"/>
              <w:rPr>
                <w:sz w:val="20"/>
                <w:szCs w:val="20"/>
                <w:color w:val="auto"/>
              </w:rPr>
            </w:pPr>
            <w:r>
              <w:rPr>
                <w:rFonts w:ascii="Arial" w:cs="Arial" w:eastAsia="Arial" w:hAnsi="Arial"/>
                <w:sz w:val="14"/>
                <w:szCs w:val="14"/>
                <w:b w:val="1"/>
                <w:bCs w:val="1"/>
                <w:color w:val="auto"/>
                <w:w w:val="94"/>
              </w:rPr>
              <w:t>(State of Organization)</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gridSpan w:val="2"/>
          </w:tcPr>
          <w:p>
            <w:pPr>
              <w:jc w:val="center"/>
              <w:ind w:right="111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286"/>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520" w:type="dxa"/>
            <w:vAlign w:val="bottom"/>
            <w:gridSpan w:val="10"/>
          </w:tcPr>
          <w:p>
            <w:pPr>
              <w:jc w:val="center"/>
              <w:ind w:right="2179"/>
              <w:spacing w:after="0"/>
              <w:rPr>
                <w:sz w:val="20"/>
                <w:szCs w:val="20"/>
                <w:color w:val="auto"/>
              </w:rPr>
            </w:pPr>
            <w:r>
              <w:rPr>
                <w:rFonts w:ascii="Arial" w:cs="Arial" w:eastAsia="Arial" w:hAnsi="Arial"/>
                <w:sz w:val="16"/>
                <w:szCs w:val="16"/>
                <w:b w:val="1"/>
                <w:bCs w:val="1"/>
                <w:color w:val="auto"/>
                <w:w w:val="91"/>
              </w:rPr>
              <w:t>909 Rose Avenue, Suite 200, North Bethesda, Maryland 20852</w:t>
            </w:r>
          </w:p>
        </w:tc>
      </w:tr>
      <w:tr>
        <w:trPr>
          <w:trHeight w:val="186"/>
        </w:trPr>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20" w:type="dxa"/>
            <w:vAlign w:val="bottom"/>
            <w:gridSpan w:val="8"/>
          </w:tcPr>
          <w:p>
            <w:pPr>
              <w:jc w:val="center"/>
              <w:ind w:left="94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73"/>
        </w:trPr>
        <w:tc>
          <w:tcPr>
            <w:tcW w:w="16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80" w:type="dxa"/>
            <w:vAlign w:val="bottom"/>
            <w:gridSpan w:val="4"/>
          </w:tcPr>
          <w:p>
            <w:pPr>
              <w:jc w:val="center"/>
              <w:ind w:left="539"/>
              <w:spacing w:after="0"/>
              <w:rPr>
                <w:sz w:val="20"/>
                <w:szCs w:val="20"/>
                <w:color w:val="auto"/>
              </w:rPr>
            </w:pPr>
            <w:r>
              <w:rPr>
                <w:rFonts w:ascii="Arial" w:cs="Arial" w:eastAsia="Arial" w:hAnsi="Arial"/>
                <w:sz w:val="16"/>
                <w:szCs w:val="16"/>
                <w:b w:val="1"/>
                <w:bCs w:val="1"/>
                <w:color w:val="auto"/>
                <w:w w:val="93"/>
              </w:rPr>
              <w:t>(301) 998-8100</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186"/>
        </w:trPr>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520" w:type="dxa"/>
            <w:vAlign w:val="bottom"/>
            <w:gridSpan w:val="10"/>
          </w:tcPr>
          <w:p>
            <w:pPr>
              <w:jc w:val="center"/>
              <w:ind w:right="2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289"/>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40" w:type="dxa"/>
            <w:vAlign w:val="bottom"/>
            <w:gridSpan w:val="7"/>
          </w:tcPr>
          <w:p>
            <w:pPr>
              <w:jc w:val="center"/>
              <w:ind w:right="460"/>
              <w:spacing w:after="0"/>
              <w:rPr>
                <w:sz w:val="20"/>
                <w:szCs w:val="20"/>
                <w:color w:val="auto"/>
              </w:rPr>
            </w:pPr>
            <w:r>
              <w:rPr>
                <w:rFonts w:ascii="Arial" w:cs="Arial" w:eastAsia="Arial" w:hAnsi="Arial"/>
                <w:sz w:val="16"/>
                <w:szCs w:val="16"/>
                <w:b w:val="1"/>
                <w:bCs w:val="1"/>
                <w:color w:val="auto"/>
                <w:w w:val="92"/>
              </w:rPr>
              <w:t>Federal Realty Investment Trust</w:t>
            </w: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0"/>
        </w:trPr>
        <w:tc>
          <w:tcPr>
            <w:tcW w:w="16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6"/>
                <w:szCs w:val="16"/>
                <w:b w:val="1"/>
                <w:bCs w:val="1"/>
                <w:color w:val="auto"/>
                <w:w w:val="92"/>
              </w:rPr>
              <w:t>Trading Symbol</w:t>
            </w:r>
          </w:p>
        </w:tc>
        <w:tc>
          <w:tcPr>
            <w:tcW w:w="480" w:type="dxa"/>
            <w:vAlign w:val="bottom"/>
          </w:tcPr>
          <w:p>
            <w:pPr>
              <w:spacing w:after="0"/>
              <w:rPr>
                <w:sz w:val="24"/>
                <w:szCs w:val="24"/>
                <w:color w:val="auto"/>
              </w:rPr>
            </w:pPr>
          </w:p>
        </w:tc>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4480" w:type="dxa"/>
            <w:vAlign w:val="bottom"/>
            <w:gridSpan w:val="3"/>
          </w:tcPr>
          <w:p>
            <w:pPr>
              <w:jc w:val="center"/>
              <w:ind w:left="76"/>
              <w:spacing w:after="0"/>
              <w:rPr>
                <w:sz w:val="20"/>
                <w:szCs w:val="20"/>
                <w:color w:val="auto"/>
              </w:rPr>
            </w:pPr>
            <w:r>
              <w:rPr>
                <w:rFonts w:ascii="Arial" w:cs="Arial" w:eastAsia="Arial" w:hAnsi="Arial"/>
                <w:sz w:val="16"/>
                <w:szCs w:val="16"/>
                <w:color w:val="auto"/>
                <w:w w:val="92"/>
              </w:rPr>
              <w:t>Common Shares of Beneficial Interest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4"/>
          </w:tcPr>
          <w:p>
            <w:pPr>
              <w:jc w:val="center"/>
              <w:ind w:right="1060"/>
              <w:spacing w:after="0"/>
              <w:rPr>
                <w:sz w:val="20"/>
                <w:szCs w:val="20"/>
                <w:color w:val="auto"/>
              </w:rPr>
            </w:pPr>
            <w:r>
              <w:rPr>
                <w:rFonts w:ascii="Arial" w:cs="Arial" w:eastAsia="Arial" w:hAnsi="Arial"/>
                <w:sz w:val="18"/>
                <w:szCs w:val="18"/>
                <w:color w:val="auto"/>
                <w:w w:val="91"/>
              </w:rPr>
              <w:t>FRT</w:t>
            </w: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166"/>
        </w:trPr>
        <w:tc>
          <w:tcPr>
            <w:tcW w:w="4480" w:type="dxa"/>
            <w:vAlign w:val="bottom"/>
            <w:gridSpan w:val="3"/>
          </w:tcPr>
          <w:p>
            <w:pPr>
              <w:jc w:val="center"/>
              <w:ind w:left="96"/>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425"/>
              <w:spacing w:after="0"/>
              <w:rPr>
                <w:sz w:val="20"/>
                <w:szCs w:val="20"/>
                <w:color w:val="auto"/>
              </w:rPr>
            </w:pPr>
            <w:r>
              <w:rPr>
                <w:rFonts w:ascii="Arial" w:cs="Arial" w:eastAsia="Arial" w:hAnsi="Arial"/>
                <w:sz w:val="16"/>
                <w:szCs w:val="16"/>
                <w:color w:val="auto"/>
                <w:w w:val="92"/>
              </w:rPr>
              <w:t>Rights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90"/>
        </w:trPr>
        <w:tc>
          <w:tcPr>
            <w:tcW w:w="4480" w:type="dxa"/>
            <w:vAlign w:val="bottom"/>
            <w:gridSpan w:val="3"/>
          </w:tcPr>
          <w:p>
            <w:pPr>
              <w:jc w:val="center"/>
              <w:ind w:left="76"/>
              <w:spacing w:after="0"/>
              <w:rPr>
                <w:sz w:val="20"/>
                <w:szCs w:val="20"/>
                <w:color w:val="auto"/>
              </w:rPr>
            </w:pPr>
            <w:r>
              <w:rPr>
                <w:rFonts w:ascii="Arial" w:cs="Arial" w:eastAsia="Arial" w:hAnsi="Arial"/>
                <w:sz w:val="16"/>
                <w:szCs w:val="16"/>
                <w:color w:val="auto"/>
                <w:w w:val="89"/>
              </w:rPr>
              <w:t>Depositary Shares, each representing 1/1000 of a share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1060"/>
              <w:spacing w:after="0"/>
              <w:rPr>
                <w:sz w:val="20"/>
                <w:szCs w:val="20"/>
                <w:color w:val="auto"/>
              </w:rPr>
            </w:pPr>
            <w:r>
              <w:rPr>
                <w:rFonts w:ascii="Arial" w:cs="Arial" w:eastAsia="Arial" w:hAnsi="Arial"/>
                <w:sz w:val="18"/>
                <w:szCs w:val="18"/>
                <w:color w:val="auto"/>
                <w:w w:val="88"/>
              </w:rPr>
              <w:t>FRT-C</w:t>
            </w:r>
          </w:p>
        </w:tc>
        <w:tc>
          <w:tcPr>
            <w:tcW w:w="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166"/>
        </w:trPr>
        <w:tc>
          <w:tcPr>
            <w:tcW w:w="7220" w:type="dxa"/>
            <w:vAlign w:val="bottom"/>
            <w:gridSpan w:val="10"/>
          </w:tcPr>
          <w:p>
            <w:pPr>
              <w:jc w:val="center"/>
              <w:ind w:right="2580"/>
              <w:spacing w:after="0" w:line="166" w:lineRule="exact"/>
              <w:rPr>
                <w:sz w:val="20"/>
                <w:szCs w:val="20"/>
                <w:color w:val="auto"/>
              </w:rPr>
            </w:pPr>
            <w:r>
              <w:rPr>
                <w:rFonts w:ascii="Arial" w:cs="Arial" w:eastAsia="Arial" w:hAnsi="Arial"/>
                <w:sz w:val="16"/>
                <w:szCs w:val="16"/>
                <w:color w:val="auto"/>
                <w:w w:val="91"/>
              </w:rPr>
              <w:t>of 5.00% Series C Cumulative Redeemable Preferred Stock, $.01 par</w:t>
            </w:r>
          </w:p>
        </w:tc>
        <w:tc>
          <w:tcPr>
            <w:tcW w:w="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425"/>
              <w:spacing w:after="0"/>
              <w:rPr>
                <w:sz w:val="20"/>
                <w:szCs w:val="20"/>
                <w:color w:val="auto"/>
              </w:rPr>
            </w:pPr>
            <w:r>
              <w:rPr>
                <w:rFonts w:ascii="Arial" w:cs="Arial" w:eastAsia="Arial" w:hAnsi="Arial"/>
                <w:sz w:val="16"/>
                <w:szCs w:val="16"/>
                <w:color w:val="auto"/>
                <w:w w:val="88"/>
              </w:rPr>
              <w:t>value per share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98"/>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5"/>
              </w:rPr>
              <w:t>Federal Realty OP LP</w:t>
            </w: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0"/>
        </w:trPr>
        <w:tc>
          <w:tcPr>
            <w:tcW w:w="16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Trading Symbol</w:t>
            </w:r>
          </w:p>
        </w:tc>
        <w:tc>
          <w:tcPr>
            <w:tcW w:w="820" w:type="dxa"/>
            <w:vAlign w:val="bottom"/>
            <w:gridSpan w:val="2"/>
          </w:tcPr>
          <w:p>
            <w:pPr>
              <w:spacing w:after="0"/>
              <w:rPr>
                <w:sz w:val="24"/>
                <w:szCs w:val="24"/>
                <w:color w:val="auto"/>
              </w:rPr>
            </w:pPr>
          </w:p>
        </w:tc>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50"/>
        </w:trPr>
        <w:tc>
          <w:tcPr>
            <w:tcW w:w="1680" w:type="dxa"/>
            <w:vAlign w:val="bottom"/>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None</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r>
    </w:tbl>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ectPr>
          <w:pgSz w:w="11900" w:h="16838" w:orient="portrait"/>
          <w:cols w:equalWidth="0" w:num="1">
            <w:col w:w="11240"/>
          </w:cols>
          <w:pgMar w:left="320" w:top="234" w:right="339" w:bottom="1440" w:gutter="0" w:footer="0" w:header="0"/>
        </w:sectPr>
      </w:pP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5"/>
          <w:szCs w:val="15"/>
          <w:color w:val="auto"/>
        </w:rPr>
        <w:t xml:space="preserve">Federal Realty Investment Trust Federal Realty OP LP </w:t>
      </w: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right"/>
        <w:spacing w:after="0" w:line="22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91" w:lineRule="exact"/>
        <w:rPr>
          <w:sz w:val="24"/>
          <w:szCs w:val="24"/>
          <w:color w:val="auto"/>
        </w:rPr>
      </w:pPr>
    </w:p>
    <w:p>
      <w:pPr>
        <w:sectPr>
          <w:pgSz w:w="11900" w:h="16838" w:orient="portrait"/>
          <w:cols w:equalWidth="0" w:num="3">
            <w:col w:w="2260" w:space="40"/>
            <w:col w:w="540" w:space="80"/>
            <w:col w:w="8320"/>
          </w:cols>
          <w:pgMar w:left="320" w:top="234"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ectPr>
          <w:pgSz w:w="11900" w:h="16838" w:orient="portrait"/>
          <w:cols w:equalWidth="0" w:num="1">
            <w:col w:w="11240"/>
          </w:cols>
          <w:pgMar w:left="320" w:top="234" w:right="339" w:bottom="1440" w:gutter="0" w:footer="0" w:header="0"/>
          <w:type w:val="continuous"/>
        </w:sectPr>
      </w:pPr>
    </w:p>
    <w:p>
      <w:pPr>
        <w:spacing w:after="0" w:line="82" w:lineRule="exact"/>
        <w:rPr>
          <w:sz w:val="24"/>
          <w:szCs w:val="24"/>
          <w:color w:val="auto"/>
        </w:rPr>
      </w:pPr>
    </w:p>
    <w:p>
      <w:pPr>
        <w:spacing w:after="0"/>
        <w:rPr>
          <w:sz w:val="20"/>
          <w:szCs w:val="20"/>
          <w:color w:val="auto"/>
        </w:rPr>
      </w:pPr>
      <w:r>
        <w:rPr>
          <w:rFonts w:ascii="Arial" w:cs="Arial" w:eastAsia="Arial" w:hAnsi="Arial"/>
          <w:sz w:val="15"/>
          <w:szCs w:val="15"/>
          <w:color w:val="auto"/>
        </w:rPr>
        <w:t>Federal Realty Investment Trust</w:t>
      </w:r>
    </w:p>
    <w:p>
      <w:pPr>
        <w:spacing w:after="0" w:line="34" w:lineRule="exact"/>
        <w:rPr>
          <w:sz w:val="24"/>
          <w:szCs w:val="24"/>
          <w:color w:val="auto"/>
        </w:rPr>
      </w:pPr>
    </w:p>
    <w:p>
      <w:pPr>
        <w:spacing w:after="0" w:line="184" w:lineRule="exact"/>
        <w:tabs>
          <w:tab w:leader="none" w:pos="1780" w:val="left"/>
        </w:tabs>
        <w:rPr>
          <w:sz w:val="20"/>
          <w:szCs w:val="20"/>
          <w:color w:val="auto"/>
        </w:rPr>
      </w:pPr>
      <w:r>
        <w:rPr>
          <w:rFonts w:ascii="Arial" w:cs="Arial" w:eastAsia="Arial" w:hAnsi="Arial"/>
          <w:sz w:val="16"/>
          <w:szCs w:val="16"/>
          <w:color w:val="auto"/>
        </w:rPr>
        <w:t>Federal Realty OP LP</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right"/>
        <w:spacing w:after="0" w:line="22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72" w:lineRule="exact"/>
        <w:rPr>
          <w:sz w:val="24"/>
          <w:szCs w:val="24"/>
          <w:color w:val="auto"/>
        </w:rPr>
      </w:pPr>
    </w:p>
    <w:p>
      <w:pPr>
        <w:sectPr>
          <w:pgSz w:w="11900" w:h="16838" w:orient="portrait"/>
          <w:cols w:equalWidth="0" w:num="4">
            <w:col w:w="2260" w:space="40"/>
            <w:col w:w="540" w:space="80"/>
            <w:col w:w="140" w:space="80"/>
            <w:col w:w="8100"/>
          </w:cols>
          <w:pgMar w:left="320" w:top="234" w:right="339" w:bottom="1440" w:gutter="0" w:footer="0" w:header="0"/>
          <w:type w:val="continuous"/>
        </w:sectPr>
      </w:pPr>
    </w:p>
    <w:p>
      <w:pPr>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2240" w:val="left"/>
        </w:tabs>
        <w:rPr>
          <w:sz w:val="20"/>
          <w:szCs w:val="20"/>
          <w:color w:val="auto"/>
        </w:rPr>
      </w:pPr>
      <w:r>
        <w:rPr>
          <w:rFonts w:ascii="Arial" w:cs="Arial" w:eastAsia="Arial" w:hAnsi="Arial"/>
          <w:sz w:val="16"/>
          <w:szCs w:val="16"/>
          <w:color w:val="auto"/>
        </w:rPr>
        <w:t>Federal Realty Investment Trust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900" w:val="left"/>
        </w:tabs>
        <w:rPr>
          <w:sz w:val="20"/>
          <w:szCs w:val="20"/>
          <w:color w:val="auto"/>
        </w:rPr>
      </w:pPr>
      <w:r>
        <w:rPr>
          <w:rFonts w:ascii="Arial" w:cs="Arial" w:eastAsia="Arial" w:hAnsi="Arial"/>
          <w:sz w:val="16"/>
          <w:szCs w:val="16"/>
          <w:color w:val="auto"/>
        </w:rPr>
        <w:t>Federal Realty OP LP</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84" w:lineRule="exact"/>
        <w:tabs>
          <w:tab w:leader="none" w:pos="2240" w:val="left"/>
        </w:tabs>
        <w:rPr>
          <w:sz w:val="20"/>
          <w:szCs w:val="20"/>
          <w:color w:val="auto"/>
        </w:rPr>
      </w:pPr>
      <w:r>
        <w:rPr>
          <w:rFonts w:ascii="Arial" w:cs="Arial" w:eastAsia="Arial" w:hAnsi="Arial"/>
          <w:sz w:val="16"/>
          <w:szCs w:val="16"/>
          <w:color w:val="auto"/>
        </w:rPr>
        <w:t>Federal Realty Investment Trust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0"/>
          <w:szCs w:val="20"/>
          <w:color w:val="auto"/>
        </w:rPr>
      </w:pPr>
    </w:p>
    <w:p>
      <w:pPr>
        <w:spacing w:after="0" w:line="184" w:lineRule="exact"/>
        <w:tabs>
          <w:tab w:leader="none" w:pos="1900" w:val="left"/>
        </w:tabs>
        <w:rPr>
          <w:sz w:val="20"/>
          <w:szCs w:val="20"/>
          <w:color w:val="auto"/>
        </w:rPr>
      </w:pPr>
      <w:r>
        <w:rPr>
          <w:rFonts w:ascii="Arial" w:cs="Arial" w:eastAsia="Arial" w:hAnsi="Arial"/>
          <w:sz w:val="16"/>
          <w:szCs w:val="16"/>
          <w:color w:val="auto"/>
        </w:rPr>
        <w:t>Federal Realty OP LP</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59"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1"/>
              </w:rPr>
              <w:t>Federal Realty Investment Trust</w:t>
            </w:r>
          </w:p>
        </w:tc>
        <w:tc>
          <w:tcPr>
            <w:tcW w:w="260" w:type="dxa"/>
            <w:vAlign w:val="bottom"/>
          </w:tcPr>
          <w:p>
            <w:pPr>
              <w:spacing w:after="0"/>
              <w:rPr>
                <w:sz w:val="16"/>
                <w:szCs w:val="16"/>
                <w:color w:val="auto"/>
              </w:rPr>
            </w:pPr>
          </w:p>
        </w:tc>
        <w:tc>
          <w:tcPr>
            <w:tcW w:w="166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spacing w:after="0"/>
              <w:rPr>
                <w:sz w:val="16"/>
                <w:szCs w:val="16"/>
                <w:color w:val="auto"/>
              </w:rPr>
            </w:pP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0"/>
        </w:trPr>
        <w:tc>
          <w:tcPr>
            <w:tcW w:w="2360" w:type="dxa"/>
            <w:vAlign w:val="bottom"/>
            <w:gridSpan w:val="3"/>
          </w:tcPr>
          <w:p>
            <w:pPr>
              <w:spacing w:after="0"/>
              <w:rPr>
                <w:sz w:val="20"/>
                <w:szCs w:val="20"/>
                <w:color w:val="auto"/>
              </w:rPr>
            </w:pPr>
            <w:r>
              <w:rPr>
                <w:rFonts w:ascii="Arial" w:cs="Arial" w:eastAsia="Arial" w:hAnsi="Arial"/>
                <w:sz w:val="16"/>
                <w:szCs w:val="16"/>
                <w:color w:val="auto"/>
              </w:rPr>
              <w:t>Large accelerated filer</w:t>
            </w:r>
          </w:p>
        </w:tc>
        <w:tc>
          <w:tcPr>
            <w:tcW w:w="1660" w:type="dxa"/>
            <w:vAlign w:val="bottom"/>
            <w:vMerge w:val="continue"/>
          </w:tcPr>
          <w:p>
            <w:pPr>
              <w:spacing w:after="0"/>
              <w:rPr>
                <w:sz w:val="23"/>
                <w:szCs w:val="23"/>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Accelerated filer</w:t>
            </w:r>
          </w:p>
        </w:tc>
        <w:tc>
          <w:tcPr>
            <w:tcW w:w="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360" w:type="dxa"/>
            <w:vAlign w:val="bottom"/>
            <w:gridSpan w:val="3"/>
          </w:tcPr>
          <w:p>
            <w:pPr>
              <w:spacing w:after="0"/>
              <w:rPr>
                <w:sz w:val="20"/>
                <w:szCs w:val="20"/>
                <w:color w:val="auto"/>
              </w:rPr>
            </w:pPr>
            <w:r>
              <w:rPr>
                <w:rFonts w:ascii="Arial" w:cs="Arial" w:eastAsia="Arial" w:hAnsi="Arial"/>
                <w:sz w:val="16"/>
                <w:szCs w:val="16"/>
                <w:color w:val="auto"/>
              </w:rPr>
              <w:t>Non-accelerated filer</w:t>
            </w:r>
          </w:p>
        </w:tc>
        <w:tc>
          <w:tcPr>
            <w:tcW w:w="16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ind w:left="12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440" w:type="dxa"/>
            <w:vAlign w:val="bottom"/>
            <w:vMerge w:val="restart"/>
          </w:tcPr>
          <w:p>
            <w:pPr>
              <w:spacing w:after="0"/>
              <w:rPr>
                <w:sz w:val="20"/>
                <w:szCs w:val="20"/>
                <w:color w:val="auto"/>
              </w:rPr>
            </w:pPr>
            <w:r>
              <w:rPr>
                <w:rFonts w:ascii="Arial" w:cs="Arial" w:eastAsia="Arial" w:hAnsi="Arial"/>
                <w:sz w:val="16"/>
                <w:szCs w:val="16"/>
                <w:color w:val="auto"/>
                <w:w w:val="91"/>
              </w:rPr>
              <w:t>Federal Realty OP LP</w:t>
            </w:r>
          </w:p>
        </w:tc>
        <w:tc>
          <w:tcPr>
            <w:tcW w:w="920" w:type="dxa"/>
            <w:vAlign w:val="bottom"/>
            <w:gridSpan w:val="2"/>
            <w:vMerge w:val="restart"/>
          </w:tcPr>
          <w:p>
            <w:pPr>
              <w:spacing w:after="0"/>
              <w:rPr>
                <w:sz w:val="24"/>
                <w:szCs w:val="24"/>
                <w:color w:val="auto"/>
              </w:rPr>
            </w:pPr>
          </w:p>
        </w:tc>
        <w:tc>
          <w:tcPr>
            <w:tcW w:w="1660" w:type="dxa"/>
            <w:vAlign w:val="bottom"/>
          </w:tcPr>
          <w:p>
            <w:pPr>
              <w:spacing w:after="0"/>
              <w:rPr>
                <w:sz w:val="24"/>
                <w:szCs w:val="24"/>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1"/>
        </w:trPr>
        <w:tc>
          <w:tcPr>
            <w:tcW w:w="144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6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spacing w:after="0"/>
              <w:rPr>
                <w:sz w:val="13"/>
                <w:szCs w:val="13"/>
                <w:color w:val="auto"/>
              </w:rPr>
            </w:pP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0"/>
        </w:trPr>
        <w:tc>
          <w:tcPr>
            <w:tcW w:w="2360" w:type="dxa"/>
            <w:vAlign w:val="bottom"/>
            <w:gridSpan w:val="3"/>
          </w:tcPr>
          <w:p>
            <w:pPr>
              <w:spacing w:after="0"/>
              <w:rPr>
                <w:sz w:val="20"/>
                <w:szCs w:val="20"/>
                <w:color w:val="auto"/>
              </w:rPr>
            </w:pPr>
            <w:r>
              <w:rPr>
                <w:rFonts w:ascii="Arial" w:cs="Arial" w:eastAsia="Arial" w:hAnsi="Arial"/>
                <w:sz w:val="16"/>
                <w:szCs w:val="16"/>
                <w:color w:val="auto"/>
              </w:rPr>
              <w:t>Large accelerated filer</w:t>
            </w:r>
          </w:p>
        </w:tc>
        <w:tc>
          <w:tcPr>
            <w:tcW w:w="1660" w:type="dxa"/>
            <w:vAlign w:val="bottom"/>
            <w:vMerge w:val="continue"/>
          </w:tcPr>
          <w:p>
            <w:pPr>
              <w:spacing w:after="0"/>
              <w:rPr>
                <w:sz w:val="23"/>
                <w:szCs w:val="23"/>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Accelerated filer</w:t>
            </w:r>
          </w:p>
        </w:tc>
        <w:tc>
          <w:tcPr>
            <w:tcW w:w="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360" w:type="dxa"/>
            <w:vAlign w:val="bottom"/>
            <w:gridSpan w:val="3"/>
          </w:tcPr>
          <w:p>
            <w:pPr>
              <w:spacing w:after="0"/>
              <w:rPr>
                <w:sz w:val="20"/>
                <w:szCs w:val="20"/>
                <w:color w:val="auto"/>
              </w:rPr>
            </w:pPr>
            <w:r>
              <w:rPr>
                <w:rFonts w:ascii="Arial" w:cs="Arial" w:eastAsia="Arial" w:hAnsi="Arial"/>
                <w:sz w:val="16"/>
                <w:szCs w:val="16"/>
                <w:color w:val="auto"/>
              </w:rPr>
              <w:t>Non-accelerated filer</w:t>
            </w:r>
          </w:p>
        </w:tc>
        <w:tc>
          <w:tcPr>
            <w:tcW w:w="16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ind w:left="12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10680" w:type="dxa"/>
            <w:vAlign w:val="bottom"/>
            <w:gridSpan w:val="5"/>
          </w:tcPr>
          <w:p>
            <w:pPr>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6"/>
        </w:trPr>
        <w:tc>
          <w:tcPr>
            <w:tcW w:w="10680" w:type="dxa"/>
            <w:vAlign w:val="bottom"/>
            <w:gridSpan w:val="5"/>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20" w:right="760"/>
        <w:spacing w:after="0" w:line="230"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900" w:h="16838" w:orient="portrait"/>
          <w:cols w:equalWidth="0" w:num="1">
            <w:col w:w="11200"/>
          </w:cols>
          <w:pgMar w:left="320" w:top="126" w:right="379" w:bottom="1440" w:gutter="0" w:footer="0" w:header="0"/>
        </w:sectPr>
      </w:pPr>
    </w:p>
    <w:p>
      <w:pPr>
        <w:spacing w:after="0" w:line="11" w:lineRule="exact"/>
        <w:rPr>
          <w:sz w:val="20"/>
          <w:szCs w:val="20"/>
          <w:color w:val="auto"/>
        </w:rPr>
      </w:pPr>
    </w:p>
    <w:p>
      <w:pPr>
        <w:ind w:left="20"/>
        <w:spacing w:after="0" w:line="328" w:lineRule="auto"/>
        <w:rPr>
          <w:sz w:val="20"/>
          <w:szCs w:val="20"/>
          <w:color w:val="auto"/>
        </w:rPr>
      </w:pPr>
      <w:r>
        <w:rPr>
          <w:rFonts w:ascii="Arial" w:cs="Arial" w:eastAsia="Arial" w:hAnsi="Arial"/>
          <w:sz w:val="16"/>
          <w:szCs w:val="16"/>
          <w:color w:val="auto"/>
        </w:rPr>
        <w:t>Federal Realty Investment Trust Federal Realty OP LP</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8" w:lineRule="exact"/>
        <w:rPr>
          <w:sz w:val="20"/>
          <w:szCs w:val="20"/>
          <w:color w:val="auto"/>
        </w:rPr>
      </w:pPr>
    </w:p>
    <w:p>
      <w:pPr>
        <w:sectPr>
          <w:pgSz w:w="11900" w:h="16838" w:orient="portrait"/>
          <w:cols w:equalWidth="0" w:num="2">
            <w:col w:w="2120" w:space="540"/>
            <w:col w:w="8540"/>
          </w:cols>
          <w:pgMar w:left="320" w:top="126" w:right="379" w:bottom="1440" w:gutter="0" w:footer="0" w:header="0"/>
          <w:type w:val="continuous"/>
        </w:sectPr>
      </w:pPr>
    </w:p>
    <w:p>
      <w:pPr>
        <w:ind w:left="20" w:right="480"/>
        <w:spacing w:after="0"/>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00"/>
          </w:cols>
          <w:pgMar w:left="320" w:top="126" w:right="379" w:bottom="1440" w:gutter="0" w:footer="0" w:header="0"/>
          <w:type w:val="continuous"/>
        </w:sectPr>
      </w:pPr>
    </w:p>
    <w:p>
      <w:pPr>
        <w:spacing w:after="0" w:line="10" w:lineRule="exact"/>
        <w:rPr>
          <w:sz w:val="20"/>
          <w:szCs w:val="20"/>
          <w:color w:val="auto"/>
        </w:rPr>
      </w:pPr>
    </w:p>
    <w:p>
      <w:pPr>
        <w:ind w:left="20"/>
        <w:spacing w:after="0" w:line="310" w:lineRule="auto"/>
        <w:rPr>
          <w:sz w:val="20"/>
          <w:szCs w:val="20"/>
          <w:color w:val="auto"/>
        </w:rPr>
      </w:pPr>
      <w:r>
        <w:rPr>
          <w:rFonts w:ascii="Arial" w:cs="Arial" w:eastAsia="Arial" w:hAnsi="Arial"/>
          <w:sz w:val="16"/>
          <w:szCs w:val="16"/>
          <w:color w:val="auto"/>
        </w:rPr>
        <w:t>Federal Realty Investment Trust Federal Realty OP LP</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2" w:lineRule="exact"/>
        <w:rPr>
          <w:sz w:val="20"/>
          <w:szCs w:val="20"/>
          <w:color w:val="auto"/>
        </w:rPr>
      </w:pPr>
    </w:p>
    <w:p>
      <w:pPr>
        <w:sectPr>
          <w:pgSz w:w="11900" w:h="16838" w:orient="portrait"/>
          <w:cols w:equalWidth="0" w:num="2">
            <w:col w:w="2120" w:space="540"/>
            <w:col w:w="8540"/>
          </w:cols>
          <w:pgMar w:left="320" w:top="126" w:right="379" w:bottom="1440" w:gutter="0" w:footer="0" w:header="0"/>
          <w:type w:val="continuous"/>
        </w:sectPr>
      </w:pPr>
    </w:p>
    <w:p>
      <w:pPr>
        <w:ind w:left="20" w:right="500"/>
        <w:spacing w:after="0"/>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ectPr>
          <w:pgSz w:w="11900" w:h="16838" w:orient="portrait"/>
          <w:cols w:equalWidth="0" w:num="1">
            <w:col w:w="11200"/>
          </w:cols>
          <w:pgMar w:left="320" w:top="126" w:right="379" w:bottom="1440" w:gutter="0" w:footer="0" w:header="0"/>
          <w:type w:val="continuous"/>
        </w:sectPr>
      </w:pPr>
    </w:p>
    <w:p>
      <w:pPr>
        <w:spacing w:after="0" w:line="10" w:lineRule="exact"/>
        <w:rPr>
          <w:sz w:val="20"/>
          <w:szCs w:val="20"/>
          <w:color w:val="auto"/>
        </w:rPr>
      </w:pPr>
    </w:p>
    <w:p>
      <w:pPr>
        <w:ind w:left="20"/>
        <w:spacing w:after="0" w:line="310" w:lineRule="auto"/>
        <w:rPr>
          <w:sz w:val="20"/>
          <w:szCs w:val="20"/>
          <w:color w:val="auto"/>
        </w:rPr>
      </w:pPr>
      <w:r>
        <w:rPr>
          <w:rFonts w:ascii="Arial" w:cs="Arial" w:eastAsia="Arial" w:hAnsi="Arial"/>
          <w:sz w:val="16"/>
          <w:szCs w:val="16"/>
          <w:color w:val="auto"/>
        </w:rPr>
        <w:t>Federal Realty Investment Trust Federal Realty OP LP</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9" w:lineRule="exact"/>
        <w:rPr>
          <w:sz w:val="20"/>
          <w:szCs w:val="20"/>
          <w:color w:val="auto"/>
        </w:rPr>
      </w:pPr>
    </w:p>
    <w:p>
      <w:pPr>
        <w:sectPr>
          <w:pgSz w:w="11900" w:h="16838" w:orient="portrait"/>
          <w:cols w:equalWidth="0" w:num="2">
            <w:col w:w="2120" w:space="540"/>
            <w:col w:w="8540"/>
          </w:cols>
          <w:pgMar w:left="320" w:top="126" w:right="37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9" w:lineRule="exact"/>
        <w:rPr>
          <w:sz w:val="20"/>
          <w:szCs w:val="20"/>
          <w:color w:val="auto"/>
        </w:rPr>
      </w:pPr>
    </w:p>
    <w:p>
      <w:pPr>
        <w:spacing w:after="0" w:line="184" w:lineRule="exact"/>
        <w:tabs>
          <w:tab w:leader="none" w:pos="2240" w:val="left"/>
        </w:tabs>
        <w:rPr>
          <w:sz w:val="20"/>
          <w:szCs w:val="20"/>
          <w:color w:val="auto"/>
        </w:rPr>
      </w:pPr>
      <w:r>
        <w:rPr>
          <w:rFonts w:ascii="Arial" w:cs="Arial" w:eastAsia="Arial" w:hAnsi="Arial"/>
          <w:sz w:val="16"/>
          <w:szCs w:val="16"/>
          <w:color w:val="auto"/>
        </w:rPr>
        <w:t>Federal Realty Investment Trust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3" w:lineRule="exact"/>
        <w:rPr>
          <w:sz w:val="20"/>
          <w:szCs w:val="20"/>
          <w:color w:val="auto"/>
        </w:rPr>
      </w:pPr>
    </w:p>
    <w:p>
      <w:pPr>
        <w:spacing w:after="0" w:line="184" w:lineRule="exact"/>
        <w:tabs>
          <w:tab w:leader="none" w:pos="1900" w:val="left"/>
        </w:tabs>
        <w:rPr>
          <w:sz w:val="20"/>
          <w:szCs w:val="20"/>
          <w:color w:val="auto"/>
        </w:rPr>
      </w:pPr>
      <w:r>
        <w:rPr>
          <w:rFonts w:ascii="Arial" w:cs="Arial" w:eastAsia="Arial" w:hAnsi="Arial"/>
          <w:sz w:val="16"/>
          <w:szCs w:val="16"/>
          <w:color w:val="auto"/>
        </w:rPr>
        <w:t>Federal Realty OP LP</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the registrant's common shares held by non-affiliates of the registrant, based upon the closing sales price of the registrant's common shares 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June 30, 2022: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 $7.7 billion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OP LP: N/A</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Federal Realty Investment Trust's common shares outstanding on February 3, 2023 was 81,353,180.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Portions of Federal Realty Investment Trust’s Proxy Statement to be filed with the Securities and Exchange Commission (the "SEC") for its annual meeting of shareholders to be held in May 2023 will be incorporated by reference into Part III hereof.</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0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report combines the annual reports on Form 10-K for the year ended December 31, 2022,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43"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December 31, 2022, the Parent Company owned 100% of the outstanding partnership units (the "OP Units") in the Operating Partnership.</w:t>
      </w:r>
    </w:p>
    <w:p>
      <w:pPr>
        <w:spacing w:after="0" w:line="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believes combining the annual reports on Form 10-K of the Parent Company and the Operating Partnership into this single report provides the following benefits:</w:t>
      </w:r>
    </w:p>
    <w:p>
      <w:pPr>
        <w:spacing w:after="0" w:line="49" w:lineRule="exact"/>
        <w:rPr>
          <w:sz w:val="20"/>
          <w:szCs w:val="20"/>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duplicate disclosure and provides a more streamlined and readable presentation;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4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3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w:t>
      </w:r>
    </w:p>
    <w:p>
      <w:pPr>
        <w:spacing w:after="0" w:line="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9540" w:type="dxa"/>
            <w:vAlign w:val="bottom"/>
          </w:tcPr>
          <w:p>
            <w:pPr>
              <w:jc w:val="center"/>
              <w:ind w:right="71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9540" w:type="dxa"/>
            <w:vAlign w:val="bottom"/>
          </w:tcPr>
          <w:p>
            <w:pPr>
              <w:jc w:val="center"/>
              <w:ind w:right="730"/>
              <w:spacing w:after="0"/>
              <w:rPr>
                <w:sz w:val="20"/>
                <w:szCs w:val="20"/>
                <w:color w:val="auto"/>
              </w:rPr>
            </w:pPr>
            <w:r>
              <w:rPr>
                <w:rFonts w:ascii="Arial" w:cs="Arial" w:eastAsia="Arial" w:hAnsi="Arial"/>
                <w:sz w:val="18"/>
                <w:szCs w:val="18"/>
                <w:b w:val="1"/>
                <w:bCs w:val="1"/>
                <w:color w:val="auto"/>
                <w:w w:val="99"/>
              </w:rPr>
              <w:t>FEDERAL REALTY OP LP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0"/>
        </w:trPr>
        <w:tc>
          <w:tcPr>
            <w:tcW w:w="1260" w:type="dxa"/>
            <w:vAlign w:val="bottom"/>
          </w:tcPr>
          <w:p>
            <w:pPr>
              <w:spacing w:after="0"/>
              <w:rPr>
                <w:sz w:val="24"/>
                <w:szCs w:val="24"/>
                <w:color w:val="auto"/>
              </w:rPr>
            </w:pPr>
          </w:p>
        </w:tc>
        <w:tc>
          <w:tcPr>
            <w:tcW w:w="9540" w:type="dxa"/>
            <w:vAlign w:val="bottom"/>
          </w:tcPr>
          <w:p>
            <w:pPr>
              <w:jc w:val="center"/>
              <w:ind w:right="71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9540" w:type="dxa"/>
            <w:vAlign w:val="bottom"/>
          </w:tcPr>
          <w:p>
            <w:pPr>
              <w:jc w:val="center"/>
              <w:ind w:right="730"/>
              <w:spacing w:after="0"/>
              <w:rPr>
                <w:sz w:val="20"/>
                <w:szCs w:val="20"/>
                <w:color w:val="auto"/>
              </w:rPr>
            </w:pPr>
            <w:r>
              <w:rPr>
                <w:rFonts w:ascii="Arial" w:cs="Arial" w:eastAsia="Arial" w:hAnsi="Arial"/>
                <w:sz w:val="18"/>
                <w:szCs w:val="18"/>
                <w:b w:val="1"/>
                <w:bCs w:val="1"/>
                <w:color w:val="auto"/>
                <w:w w:val="98"/>
              </w:rPr>
              <w:t>FISCAL YEAR ENDED DECEMBER 31, 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11"/>
        </w:trPr>
        <w:tc>
          <w:tcPr>
            <w:tcW w:w="1260" w:type="dxa"/>
            <w:vAlign w:val="bottom"/>
          </w:tcPr>
          <w:p>
            <w:pPr>
              <w:spacing w:after="0"/>
              <w:rPr>
                <w:sz w:val="24"/>
                <w:szCs w:val="24"/>
                <w:color w:val="auto"/>
              </w:rPr>
            </w:pPr>
          </w:p>
        </w:tc>
        <w:tc>
          <w:tcPr>
            <w:tcW w:w="9540" w:type="dxa"/>
            <w:vAlign w:val="bottom"/>
          </w:tcPr>
          <w:p>
            <w:pPr>
              <w:jc w:val="center"/>
              <w:ind w:right="73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7"/>
        </w:trPr>
        <w:tc>
          <w:tcPr>
            <w:tcW w:w="1260" w:type="dxa"/>
            <w:vAlign w:val="bottom"/>
          </w:tcPr>
          <w:p>
            <w:pPr>
              <w:ind w:left="40"/>
              <w:spacing w:after="0"/>
              <w:rPr>
                <w:sz w:val="20"/>
                <w:szCs w:val="20"/>
                <w:color w:val="auto"/>
              </w:rPr>
            </w:pPr>
            <w:r>
              <w:rPr>
                <w:rFonts w:ascii="Arial" w:cs="Arial" w:eastAsia="Arial" w:hAnsi="Arial"/>
                <w:sz w:val="18"/>
                <w:szCs w:val="18"/>
                <w:color w:val="auto"/>
              </w:rPr>
              <w:t>PART I</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1.</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Business</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1A.</w:t>
            </w:r>
          </w:p>
        </w:tc>
        <w:tc>
          <w:tcPr>
            <w:tcW w:w="954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1B.</w:t>
            </w:r>
          </w:p>
        </w:tc>
        <w:tc>
          <w:tcPr>
            <w:tcW w:w="9540" w:type="dxa"/>
            <w:vAlign w:val="bottom"/>
          </w:tcPr>
          <w:p>
            <w:pPr>
              <w:ind w:left="12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18</w:t>
            </w: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2.</w:t>
            </w:r>
          </w:p>
        </w:tc>
        <w:tc>
          <w:tcPr>
            <w:tcW w:w="954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19</w:t>
            </w:r>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3.</w:t>
            </w:r>
          </w:p>
        </w:tc>
        <w:tc>
          <w:tcPr>
            <w:tcW w:w="95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28</w:t>
            </w: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4.</w:t>
            </w:r>
          </w:p>
        </w:tc>
        <w:tc>
          <w:tcPr>
            <w:tcW w:w="954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28</w:t>
            </w:r>
          </w:p>
        </w:tc>
        <w:tc>
          <w:tcPr>
            <w:tcW w:w="260" w:type="dxa"/>
            <w:vAlign w:val="bottom"/>
          </w:tcPr>
          <w:p>
            <w:pPr>
              <w:spacing w:after="0"/>
              <w:rPr>
                <w:sz w:val="18"/>
                <w:szCs w:val="18"/>
                <w:color w:val="auto"/>
              </w:rPr>
            </w:pPr>
          </w:p>
        </w:tc>
      </w:tr>
      <w:tr>
        <w:trPr>
          <w:trHeight w:val="519"/>
        </w:trPr>
        <w:tc>
          <w:tcPr>
            <w:tcW w:w="1260" w:type="dxa"/>
            <w:vAlign w:val="bottom"/>
          </w:tcPr>
          <w:p>
            <w:pPr>
              <w:ind w:left="40"/>
              <w:spacing w:after="0"/>
              <w:rPr>
                <w:sz w:val="20"/>
                <w:szCs w:val="20"/>
                <w:color w:val="auto"/>
              </w:rPr>
            </w:pPr>
            <w:r>
              <w:rPr>
                <w:rFonts w:ascii="Arial" w:cs="Arial" w:eastAsia="Arial" w:hAnsi="Arial"/>
                <w:sz w:val="18"/>
                <w:szCs w:val="18"/>
                <w:color w:val="auto"/>
              </w:rPr>
              <w:t>PART II</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5.</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FF"/>
            </w:tcBorders>
            <w:gridSpan w:val="2"/>
          </w:tcPr>
          <w:p>
            <w:pPr>
              <w:spacing w:after="0" w:line="190" w:lineRule="exact"/>
              <w:rPr>
                <w:sz w:val="20"/>
                <w:szCs w:val="20"/>
                <w:color w:val="auto"/>
              </w:rPr>
            </w:pPr>
            <w:r>
              <w:rPr>
                <w:rFonts w:ascii="Arial" w:cs="Arial" w:eastAsia="Arial" w:hAnsi="Arial"/>
                <w:sz w:val="18"/>
                <w:szCs w:val="18"/>
                <w:color w:val="0000FF"/>
                <w:w w:val="79"/>
              </w:rPr>
              <w:t>29</w:t>
            </w:r>
          </w:p>
        </w:tc>
        <w:tc>
          <w:tcPr>
            <w:tcW w:w="260" w:type="dxa"/>
            <w:vAlign w:val="bottom"/>
          </w:tcPr>
          <w:p>
            <w:pPr>
              <w:spacing w:after="0"/>
              <w:rPr>
                <w:sz w:val="16"/>
                <w:szCs w:val="16"/>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6.</w:t>
            </w:r>
          </w:p>
        </w:tc>
        <w:tc>
          <w:tcPr>
            <w:tcW w:w="95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31</w:t>
            </w:r>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7.</w:t>
            </w:r>
          </w:p>
        </w:tc>
        <w:tc>
          <w:tcPr>
            <w:tcW w:w="954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31</w:t>
            </w: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7A.</w:t>
            </w:r>
          </w:p>
        </w:tc>
        <w:tc>
          <w:tcPr>
            <w:tcW w:w="954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49</w:t>
            </w: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8.</w:t>
            </w:r>
          </w:p>
        </w:tc>
        <w:tc>
          <w:tcPr>
            <w:tcW w:w="9540" w:type="dxa"/>
            <w:vAlign w:val="bottom"/>
          </w:tcPr>
          <w:p>
            <w:pPr>
              <w:ind w:left="12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50</w:t>
            </w:r>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9.</w:t>
            </w:r>
          </w:p>
        </w:tc>
        <w:tc>
          <w:tcPr>
            <w:tcW w:w="9540" w:type="dxa"/>
            <w:vAlign w:val="bottom"/>
          </w:tcPr>
          <w:p>
            <w:pPr>
              <w:ind w:left="1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50</w:t>
            </w: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9A.</w:t>
            </w:r>
          </w:p>
        </w:tc>
        <w:tc>
          <w:tcPr>
            <w:tcW w:w="95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50</w:t>
            </w: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9B.</w:t>
            </w:r>
          </w:p>
        </w:tc>
        <w:tc>
          <w:tcPr>
            <w:tcW w:w="954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51</w:t>
            </w:r>
          </w:p>
        </w:tc>
        <w:tc>
          <w:tcPr>
            <w:tcW w:w="260" w:type="dxa"/>
            <w:vAlign w:val="bottom"/>
          </w:tcPr>
          <w:p>
            <w:pPr>
              <w:spacing w:after="0"/>
              <w:rPr>
                <w:sz w:val="18"/>
                <w:szCs w:val="18"/>
                <w:color w:val="auto"/>
              </w:rPr>
            </w:pPr>
          </w:p>
        </w:tc>
      </w:tr>
      <w:tr>
        <w:trPr>
          <w:trHeight w:val="519"/>
        </w:trPr>
        <w:tc>
          <w:tcPr>
            <w:tcW w:w="1260" w:type="dxa"/>
            <w:vAlign w:val="bottom"/>
          </w:tcPr>
          <w:p>
            <w:pPr>
              <w:ind w:left="40"/>
              <w:spacing w:after="0"/>
              <w:rPr>
                <w:sz w:val="20"/>
                <w:szCs w:val="20"/>
                <w:color w:val="auto"/>
              </w:rPr>
            </w:pPr>
            <w:r>
              <w:rPr>
                <w:rFonts w:ascii="Arial" w:cs="Arial" w:eastAsia="Arial" w:hAnsi="Arial"/>
                <w:sz w:val="18"/>
                <w:szCs w:val="18"/>
                <w:color w:val="auto"/>
              </w:rPr>
              <w:t>PART III</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10.</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FF"/>
            </w:tcBorders>
            <w:gridSpan w:val="2"/>
          </w:tcPr>
          <w:p>
            <w:pPr>
              <w:spacing w:after="0" w:line="190" w:lineRule="exact"/>
              <w:rPr>
                <w:sz w:val="20"/>
                <w:szCs w:val="20"/>
                <w:color w:val="auto"/>
              </w:rPr>
            </w:pPr>
            <w:r>
              <w:rPr>
                <w:rFonts w:ascii="Arial" w:cs="Arial" w:eastAsia="Arial" w:hAnsi="Arial"/>
                <w:sz w:val="18"/>
                <w:szCs w:val="18"/>
                <w:color w:val="0000FF"/>
                <w:w w:val="79"/>
              </w:rPr>
              <w:t>52</w:t>
            </w:r>
          </w:p>
        </w:tc>
        <w:tc>
          <w:tcPr>
            <w:tcW w:w="260" w:type="dxa"/>
            <w:vAlign w:val="bottom"/>
          </w:tcPr>
          <w:p>
            <w:pPr>
              <w:spacing w:after="0"/>
              <w:rPr>
                <w:sz w:val="16"/>
                <w:szCs w:val="16"/>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11.</w:t>
            </w:r>
          </w:p>
        </w:tc>
        <w:tc>
          <w:tcPr>
            <w:tcW w:w="954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52</w:t>
            </w:r>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12.</w:t>
            </w:r>
          </w:p>
        </w:tc>
        <w:tc>
          <w:tcPr>
            <w:tcW w:w="954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52</w:t>
            </w:r>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13.</w:t>
            </w:r>
          </w:p>
        </w:tc>
        <w:tc>
          <w:tcPr>
            <w:tcW w:w="954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52</w:t>
            </w:r>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14.</w:t>
            </w:r>
          </w:p>
        </w:tc>
        <w:tc>
          <w:tcPr>
            <w:tcW w:w="9540" w:type="dxa"/>
            <w:vAlign w:val="bottom"/>
          </w:tcPr>
          <w:p>
            <w:pPr>
              <w:ind w:left="12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52</w:t>
            </w:r>
          </w:p>
        </w:tc>
        <w:tc>
          <w:tcPr>
            <w:tcW w:w="260" w:type="dxa"/>
            <w:vAlign w:val="bottom"/>
          </w:tcPr>
          <w:p>
            <w:pPr>
              <w:spacing w:after="0"/>
              <w:rPr>
                <w:sz w:val="18"/>
                <w:szCs w:val="18"/>
                <w:color w:val="auto"/>
              </w:rPr>
            </w:pPr>
          </w:p>
        </w:tc>
      </w:tr>
      <w:tr>
        <w:trPr>
          <w:trHeight w:val="519"/>
        </w:trPr>
        <w:tc>
          <w:tcPr>
            <w:tcW w:w="1260" w:type="dxa"/>
            <w:vAlign w:val="bottom"/>
          </w:tcPr>
          <w:p>
            <w:pPr>
              <w:ind w:left="40"/>
              <w:spacing w:after="0"/>
              <w:rPr>
                <w:sz w:val="20"/>
                <w:szCs w:val="20"/>
                <w:color w:val="auto"/>
              </w:rPr>
            </w:pPr>
            <w:r>
              <w:rPr>
                <w:rFonts w:ascii="Arial" w:cs="Arial" w:eastAsia="Arial" w:hAnsi="Arial"/>
                <w:sz w:val="18"/>
                <w:szCs w:val="18"/>
                <w:color w:val="auto"/>
              </w:rPr>
              <w:t>PART IV</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15.</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FF"/>
            </w:tcBorders>
            <w:gridSpan w:val="2"/>
          </w:tcPr>
          <w:p>
            <w:pPr>
              <w:spacing w:after="0" w:line="190" w:lineRule="exact"/>
              <w:rPr>
                <w:sz w:val="20"/>
                <w:szCs w:val="20"/>
                <w:color w:val="auto"/>
              </w:rPr>
            </w:pPr>
            <w:r>
              <w:rPr>
                <w:rFonts w:ascii="Arial" w:cs="Arial" w:eastAsia="Arial" w:hAnsi="Arial"/>
                <w:sz w:val="18"/>
                <w:szCs w:val="18"/>
                <w:color w:val="0000FF"/>
                <w:w w:val="79"/>
              </w:rPr>
              <w:t>52</w:t>
            </w:r>
          </w:p>
        </w:tc>
        <w:tc>
          <w:tcPr>
            <w:tcW w:w="260" w:type="dxa"/>
            <w:vAlign w:val="bottom"/>
          </w:tcPr>
          <w:p>
            <w:pPr>
              <w:spacing w:after="0"/>
              <w:rPr>
                <w:sz w:val="16"/>
                <w:szCs w:val="16"/>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16.</w:t>
            </w:r>
          </w:p>
        </w:tc>
        <w:tc>
          <w:tcPr>
            <w:tcW w:w="954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56</w:t>
            </w:r>
          </w:p>
        </w:tc>
        <w:tc>
          <w:tcPr>
            <w:tcW w:w="260" w:type="dxa"/>
            <w:vAlign w:val="bottom"/>
          </w:tcPr>
          <w:p>
            <w:pPr>
              <w:spacing w:after="0"/>
              <w:rPr>
                <w:sz w:val="18"/>
                <w:szCs w:val="18"/>
                <w:color w:val="auto"/>
              </w:rPr>
            </w:pPr>
          </w:p>
        </w:tc>
      </w:tr>
      <w:tr>
        <w:trPr>
          <w:trHeight w:val="479"/>
        </w:trPr>
        <w:tc>
          <w:tcPr>
            <w:tcW w:w="1260" w:type="dxa"/>
            <w:vAlign w:val="bottom"/>
          </w:tcPr>
          <w:p>
            <w:pPr>
              <w:ind w:left="40"/>
              <w:spacing w:after="0"/>
              <w:rPr>
                <w:sz w:val="20"/>
                <w:szCs w:val="20"/>
                <w:color w:val="auto"/>
              </w:rPr>
            </w:pPr>
            <w:r>
              <w:rPr>
                <w:rFonts w:ascii="Arial" w:cs="Arial" w:eastAsia="Arial" w:hAnsi="Arial"/>
                <w:sz w:val="18"/>
                <w:szCs w:val="18"/>
                <w:color w:val="auto"/>
              </w:rPr>
              <w:t>SIGNATURES</w:t>
            </w:r>
          </w:p>
        </w:tc>
        <w:tc>
          <w:tcPr>
            <w:tcW w:w="954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57</w:t>
            </w:r>
          </w:p>
        </w:tc>
        <w:tc>
          <w:tcPr>
            <w:tcW w:w="260" w:type="dxa"/>
            <w:vAlign w:val="bottom"/>
          </w:tcPr>
          <w:p>
            <w:pPr>
              <w:spacing w:after="0"/>
              <w:rPr>
                <w:sz w:val="24"/>
                <w:szCs w:val="24"/>
                <w:color w:val="auto"/>
              </w:rPr>
            </w:pPr>
          </w:p>
        </w:tc>
      </w:tr>
      <w:tr>
        <w:trPr>
          <w:trHeight w:val="885"/>
        </w:trPr>
        <w:tc>
          <w:tcPr>
            <w:tcW w:w="1260" w:type="dxa"/>
            <w:vAlign w:val="bottom"/>
          </w:tcPr>
          <w:p>
            <w:pPr>
              <w:spacing w:after="0"/>
              <w:rPr>
                <w:sz w:val="24"/>
                <w:szCs w:val="24"/>
                <w:color w:val="auto"/>
              </w:rPr>
            </w:pPr>
          </w:p>
        </w:tc>
        <w:tc>
          <w:tcPr>
            <w:tcW w:w="9540" w:type="dxa"/>
            <w:vAlign w:val="bottom"/>
          </w:tcPr>
          <w:p>
            <w:pPr>
              <w:jc w:val="center"/>
              <w:ind w:right="730"/>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9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97"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 or to fill existing vacancy;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 or if the costs of capital we obtain are significantly higher than historical levels;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inflation and local economic conditions in our geographic markets;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2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addition, we describe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off of its assets. The Trust owns 100% of the limited liability company interest of, is sole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member of, and exercises exclusive control over Federal Realty GP LLC (the "General Partner"), which in turn, is the sole general partner of the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Partnership. Unless stated otherwise or the context otherwise requires, "we," "our," and "us" means the Trust and its business and operations conducted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its directly and indirectly owned subsidiaries, including the Operating Partnership.The Parent Company specializes in the ownership,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redevelopment of high quality retail and mixed-use properties located primarily in communities where we believe retail demand exceeds supply,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strategically selected metropolitan markets in the Mid-Atlantic and Northeast regions of the United States, California, and South Florida.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we owned or had a majority interest in community and neighborhood shopping centers and mixed-use properties which are operated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103 predominantly retail real estate projects comprising approximately 25.8 million square feet. In total, the real estate projects were 94.5% leased and</w:t>
      </w:r>
    </w:p>
    <w:p>
      <w:pPr>
        <w:spacing w:after="0" w:line="32"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92.8% occupied at December 31, 2022. Our revenue is primarily generated from lease agreements with tenants. We have paid quarterly dividends to our shareholders continuously since our founding in 1962 and have increased our dividends per common share for 55 consecutive years.</w:t>
      </w:r>
    </w:p>
    <w:p>
      <w:pPr>
        <w:spacing w:after="0" w:line="84"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 over the long term;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spacing w:after="0" w:line="1" w:lineRule="exact"/>
        <w:rPr>
          <w:sz w:val="20"/>
          <w:szCs w:val="20"/>
          <w:color w:val="auto"/>
        </w:rPr>
      </w:pPr>
    </w:p>
    <w:p>
      <w:pPr>
        <w:ind w:left="660" w:right="2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our properties to take into account their impact on climate change and their resilience in the face of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9" w:lineRule="exact"/>
        <w:rPr>
          <w:rFonts w:ascii="Arial" w:cs="Arial" w:eastAsia="Arial" w:hAnsi="Arial"/>
          <w:sz w:val="18"/>
          <w:szCs w:val="18"/>
          <w:color w:val="auto"/>
        </w:rPr>
      </w:pPr>
    </w:p>
    <w:p>
      <w:pPr>
        <w:ind w:left="660" w:right="68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10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ind w:left="660" w:right="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 w:lineRule="exact"/>
        <w:rPr>
          <w:rFonts w:ascii="Arial" w:cs="Arial" w:eastAsia="Arial" w:hAnsi="Arial"/>
          <w:sz w:val="18"/>
          <w:szCs w:val="18"/>
          <w:color w:val="auto"/>
        </w:rPr>
      </w:pPr>
    </w:p>
    <w:p>
      <w:pPr>
        <w:ind w:left="660" w:right="34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right="4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returns in relation to our short and long-term cost of capital as well as the anticipated risk we will face in achieving the expected returns;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 w:lineRule="exact"/>
        <w:rPr>
          <w:rFonts w:ascii="Arial" w:cs="Arial" w:eastAsia="Arial" w:hAnsi="Arial"/>
          <w:sz w:val="18"/>
          <w:szCs w:val="18"/>
          <w:color w:val="auto"/>
        </w:rPr>
      </w:pPr>
    </w:p>
    <w:p>
      <w:pPr>
        <w:ind w:left="660" w:right="66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household incomes, education levels, as well as the population and income trends in that geographic area. This may from time to time include the evaluation of new markets;</w:t>
      </w:r>
    </w:p>
    <w:p>
      <w:pPr>
        <w:ind w:left="660" w:right="3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gross leasable area (GLA) per capita, competition for tenants and the ability of others to create competing properties through redevelopment, new construction or renovation;</w:t>
      </w:r>
    </w:p>
    <w:p>
      <w:pPr>
        <w:ind w:left="660" w:right="3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60" w:right="3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sufficient levels of cash and available line of credit to fund operating and investing needs on a short-term basis;</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relative to our size does not mature in any one year;</w:t>
      </w:r>
    </w:p>
    <w:p>
      <w:pPr>
        <w:ind w:left="660" w:right="78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3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140" w:hanging="320"/>
        <w:spacing w:after="0" w:line="265" w:lineRule="auto"/>
        <w:tabs>
          <w:tab w:leader="none" w:pos="129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including our at-the-market ("ATM") equity program in which we may from time to time offer and sell common shares including through forward sales contracts, or private placements,</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1300" w:right="220" w:hanging="320"/>
        <w:spacing w:after="0" w:line="255"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February 3, 2023, we had 314 full-time employees and 8 part-time employees. None of our employees are represented by a collective bargaining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relationship with our employees is good.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an Equal Opportunity/Affirmative action employer, and strive to maintain a workplace that is free from discrimination on the basis of race, color, religion, sex, sexual orientation, nationality, disability, or protected Veteran status.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Safety, and Wellness</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We have also transitioned to a hybrid work model.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offer a quarterly recognition program, as well as rewarding employees with spot bonuses for stellar performance or going above and beyond the base requirements of their job description.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04" w:lineRule="exact"/>
        <w:rPr>
          <w:sz w:val="20"/>
          <w:szCs w:val="20"/>
          <w:color w:val="auto"/>
        </w:rPr>
      </w:pPr>
    </w:p>
    <w:p>
      <w:pPr>
        <w:ind w:right="400"/>
        <w:spacing w:after="0" w:line="334" w:lineRule="auto"/>
        <w:rPr>
          <w:sz w:val="20"/>
          <w:szCs w:val="20"/>
          <w:color w:val="auto"/>
        </w:rPr>
      </w:pPr>
      <w:r>
        <w:rPr>
          <w:rFonts w:ascii="Arial" w:cs="Arial" w:eastAsia="Arial" w:hAnsi="Arial"/>
          <w:sz w:val="16"/>
          <w:szCs w:val="16"/>
          <w:color w:val="auto"/>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2018,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and the COVID-19 Pandemic</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economy continues to face several challenges including higher levels of inflation, rising interest rates, global supply chain bottlenecks and shortages, workforce shortages, a potential recession, and ongoing impacts of COVID-19. We continue to monitor and address these risks; however, the extent of the future effects on our business, results of operations, cash flows, and growth strategies is highly uncertain and will ultimately depend on future developments, none of which can be predicted with any certainty.</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spacing w:after="0" w:line="1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be held liable for property damage and for investigation and clean up costs incurred in connection with the contamination, and we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and Emissions Regulations Affecting Our Properties</w:t>
      </w:r>
    </w:p>
    <w:p>
      <w:pPr>
        <w:spacing w:after="0" w:line="10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Some jurisdictions in which we own property have enacted or may enact legislation that requires use of only certain types of energy sources, limits energy usage on site, or limits allowable emissions from buildings with fines or other costs being imposed for exceeding those limits. This type of legislation typically includes an extended period of time from adoption to implementation to allow property owners ample opportunity to make investments and take other actions to comply with the legislation. Any investments we believe we will need to make to comply with laws that have been passed to date are being included as part of our ordinary capital improvement planning process for our properties. We also address the potential effects of these types of laws in our energy reduction and energy efficient efforts that are described in more detail in Item 7. "Management's Discussion and Analysis of Financial Condition and Results of Operations - Corporate Responsibility." These types of laws have not had a material adverse effect on our financial condition or results of operations and management does not believe they will have a material adverse effect in the future. We cannot, however, predict the impact of new or changed laws or regulations on properties we currently own or may acquire in the future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spacing w:after="0" w:line="11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the Corporate Governance section of our website as well.</w:t>
      </w:r>
    </w:p>
    <w:p>
      <w:pPr>
        <w:spacing w:after="0" w:line="200" w:lineRule="exact"/>
        <w:rPr>
          <w:sz w:val="20"/>
          <w:szCs w:val="20"/>
          <w:color w:val="auto"/>
        </w:rPr>
      </w:pPr>
    </w:p>
    <w:p>
      <w:pPr>
        <w:spacing w:after="0" w:line="2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Real Estate Investments and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as well as COVID-19,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10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Over the past several years, we have seen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2022, our anchor tenant space is 96.9% leased and 95.6% occupied.</w:t>
      </w:r>
    </w:p>
    <w:p>
      <w:pPr>
        <w:spacing w:after="0" w:line="2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 shift in retail shopping from brick and mortar stores to online shopping may have an adverse impact on our cash flow, financial condition and results of operations.</w:t>
      </w:r>
    </w:p>
    <w:p>
      <w:pPr>
        <w:spacing w:after="0" w:line="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have properties that are geographically concentrated, and adverse economic or real estate market declines in these areas could have a material adverse effect on us.</w:t>
      </w:r>
    </w:p>
    <w:p>
      <w:pPr>
        <w:spacing w:after="0" w:line="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2022, our tenants operated in 12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Declines in the economy or a decline in the real estate market in these states could hurt our financial performance and the value of our properties. Factors that may negatively affect economic conditions in these states include: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layoffs or downsizing;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slowdowns;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elevated levels of inflation over an extended period of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business restrictions due to health crises;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relocations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demographics;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telecommuting and use of alternative work places;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infrastructure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oversupply of, or reduced demand for, real estate;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concessions or reduced rental rates under new leases for properties where tenants defaulted;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operating costs including insurance premiums and real estate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10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4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of residential product into uncertain residential environments may result in lower rents or longer time periods to reach economic stabilization;</w:t>
      </w:r>
    </w:p>
    <w:p>
      <w:pPr>
        <w:ind w:left="660" w:right="4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and the overall value of the project may be negatively impacted if we do not complete subsequent phases;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9" w:lineRule="exact"/>
        <w:rPr>
          <w:rFonts w:ascii="Arial" w:cs="Arial" w:eastAsia="Arial" w:hAnsi="Arial"/>
          <w:sz w:val="18"/>
          <w:szCs w:val="18"/>
          <w:color w:val="auto"/>
        </w:rPr>
      </w:pPr>
    </w:p>
    <w:p>
      <w:pPr>
        <w:jc w:val="both"/>
        <w:ind w:left="660" w:right="6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delay in completion of a project because of a number of factors, including COVID-19, supply chain disruptions and shortages, inflation, weather, labor disruptions, construction delays or delays in receipt of zoning or other regulatory approvals, acts of terror or other acts of violence, or acts of God (such as fires, earthquakes or floods).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ind w:left="660" w:right="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right="160" w:hanging="328"/>
        <w:spacing w:after="0" w:line="28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Arial" w:cs="Arial" w:eastAsia="Arial" w:hAnsi="Arial"/>
          <w:sz w:val="16"/>
          <w:szCs w:val="16"/>
          <w:color w:val="auto"/>
        </w:rPr>
      </w:pPr>
    </w:p>
    <w:p>
      <w:pPr>
        <w:ind w:left="660" w:right="360" w:hanging="328"/>
        <w:spacing w:after="0" w:line="323"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10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9" w:lineRule="exact"/>
        <w:rPr>
          <w:rFonts w:ascii="Arial" w:cs="Arial" w:eastAsia="Arial" w:hAnsi="Arial"/>
          <w:sz w:val="18"/>
          <w:szCs w:val="18"/>
          <w:color w:val="auto"/>
        </w:rPr>
      </w:pPr>
    </w:p>
    <w:p>
      <w:pPr>
        <w:ind w:left="660" w:right="28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10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any significant revenue immediately, and the cash flow from existing operations may be insufficient to pay the operating expenses and debt service associated with such new properties until they are fully occupied.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Numerous commercial developers and real estate companies compete with us in seeking tenants for our existing properties and properties for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organizational documents do not limit the amount of funds that we may invest in properties and assets owned jointly with other persons or entities. As of December 31, 2022, we held 20 predominantly retail real estate projects jointly with other persons in addition to properties owned in a “downREIT” structure. Additionally, as of December 31, 2022,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2022, we held the controlling interests in all of our existing co-investments (except the hotel investment discussed above, the investment in the La Alameda shopping center acquired in 2017, the investment in the Chandler Festival and Chandler Gateway shopping centers acquired in 2022 (see Note 3 to the consolidated financial statements), and our Escondido Promenade shopping center (as discussed in Note 3 to the consolidated financial statements),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Natural disasters, climate change and health crises, including the COVID-19 pandemic, could have an adverse impact on our cash flow and operating results.</w:t>
      </w:r>
    </w:p>
    <w:p>
      <w:pPr>
        <w:spacing w:after="0" w:line="3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business is subject to risks related to the effects of public health crises, epidemics and pandemics, including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 Such events could:</w:t>
      </w:r>
    </w:p>
    <w:p>
      <w:pPr>
        <w:spacing w:after="0" w:line="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inhibit global, national and local economic activity;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drive inflation, adversely affect trading activity in securities markets, which could negatively impact the trading prices of our common shares and debt securities and our ability to access the securities markets as a source of liquidity;</w:t>
      </w:r>
    </w:p>
    <w:p>
      <w:pPr>
        <w:ind w:left="660" w:right="1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our tenants’ financial condition by limiting foot traffic and staffing at their businesses, which could affect their ability to pay rent and willingness to make new leasing commitments;</w:t>
      </w: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our cash flow, which could impact our ability to pay dividends at the current rate and in the current format or at all or to service our debt;</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temporarily or permanently reduce the demand for retail or office space;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interfere with our business operations by requiring our personnel to work remotely;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frequency of 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 supply chains that could be important in our development and redevelopment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labor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interfere with potential purchases and sales of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our ability to pay dividends at the current rate and in the current format or at all;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other direct and indirect effects that are difficult to predict.</w:t>
      </w:r>
    </w:p>
    <w:p>
      <w:pPr>
        <w:spacing w:after="0" w:line="8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the COVID-19 pandemic, which vary by jurisdiction, or the pandemics' short and long term economic effects, each of which could have a material adverse effect on our business.</w:t>
      </w:r>
    </w:p>
    <w:p>
      <w:pPr>
        <w:spacing w:after="0" w:line="19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An increased focus on metrics and reporting related to corporate responsibility, specifically related to environmental, social and governance ("ESG") factors, may impose additional costs and expose us to new risks.</w:t>
      </w:r>
    </w:p>
    <w:p>
      <w:pPr>
        <w:spacing w:after="0" w:line="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Investors and other stakeholders have become more focused on understanding how companies address a variety of ESG factors. Many of those investors and shareholders look to ESG rating systems, or disclosure frameworks that have been developed by third party groups to allow comparisons between companies on ESG factors as they evaluate investment decisions as well as to company disclosures.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participate in many of these ratings systems, or disclosure frameworks, and generally score relatively well in those in which we do participate, we do not participate in, and would not necessarily score well in, all of the available ratings systems. Further, the criteria used in these ratings systems change frequently, and we cannot guaranty that we will be able to score well as criteria change. We supplement our participation in ratings systems with corporate disclosures of our ESG activities but many investors and stakeholders may look for specific disclosures that we do not provide. Failure to participate in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certain of the third party ratings systems, failure to score well in those ratings systems or failure to provide certain ESG disclosures could result in reputational harm when investors or others compare us against similar companies in our industry and could cause certain investors to be unwilling to invest in our stock which could adversely impact our ability to raise capital.</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more information about the Trust's Corporate Responsibility initiatives, see Item 7. "Management's Discussion and Analysis of Financial Condition and Results of Operations - Corporate Responsibility."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Funding Strategies and Capital 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10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2022, we had approximately $4.3 billion of debt outstanding. Of that outstanding debt, approximately $322.3 million was secured by all or a portion of 7 of our real estate projects. As of December 31, 2022, approximately 86.2% of our debt is fixed rate or is fixed via interest rate swap agreements, which includes all of our property secured debt and our unsecured senior notes. Our organizational documents do not limit the level or amount of debt that we may incur. The amount of our debt outstanding from time to time could have important consequences to our shareholders. For example, it could:</w:t>
      </w:r>
    </w:p>
    <w:p>
      <w:pPr>
        <w:spacing w:after="0" w:line="3" w:lineRule="exact"/>
        <w:rPr>
          <w:sz w:val="20"/>
          <w:szCs w:val="20"/>
          <w:color w:val="auto"/>
        </w:rPr>
      </w:pPr>
    </w:p>
    <w:p>
      <w:pPr>
        <w:ind w:left="660" w:right="660" w:hanging="328"/>
        <w:spacing w:after="0" w:line="28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9" w:lineRule="exact"/>
        <w:rPr>
          <w:rFonts w:ascii="Arial" w:cs="Arial" w:eastAsia="Arial" w:hAnsi="Arial"/>
          <w:sz w:val="18"/>
          <w:szCs w:val="18"/>
          <w:color w:val="auto"/>
        </w:rPr>
      </w:pPr>
    </w:p>
    <w:p>
      <w:pPr>
        <w:ind w:left="660" w:right="760" w:hanging="328"/>
        <w:spacing w:after="0" w:line="28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Arial" w:cs="Arial" w:eastAsia="Arial" w:hAnsi="Arial"/>
          <w:sz w:val="16"/>
          <w:szCs w:val="16"/>
          <w:color w:val="auto"/>
        </w:rPr>
      </w:pPr>
    </w:p>
    <w:p>
      <w:pPr>
        <w:ind w:left="660" w:right="34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20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9"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Our revolving credit facility, unsecured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2022,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our credit rating could affect our borrowing capacity and borrowing terms.</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growth strategy is focused on the development and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Of our $4.3 billion of debt outstanding as of December 31, 2022, approximately $655.1 million bears interest at a variable rate, of which, $600.0 million is our unsecured term loan that bears interest at a variable rate of SOFR plus 85 basis points plus 0.10%, and $55.1 million in mortgages payable that bear interest at a variable rate of LIBOR plus 195 basis points and are effectively fixed through two interest rate swap agreements. We also have a $1.25 billion revolving credit facility, on which no balance was outstanding at December 31, 2022, that bears interest at SOFR plus 77.5 basis points, plus 0.10%.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REIT Status and Other Laws and Regulations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properties that management believes would have a material adverse effect on our business, assets or results of operations taken as a whole.</w:t>
      </w:r>
    </w:p>
    <w:p>
      <w:pPr>
        <w:spacing w:after="0" w:line="252"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13"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Failure to qualify as a REIT for federal income tax purposes would cause the Parent Company to be taxed as a corporation, which would substantially reduce funds available for payment of distributions.</w:t>
      </w:r>
    </w:p>
    <w:p>
      <w:pPr>
        <w:spacing w:after="0" w:line="4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2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of the Parent Company can own.</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happens, either the transfer of ownership would be void or the shares would be transferred to a charitable trust and then sold to someone who can own those shares without violating the 9.8% ownership limit.</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Legislative, administrative, regulatory or other actions affecting REITs, including positions taken by the IRS, could have a material adverse effect on us and our investors.</w:t>
      </w:r>
    </w:p>
    <w:p>
      <w:pPr>
        <w:spacing w:after="0" w:line="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spacing w:after="0" w:line="21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Certain tax and anti-takeover provisions of the Parent Company's declaration of trust and bylaws, and certain restrictions in the Partnership's limited partnership agreement, may inhibit a change of our control.</w:t>
      </w:r>
    </w:p>
    <w:p>
      <w:pPr>
        <w:spacing w:after="0" w:line="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1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1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redemption rights of limited partners and certain assignees of units of limited partnership interest ("OP Units");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restrictions on OP Units and restrictions on admissions of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the General Partner may not be removed as the general partner of the Partnership without its consent;</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the General Partner to issue preferred partnership interests in the Partnership with terms that it may determine, without the approval or consent of any Limited Partner; and</w:t>
      </w:r>
    </w:p>
    <w:p>
      <w:pPr>
        <w:ind w:left="660" w:right="24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credit or analyst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in the current composition or at historical rates.</w:t>
      </w:r>
    </w:p>
    <w:p>
      <w:pPr>
        <w:spacing w:after="0" w:line="108"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performance by our tenants under their contractual lease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Parent Company is a holding company with no direct operations, and it will rely on funds received from the Partnership to pay its obligations and make distributions to its shareholders.</w:t>
      </w:r>
    </w:p>
    <w:p>
      <w:pPr>
        <w:spacing w:after="0" w:line="12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spacing w:after="0" w:line="13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adjust our business policies without shareholder approval.</w:t>
      </w:r>
    </w:p>
    <w:p>
      <w:pPr>
        <w:spacing w:after="0" w:line="10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 attacks that could cause loss of confidential information and other business disruptions.</w:t>
      </w:r>
    </w:p>
    <w:p>
      <w:pPr>
        <w:spacing w:after="0" w:line="10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rely extensively on information technology systems to process transactions and manage our business, and our business is at risk from and may be impacted by cyber attacks. These could include attempts to gain unauthorized access to our data and computer systems as well as attacks on third party's information technology systems that we rely on to provide important information technology services relating to key business functions, such as payroll. Attacks can be both individual and/or highly organized attempts by very sophisticated hacking organizations.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cyber attack. A cyber attack could compromise the confidential information of our employees, tenants and vendors. A successful attack could disrupt and otherwise adversely affect our business operations.</w:t>
      </w:r>
    </w:p>
    <w:p>
      <w:pPr>
        <w:spacing w:after="0" w:line="2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2022, we owned or had a majority ownership interest in community and neighborhood shopping centers and mixed-used properties which are operated as 103 predominantly retail real estate projects comprising approximately 25.8 million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2022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had approximately 3,300 commercial leases and 3,000 residential leases, with tenants ranging from sole proprietors to major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national and international retailers. No one tenant or affiliated group of tenants accounted for more than 2.8% of our annualized base rent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As a result of our tenant diversification, we believe our exposure to any one bankruptcy filing has not been and will not be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multiple filings by a number of tenants could have a significant impact.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10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103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left="114"/>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114"/>
              <w:spacing w:after="0" w:line="139" w:lineRule="exact"/>
              <w:rPr>
                <w:sz w:val="20"/>
                <w:szCs w:val="20"/>
                <w:color w:val="auto"/>
              </w:rPr>
            </w:pPr>
            <w:r>
              <w:rPr>
                <w:rFonts w:ascii="Arial" w:cs="Arial" w:eastAsia="Arial" w:hAnsi="Arial"/>
                <w:sz w:val="14"/>
                <w:szCs w:val="14"/>
                <w:b w:val="1"/>
                <w:bCs w:val="1"/>
                <w:color w:val="auto"/>
                <w:w w:val="90"/>
              </w:rPr>
              <w:t>of Gross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120" w:type="dxa"/>
            <w:vAlign w:val="bottom"/>
          </w:tcPr>
          <w:p>
            <w:pPr>
              <w:jc w:val="center"/>
              <w:ind w:left="288"/>
              <w:spacing w:after="0" w:line="158" w:lineRule="exact"/>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Gross Leasable</w:t>
            </w:r>
          </w:p>
        </w:tc>
        <w:tc>
          <w:tcPr>
            <w:tcW w:w="1480" w:type="dxa"/>
            <w:vAlign w:val="bottom"/>
          </w:tcPr>
          <w:p>
            <w:pPr>
              <w:jc w:val="center"/>
              <w:ind w:left="134"/>
              <w:spacing w:after="0" w:line="158" w:lineRule="exact"/>
              <w:rPr>
                <w:sz w:val="20"/>
                <w:szCs w:val="20"/>
                <w:color w:val="auto"/>
              </w:rPr>
            </w:pPr>
            <w:r>
              <w:rPr>
                <w:rFonts w:ascii="Arial" w:cs="Arial" w:eastAsia="Arial" w:hAnsi="Arial"/>
                <w:sz w:val="14"/>
                <w:szCs w:val="14"/>
                <w:b w:val="1"/>
                <w:bCs w:val="1"/>
                <w:color w:val="auto"/>
                <w:w w:val="90"/>
              </w:rPr>
              <w:t>Leasable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80" w:type="dxa"/>
            <w:vAlign w:val="bottom"/>
            <w:gridSpan w:val="2"/>
            <w:vMerge w:val="continue"/>
          </w:tcPr>
          <w:p>
            <w:pPr>
              <w:spacing w:after="0"/>
              <w:rPr>
                <w:sz w:val="17"/>
                <w:szCs w:val="17"/>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Projects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480" w:type="dxa"/>
            <w:vAlign w:val="bottom"/>
          </w:tcPr>
          <w:p>
            <w:pPr>
              <w:jc w:val="center"/>
              <w:ind w:left="134"/>
              <w:spacing w:after="0"/>
              <w:rPr>
                <w:sz w:val="20"/>
                <w:szCs w:val="20"/>
                <w:color w:val="auto"/>
              </w:rPr>
            </w:pPr>
            <w:r>
              <w:rPr>
                <w:rFonts w:ascii="Arial" w:cs="Arial" w:eastAsia="Arial" w:hAnsi="Arial"/>
                <w:sz w:val="14"/>
                <w:szCs w:val="14"/>
                <w:b w:val="1"/>
                <w:bCs w:val="1"/>
                <w:color w:val="auto"/>
                <w:w w:val="96"/>
              </w:rPr>
              <w:t>Area</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(In square feet)</w:t>
            </w:r>
          </w:p>
        </w:tc>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 (1)</w:t>
            </w: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4,346,000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1,996,000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1,891,000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947,000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Connecticut</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District of Columbia</w:t>
            </w: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25,810,000</w:t>
            </w:r>
          </w:p>
        </w:tc>
        <w:tc>
          <w:tcPr>
            <w:tcW w:w="100" w:type="dxa"/>
            <w:vAlign w:val="bottom"/>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920"/>
        <w:spacing w:after="0" w:line="391" w:lineRule="auto"/>
        <w:rPr>
          <w:sz w:val="20"/>
          <w:szCs w:val="20"/>
          <w:color w:val="auto"/>
        </w:rPr>
      </w:pPr>
      <w:r>
        <w:rPr>
          <w:rFonts w:ascii="Arial" w:cs="Arial" w:eastAsia="Arial" w:hAnsi="Arial"/>
          <w:sz w:val="18"/>
          <w:szCs w:val="18"/>
          <w:color w:val="auto"/>
        </w:rPr>
        <w:t xml:space="preserve">(1) Includes our 77.7% pro-rata share of Escondido Promenade, see Note 3 to the consolidated financial statements for additional information. </w:t>
      </w:r>
      <w:r>
        <w:rPr>
          <w:rFonts w:ascii="Arial" w:cs="Arial" w:eastAsia="Arial" w:hAnsi="Arial"/>
          <w:sz w:val="18"/>
          <w:szCs w:val="18"/>
          <w:b w:val="1"/>
          <w:bCs w:val="1"/>
          <w:color w:val="auto"/>
        </w:rPr>
        <w:t>Leases, Lease Terms and Lease Expirations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2022, represented approximately 9.7% of total rental income.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2022 for each of the 10 years beginning with 2023 and after 2032 in the aggregate assuming that none of the tenants exercise future renewal options. Annualized base rents reflect in-place contractual rents as of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Leased</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Annualized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Percentage of Annualized</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Leased Square</w:t>
            </w:r>
          </w:p>
        </w:tc>
        <w:tc>
          <w:tcPr>
            <w:tcW w:w="2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of Lease Expiration</w:t>
            </w:r>
          </w:p>
        </w:tc>
        <w:tc>
          <w:tcPr>
            <w:tcW w:w="16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Footage</w:t>
            </w:r>
          </w:p>
        </w:tc>
        <w:tc>
          <w:tcPr>
            <w:tcW w:w="17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Footage</w:t>
            </w: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Base Rent Represented</w:t>
            </w:r>
          </w:p>
        </w:tc>
        <w:tc>
          <w:tcPr>
            <w:tcW w:w="0" w:type="dxa"/>
            <w:vAlign w:val="bottom"/>
          </w:tcPr>
          <w:p>
            <w:pPr>
              <w:spacing w:after="0"/>
              <w:rPr>
                <w:sz w:val="1"/>
                <w:szCs w:val="1"/>
                <w:color w:val="auto"/>
              </w:rPr>
            </w:pPr>
          </w:p>
        </w:tc>
      </w:tr>
      <w:tr>
        <w:trPr>
          <w:trHeight w:val="186"/>
        </w:trPr>
        <w:tc>
          <w:tcPr>
            <w:tcW w:w="454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by Expiring Leases</w:t>
            </w:r>
          </w:p>
        </w:tc>
        <w:tc>
          <w:tcPr>
            <w:tcW w:w="0" w:type="dxa"/>
            <w:vAlign w:val="bottom"/>
          </w:tcPr>
          <w:p>
            <w:pPr>
              <w:spacing w:after="0"/>
              <w:rPr>
                <w:sz w:val="1"/>
                <w:szCs w:val="1"/>
                <w:color w:val="auto"/>
              </w:rPr>
            </w:pPr>
          </w:p>
        </w:tc>
      </w:tr>
      <w:tr>
        <w:trPr>
          <w:trHeight w:val="26"/>
        </w:trPr>
        <w:tc>
          <w:tcPr>
            <w:tcW w:w="4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50,078,000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3,288,000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93,999,000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90,135,000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2,221,000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71,066,000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100,035,000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2,549,000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74,476,000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57,460,000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985,000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29,051,000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35,049,000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2,081,000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68,078,000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2,090,000</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57,455,000</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23,942,000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726,882,000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2022, we signed leases for a total of 2,048,000 square feet of retail space including 1,985,000 square feet of comparable space leases (leases for which there was a prior tenant) at an average rental increase of 6% on a cash basis. New leases for comparable spaces were signed for 757,000 square feet at an average rental increase of 8% on a cash basis. Renewals for comparable spaces were signed for 1,228,000 square feet at an average rental increase of 4% on a cash basis. Tenant improvements and incentives for comparable spaces were $31.65 per square foot, of which, $75.12 per square foot was for new leases and $4.86 per square foot was for renewals in 2022.</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2021, we signed leases for a total of 2,193,000 square feet of retail space including 2,093,000 square feet of comparable space leases (leases for which there was a prior tenant) at an average rental increase of 7% on a cash basis. New leases for comparable spaces were signed for 1,144,000 square feet at an average rental increase of 10% on a cash basis. Renewals for comparable spaces were signed for 949,000 square feet at an average rental increase of 3% on a cash basis. Tenant improvements and incentives for comparable spaces were $37.57 per square foot, of which, $65.92 per square foot was for new leases and $3.41 per square foot was for renewals in 2021.</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we have executed comparable space leases for 1.4 to 2.0 million square feet of retail space each year and expect the volume for 2023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2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leases signed in 2022 generally become effective over the following two years though some may not become effective until 2025 and beyond. Further, there is risk that some new tenants will not ultimately take possession of their space and that tenants for both new and renewal leases may not pay all of their contractual rent due to operating, financing or other matters. However,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historical increases in rental rates do provide information about the tenant/landlord relationship and the potential increase we may achieve in rental income over time.</w:t>
      </w: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6" w:right="7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2022. Except as otherwise noted, we are the sole owner of our real estate projects. Principal tenants are the largest tenants in the project based on square feet leased or are tenants important to a project’s success due to their ability to attract retail customers.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2"/>
                <w:szCs w:val="12"/>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80" w:type="dxa"/>
            <w:vAlign w:val="bottom"/>
            <w:gridSpan w:val="4"/>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3"/>
          </w:tcPr>
          <w:p>
            <w:pPr>
              <w:spacing w:after="0" w:line="148" w:lineRule="exact"/>
              <w:rPr>
                <w:sz w:val="20"/>
                <w:szCs w:val="20"/>
                <w:color w:val="auto"/>
              </w:rPr>
            </w:pPr>
            <w:r>
              <w:rPr>
                <w:rFonts w:ascii="Arial" w:cs="Arial" w:eastAsia="Arial" w:hAnsi="Arial"/>
                <w:sz w:val="14"/>
                <w:szCs w:val="14"/>
                <w:b w:val="1"/>
                <w:bCs w:val="1"/>
                <w:color w:val="auto"/>
              </w:rPr>
              <w:t>Arizona</w:t>
            </w: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Camelback Colonnade</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1977, 2019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642,000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$18.14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89%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Fry's Food &amp; Drug</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Phoenix, AZ 85016(4)</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Floor &amp; Décor</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Nordstrom Last Chance</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Chandler Festival</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2000</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2022</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355,000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$17.24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Chandler, AZ 85224(5)(6)</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Chandler Gateway</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2001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2022</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262,000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$11.10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Chandler, AZ 85226(5)(6)</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Hobby Lobby</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Hilton Village</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4"/>
              </w:rPr>
              <w:t>1982, 1989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2021/2022</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305,000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6"/>
              </w:rPr>
              <w:t>33.87</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color w:val="auto"/>
              </w:rPr>
              <w:t>Scottsdale, AZ 85250(4)(7)</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Houston's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5"/>
              </w:rPr>
              <w:t>California</w:t>
            </w:r>
          </w:p>
        </w:tc>
        <w:tc>
          <w:tcPr>
            <w:tcW w:w="2440" w:type="dxa"/>
            <w:vAlign w:val="bottom"/>
            <w:tcBorders>
              <w:bottom w:val="single" w:sz="8" w:color="CCEEFF"/>
            </w:tcBorders>
            <w:gridSpan w:val="2"/>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Azalea</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2014</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223,000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$28.48</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South Gate, CA 90280(4)(6)</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Bell Gardens</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1"/>
              </w:rPr>
              <w:t>1990, 2003,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2017/2018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330,000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$23.58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Food 4 Less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Bell Gardens, CA 90201(4)(6)(7)</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Colorado Blvd</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2"/>
              </w:rPr>
              <w:t>1905-1988</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3"/>
              </w:rPr>
              <w:t>42,000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$60.04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color w:val="auto"/>
              </w:rPr>
              <w:t>Pasadena, CA 91103(7)</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True Food Kitchen</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Crow Canyon Commons</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1980, 1998,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2005/2007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243,000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$29.55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Sprouts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San Ramon, CA 94583</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Alamo Ace Hardware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East Bay Bridge</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3"/>
              </w:rPr>
              <w:t>1994-2001,</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440,000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$19.71</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Pak-N-Save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Emeryville &amp; Oakland, CA 94608</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2011, 2012</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Escondido Promenade</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1987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1996/2010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231,000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$29.37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Escondido, CA 92029(8)</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Fourth Street</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4"/>
              </w:rPr>
              <w:t>1948, 1975</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3"/>
              </w:rPr>
              <w:t>71,000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$32.59</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81%</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CB2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Berkeley, CA 94710(4)</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Ingram Book Group</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Bellwether Coffee</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Freedom Plaza</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2020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$30.71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Smart &amp; Final</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Los Angeles, CA 90002(4)(7)</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Blink Fitness</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Grossmont Center</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1"/>
              </w:rPr>
              <w:t>1961, 1963,</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932,000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$14.17</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La Mesa, CA 91942(4)</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3"/>
              </w:rPr>
              <w:t>1982-1983,</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6"/>
              </w:rPr>
              <w:t>2002</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Macy's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Hastings Ranch Plaza</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1"/>
              </w:rPr>
              <w:t>1958, 1984,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273,000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$8.59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Pasadena, CA 91107(7)</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2006, 2007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Hollywood Blvd</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4"/>
              </w:rPr>
              <w:t>1929, 1991</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181,000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$36.55</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86%</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Hollywood, CA 90028</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Kings Court</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1960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$42.31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Lunardi's</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Los Gatos, CA 95032(7)(9)</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4"/>
          </w:tcPr>
          <w:p>
            <w:pPr>
              <w:spacing w:after="0" w:line="143" w:lineRule="exact"/>
              <w:rPr>
                <w:sz w:val="20"/>
                <w:szCs w:val="20"/>
                <w:color w:val="auto"/>
              </w:rPr>
            </w:pPr>
            <w:r>
              <w:rPr>
                <w:rFonts w:ascii="Arial" w:cs="Arial" w:eastAsia="Arial" w:hAnsi="Arial"/>
                <w:sz w:val="14"/>
                <w:szCs w:val="14"/>
                <w:color w:val="auto"/>
              </w:rPr>
              <w:t>La Alameda</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2008</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245,000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$27.08</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Walnut Park, CA 90255(5)(6)(7)</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Old Town Center</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1962, 1998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98,000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$42.99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Los Gatos, CA 95030</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Sephora</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Teleferic Barcelona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2"/>
                <w:szCs w:val="12"/>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gridSpan w:val="6"/>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5"/>
          </w:tcPr>
          <w:p>
            <w:pPr>
              <w:spacing w:after="0" w:line="143" w:lineRule="exact"/>
              <w:rPr>
                <w:sz w:val="20"/>
                <w:szCs w:val="20"/>
                <w:color w:val="auto"/>
              </w:rPr>
            </w:pPr>
            <w:r>
              <w:rPr>
                <w:rFonts w:ascii="Arial" w:cs="Arial" w:eastAsia="Arial" w:hAnsi="Arial"/>
                <w:sz w:val="14"/>
                <w:szCs w:val="14"/>
                <w:color w:val="auto"/>
              </w:rPr>
              <w:t>Olivo at Mission Hills</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2018</w:t>
            </w: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0"/>
              </w:rPr>
              <w:t>155,000</w:t>
            </w: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8"/>
              </w:rPr>
              <w:t>$33.26</w:t>
            </w:r>
          </w:p>
        </w:tc>
        <w:tc>
          <w:tcPr>
            <w:tcW w:w="1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Mission Hills, CA 91345(4)</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color w:val="auto"/>
              </w:rPr>
              <w:t>Plaza Del Sol</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48,000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$24.22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South El Monte, CA 91733(4)</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Plaza El Segundo / The Point</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3"/>
              </w:rPr>
              <w:t>2006-2007,</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2011/2013</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501,000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$48.03</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85%</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El Segundo, CA 90245 (6)</w:t>
            </w: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San Antonio Center</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1958,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2015/2019</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213,000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$16.70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ind w:left="120"/>
              <w:spacing w:after="0" w:line="141" w:lineRule="exact"/>
              <w:rPr>
                <w:sz w:val="20"/>
                <w:szCs w:val="20"/>
                <w:color w:val="auto"/>
              </w:rPr>
            </w:pPr>
            <w:r>
              <w:rPr>
                <w:rFonts w:ascii="Arial" w:cs="Arial" w:eastAsia="Arial" w:hAnsi="Arial"/>
                <w:sz w:val="14"/>
                <w:szCs w:val="14"/>
                <w:color w:val="auto"/>
              </w:rPr>
              <w:t>Mountain View, CA 94040(7)(9)</w:t>
            </w:r>
          </w:p>
        </w:tc>
        <w:tc>
          <w:tcPr>
            <w:tcW w:w="9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3"/>
              </w:rPr>
              <w:t>1964-1965,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1974-1975,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1995-1997</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Santana Row</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1"/>
              </w:rPr>
              <w:t>2002, 2009,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3"/>
              </w:rPr>
              <w:t>1,206,000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$56.56</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Crate &amp; Barrel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San Jose, CA 95128(7)(11)</w:t>
            </w: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4"/>
              </w:rPr>
              <w:t>2016, 2020</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H&amp;M Best Buy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Splunk</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Net App</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color w:val="auto"/>
              </w:rPr>
              <w:t>Santana Row Residential</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2003-2006,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1997/2012</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4"/>
              </w:rPr>
              <w:t>662 units</w:t>
            </w:r>
          </w:p>
        </w:tc>
        <w:tc>
          <w:tcPr>
            <w:tcW w:w="1280" w:type="dxa"/>
            <w:vAlign w:val="bottom"/>
            <w:gridSpan w:val="2"/>
            <w:shd w:val="clear" w:color="auto" w:fill="CCEEFF"/>
          </w:tcPr>
          <w:p>
            <w:pPr>
              <w:jc w:val="center"/>
              <w:ind w:right="60"/>
              <w:spacing w:after="0" w:line="143"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San Jose, CA 95128</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Sylmar Towne Center</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1973</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148,000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$17.57</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93%</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Food 4 Less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6"/>
          </w:tcPr>
          <w:p>
            <w:pPr>
              <w:ind w:left="120"/>
              <w:spacing w:after="0"/>
              <w:rPr>
                <w:sz w:val="20"/>
                <w:szCs w:val="20"/>
                <w:color w:val="auto"/>
              </w:rPr>
            </w:pPr>
            <w:r>
              <w:rPr>
                <w:rFonts w:ascii="Arial" w:cs="Arial" w:eastAsia="Arial" w:hAnsi="Arial"/>
                <w:sz w:val="14"/>
                <w:szCs w:val="14"/>
                <w:color w:val="auto"/>
              </w:rPr>
              <w:t>Sylmar, CA 91342(4)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Third Street Promenade</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1888-2000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1996-2000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207,000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$72.02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74%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adidas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ind w:left="120"/>
              <w:spacing w:after="0" w:line="141" w:lineRule="exact"/>
              <w:rPr>
                <w:sz w:val="20"/>
                <w:szCs w:val="20"/>
                <w:color w:val="auto"/>
              </w:rPr>
            </w:pPr>
            <w:r>
              <w:rPr>
                <w:rFonts w:ascii="Arial" w:cs="Arial" w:eastAsia="Arial" w:hAnsi="Arial"/>
                <w:sz w:val="14"/>
                <w:szCs w:val="14"/>
                <w:color w:val="auto"/>
              </w:rPr>
              <w:t>Santa Monica, CA 90401</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Madewell</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Patagonia</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Westgate Center</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2"/>
              </w:rPr>
              <w:t>1960-1966</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648,000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$19.68</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San Jose, CA 95129</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Nike Factory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Connecticut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Bristol Plaza</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1959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264,000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$14.24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82%</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Bristol, CT 06010</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color w:val="auto"/>
              </w:rPr>
              <w:t>Darien Commons</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1920-2009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2013/2018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59,000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$42.94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89%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Darien, CT 06820</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Darien Commons Residential</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2022</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2013/2018</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3"/>
              </w:rPr>
              <w:t>59 units</w:t>
            </w:r>
          </w:p>
        </w:tc>
        <w:tc>
          <w:tcPr>
            <w:tcW w:w="1280" w:type="dxa"/>
            <w:vAlign w:val="bottom"/>
            <w:gridSpan w:val="2"/>
          </w:tcPr>
          <w:p>
            <w:pPr>
              <w:jc w:val="center"/>
              <w:ind w:right="60"/>
              <w:spacing w:after="0" w:line="143"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75%</w:t>
            </w: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6"/>
          </w:tcPr>
          <w:p>
            <w:pPr>
              <w:ind w:left="120"/>
              <w:spacing w:after="0"/>
              <w:rPr>
                <w:sz w:val="20"/>
                <w:szCs w:val="20"/>
                <w:color w:val="auto"/>
              </w:rPr>
            </w:pPr>
            <w:r>
              <w:rPr>
                <w:rFonts w:ascii="Arial" w:cs="Arial" w:eastAsia="Arial" w:hAnsi="Arial"/>
                <w:sz w:val="14"/>
                <w:szCs w:val="14"/>
                <w:color w:val="auto"/>
              </w:rPr>
              <w:t>Darien, CT 06820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Greenwich Avenue</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1968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$96.19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Greenwich Avenue, CT 06830</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District of Columbia</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color w:val="auto"/>
              </w:rPr>
              <w:t>Friendship Center</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1998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2001</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78,000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$33.73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ind w:left="120"/>
              <w:spacing w:after="0" w:line="141" w:lineRule="exact"/>
              <w:rPr>
                <w:sz w:val="20"/>
                <w:szCs w:val="20"/>
                <w:color w:val="auto"/>
              </w:rPr>
            </w:pPr>
            <w:r>
              <w:rPr>
                <w:rFonts w:ascii="Arial" w:cs="Arial" w:eastAsia="Arial" w:hAnsi="Arial"/>
                <w:sz w:val="14"/>
                <w:szCs w:val="14"/>
                <w:color w:val="auto"/>
              </w:rPr>
              <w:t>Washington, DC 20015</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Florida</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color w:val="auto"/>
              </w:rPr>
              <w:t>CocoWalk</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1990/1994,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2015-2017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273,000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$45.17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Cinepolis Theaters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ind w:left="120"/>
              <w:spacing w:after="0" w:line="141" w:lineRule="exact"/>
              <w:rPr>
                <w:sz w:val="20"/>
                <w:szCs w:val="20"/>
                <w:color w:val="auto"/>
              </w:rPr>
            </w:pPr>
            <w:r>
              <w:rPr>
                <w:rFonts w:ascii="Arial" w:cs="Arial" w:eastAsia="Arial" w:hAnsi="Arial"/>
                <w:sz w:val="14"/>
                <w:szCs w:val="14"/>
                <w:color w:val="auto"/>
              </w:rPr>
              <w:t>Coconut Grove, FL 33133(4)(12)</w:t>
            </w:r>
          </w:p>
        </w:tc>
        <w:tc>
          <w:tcPr>
            <w:tcW w:w="9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3"/>
              </w:rPr>
              <w:t>1922-1973,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Youfit Health Club</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2018-2021</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Del Mar Village</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4"/>
              </w:rPr>
              <w:t>1982, 1994</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2008/2014</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187,000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$23.44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Boca Raton, FL 33433</w:t>
            </w: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9"/>
              </w:rPr>
              <w:t>&amp; 2007</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color w:val="auto"/>
              </w:rPr>
              <w:t>The Shops at Pembroke Gardens</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2022</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391,000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$30.66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ind w:left="120"/>
              <w:spacing w:after="0" w:line="141" w:lineRule="exact"/>
              <w:rPr>
                <w:sz w:val="20"/>
                <w:szCs w:val="20"/>
                <w:color w:val="auto"/>
              </w:rPr>
            </w:pPr>
            <w:r>
              <w:rPr>
                <w:rFonts w:ascii="Arial" w:cs="Arial" w:eastAsia="Arial" w:hAnsi="Arial"/>
                <w:sz w:val="14"/>
                <w:szCs w:val="14"/>
                <w:color w:val="auto"/>
              </w:rPr>
              <w:t>Pembroke Pines, FL 33027</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Nike Factory</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Tower Shops</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4"/>
              </w:rPr>
              <w:t>1989, 2017</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2011/2014</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430,000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$27.06</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Davie, FL 33324</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3080" w:type="dxa"/>
            <w:vAlign w:val="bottom"/>
            <w:gridSpan w:val="6"/>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Illinois</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6"/>
          </w:tcPr>
          <w:p>
            <w:pPr>
              <w:spacing w:after="0" w:line="143" w:lineRule="exact"/>
              <w:rPr>
                <w:sz w:val="20"/>
                <w:szCs w:val="20"/>
                <w:color w:val="auto"/>
              </w:rPr>
            </w:pPr>
            <w:r>
              <w:rPr>
                <w:rFonts w:ascii="Arial" w:cs="Arial" w:eastAsia="Arial" w:hAnsi="Arial"/>
                <w:sz w:val="14"/>
                <w:szCs w:val="14"/>
                <w:color w:val="auto"/>
              </w:rPr>
              <w:t>Crossroads</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1959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168,000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$23.48</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6"/>
          </w:tcPr>
          <w:p>
            <w:pPr>
              <w:ind w:left="120"/>
              <w:spacing w:after="0" w:line="141" w:lineRule="exact"/>
              <w:rPr>
                <w:sz w:val="20"/>
                <w:szCs w:val="20"/>
                <w:color w:val="auto"/>
              </w:rPr>
            </w:pPr>
            <w:r>
              <w:rPr>
                <w:rFonts w:ascii="Arial" w:cs="Arial" w:eastAsia="Arial" w:hAnsi="Arial"/>
                <w:sz w:val="14"/>
                <w:szCs w:val="14"/>
                <w:color w:val="auto"/>
              </w:rPr>
              <w:t>Highland Park, IL 60035</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Binny's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w w:val="99"/>
              </w:rPr>
              <w:t>Ferguson's Bath, Kitchen, &amp; Lighting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Gallery</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Finley Square</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1974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281,000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$17.13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ind w:left="120"/>
              <w:spacing w:after="0" w:line="141" w:lineRule="exact"/>
              <w:rPr>
                <w:sz w:val="20"/>
                <w:szCs w:val="20"/>
                <w:color w:val="auto"/>
              </w:rPr>
            </w:pPr>
            <w:r>
              <w:rPr>
                <w:rFonts w:ascii="Arial" w:cs="Arial" w:eastAsia="Arial" w:hAnsi="Arial"/>
                <w:sz w:val="14"/>
                <w:szCs w:val="14"/>
                <w:color w:val="auto"/>
              </w:rPr>
              <w:t>Downers Grove, IL 60515</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Michaels Portillo's</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2"/>
                <w:szCs w:val="12"/>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gridSpan w:val="3"/>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rPr>
              <w:t>Garden Market</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1958</w:t>
            </w: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0"/>
              </w:rPr>
              <w:t>139,000</w:t>
            </w: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8"/>
              </w:rPr>
              <w:t>$13.92</w:t>
            </w:r>
          </w:p>
        </w:tc>
        <w:tc>
          <w:tcPr>
            <w:tcW w:w="1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2"/>
                <w:szCs w:val="12"/>
                <w:color w:val="auto"/>
              </w:rPr>
            </w:pPr>
          </w:p>
        </w:tc>
        <w:tc>
          <w:tcPr>
            <w:tcW w:w="23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Mariano's Fresh Market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3"/>
          </w:tcPr>
          <w:p>
            <w:pPr>
              <w:ind w:left="120"/>
              <w:spacing w:after="0"/>
              <w:rPr>
                <w:sz w:val="20"/>
                <w:szCs w:val="20"/>
                <w:color w:val="auto"/>
              </w:rPr>
            </w:pPr>
            <w:r>
              <w:rPr>
                <w:rFonts w:ascii="Arial" w:cs="Arial" w:eastAsia="Arial" w:hAnsi="Arial"/>
                <w:sz w:val="14"/>
                <w:szCs w:val="14"/>
                <w:color w:val="auto"/>
              </w:rPr>
              <w:t>Western Springs, IL 60558</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Riverpoint Center</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1989, 2012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211,000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$21.21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Jewel Osco</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Chicago, IL 60614</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Maryland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Bethesda Row</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1945-1991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1993-2006/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529,000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$56.39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Bethesda, MD 20814(7)</w:t>
            </w:r>
          </w:p>
        </w:tc>
        <w:tc>
          <w:tcPr>
            <w:tcW w:w="9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4"/>
              </w:rPr>
              <w:t>2001, 2008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3"/>
              </w:rPr>
              <w:t>2008/2010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Apple</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Bethesda Row Residential</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2008</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4"/>
              </w:rPr>
              <w:t>180 units</w:t>
            </w:r>
          </w:p>
        </w:tc>
        <w:tc>
          <w:tcPr>
            <w:tcW w:w="1280" w:type="dxa"/>
            <w:vAlign w:val="bottom"/>
            <w:gridSpan w:val="2"/>
          </w:tcPr>
          <w:p>
            <w:pPr>
              <w:jc w:val="center"/>
              <w:ind w:right="60"/>
              <w:spacing w:after="0" w:line="143"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3"/>
          </w:tcPr>
          <w:p>
            <w:pPr>
              <w:ind w:left="120"/>
              <w:spacing w:after="0"/>
              <w:rPr>
                <w:sz w:val="20"/>
                <w:szCs w:val="20"/>
                <w:color w:val="auto"/>
              </w:rPr>
            </w:pPr>
            <w:r>
              <w:rPr>
                <w:rFonts w:ascii="Arial" w:cs="Arial" w:eastAsia="Arial" w:hAnsi="Arial"/>
                <w:sz w:val="14"/>
                <w:szCs w:val="14"/>
                <w:color w:val="auto"/>
              </w:rPr>
              <w:t>Bethesda, MD 20814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Congressional Plaza</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1965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1965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324,000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$41.60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91%</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The Fresh Market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Rockville, MD 20852(4)</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Congressional Plaza Residential</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4"/>
              </w:rPr>
              <w:t>2003, 2016</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1965</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4"/>
              </w:rPr>
              <w:t>194 units</w:t>
            </w:r>
          </w:p>
        </w:tc>
        <w:tc>
          <w:tcPr>
            <w:tcW w:w="1280" w:type="dxa"/>
            <w:vAlign w:val="bottom"/>
            <w:gridSpan w:val="2"/>
          </w:tcPr>
          <w:p>
            <w:pPr>
              <w:jc w:val="center"/>
              <w:ind w:right="60"/>
              <w:spacing w:after="0" w:line="143"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3"/>
          </w:tcPr>
          <w:p>
            <w:pPr>
              <w:ind w:left="120"/>
              <w:spacing w:after="0"/>
              <w:rPr>
                <w:sz w:val="20"/>
                <w:szCs w:val="20"/>
                <w:color w:val="auto"/>
              </w:rPr>
            </w:pPr>
            <w:r>
              <w:rPr>
                <w:rFonts w:ascii="Arial" w:cs="Arial" w:eastAsia="Arial" w:hAnsi="Arial"/>
                <w:sz w:val="14"/>
                <w:szCs w:val="14"/>
                <w:color w:val="auto"/>
              </w:rPr>
              <w:t>Rockville, MD 20852(4)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Courthouse Center</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1975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$25.61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69%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Rockville, MD 20852</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Federal Plaza</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1970</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1989</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249,000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$38.25</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93%</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Rockville, MD 20852</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Gaithersburg Square</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1966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208,000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$31.11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Marshalls Ross Dress For Less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Gaithersburg, MD 20878</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Ashley Furniture HomeStore</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Governor Plaza</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1963</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243,000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$20.44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Glen Burnie, MD 21961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Laurel</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1956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1986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364,000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$23.71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Laurel, MD 20707</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Montrose Crossing</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3"/>
              </w:rPr>
              <w:t>1960-1979,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2011/2013</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368,000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$33.72</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Rockville, MD 20852</w:t>
            </w: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1"/>
              </w:rPr>
              <w:t>1996, 2011</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Home Depot Design Center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Perring Plaza</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1963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398,000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$19.04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71%</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Baltimore, MD 21134</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Pike &amp; Rose</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1"/>
              </w:rPr>
              <w:t>1963, 2014,</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4"/>
              </w:rPr>
              <w:t>1982/2007/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667,000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$42.68</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Porsche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North Bethesda, MD 20852(11)</w:t>
            </w: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4"/>
              </w:rPr>
              <w:t>2018, 2020</w:t>
            </w:r>
          </w:p>
        </w:tc>
        <w:tc>
          <w:tcPr>
            <w:tcW w:w="12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Uniqlo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H&amp;M</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L.L. Bean Multiple Restaurants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Pike &amp; Rose Residential</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2014, 2016,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1982/2007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765 units</w:t>
            </w:r>
          </w:p>
        </w:tc>
        <w:tc>
          <w:tcPr>
            <w:tcW w:w="12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North Bethesda, MD 20852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Plaza Del Mercado</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1969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116,000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$33.15</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Silver Spring, MD 20906</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Quince Orchard</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1975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270,000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$26.14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84%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Gaithersburg, MD 20877(7)</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THE AVENUE at White Marsh</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1997</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315,000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$27.59</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Baltimore, MD 21236(9)</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The Shoppes at Nottingham Square</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2005-2006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$51.91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Baltimore, MD 21236</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gridSpan w:val="3"/>
          </w:tcPr>
          <w:p>
            <w:pPr>
              <w:spacing w:after="0" w:line="143" w:lineRule="exact"/>
              <w:rPr>
                <w:sz w:val="20"/>
                <w:szCs w:val="20"/>
                <w:color w:val="auto"/>
              </w:rPr>
            </w:pPr>
            <w:r>
              <w:rPr>
                <w:rFonts w:ascii="Arial" w:cs="Arial" w:eastAsia="Arial" w:hAnsi="Arial"/>
                <w:sz w:val="14"/>
                <w:szCs w:val="14"/>
                <w:color w:val="auto"/>
              </w:rPr>
              <w:t>White Marsh Other</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1985</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3"/>
              </w:rPr>
              <w:t>56,000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$33.44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3"/>
          </w:tcPr>
          <w:p>
            <w:pPr>
              <w:ind w:left="120"/>
              <w:spacing w:after="0"/>
              <w:rPr>
                <w:sz w:val="20"/>
                <w:szCs w:val="20"/>
                <w:color w:val="auto"/>
              </w:rPr>
            </w:pPr>
            <w:r>
              <w:rPr>
                <w:rFonts w:ascii="Arial" w:cs="Arial" w:eastAsia="Arial" w:hAnsi="Arial"/>
                <w:sz w:val="14"/>
                <w:szCs w:val="14"/>
                <w:color w:val="auto"/>
              </w:rPr>
              <w:t>Baltimore, MD 21236</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 Marsh Plaza</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1987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$23.62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Baltimore, MD 21236</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Square Feet(1)</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2"/>
                <w:szCs w:val="12"/>
                <w:color w:val="auto"/>
              </w:rPr>
            </w:pPr>
          </w:p>
        </w:tc>
        <w:tc>
          <w:tcPr>
            <w:tcW w:w="22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Completed</w:t>
            </w:r>
          </w:p>
        </w:tc>
        <w:tc>
          <w:tcPr>
            <w:tcW w:w="1100" w:type="dxa"/>
            <w:vAlign w:val="bottom"/>
            <w:gridSpan w:val="2"/>
            <w:vMerge w:val="continue"/>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/Apartment Units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5"/>
          </w:tcPr>
          <w:p>
            <w:pPr>
              <w:spacing w:after="0" w:line="143" w:lineRule="exact"/>
              <w:rPr>
                <w:sz w:val="20"/>
                <w:szCs w:val="20"/>
                <w:color w:val="auto"/>
              </w:rPr>
            </w:pPr>
            <w:r>
              <w:rPr>
                <w:rFonts w:ascii="Arial" w:cs="Arial" w:eastAsia="Arial" w:hAnsi="Arial"/>
                <w:sz w:val="14"/>
                <w:szCs w:val="14"/>
                <w:color w:val="auto"/>
              </w:rPr>
              <w:t>Wildwood</w:t>
            </w: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9"/>
              </w:rPr>
              <w:t>1958</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1969</w:t>
            </w:r>
          </w:p>
        </w:tc>
        <w:tc>
          <w:tcPr>
            <w:tcW w:w="1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3"/>
              </w:rPr>
              <w:t>88,000</w:t>
            </w:r>
          </w:p>
        </w:tc>
        <w:tc>
          <w:tcPr>
            <w:tcW w:w="1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0"/>
              </w:rPr>
              <w:t>$103.94</w:t>
            </w:r>
          </w:p>
        </w:tc>
        <w:tc>
          <w:tcPr>
            <w:tcW w:w="1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2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gridSpan w:val="5"/>
          </w:tcPr>
          <w:p>
            <w:pPr>
              <w:ind w:left="120"/>
              <w:spacing w:after="0" w:line="141" w:lineRule="exact"/>
              <w:rPr>
                <w:sz w:val="20"/>
                <w:szCs w:val="20"/>
                <w:color w:val="auto"/>
              </w:rPr>
            </w:pPr>
            <w:r>
              <w:rPr>
                <w:rFonts w:ascii="Arial" w:cs="Arial" w:eastAsia="Arial" w:hAnsi="Arial"/>
                <w:sz w:val="14"/>
                <w:szCs w:val="14"/>
                <w:color w:val="auto"/>
              </w:rPr>
              <w:t>Bethesda, MD 20814</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Massachusetts</w:t>
            </w:r>
          </w:p>
        </w:tc>
        <w:tc>
          <w:tcPr>
            <w:tcW w:w="2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Assembly Row/</w:t>
            </w:r>
          </w:p>
        </w:tc>
        <w:tc>
          <w:tcPr>
            <w:tcW w:w="110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1"/>
              </w:rPr>
              <w:t>2005, 2014,</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3"/>
              </w:rPr>
              <w:t>2005-2011/</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9"/>
              </w:rPr>
              <w:t>1,178,000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$35.30</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gridSpan w:val="5"/>
          </w:tcPr>
          <w:p>
            <w:pPr>
              <w:spacing w:after="0" w:line="141" w:lineRule="exact"/>
              <w:rPr>
                <w:sz w:val="20"/>
                <w:szCs w:val="20"/>
                <w:color w:val="auto"/>
              </w:rPr>
            </w:pPr>
            <w:r>
              <w:rPr>
                <w:rFonts w:ascii="Arial" w:cs="Arial" w:eastAsia="Arial" w:hAnsi="Arial"/>
                <w:sz w:val="14"/>
                <w:szCs w:val="14"/>
                <w:color w:val="auto"/>
              </w:rPr>
              <w:t>Assembly Square Marketplace</w:t>
            </w:r>
          </w:p>
        </w:tc>
        <w:tc>
          <w:tcPr>
            <w:tcW w:w="1100" w:type="dxa"/>
            <w:vAlign w:val="bottom"/>
            <w:gridSpan w:val="2"/>
          </w:tcPr>
          <w:p>
            <w:pPr>
              <w:jc w:val="center"/>
              <w:ind w:left="28"/>
              <w:spacing w:after="0" w:line="141" w:lineRule="exact"/>
              <w:rPr>
                <w:sz w:val="20"/>
                <w:szCs w:val="20"/>
                <w:color w:val="auto"/>
              </w:rPr>
            </w:pPr>
            <w:r>
              <w:rPr>
                <w:rFonts w:ascii="Arial" w:cs="Arial" w:eastAsia="Arial" w:hAnsi="Arial"/>
                <w:sz w:val="14"/>
                <w:szCs w:val="14"/>
                <w:color w:val="auto"/>
                <w:w w:val="91"/>
              </w:rPr>
              <w:t>2018, 2021</w:t>
            </w:r>
          </w:p>
        </w:tc>
        <w:tc>
          <w:tcPr>
            <w:tcW w:w="10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Somerville, MA 02145(11)</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4"/>
                <w:szCs w:val="14"/>
                <w:color w:val="auto"/>
              </w:rPr>
              <w:t>PUMA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Assembly Row Residential</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1"/>
              </w:rPr>
              <w:t>2018, 2021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2005-2011</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1"/>
              </w:rPr>
              <w:t>947 units</w:t>
            </w:r>
          </w:p>
        </w:tc>
        <w:tc>
          <w:tcPr>
            <w:tcW w:w="1260" w:type="dxa"/>
            <w:vAlign w:val="bottom"/>
            <w:gridSpan w:val="2"/>
            <w:shd w:val="clear" w:color="auto" w:fill="CCEEFF"/>
          </w:tcPr>
          <w:p>
            <w:pPr>
              <w:jc w:val="center"/>
              <w:ind w:right="80"/>
              <w:spacing w:after="0" w:line="143"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96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Somerville, MA 02145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Campus Plaza</w:t>
            </w:r>
          </w:p>
        </w:tc>
        <w:tc>
          <w:tcPr>
            <w:tcW w:w="110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89"/>
              </w:rPr>
              <w:t>1970</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2004</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4"/>
              </w:rPr>
              <w:t>114,000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$16.83</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85%</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color w:val="auto"/>
              </w:rPr>
              <w:t>Bridgewater, MA 02324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Chelsea Commons</w:t>
            </w:r>
          </w:p>
        </w:tc>
        <w:tc>
          <w:tcPr>
            <w:tcW w:w="110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1962,1969,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2006-2008</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222,000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$12.94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Chelsea, MA 02150(6)</w:t>
            </w:r>
          </w:p>
        </w:tc>
        <w:tc>
          <w:tcPr>
            <w:tcW w:w="1100" w:type="dxa"/>
            <w:vAlign w:val="bottom"/>
            <w:gridSpan w:val="2"/>
            <w:shd w:val="clear" w:color="auto" w:fill="CCEEFF"/>
          </w:tcPr>
          <w:p>
            <w:pPr>
              <w:jc w:val="center"/>
              <w:ind w:left="28"/>
              <w:spacing w:after="0" w:line="141" w:lineRule="exact"/>
              <w:rPr>
                <w:sz w:val="20"/>
                <w:szCs w:val="20"/>
                <w:color w:val="auto"/>
              </w:rPr>
            </w:pPr>
            <w:r>
              <w:rPr>
                <w:rFonts w:ascii="Arial" w:cs="Arial" w:eastAsia="Arial" w:hAnsi="Arial"/>
                <w:sz w:val="14"/>
                <w:szCs w:val="14"/>
                <w:color w:val="auto"/>
                <w:w w:val="89"/>
              </w:rPr>
              <w:t>2008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Dedham Plaza</w:t>
            </w:r>
          </w:p>
        </w:tc>
        <w:tc>
          <w:tcPr>
            <w:tcW w:w="110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89"/>
              </w:rPr>
              <w:t>1959</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4"/>
              </w:rPr>
              <w:t>1993/2016/</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4"/>
              </w:rPr>
              <w:t>249,000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$18.14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92%</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color w:val="auto"/>
              </w:rPr>
              <w:t>Dedham, MA 02026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Linden Square</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1960, 2008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2006</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224,000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$50.56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96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Wellesley, MA 02481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6"/>
              </w:rPr>
              <w:t>7 units</w:t>
            </w:r>
          </w:p>
        </w:tc>
        <w:tc>
          <w:tcPr>
            <w:tcW w:w="12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60"/>
        </w:trPr>
        <w:tc>
          <w:tcPr>
            <w:tcW w:w="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20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80" w:type="dxa"/>
            <w:vAlign w:val="bottom"/>
            <w:tcBorders>
              <w:bottom w:val="single" w:sz="8" w:color="CCEEFF"/>
            </w:tcBorders>
            <w:gridSpan w:val="2"/>
            <w:vMerge w:val="continue"/>
            <w:shd w:val="clear" w:color="auto" w:fill="CCEEFF"/>
          </w:tcPr>
          <w:p>
            <w:pPr>
              <w:spacing w:after="0"/>
              <w:rPr>
                <w:sz w:val="5"/>
                <w:szCs w:val="5"/>
                <w:color w:val="auto"/>
              </w:rPr>
            </w:pPr>
          </w:p>
        </w:tc>
        <w:tc>
          <w:tcPr>
            <w:tcW w:w="1260" w:type="dxa"/>
            <w:vAlign w:val="bottom"/>
            <w:tcBorders>
              <w:bottom w:val="single" w:sz="8" w:color="CCEEFF"/>
            </w:tcBorders>
            <w:gridSpan w:val="2"/>
            <w:vMerge w:val="continue"/>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North Dartmouth</w:t>
            </w:r>
          </w:p>
        </w:tc>
        <w:tc>
          <w:tcPr>
            <w:tcW w:w="1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2006</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3"/>
              </w:rPr>
              <w:t>48,000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$17.22</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color w:val="auto"/>
              </w:rPr>
              <w:t>North Dartmouth, MA 02747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Queen Anne Plaza</w:t>
            </w:r>
          </w:p>
        </w:tc>
        <w:tc>
          <w:tcPr>
            <w:tcW w:w="110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89"/>
              </w:rPr>
              <w:t>1967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1994</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149,000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$20.42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Big Y Foods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Norwell, MA 02061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Michigan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Gratiot Plaza</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89"/>
              </w:rPr>
              <w:t>1964</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1973</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215,000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$12.82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Roseville, MI 48066</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New Jersey</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Brick Plaza</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89"/>
              </w:rPr>
              <w:t>1958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1989</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407,000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$21.85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Brick Township, NJ 08723(7)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Ulta Burlington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Brook 35</w:t>
            </w:r>
          </w:p>
        </w:tc>
        <w:tc>
          <w:tcPr>
            <w:tcW w:w="110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1"/>
              </w:rPr>
              <w:t>1986, 2004</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2014</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3"/>
              </w:rPr>
              <w:t>98,000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$41.89</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92%</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gridSpan w:val="5"/>
          </w:tcPr>
          <w:p>
            <w:pPr>
              <w:ind w:left="120"/>
              <w:spacing w:after="0" w:line="141" w:lineRule="exact"/>
              <w:rPr>
                <w:sz w:val="20"/>
                <w:szCs w:val="20"/>
                <w:color w:val="auto"/>
              </w:rPr>
            </w:pPr>
            <w:r>
              <w:rPr>
                <w:rFonts w:ascii="Arial" w:cs="Arial" w:eastAsia="Arial" w:hAnsi="Arial"/>
                <w:sz w:val="14"/>
                <w:szCs w:val="14"/>
                <w:color w:val="auto"/>
              </w:rPr>
              <w:t>Sea Grit, NJ 08750(4)(6)(9)</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Ellisburg</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89"/>
              </w:rPr>
              <w:t>1959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1992</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260,000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$18.20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Cherry Hill, NJ 08034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RH Outlet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Hoboken</w:t>
            </w:r>
          </w:p>
        </w:tc>
        <w:tc>
          <w:tcPr>
            <w:tcW w:w="110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5"/>
              </w:rPr>
              <w:t>1887-2006</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2"/>
              </w:rPr>
              <w:t>2019/2020/2022</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4"/>
              </w:rPr>
              <w:t>171,000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$57.04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gridSpan w:val="5"/>
          </w:tcPr>
          <w:p>
            <w:pPr>
              <w:ind w:left="120"/>
              <w:spacing w:after="0" w:line="141" w:lineRule="exact"/>
              <w:rPr>
                <w:sz w:val="20"/>
                <w:szCs w:val="20"/>
                <w:color w:val="auto"/>
              </w:rPr>
            </w:pPr>
            <w:r>
              <w:rPr>
                <w:rFonts w:ascii="Arial" w:cs="Arial" w:eastAsia="Arial" w:hAnsi="Arial"/>
                <w:sz w:val="14"/>
                <w:szCs w:val="14"/>
                <w:color w:val="auto"/>
              </w:rPr>
              <w:t>Hoboken, NJ 07030(4)(6)(13)</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4"/>
                <w:szCs w:val="14"/>
                <w:color w:val="auto"/>
              </w:rPr>
              <w:t>New York Sports Club</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129 units</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Sephora</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Mercer Mall</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89"/>
              </w:rPr>
              <w:t>1975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2003/2017</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551,000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$26.68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89%</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Lawrenceville, NJ 08648(7)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Tesla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The Grove at Shrewsbury</w:t>
            </w:r>
          </w:p>
        </w:tc>
        <w:tc>
          <w:tcPr>
            <w:tcW w:w="110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1"/>
              </w:rPr>
              <w:t>1988, 1993</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2014</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4"/>
              </w:rPr>
              <w:t>193,000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$49.05</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gridSpan w:val="5"/>
          </w:tcPr>
          <w:p>
            <w:pPr>
              <w:ind w:left="120"/>
              <w:spacing w:after="0" w:line="141" w:lineRule="exact"/>
              <w:rPr>
                <w:sz w:val="20"/>
                <w:szCs w:val="20"/>
                <w:color w:val="auto"/>
              </w:rPr>
            </w:pPr>
            <w:r>
              <w:rPr>
                <w:rFonts w:ascii="Arial" w:cs="Arial" w:eastAsia="Arial" w:hAnsi="Arial"/>
                <w:sz w:val="14"/>
                <w:szCs w:val="14"/>
                <w:color w:val="auto"/>
              </w:rPr>
              <w:t>Shrewsbury, NJ 07702(4)(6)(9)</w:t>
            </w:r>
          </w:p>
        </w:tc>
        <w:tc>
          <w:tcPr>
            <w:tcW w:w="1100" w:type="dxa"/>
            <w:vAlign w:val="bottom"/>
            <w:gridSpan w:val="2"/>
          </w:tcPr>
          <w:p>
            <w:pPr>
              <w:jc w:val="center"/>
              <w:ind w:left="28"/>
              <w:spacing w:after="0" w:line="141" w:lineRule="exact"/>
              <w:rPr>
                <w:sz w:val="20"/>
                <w:szCs w:val="20"/>
                <w:color w:val="auto"/>
              </w:rPr>
            </w:pPr>
            <w:r>
              <w:rPr>
                <w:rFonts w:ascii="Arial" w:cs="Arial" w:eastAsia="Arial" w:hAnsi="Arial"/>
                <w:sz w:val="14"/>
                <w:szCs w:val="14"/>
                <w:color w:val="auto"/>
                <w:w w:val="99"/>
              </w:rPr>
              <w:t>&amp; 2007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Troy Hills</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89"/>
              </w:rPr>
              <w:t>1966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1980</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211,000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$23.02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96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Parsippany-Troy, NJ 07054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L.A. Fitness Michaels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New York</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Fresh Meadows</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89"/>
              </w:rPr>
              <w:t>1949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1997</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408,000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$39.23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Island of Gold</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Queens, NY 11365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gridSpan w:val="5"/>
          </w:tcPr>
          <w:p>
            <w:pPr>
              <w:spacing w:after="0" w:line="143" w:lineRule="exact"/>
              <w:rPr>
                <w:sz w:val="20"/>
                <w:szCs w:val="20"/>
                <w:color w:val="auto"/>
              </w:rPr>
            </w:pPr>
            <w:r>
              <w:rPr>
                <w:rFonts w:ascii="Arial" w:cs="Arial" w:eastAsia="Arial" w:hAnsi="Arial"/>
                <w:sz w:val="14"/>
                <w:szCs w:val="14"/>
                <w:color w:val="auto"/>
              </w:rPr>
              <w:t>Georgetowne Shopping Center</w:t>
            </w:r>
          </w:p>
        </w:tc>
        <w:tc>
          <w:tcPr>
            <w:tcW w:w="110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1"/>
              </w:rPr>
              <w:t>1969, 2006,</w:t>
            </w:r>
          </w:p>
        </w:tc>
        <w:tc>
          <w:tcPr>
            <w:tcW w:w="10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94"/>
              </w:rPr>
              <w:t>147,000</w:t>
            </w:r>
          </w:p>
        </w:tc>
        <w:tc>
          <w:tcPr>
            <w:tcW w:w="12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8"/>
              </w:rPr>
              <w:t>$41.49</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4"/>
                <w:szCs w:val="14"/>
                <w:color w:val="auto"/>
              </w:rPr>
              <w:t>Foodway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gridSpan w:val="5"/>
          </w:tcPr>
          <w:p>
            <w:pPr>
              <w:ind w:left="120"/>
              <w:spacing w:after="0" w:line="141" w:lineRule="exact"/>
              <w:rPr>
                <w:sz w:val="20"/>
                <w:szCs w:val="20"/>
                <w:color w:val="auto"/>
              </w:rPr>
            </w:pPr>
            <w:r>
              <w:rPr>
                <w:rFonts w:ascii="Arial" w:cs="Arial" w:eastAsia="Arial" w:hAnsi="Arial"/>
                <w:sz w:val="14"/>
                <w:szCs w:val="14"/>
                <w:color w:val="auto"/>
              </w:rPr>
              <w:t>Brooklyn, NY 11234</w:t>
            </w:r>
          </w:p>
        </w:tc>
        <w:tc>
          <w:tcPr>
            <w:tcW w:w="1100" w:type="dxa"/>
            <w:vAlign w:val="bottom"/>
            <w:gridSpan w:val="2"/>
          </w:tcPr>
          <w:p>
            <w:pPr>
              <w:jc w:val="center"/>
              <w:ind w:left="28"/>
              <w:spacing w:after="0" w:line="141"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1" w:lineRule="exact"/>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IHOP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Greenlawn Plaza</w:t>
            </w:r>
          </w:p>
        </w:tc>
        <w:tc>
          <w:tcPr>
            <w:tcW w:w="110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1"/>
              </w:rPr>
              <w:t>1975, 2004</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2006</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103,000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$19.80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60" w:type="dxa"/>
            <w:vAlign w:val="bottom"/>
            <w:gridSpan w:val="5"/>
            <w:shd w:val="clear" w:color="auto" w:fill="CCEEFF"/>
          </w:tcPr>
          <w:p>
            <w:pPr>
              <w:ind w:left="120"/>
              <w:spacing w:after="0" w:line="141" w:lineRule="exact"/>
              <w:rPr>
                <w:sz w:val="20"/>
                <w:szCs w:val="20"/>
                <w:color w:val="auto"/>
              </w:rPr>
            </w:pPr>
            <w:r>
              <w:rPr>
                <w:rFonts w:ascii="Arial" w:cs="Arial" w:eastAsia="Arial" w:hAnsi="Arial"/>
                <w:sz w:val="14"/>
                <w:szCs w:val="14"/>
                <w:color w:val="auto"/>
              </w:rPr>
              <w:t>Greenlawn, NY 11743</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2"/>
                <w:szCs w:val="12"/>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color w:val="auto"/>
              </w:rPr>
              <w:t>Hauppauge</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1963</w:t>
            </w: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0"/>
              </w:rPr>
              <w:t>134,000</w:t>
            </w: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8"/>
              </w:rPr>
              <w:t>$33.63</w:t>
            </w:r>
          </w:p>
        </w:tc>
        <w:tc>
          <w:tcPr>
            <w:tcW w:w="1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86%</w:t>
            </w:r>
          </w:p>
        </w:tc>
        <w:tc>
          <w:tcPr>
            <w:tcW w:w="120" w:type="dxa"/>
            <w:vAlign w:val="bottom"/>
          </w:tcPr>
          <w:p>
            <w:pPr>
              <w:spacing w:after="0"/>
              <w:rPr>
                <w:sz w:val="12"/>
                <w:szCs w:val="12"/>
                <w:color w:val="auto"/>
              </w:rPr>
            </w:pPr>
          </w:p>
        </w:tc>
        <w:tc>
          <w:tcPr>
            <w:tcW w:w="23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3"/>
          </w:tcPr>
          <w:p>
            <w:pPr>
              <w:ind w:left="120"/>
              <w:spacing w:after="0"/>
              <w:rPr>
                <w:sz w:val="20"/>
                <w:szCs w:val="20"/>
                <w:color w:val="auto"/>
              </w:rPr>
            </w:pPr>
            <w:r>
              <w:rPr>
                <w:rFonts w:ascii="Arial" w:cs="Arial" w:eastAsia="Arial" w:hAnsi="Arial"/>
                <w:sz w:val="14"/>
                <w:szCs w:val="14"/>
                <w:color w:val="auto"/>
              </w:rPr>
              <w:t>Hauppauge, NY 11788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Huntington</w:t>
            </w:r>
          </w:p>
        </w:tc>
        <w:tc>
          <w:tcPr>
            <w:tcW w:w="108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1962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1988/2007/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$26.85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Huntington, NY 11746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2015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Huntington Square</w:t>
            </w:r>
          </w:p>
        </w:tc>
        <w:tc>
          <w:tcPr>
            <w:tcW w:w="10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4"/>
              </w:rPr>
              <w:t>1980, 2007</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3"/>
              </w:rPr>
              <w:t>75,000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$30.76</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3"/>
          </w:tcPr>
          <w:p>
            <w:pPr>
              <w:ind w:left="120"/>
              <w:spacing w:after="0"/>
              <w:rPr>
                <w:sz w:val="20"/>
                <w:szCs w:val="20"/>
                <w:color w:val="auto"/>
              </w:rPr>
            </w:pPr>
            <w:r>
              <w:rPr>
                <w:rFonts w:ascii="Arial" w:cs="Arial" w:eastAsia="Arial" w:hAnsi="Arial"/>
                <w:sz w:val="14"/>
                <w:szCs w:val="14"/>
                <w:color w:val="auto"/>
              </w:rPr>
              <w:t>East Northport, NY 11731(7)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Melville Mall</w:t>
            </w:r>
          </w:p>
        </w:tc>
        <w:tc>
          <w:tcPr>
            <w:tcW w:w="108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1974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253,000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$29.75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Uncle Giuseppe's Marketplace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Huntington, NY 11747(7)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Macy's Backstage</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Public Lands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Pennsylvania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Andorra</w:t>
            </w:r>
          </w:p>
        </w:tc>
        <w:tc>
          <w:tcPr>
            <w:tcW w:w="108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6"/>
              </w:rPr>
              <w:t>1953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1988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270,000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$14.82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Philadelphia, PA 19128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TJ Maxx Kohl's</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Bala Cynwyd</w:t>
            </w:r>
          </w:p>
        </w:tc>
        <w:tc>
          <w:tcPr>
            <w:tcW w:w="10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6"/>
              </w:rPr>
              <w:t>1955</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174,000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$37.51</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94%</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Bala Cynwyd, PA 19004</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Bala Cynwyd Residential</w:t>
            </w:r>
          </w:p>
        </w:tc>
        <w:tc>
          <w:tcPr>
            <w:tcW w:w="108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6"/>
              </w:rPr>
              <w:t>2020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3"/>
              </w:rPr>
              <w:t>87 units</w:t>
            </w:r>
          </w:p>
        </w:tc>
        <w:tc>
          <w:tcPr>
            <w:tcW w:w="1280" w:type="dxa"/>
            <w:vAlign w:val="bottom"/>
            <w:gridSpan w:val="2"/>
            <w:shd w:val="clear" w:color="auto" w:fill="CCEEFF"/>
          </w:tcPr>
          <w:p>
            <w:pPr>
              <w:jc w:val="center"/>
              <w:ind w:right="60"/>
              <w:spacing w:after="0" w:line="143"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Bala Cynwyd, PA 19004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Flourtown</w:t>
            </w:r>
          </w:p>
        </w:tc>
        <w:tc>
          <w:tcPr>
            <w:tcW w:w="10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6"/>
              </w:rPr>
              <w:t>1957</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156,000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$22.58</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3"/>
          </w:tcPr>
          <w:p>
            <w:pPr>
              <w:ind w:left="120"/>
              <w:spacing w:after="0"/>
              <w:rPr>
                <w:sz w:val="20"/>
                <w:szCs w:val="20"/>
                <w:color w:val="auto"/>
              </w:rPr>
            </w:pPr>
            <w:r>
              <w:rPr>
                <w:rFonts w:ascii="Arial" w:cs="Arial" w:eastAsia="Arial" w:hAnsi="Arial"/>
                <w:sz w:val="14"/>
                <w:szCs w:val="14"/>
                <w:color w:val="auto"/>
              </w:rPr>
              <w:t>Flourtown, PA 19031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Movie Tavern</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108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1958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$19.01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Lancaster, PA 17601(7)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AutoZone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Langhorne Square</w:t>
            </w:r>
          </w:p>
        </w:tc>
        <w:tc>
          <w:tcPr>
            <w:tcW w:w="10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6"/>
              </w:rPr>
              <w:t>1966</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223,000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$18.68</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Redner's Warehouse Markets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Levittown, PA 19056</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Lawrence Park</w:t>
            </w:r>
          </w:p>
        </w:tc>
        <w:tc>
          <w:tcPr>
            <w:tcW w:w="108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6"/>
              </w:rPr>
              <w:t>1972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1980/2017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356,000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$23.57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Broomall, PA 19008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Lankenau Medical Center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Northeast</w:t>
            </w:r>
          </w:p>
        </w:tc>
        <w:tc>
          <w:tcPr>
            <w:tcW w:w="10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6"/>
              </w:rPr>
              <w:t>1959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214,000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$21.57</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80%</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Philadelphia, PA 19114</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Skechers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Crunch Fitness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Town Center of New Britain</w:t>
            </w:r>
          </w:p>
        </w:tc>
        <w:tc>
          <w:tcPr>
            <w:tcW w:w="108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6"/>
              </w:rPr>
              <w:t>1969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124,000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$10.08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New Britain, PA 18901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Dollar Tree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Willow Grove</w:t>
            </w:r>
          </w:p>
        </w:tc>
        <w:tc>
          <w:tcPr>
            <w:tcW w:w="10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6"/>
              </w:rPr>
              <w:t>1953</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1984</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105,000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$22.37</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3"/>
          </w:tcPr>
          <w:p>
            <w:pPr>
              <w:ind w:left="120"/>
              <w:spacing w:after="0"/>
              <w:rPr>
                <w:sz w:val="20"/>
                <w:szCs w:val="20"/>
                <w:color w:val="auto"/>
              </w:rPr>
            </w:pPr>
            <w:r>
              <w:rPr>
                <w:rFonts w:ascii="Arial" w:cs="Arial" w:eastAsia="Arial" w:hAnsi="Arial"/>
                <w:sz w:val="14"/>
                <w:szCs w:val="14"/>
                <w:color w:val="auto"/>
              </w:rPr>
              <w:t>Willow Grove, PA 19090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Wynnewood</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1948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248,000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$29.27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Wynnewood, PA 19096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9 units</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vMerge w:val="continue"/>
            <w:shd w:val="clear" w:color="auto" w:fill="CCEEFF"/>
          </w:tcPr>
          <w:p>
            <w:pPr>
              <w:spacing w:after="0"/>
              <w:rPr>
                <w:sz w:val="18"/>
                <w:szCs w:val="18"/>
                <w:color w:val="auto"/>
              </w:rPr>
            </w:pPr>
          </w:p>
        </w:tc>
        <w:tc>
          <w:tcPr>
            <w:tcW w:w="1280" w:type="dxa"/>
            <w:vAlign w:val="bottom"/>
            <w:tcBorders>
              <w:bottom w:val="single" w:sz="8" w:color="CCEEFF"/>
            </w:tcBorders>
            <w:gridSpan w:val="2"/>
            <w:vMerge w:val="continue"/>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Virginia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29th Place</w:t>
            </w:r>
          </w:p>
        </w:tc>
        <w:tc>
          <w:tcPr>
            <w:tcW w:w="108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2"/>
              </w:rPr>
              <w:t>1975-2001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169,000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$20.35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Lidl HomeGoods</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Charlottesville, VA 22091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Barcroft Plaza</w:t>
            </w:r>
          </w:p>
        </w:tc>
        <w:tc>
          <w:tcPr>
            <w:tcW w:w="108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91"/>
              </w:rPr>
              <w:t>1963, 1972,</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4"/>
              </w:rPr>
              <w:t>2006/2007/</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113,000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$28.80</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3"/>
          </w:tcPr>
          <w:p>
            <w:pPr>
              <w:ind w:left="120"/>
              <w:spacing w:after="0"/>
              <w:rPr>
                <w:sz w:val="20"/>
                <w:szCs w:val="20"/>
                <w:color w:val="auto"/>
              </w:rPr>
            </w:pPr>
            <w:r>
              <w:rPr>
                <w:rFonts w:ascii="Arial" w:cs="Arial" w:eastAsia="Arial" w:hAnsi="Arial"/>
                <w:sz w:val="14"/>
                <w:szCs w:val="14"/>
                <w:color w:val="auto"/>
              </w:rPr>
              <w:t>Falls Church, VA 22041</w:t>
            </w:r>
          </w:p>
        </w:tc>
        <w:tc>
          <w:tcPr>
            <w:tcW w:w="108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1990, &amp; 2000</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Barracks Road</w:t>
            </w:r>
          </w:p>
        </w:tc>
        <w:tc>
          <w:tcPr>
            <w:tcW w:w="108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1958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497,000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$27.77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Charlottesville, VA 22905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Birch &amp; Broad</w:t>
            </w:r>
          </w:p>
        </w:tc>
        <w:tc>
          <w:tcPr>
            <w:tcW w:w="10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w w:val="93"/>
              </w:rPr>
              <w:t>1960/1962</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1967/1972</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144,000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$37.94</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Falls Church, VA 22046</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Chesterbrook</w:t>
            </w:r>
          </w:p>
        </w:tc>
        <w:tc>
          <w:tcPr>
            <w:tcW w:w="108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6"/>
              </w:rPr>
              <w:t>1967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90,000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$26.67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76%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McLean, VA 22101(4)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Starbucks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gridSpan w:val="3"/>
          </w:tcPr>
          <w:p>
            <w:pPr>
              <w:spacing w:after="0" w:line="143" w:lineRule="exact"/>
              <w:rPr>
                <w:sz w:val="20"/>
                <w:szCs w:val="20"/>
                <w:color w:val="auto"/>
              </w:rPr>
            </w:pPr>
            <w:r>
              <w:rPr>
                <w:rFonts w:ascii="Arial" w:cs="Arial" w:eastAsia="Arial" w:hAnsi="Arial"/>
                <w:sz w:val="14"/>
                <w:szCs w:val="14"/>
                <w:color w:val="auto"/>
              </w:rPr>
              <w:t>Fairfax Junction</w:t>
            </w:r>
          </w:p>
        </w:tc>
        <w:tc>
          <w:tcPr>
            <w:tcW w:w="108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91"/>
              </w:rPr>
              <w:t>1981, 1986,</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2019/2020</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124,000</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color w:val="auto"/>
                <w:w w:val="88"/>
              </w:rPr>
              <w:t>$24.92</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Fairfax, VA 22030(9)</w:t>
            </w:r>
          </w:p>
        </w:tc>
        <w:tc>
          <w:tcPr>
            <w:tcW w:w="1080" w:type="dxa"/>
            <w:vAlign w:val="bottom"/>
            <w:gridSpan w:val="2"/>
          </w:tcPr>
          <w:p>
            <w:pPr>
              <w:jc w:val="center"/>
              <w:ind w:left="28"/>
              <w:spacing w:after="0" w:line="141" w:lineRule="exact"/>
              <w:rPr>
                <w:sz w:val="20"/>
                <w:szCs w:val="20"/>
                <w:color w:val="auto"/>
              </w:rPr>
            </w:pPr>
            <w:r>
              <w:rPr>
                <w:rFonts w:ascii="Arial" w:cs="Arial" w:eastAsia="Arial" w:hAnsi="Arial"/>
                <w:sz w:val="14"/>
                <w:szCs w:val="14"/>
                <w:color w:val="auto"/>
                <w:w w:val="96"/>
              </w:rPr>
              <w:t>2000</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Graham Park Plaza</w:t>
            </w:r>
          </w:p>
        </w:tc>
        <w:tc>
          <w:tcPr>
            <w:tcW w:w="1080" w:type="dxa"/>
            <w:vAlign w:val="bottom"/>
            <w:gridSpan w:val="2"/>
            <w:shd w:val="clear" w:color="auto" w:fill="CCEEFF"/>
          </w:tcPr>
          <w:p>
            <w:pPr>
              <w:jc w:val="center"/>
              <w:ind w:left="28"/>
              <w:spacing w:after="0" w:line="143" w:lineRule="exact"/>
              <w:rPr>
                <w:sz w:val="20"/>
                <w:szCs w:val="20"/>
                <w:color w:val="auto"/>
              </w:rPr>
            </w:pPr>
            <w:r>
              <w:rPr>
                <w:rFonts w:ascii="Arial" w:cs="Arial" w:eastAsia="Arial" w:hAnsi="Arial"/>
                <w:sz w:val="14"/>
                <w:szCs w:val="14"/>
                <w:color w:val="auto"/>
                <w:w w:val="96"/>
              </w:rPr>
              <w:t>1971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132,000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$40.71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Falls Church, VA 22042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Square Feet(1)</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2"/>
                <w:szCs w:val="12"/>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7"/>
        </w:trPr>
        <w:tc>
          <w:tcPr>
            <w:tcW w:w="3100" w:type="dxa"/>
            <w:vAlign w:val="bottom"/>
            <w:gridSpan w:val="2"/>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Idylwood Plaza</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1991</w:t>
            </w: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3"/>
              </w:rPr>
              <w:t>73,000</w:t>
            </w: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8"/>
              </w:rPr>
              <w:t>$48.07</w:t>
            </w:r>
          </w:p>
        </w:tc>
        <w:tc>
          <w:tcPr>
            <w:tcW w:w="1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12"/>
                <w:szCs w:val="12"/>
                <w:color w:val="auto"/>
              </w:rPr>
            </w:pPr>
          </w:p>
        </w:tc>
        <w:tc>
          <w:tcPr>
            <w:tcW w:w="23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8"/>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Falls Church, VA 22030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Kingstowne Towne Center</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1996, 2001,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2022</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410,000</w:t>
            </w:r>
          </w:p>
        </w:tc>
        <w:tc>
          <w:tcPr>
            <w:tcW w:w="126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8"/>
              </w:rPr>
              <w:t>$26.99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4"/>
                <w:szCs w:val="14"/>
                <w:color w:val="auto"/>
              </w:rPr>
              <w:t>Kingstowne, VA 22315</w:t>
            </w:r>
          </w:p>
        </w:tc>
        <w:tc>
          <w:tcPr>
            <w:tcW w:w="9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3"/>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0"/>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3"/>
        </w:trPr>
        <w:tc>
          <w:tcPr>
            <w:tcW w:w="31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Mount Vernon/South Valley/</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1"/>
              </w:rPr>
              <w:t>1966,</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2003/2006</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565,000</w:t>
            </w:r>
          </w:p>
        </w:tc>
        <w:tc>
          <w:tcPr>
            <w:tcW w:w="126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88"/>
              </w:rPr>
              <w:t>$19.90</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0"/>
        </w:trPr>
        <w:tc>
          <w:tcPr>
            <w:tcW w:w="310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7770 Richmond Hwy</w:t>
            </w: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3"/>
              </w:rPr>
              <w:t>1972,1987</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310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Alexandria, VA 22306(9)</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9"/>
              </w:rPr>
              <w:t>&amp; 2001</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Old Keene Mill</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1968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1976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91,000</w:t>
            </w:r>
          </w:p>
        </w:tc>
        <w:tc>
          <w:tcPr>
            <w:tcW w:w="126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8"/>
              </w:rPr>
              <w:t>$39.41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4"/>
                <w:szCs w:val="14"/>
                <w:color w:val="auto"/>
              </w:rPr>
              <w:t>Springfield, VA 22152</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43"/>
        </w:trPr>
        <w:tc>
          <w:tcPr>
            <w:tcW w:w="31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Pan Am</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1979</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228,000</w:t>
            </w:r>
          </w:p>
        </w:tc>
        <w:tc>
          <w:tcPr>
            <w:tcW w:w="126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88"/>
              </w:rPr>
              <w:t>$25.71</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0"/>
        </w:trPr>
        <w:tc>
          <w:tcPr>
            <w:tcW w:w="310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Fairfax, VA 22031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Pike 7 Plaza</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1968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1997/2015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172,000</w:t>
            </w:r>
          </w:p>
        </w:tc>
        <w:tc>
          <w:tcPr>
            <w:tcW w:w="1260" w:type="dxa"/>
            <w:vAlign w:val="bottom"/>
            <w:gridSpan w:val="2"/>
            <w:shd w:val="clear" w:color="auto" w:fill="CCEEFF"/>
          </w:tcPr>
          <w:p>
            <w:pPr>
              <w:jc w:val="center"/>
              <w:ind w:left="48"/>
              <w:spacing w:after="0" w:line="143" w:lineRule="exact"/>
              <w:rPr>
                <w:sz w:val="20"/>
                <w:szCs w:val="20"/>
                <w:color w:val="auto"/>
              </w:rPr>
            </w:pPr>
            <w:r>
              <w:rPr>
                <w:rFonts w:ascii="Arial" w:cs="Arial" w:eastAsia="Arial" w:hAnsi="Arial"/>
                <w:sz w:val="14"/>
                <w:szCs w:val="14"/>
                <w:color w:val="auto"/>
                <w:w w:val="88"/>
              </w:rPr>
              <w:t>$49.74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4"/>
                <w:szCs w:val="14"/>
                <w:color w:val="auto"/>
              </w:rPr>
              <w:t>Vienna, VA 22180</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3"/>
        </w:trPr>
        <w:tc>
          <w:tcPr>
            <w:tcW w:w="31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Tower Shopping Center</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1960</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111,000</w:t>
            </w:r>
          </w:p>
        </w:tc>
        <w:tc>
          <w:tcPr>
            <w:tcW w:w="126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88"/>
              </w:rPr>
              <w:t>$27.55</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L.A. Mart</w:t>
            </w:r>
          </w:p>
        </w:tc>
        <w:tc>
          <w:tcPr>
            <w:tcW w:w="0" w:type="dxa"/>
            <w:vAlign w:val="bottom"/>
          </w:tcPr>
          <w:p>
            <w:pPr>
              <w:spacing w:after="0"/>
              <w:rPr>
                <w:sz w:val="1"/>
                <w:szCs w:val="1"/>
                <w:color w:val="auto"/>
              </w:rPr>
            </w:pPr>
          </w:p>
        </w:tc>
      </w:tr>
      <w:tr>
        <w:trPr>
          <w:trHeight w:val="140"/>
        </w:trPr>
        <w:tc>
          <w:tcPr>
            <w:tcW w:w="310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Springfield, VA 22150</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Twinbrooke Shopping Centre</w:t>
            </w:r>
          </w:p>
        </w:tc>
        <w:tc>
          <w:tcPr>
            <w:tcW w:w="9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1977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0"/>
              </w:rPr>
              <w:t>101,000</w:t>
            </w:r>
          </w:p>
        </w:tc>
        <w:tc>
          <w:tcPr>
            <w:tcW w:w="1260" w:type="dxa"/>
            <w:vAlign w:val="bottom"/>
            <w:gridSpan w:val="2"/>
            <w:shd w:val="clear" w:color="auto" w:fill="CCEEFF"/>
          </w:tcPr>
          <w:p>
            <w:pPr>
              <w:jc w:val="center"/>
              <w:ind w:left="48"/>
              <w:spacing w:after="0" w:line="143" w:lineRule="exact"/>
              <w:rPr>
                <w:sz w:val="20"/>
                <w:szCs w:val="20"/>
                <w:color w:val="auto"/>
              </w:rPr>
            </w:pPr>
            <w:r>
              <w:rPr>
                <w:rFonts w:ascii="Arial" w:cs="Arial" w:eastAsia="Arial" w:hAnsi="Arial"/>
                <w:sz w:val="14"/>
                <w:szCs w:val="14"/>
                <w:color w:val="auto"/>
                <w:w w:val="88"/>
              </w:rPr>
              <w:t>$26.40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Fairfax, VA 22032</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3"/>
        </w:trPr>
        <w:tc>
          <w:tcPr>
            <w:tcW w:w="31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Tyson's Station</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6"/>
              </w:rPr>
              <w:t>1954</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89"/>
              </w:rPr>
              <w:t>1978</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3"/>
              </w:rPr>
              <w:t>48,000</w:t>
            </w:r>
          </w:p>
        </w:tc>
        <w:tc>
          <w:tcPr>
            <w:tcW w:w="126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88"/>
              </w:rPr>
              <w:t>$49.47</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8"/>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Falls Church, VA 22043</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Village at Shirlington</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1940,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266,000</w:t>
            </w:r>
          </w:p>
        </w:tc>
        <w:tc>
          <w:tcPr>
            <w:tcW w:w="126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8"/>
              </w:rPr>
              <w:t>$40.07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85%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120"/>
              <w:spacing w:after="0" w:line="141" w:lineRule="exact"/>
              <w:rPr>
                <w:sz w:val="20"/>
                <w:szCs w:val="20"/>
                <w:color w:val="auto"/>
              </w:rPr>
            </w:pPr>
            <w:r>
              <w:rPr>
                <w:rFonts w:ascii="Arial" w:cs="Arial" w:eastAsia="Arial" w:hAnsi="Arial"/>
                <w:sz w:val="14"/>
                <w:szCs w:val="14"/>
                <w:color w:val="auto"/>
              </w:rPr>
              <w:t>Arlington, VA 22206(7)</w:t>
            </w:r>
          </w:p>
        </w:tc>
        <w:tc>
          <w:tcPr>
            <w:tcW w:w="9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2"/>
              </w:rPr>
              <w:t>2006-2009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CVS AMC</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43"/>
        </w:trPr>
        <w:tc>
          <w:tcPr>
            <w:tcW w:w="31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Westpost (formerly known as Pentagon Row)</w:t>
            </w:r>
          </w:p>
        </w:tc>
        <w:tc>
          <w:tcPr>
            <w:tcW w:w="980" w:type="dxa"/>
            <w:vAlign w:val="bottom"/>
          </w:tcPr>
          <w:p>
            <w:pPr>
              <w:jc w:val="center"/>
              <w:spacing w:after="0" w:line="143" w:lineRule="exact"/>
              <w:rPr>
                <w:sz w:val="20"/>
                <w:szCs w:val="20"/>
                <w:color w:val="auto"/>
              </w:rPr>
            </w:pPr>
            <w:r>
              <w:rPr>
                <w:rFonts w:ascii="Arial" w:cs="Arial" w:eastAsia="Arial" w:hAnsi="Arial"/>
                <w:sz w:val="14"/>
                <w:szCs w:val="14"/>
                <w:color w:val="auto"/>
                <w:w w:val="92"/>
              </w:rPr>
              <w:t>2001-2002</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color w:val="auto"/>
                <w:w w:val="93"/>
              </w:rPr>
              <w:t>1998/2010</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297,000</w:t>
            </w:r>
          </w:p>
        </w:tc>
        <w:tc>
          <w:tcPr>
            <w:tcW w:w="126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88"/>
              </w:rPr>
              <w:t>$33.49</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0"/>
        </w:trPr>
        <w:tc>
          <w:tcPr>
            <w:tcW w:w="31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Arlington, VA 22202</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1"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Willow Lawn</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1957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463,000</w:t>
            </w:r>
          </w:p>
        </w:tc>
        <w:tc>
          <w:tcPr>
            <w:tcW w:w="126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8"/>
              </w:rPr>
              <w:t>$21.85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4"/>
                <w:szCs w:val="14"/>
                <w:color w:val="auto"/>
              </w:rPr>
              <w:t>Richmond, VA 23230</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3"/>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94"/>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 Commercial (10)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25,810,000</w:t>
            </w:r>
          </w:p>
        </w:tc>
        <w:tc>
          <w:tcPr>
            <w:tcW w:w="12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8"/>
              </w:rPr>
              <w:t>$30.36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—Residential</w:t>
            </w: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3,039 units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6"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w:t>
      </w:r>
    </w:p>
    <w:p>
      <w:pPr>
        <w:spacing w:after="0" w:line="21" w:lineRule="exact"/>
        <w:rPr>
          <w:rFonts w:ascii="Arial" w:cs="Arial" w:eastAsia="Arial" w:hAnsi="Arial"/>
          <w:sz w:val="14"/>
          <w:szCs w:val="14"/>
          <w:color w:val="auto"/>
        </w:rPr>
      </w:pPr>
    </w:p>
    <w:p>
      <w:pPr>
        <w:ind w:left="660" w:right="340" w:hanging="328"/>
        <w:spacing w:after="0" w:line="261" w:lineRule="auto"/>
        <w:tabs>
          <w:tab w:leader="none" w:pos="6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ind w:left="660" w:right="200" w:hanging="328"/>
        <w:spacing w:after="0" w:line="255" w:lineRule="auto"/>
        <w:tabs>
          <w:tab w:leader="none" w:pos="6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the controlling interest in this property.</w:t>
      </w:r>
    </w:p>
    <w:p>
      <w:pPr>
        <w:spacing w:after="0" w:line="9" w:lineRule="exact"/>
        <w:rPr>
          <w:rFonts w:ascii="Arial" w:cs="Arial" w:eastAsia="Arial" w:hAnsi="Arial"/>
          <w:sz w:val="14"/>
          <w:szCs w:val="14"/>
          <w:color w:val="auto"/>
        </w:rPr>
      </w:pP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 noncontrolling interest in this property.</w:t>
      </w:r>
    </w:p>
    <w:p>
      <w:pPr>
        <w:spacing w:after="0" w:line="14" w:lineRule="exact"/>
        <w:rPr>
          <w:rFonts w:ascii="Arial" w:cs="Arial" w:eastAsia="Arial" w:hAnsi="Arial"/>
          <w:sz w:val="14"/>
          <w:szCs w:val="14"/>
          <w:color w:val="auto"/>
        </w:rPr>
      </w:pP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spacing w:after="0" w:line="14" w:lineRule="exact"/>
        <w:rPr>
          <w:rFonts w:ascii="Arial" w:cs="Arial" w:eastAsia="Arial" w:hAnsi="Arial"/>
          <w:sz w:val="14"/>
          <w:szCs w:val="14"/>
          <w:color w:val="auto"/>
        </w:rPr>
      </w:pP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spacing w:after="0" w:line="6" w:lineRule="exact"/>
        <w:rPr>
          <w:rFonts w:ascii="Arial" w:cs="Arial" w:eastAsia="Arial" w:hAnsi="Arial"/>
          <w:sz w:val="14"/>
          <w:szCs w:val="14"/>
          <w:color w:val="auto"/>
        </w:rPr>
      </w:pP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 77.7% TIC interest in this property. GLA disclosed represents our 77.7% share. See Note 3 to the consolidated financial statements for additional information.</w:t>
      </w:r>
    </w:p>
    <w:p>
      <w:pPr>
        <w:spacing w:after="0" w:line="9" w:lineRule="exact"/>
        <w:rPr>
          <w:rFonts w:ascii="Arial" w:cs="Arial" w:eastAsia="Arial" w:hAnsi="Arial"/>
          <w:sz w:val="14"/>
          <w:szCs w:val="14"/>
          <w:color w:val="auto"/>
        </w:rPr>
      </w:pPr>
    </w:p>
    <w:p>
      <w:pPr>
        <w:ind w:left="660" w:right="200" w:hanging="328"/>
        <w:spacing w:after="0" w:line="261" w:lineRule="auto"/>
        <w:tabs>
          <w:tab w:leader="none" w:pos="6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60" w:right="100" w:hanging="328"/>
        <w:spacing w:after="0" w:line="255" w:lineRule="auto"/>
        <w:tabs>
          <w:tab w:leader="none" w:pos="65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Chandler Festival, Chandler Gateway, and La Alameda,, which are all unconsolidated properties at December 31, 2022.</w:t>
      </w:r>
    </w:p>
    <w:p>
      <w:pPr>
        <w:ind w:left="640" w:hanging="308"/>
        <w:spacing w:after="0"/>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20" w:lineRule="exact"/>
        <w:rPr>
          <w:rFonts w:ascii="Arial" w:cs="Arial" w:eastAsia="Arial" w:hAnsi="Arial"/>
          <w:sz w:val="13"/>
          <w:szCs w:val="13"/>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property includes interests in four nearby buildings.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property includes 40 buildings primarily along Washington Street and 14th Street in Hoboken,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spacing w:after="0" w:line="3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68"/>
        </w:trPr>
        <w:tc>
          <w:tcPr>
            <w:tcW w:w="70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restart"/>
          </w:tcPr>
          <w:p>
            <w:pPr>
              <w:jc w:val="center"/>
              <w:ind w:right="135"/>
              <w:spacing w:after="0" w:line="113" w:lineRule="exact"/>
              <w:rPr>
                <w:sz w:val="20"/>
                <w:szCs w:val="20"/>
                <w:color w:val="auto"/>
              </w:rPr>
            </w:pPr>
            <w:r>
              <w:rPr>
                <w:rFonts w:ascii="Arial" w:cs="Arial" w:eastAsia="Arial" w:hAnsi="Arial"/>
                <w:sz w:val="13"/>
                <w:szCs w:val="13"/>
                <w:b w:val="1"/>
                <w:bCs w:val="1"/>
                <w:color w:val="auto"/>
              </w:rPr>
              <w:t>Declared</w:t>
            </w:r>
          </w:p>
        </w:tc>
        <w:tc>
          <w:tcPr>
            <w:tcW w:w="0" w:type="dxa"/>
            <w:vAlign w:val="bottom"/>
          </w:tcPr>
          <w:p>
            <w:pPr>
              <w:spacing w:after="0"/>
              <w:rPr>
                <w:sz w:val="1"/>
                <w:szCs w:val="1"/>
                <w:color w:val="auto"/>
              </w:rPr>
            </w:pPr>
          </w:p>
        </w:tc>
      </w:tr>
      <w:tr>
        <w:trPr>
          <w:trHeight w:val="25"/>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2"/>
                <w:szCs w:val="2"/>
                <w:color w:val="auto"/>
              </w:rPr>
            </w:pPr>
          </w:p>
        </w:tc>
        <w:tc>
          <w:tcPr>
            <w:tcW w:w="8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6"/>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87.79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123.43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81.85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2023, there were 2,157 holders of record of our common shares.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55 consecutive years.</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total annual dividends paid per common share for 2022 and 2021 were $4.29 per share and $4.25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2023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42"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Year Ended</w:t>
      </w:r>
    </w:p>
    <w:p>
      <w:pPr>
        <w:jc w:val="center"/>
        <w:ind w:left="8400"/>
        <w:spacing w:after="0"/>
        <w:rPr>
          <w:sz w:val="20"/>
          <w:szCs w:val="20"/>
          <w:color w:val="auto"/>
        </w:rPr>
      </w:pPr>
      <w:r>
        <w:rPr>
          <w:rFonts w:ascii="Arial" w:cs="Arial" w:eastAsia="Arial" w:hAnsi="Arial"/>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dividend</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Capital gain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0.772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0.680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0.212</w:t>
            </w:r>
          </w:p>
        </w:tc>
      </w:tr>
      <w:tr>
        <w:trPr>
          <w:trHeight w:val="223"/>
        </w:trPr>
        <w:tc>
          <w:tcPr>
            <w:tcW w:w="8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4.290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w:t>
            </w:r>
          </w:p>
        </w:tc>
      </w:tr>
      <w:tr>
        <w:trPr>
          <w:trHeight w:val="20"/>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Distributions on our 5.0% Series C Cumulative Redeemable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10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2017, and ending December 31, 2022,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36195</wp:posOffset>
            </wp:positionV>
            <wp:extent cx="5846445" cy="3994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644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10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2022, we did not issue any common shares in connection with the redemption of downREIT operating partnership units. Any equity securities sold by us during 2022 that were not registered have been previously reported in a Quarterly Report on Form 10-Q.</w:t>
      </w:r>
    </w:p>
    <w:p>
      <w:pPr>
        <w:spacing w:after="0" w:line="194" w:lineRule="exact"/>
        <w:rPr>
          <w:sz w:val="20"/>
          <w:szCs w:val="20"/>
          <w:color w:val="auto"/>
        </w:rPr>
      </w:pPr>
    </w:p>
    <w:p>
      <w:pPr>
        <w:ind w:right="5240"/>
        <w:spacing w:after="0" w:line="398" w:lineRule="auto"/>
        <w:rPr>
          <w:sz w:val="20"/>
          <w:szCs w:val="20"/>
          <w:color w:val="auto"/>
        </w:rPr>
      </w:pPr>
      <w:r>
        <w:rPr>
          <w:rFonts w:ascii="Arial" w:cs="Arial" w:eastAsia="Arial" w:hAnsi="Arial"/>
          <w:sz w:val="16"/>
          <w:szCs w:val="16"/>
          <w:b w:val="1"/>
          <w:bCs w:val="1"/>
          <w:color w:val="auto"/>
        </w:rPr>
        <w:t xml:space="preserve">Purchases of Equity Securities by the Issuer and Affiliated Purchasers </w:t>
      </w:r>
      <w:r>
        <w:rPr>
          <w:rFonts w:ascii="Arial" w:cs="Arial" w:eastAsia="Arial" w:hAnsi="Arial"/>
          <w:sz w:val="16"/>
          <w:szCs w:val="16"/>
          <w:color w:val="auto"/>
        </w:rPr>
        <w:t>During 2022, 5,871 restricted common shares were forfeited by former employees.</w:t>
      </w:r>
    </w:p>
    <w:p>
      <w:pPr>
        <w:spacing w:after="0" w:line="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section generally discusses 2022 and 2021 items and year-to-year comparisons between 2022 and 2021. Discussions of 2020 items and year-to-year comparisons between 2021 and 2020 that are not included in this Form 10-K can be found in “Management’s Discussion and Analysis of Financial Condition and Results of Operations” in Part II, Item 7 of our Annual Report on Form 10-K for the fiscal year ended December 31, 2021 filed with the Securities and Exchange Commission on February 10,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The Parent Company specializes in the ownership, management, and redevelopment of high quality retail and mixed-use properties located primarily in communities where we believe demand exceeds supply, in strategically selected metropolitan markets in the Northeast and Mid-Atlantic regions of the United States, California, and South Florida. As of December 31, 2022, we owned or had a majority interest in community and neighborhood shopping centers and mixed-use properties which are operated as 103 predominantly retail real estate projects comprising approximately 25.8 million square feet. In total, the real estate projects were 94.5% leased and 92.8% occupied at December 31, 2022. We have paid quarterly dividends to our shareholders continuously since our founding in 1962 and have increased our dividends per common share for 55 consecutive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 and General Economic Conditions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Given the ongoing workforce shortages, global supply chain bottlenecks and shortages, and high inflation, we continue to monitor and address risks related to the COVID-19 pandemic and the general state of the economy. While improving, our cash flow and results of operations in the year ended December 31, 2022 continued to be negatively impacted largely due to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positioned many of our tenants to be able to return to payment of contractual rent as soon as possible after the initial impacts from the pandemic started to subside.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During 2022, we have continued to see improvements in overall cash collections from tenants with collection rates nearing pre-pandemic levels. We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also taken multiple steps over the past two years to strengthen our financial position, maximize liquidity, and to provide maximum flexibility during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uncertain times, including maintaining levels of cash in excess of the cash balances we have historically maintained. On October 5, 2022, we amended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increasing the borrowing capacity from $1.0 billion to $1.25 billion and extending the maturity date to April 5, 2027, plus two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extensions at our option. Additionally, we have an option (subject to bank approval) to increase the credit facility through an accordion feature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$1.75 billion. We also amended our unsecured term loan borrowing an additional $300.0 million. </w:t>
      </w:r>
      <w:r>
        <w:rPr>
          <w:rFonts w:ascii="Arial" w:cs="Arial" w:eastAsia="Arial" w:hAnsi="Arial"/>
          <w:sz w:val="16"/>
          <w:szCs w:val="16"/>
          <w:color w:val="212529"/>
        </w:rPr>
        <w:t>As of December 31, 2022, there is no outstanding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12529"/>
        </w:rPr>
        <w:t>on our $1.25 billion revolving credit facility, and we have cash and cash equivalents of $85.6 million.</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Additional discussion of the impact of current economic conditions and the COVID-19 pandemic on our results and long-term operations can be found throughout Item 7 and Item 1A. Risk Factors.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 in our ESG Policy and our 2021 Corporate Responsibility Report, which are provided only for informational purposes on our website and not incorporated by reference herein.</w:t>
      </w:r>
    </w:p>
    <w:p>
      <w:pPr>
        <w:spacing w:after="0" w:line="2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19 LEED certified buildings and our Pike &amp; Rose project has achieved LEED for Neighborhood Development Stage 3 Gold certification. The COVID-19 pandemic has also increased our focus on owning, developing and operating healthier buildings. To that end, our new corporate headquarters space at our 909 Rose Avenue building has earned a Fitwel certification developed by the U.S. Centers for Disease Control and Prevention (CDC) together with the General Services Administration (GSA). This certification assesses a building’s impact on seven distinct categories related to overall health and well-being.</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also committed to implementing sustainable business practices at our operating properties that focus on energy efficiency, water conservation and waste minimization and have established greenhouse gas (GHG) emissions reduction targets in accordance with the Science-Based Targets initiative as well as energy reduction targets. To achieve these targets, we are actively addressing energy efficiency projects on site such as upgrading to LED lighting, procuring green energy, reducing electric consumption, and increasing our onsite solar generation capacity. We have installed on-site solar systems at 25 of our properties with a capacity of 14 MW with more projects actively in progress. We also installed electric vehicle car charging stations in numerous properties throughout our portfolio. We currently have over 300 charging stations in operation with more under construction.</w:t>
      </w:r>
    </w:p>
    <w:p>
      <w:pPr>
        <w:spacing w:after="0" w:line="11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also understand that we face risks presented by climate change and are working to evaluate our risk exposure. In our 2021 Sustainability report, we provided a disclosure pursuant to the Task Force on Climate Related Financial Disclosure and we intend to provide that disclosure annually.</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4"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Collectibility of Lease Income</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$10.7 million. If leases currently classified as not probable are subsequently changed to probable, any lease receivables (including straight-line rent receivables) are re-instated with a corresponding increase to rental income.</w:t>
      </w:r>
    </w:p>
    <w:p>
      <w:pPr>
        <w:spacing w:after="0" w:line="12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collection of rents has continued to improve, including collecting rents related to prior periods. As a result, our collectibility related adjustments for the year ended December 31, 2022 resulted in an increase to rental income of $4.1 million, as compared to a $24.0 million decrease to rental income during the year ended December 31, 2021, which reflected lower levels of cash collections and elevated levels of rent abatements and disputes directly related to COVID-19. As of December 31, 2022 and 2021, the revenue from approximately 31% and 34% of our tenants (based on total commercial leases), respectively, is being recognized on a cash basis. As of December 31, 2022 and 2021, our straight-line rent receivables balance was $126.6 million and $110.7 million, respectively, and is included in "accounts and notes receivable, net" on our consolidated balance sheet.</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2022, we executed rent deferral agreements related to the COVID-19 pandemic representing approximately $48 million of rent. We have subsequently collected approximately $35 million of those amounts previously deferred.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 The existence and amount of variable consideration can vary significantly among transactions. Historically, our property sales have had variable consideration of less than 1% of total expected consideration; however, we had one transaction in 2019 where the variable consideration was approximately $45.5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2022, we acquired properties included in our consolidated financial statements with a total purchase price of $443.1 million. $1.9 million, or less than 1% of the total purchase price was allocated to above market lease assets and $38.7 million, or 9% was allocated to below market lease liabilities. If the amounts allocated in 2022 to below market lease liabilities and building assets were each reduced by 5% of the total purchase price, annual below market lease liability amortization increasing rental income would decrease by approximately $2.1 million (using the weighted average life of below market liabilities at each respective acquired property) and annual depreciation expense would decrease by approximately $0.6 million (using a depreciable life of 35 years).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Acquisitions, Dispositions, and Other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Gross Leasable Area</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43"/>
        </w:trPr>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Acquired</w:t>
            </w:r>
          </w:p>
        </w:tc>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City/State</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(GLA)</w:t>
            </w:r>
          </w:p>
        </w:tc>
        <w:tc>
          <w:tcPr>
            <w:tcW w:w="200" w:type="dxa"/>
            <w:vAlign w:val="bottom"/>
          </w:tcPr>
          <w:p>
            <w:pPr>
              <w:spacing w:after="0"/>
              <w:rPr>
                <w:sz w:val="21"/>
                <w:szCs w:val="21"/>
                <w:color w:val="auto"/>
              </w:rPr>
            </w:pPr>
          </w:p>
        </w:tc>
        <w:tc>
          <w:tcPr>
            <w:tcW w:w="128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Gross Value</w:t>
            </w:r>
          </w:p>
        </w:tc>
        <w:tc>
          <w:tcPr>
            <w:tcW w:w="420" w:type="dxa"/>
            <w:vAlign w:val="bottom"/>
          </w:tcPr>
          <w:p>
            <w:pPr>
              <w:spacing w:after="0"/>
              <w:rPr>
                <w:sz w:val="21"/>
                <w:szCs w:val="21"/>
                <w:color w:val="auto"/>
              </w:rPr>
            </w:pPr>
          </w:p>
        </w:tc>
      </w:tr>
      <w:tr>
        <w:trPr>
          <w:trHeight w:val="207"/>
        </w:trPr>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7"/>
                <w:szCs w:val="17"/>
                <w:color w:val="auto"/>
              </w:rPr>
            </w:pPr>
          </w:p>
        </w:tc>
      </w:tr>
      <w:tr>
        <w:trPr>
          <w:trHeight w:val="178"/>
        </w:trPr>
        <w:tc>
          <w:tcPr>
            <w:tcW w:w="19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April 20, 2022 &amp;</w:t>
            </w:r>
          </w:p>
        </w:tc>
        <w:tc>
          <w:tcPr>
            <w:tcW w:w="30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Towne Center</w:t>
            </w:r>
          </w:p>
        </w:tc>
        <w:tc>
          <w:tcPr>
            <w:tcW w:w="23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Virginia</w:t>
            </w:r>
          </w:p>
        </w:tc>
        <w:tc>
          <w:tcPr>
            <w:tcW w:w="188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78"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jc w:val="right"/>
              <w:ind w:right="110"/>
              <w:spacing w:after="0" w:line="178" w:lineRule="exact"/>
              <w:rPr>
                <w:sz w:val="20"/>
                <w:szCs w:val="20"/>
                <w:color w:val="auto"/>
              </w:rPr>
            </w:pPr>
            <w:r>
              <w:rPr>
                <w:rFonts w:ascii="Arial" w:cs="Arial" w:eastAsia="Arial" w:hAnsi="Arial"/>
                <w:sz w:val="18"/>
                <w:szCs w:val="18"/>
                <w:color w:val="auto"/>
                <w:w w:val="90"/>
              </w:rPr>
              <w:t>(1)</w:t>
            </w:r>
          </w:p>
        </w:tc>
      </w:tr>
      <w:tr>
        <w:trPr>
          <w:trHeight w:val="24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July 18, 2022</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Hilton Village (office building)</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880" w:type="dxa"/>
            <w:vAlign w:val="bottom"/>
          </w:tcPr>
          <w:p>
            <w:pPr>
              <w:jc w:val="right"/>
              <w:spacing w:after="0"/>
              <w:rPr>
                <w:sz w:val="20"/>
                <w:szCs w:val="20"/>
                <w:color w:val="auto"/>
              </w:rPr>
            </w:pPr>
            <w:r>
              <w:rPr>
                <w:rFonts w:ascii="Arial" w:cs="Arial" w:eastAsia="Arial" w:hAnsi="Arial"/>
                <w:sz w:val="18"/>
                <w:szCs w:val="18"/>
                <w:color w:val="auto"/>
              </w:rPr>
              <w:t>212,000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Shops at Pembroke Gardens</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Pembroke Pines, Florida</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(3)</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November 18, 2022</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Hoboken (301 Washington St.)</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r>
    </w:tbl>
    <w:p>
      <w:pPr>
        <w:spacing w:after="0" w:line="160" w:lineRule="exact"/>
        <w:rPr>
          <w:sz w:val="20"/>
          <w:szCs w:val="20"/>
          <w:color w:val="auto"/>
        </w:rPr>
      </w:pPr>
    </w:p>
    <w:p>
      <w:pPr>
        <w:ind w:left="340" w:right="640" w:hanging="332"/>
        <w:spacing w:after="0" w:line="258"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$11.3 million and $0.3 million of net assets were allocated to other assets for "acquired lease costs" and "above market leases," respectively, and $20.2 million of net assets acquired were allocated to other liabilities for "below market leases."</w:t>
      </w:r>
    </w:p>
    <w:p>
      <w:pPr>
        <w:spacing w:after="0" w:line="1" w:lineRule="exact"/>
        <w:rPr>
          <w:rFonts w:ascii="Arial" w:cs="Arial" w:eastAsia="Arial" w:hAnsi="Arial"/>
          <w:sz w:val="18"/>
          <w:szCs w:val="18"/>
          <w:color w:val="auto"/>
        </w:rPr>
      </w:pPr>
    </w:p>
    <w:p>
      <w:pPr>
        <w:ind w:left="340" w:right="220" w:hanging="332"/>
        <w:spacing w:after="0" w:line="269" w:lineRule="auto"/>
        <w:tabs>
          <w:tab w:leader="none" w:pos="33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w:t>
      </w:r>
    </w:p>
    <w:p>
      <w:pPr>
        <w:ind w:left="340" w:right="560" w:hanging="332"/>
        <w:spacing w:after="0" w:line="274" w:lineRule="auto"/>
        <w:tabs>
          <w:tab w:leader="none" w:pos="33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Approximately $16.3 million and $1.6 million of net assets acquired were allocated to other assets for "acquired lease costs" and "above market leases," respectively, and $18.4 million of net assets acquired were allocated to other liabilities for "below market leases."</w:t>
      </w:r>
    </w:p>
    <w:p>
      <w:pPr>
        <w:ind w:left="340" w:right="940" w:hanging="332"/>
        <w:spacing w:after="0" w:line="276"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property, that we own a 90% ownership interest in, was acquired through our Hoboken joint venture, and is in the beginning stages of redevelopment.</w:t>
      </w:r>
    </w:p>
    <w:p>
      <w:pPr>
        <w:spacing w:after="0" w:line="23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October 6, 2022, we acquired a 47.5% net interest in an unconsolidated joint venture that owns two shopping centers for a combined price of $58.9 million. On the date of acquisition, the properties had combined mortgage debt of $76.1 million, of which, our share is approximately $36.2 million. Approximately $8.0 million and $2.0 million of net assets acquired were allocated to other assets for "acquired lease costs" and "above market leases," respectively, and $17.1 million of net assets acquired were allocated to other liabilities for "below market leases." Additional information on the properties is listed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Gross Leasable Area</w:t>
            </w:r>
          </w:p>
        </w:tc>
        <w:tc>
          <w:tcPr>
            <w:tcW w:w="240" w:type="dxa"/>
            <w:vAlign w:val="bottom"/>
          </w:tcPr>
          <w:p>
            <w:pPr>
              <w:spacing w:after="0"/>
              <w:rPr>
                <w:sz w:val="17"/>
                <w:szCs w:val="17"/>
                <w:color w:val="auto"/>
              </w:rPr>
            </w:pPr>
          </w:p>
        </w:tc>
        <w:tc>
          <w:tcPr>
            <w:tcW w:w="172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Purchase Price</w:t>
            </w:r>
          </w:p>
        </w:tc>
      </w:tr>
      <w:tr>
        <w:trPr>
          <w:trHeight w:val="234"/>
        </w:trPr>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City/State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(GLA)</w:t>
            </w:r>
          </w:p>
        </w:tc>
        <w:tc>
          <w:tcPr>
            <w:tcW w:w="24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Arial" w:cs="Arial" w:eastAsia="Arial" w:hAnsi="Arial"/>
                <w:sz w:val="18"/>
                <w:szCs w:val="18"/>
                <w:b w:val="1"/>
                <w:bCs w:val="1"/>
                <w:color w:val="auto"/>
              </w:rPr>
              <w:t>(our share)</w:t>
            </w:r>
          </w:p>
        </w:tc>
      </w:tr>
      <w:tr>
        <w:trPr>
          <w:trHeight w:val="207"/>
        </w:trPr>
        <w:tc>
          <w:tcPr>
            <w:tcW w:w="3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Chandler Festival</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Chandler, Arizona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Chandler Gateway</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Chandler, Arizona</w:t>
            </w:r>
          </w:p>
        </w:tc>
        <w:tc>
          <w:tcPr>
            <w:tcW w:w="1940" w:type="dxa"/>
            <w:vAlign w:val="bottom"/>
          </w:tcPr>
          <w:p>
            <w:pPr>
              <w:jc w:val="right"/>
              <w:spacing w:after="0"/>
              <w:rPr>
                <w:sz w:val="20"/>
                <w:szCs w:val="20"/>
                <w:color w:val="auto"/>
              </w:rPr>
            </w:pPr>
            <w:r>
              <w:rPr>
                <w:rFonts w:ascii="Arial" w:cs="Arial" w:eastAsia="Arial" w:hAnsi="Arial"/>
                <w:sz w:val="18"/>
                <w:szCs w:val="18"/>
                <w:color w:val="auto"/>
              </w:rPr>
              <w:t>262,000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17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year ended December 31, 2022, we sold two residential properties (one included an adjacent retail pad), one retail property, one parcel of land, and one portion of a property for sales prices totaling $136.2 million, resulting in net gains totaling approximately $84.1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July 13, 2022, we acquired the 21.8% redeemable noncontrolling interest in the partnership that owns our Plaza El Segundo shopping center for $23.6 million, bringing our ownership interest to 100%.</w:t>
      </w:r>
    </w:p>
    <w:p>
      <w:pPr>
        <w:spacing w:after="0" w:line="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The transaction is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December 31, 2022. As a part of this transaction, we made a $3.5 million loan to our co-owner, which is included in "accounts and notes receivable, net" on our consolidated balance sheet at December 31, 2022. In addition, we entered into a purchase option agreement to acquire the TIC interest from our co-owner, which was secured through an option payment of $1.5 million, and allows us to exercise our option at any time between February 1, 2023 and March 15,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Significant Debt and Equity Transactions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14, 2022, we replaced our existing at-the-market (“ATM”) equity program with a new ATM equity program in which we may from time to time offer and sell common shares having an aggregate offering price of up to $500.0 million. Our ATM equity program also allows shares to be sold through forward sales contracts. We intend to use the net proceeds from ATM equity program issuances to fund potential acquisition opportunities, fund our development and redevelopment pipeline, repay indebtedness and/or for general corporate purposes.</w:t>
      </w:r>
    </w:p>
    <w:p>
      <w:pPr>
        <w:spacing w:after="0" w:line="6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2022, we settled the remaining forward sales agreements entered into during 2021 by issuing 2,203,655 common shares for net proceeds of $259.4 million, and consequently, we have no outstanding open forward sales agreements as of December 31, 2022. For the year ended December 31, 2022, we issued 430,473 common shares at a weighted average price per share of $111.49 for net cash proceeds of $47.4 million including paying $0.5 million in commissions and $0.1 million in additional offering expenses related to the sales of these common shares. As of December 31, 2022, we had the capacity to issue up to $452.0 million in common shares under our ATM equity program.</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On June 29, 2022, we repaid the $16.1 million mortgage loan on one of the buildings at our Hoboken property, at par.</w:t>
      </w:r>
    </w:p>
    <w:p>
      <w:pPr>
        <w:spacing w:after="0" w:line="10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October 5, 2022, we amended our revolving credit facility, increasing the borrowing capacity from $1.0 billion to $1.25 billion, extending the maturity date to April 5, 2027, plus two six-month extension options, transitioning the interest rate provisions from LIBOR to the secured overnight financing rate ("SOFR"), and adjusting the spread for SOFR based loans. Our SOFR based loans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 On October 5, 2022, we also amended our unsecured term loan and borrowed an additional $300.0 million, bringing the total outstanding to $600.0 million. The term loan amendment also transitioned the interest rate provisions from LIBOR to SOFR. This SOFR based loan bears interest at Term SOFR as defined in the agreement, plus 0.10%, plus an 85 basis point spread, based on our current credit rating. The net proceeds from the term loan were used to repay the $267.0 million outstanding balance on the revolving credit facility and for general corporate purposes.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Acquisition</w:t>
      </w:r>
    </w:p>
    <w:p>
      <w:pPr>
        <w:spacing w:after="0" w:line="10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January 31, 2023, we acquired the 180,000 square foot portion of Huntington Square shopping center that was not previously owned, as well as the fee interest in the land underneath the portion of the shopping center which we control under a long-term ground lease for $35.5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$278 million and $11 million, respectively, for 2022 and $356 million and $10 million, respectively, for 2021. We capitalized external and internal costs related to other property improvements of $111 million and $4 million, respectively, for 2022 and $64 million and $4 million, respectively, for 2021. We capitalized external and internal costs related to leasing activities of $18 million and $4 million, respectively, for 2022 and $19 million and $3 million, respectively, for 2021. The amount of capitalized internal costs for salaries and related benefits for development and redevelopment activities, other property improvements, and leasing activities were $10 million, $3 million, and $4 million, respectively, for 2022 and $10 million, $3 million, and $3 million, respectively, for 2021. Total capitalized costs were $425 million for 2022 and $456 million for 2021,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w:t>
      </w:r>
    </w:p>
    <w:p>
      <w:pPr>
        <w:spacing w:after="0" w:line="1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2022, we completed a reorganization into an umbrella partnership real estate investment trust, or "UPREIT." For additional information on our UPREIT reorganization, please see our Current Reports on Form 8-K filed with the SEC on January 3, 2022 and January 5, 2022, as well our 2021 Annual Report on Form 10-K filed on February 10, 2022.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 expansions,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the general economic effects of the elevated levels of inflation, rising interest rates, and the COVID-19 pandemic are impacting us in the short-term, our long-term focus has not changed. 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2022, no single tenant accounted for more than 2.8% of annualized base rent.</w:t>
      </w:r>
    </w:p>
    <w:p>
      <w:pPr>
        <w:spacing w:after="0" w:line="13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effects of the current economic conditions, the COVID-19 pandemic, and inflation continue to negatively impact our business with the largest current impacts being lower occupancy, supply chain disruptions, and higher interest costs. At December 31, 2022, our commercial space is 92.8% occupied, which is below historical levels largely due to tenant failures as a result of the pandemic. This lower occupancy will adversely impact our results until we can release the space and then commences paying rent, as well as limit future vacancies. We are, however, experiencing strong demand for our commercial space as evidenced by the 2.0 million square feet of comparable space leasing we've completed in 2022, and the 1.7% spread between our leased rate of</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94.5% and our occupied rate of 92.8%. Our percentage of contractual rent actually collected has continued to increase since the low point in April 2020, including some tenants paying past due amounts. We continue to see impacts of overall supply chain disruptions affecting the broader economy, including significantly longer lead times, limited availability, and increased costs for certain construction and other materials that support our development and redevelopment activities. If disruptions continue to worsen, they could result in extended timeframes and/or increased costs for completion of our projects and tenant build-outs, which could delay the commencement of rent payments under new leases. Similarly, if our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tenants experience significant disruptions in supply chains supporting their own products, or staffing issues due to labor shortages, their ability to pay rent may be adversely affected. We continue to monitor these macroeconomic developments and are working with our tenants and our vendors to limit the overall impact to our business.</w:t>
      </w:r>
    </w:p>
    <w:p>
      <w:pPr>
        <w:spacing w:after="0" w:line="130"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212529"/>
        </w:rPr>
        <w:t>The duration and severity of the economic impact from the current economic environment and the COVID-19 pandemic will depend on future developments, which are highly uncertain and cannot be predicted, however</w:t>
      </w:r>
      <w:r>
        <w:rPr>
          <w:rFonts w:ascii="Arial" w:cs="Arial" w:eastAsia="Arial" w:hAnsi="Arial"/>
          <w:sz w:val="18"/>
          <w:szCs w:val="18"/>
          <w:color w:val="000000"/>
        </w:rPr>
        <w:t>, we seek to position the Trust to continue to participate in the resulting</w:t>
      </w:r>
      <w:r>
        <w:rPr>
          <w:rFonts w:ascii="Arial" w:cs="Arial" w:eastAsia="Arial" w:hAnsi="Arial"/>
          <w:sz w:val="18"/>
          <w:szCs w:val="18"/>
          <w:color w:val="212529"/>
        </w:rPr>
        <w:t xml:space="preserve"> </w:t>
      </w:r>
      <w:r>
        <w:rPr>
          <w:rFonts w:ascii="Arial" w:cs="Arial" w:eastAsia="Arial" w:hAnsi="Arial"/>
          <w:sz w:val="18"/>
          <w:szCs w:val="18"/>
          <w:color w:val="000000"/>
        </w:rPr>
        <w:t>economic recovery.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have several development projects in process being delivered as follows:</w:t>
      </w:r>
    </w:p>
    <w:p>
      <w:pPr>
        <w:spacing w:after="0" w:line="23" w:lineRule="exact"/>
        <w:rPr>
          <w:sz w:val="20"/>
          <w:szCs w:val="20"/>
          <w:color w:val="auto"/>
        </w:rPr>
      </w:pPr>
    </w:p>
    <w:p>
      <w:pPr>
        <w:ind w:left="660" w:right="460" w:hanging="328"/>
        <w:spacing w:after="0" w:line="265"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Phase III of Assembly Row includes 277,000 square feet of office space, 56,000 square feet of retail space, and 500 residential units. As of December 31, 2022, Phase III is substantially complete, with expected final costs between $475 million and $485 million.</w:t>
      </w:r>
    </w:p>
    <w:p>
      <w:pPr>
        <w:ind w:left="660" w:right="2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Phase III at Pike &amp; Rose includes a 212,000 square foot office building (which includes 7,000 square feet of ground floor retail space and approximately 45,000 square feet is our new corporate headquarters). As of December 31, 2022, Phase III is substantially complete, with final estimated costs between $130 million and $135 million.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Phase IV at Pike &amp; Rose is a 276,000 square foot office building (which includes 10,000 square feet of ground floor retail space). Approximately 157,000 square feet of the office space is pre-leased to two tenants. The building is expected to cost between $185 million and $200 million, and begin delivering in late 2023.</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first phase of construction on Santana West includes an eight story 376,000 square foot office building, which is expected to cost between $300 million and $315 million.</w:t>
      </w:r>
    </w:p>
    <w:p>
      <w:pPr>
        <w:ind w:left="660" w:right="10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$228 million that we expect to stabilize over the next several years.</w:t>
      </w:r>
    </w:p>
    <w:p>
      <w:pPr>
        <w:spacing w:after="0" w:line="21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COVID-19, supply chain disruptions, broader economic conditions, and inflation.</w:t>
      </w:r>
    </w:p>
    <w:p>
      <w:pPr>
        <w:spacing w:after="0" w:line="13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2022, the leasable square feet in our properties was 94.5% leased and 92.8%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2022 and the comparison of 2022 and 2021, all or a portion of 91 properties, were considered comparable properties and seven were considered non-comparable properties. For the year ended December 31, 2022, one property was moved from comparable properties to non-comparable properties, one property was moved from non-comparable properties to comparable properties, three properties were removed from comparable properties, as they were sold, and one property was removed from comparable properties, as it was deconsolidated, compared to the designations as of December 31, 2021. While there is judgment surrounding changes in designations, we typically move non-comparable properties to comparable properties once they have stabilized, which is typically considered 90% physical</w:t>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124,450</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1,074,378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123,154</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30,837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40,165</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82,989</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(22,433)</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70,374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394,725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131,683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partnerships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315.3 %</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126,580</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123,993</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line="284" w:lineRule="auto"/>
        <w:tabs>
          <w:tab w:leader="none" w:pos="2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to the previous period and we consider it be a significant measure. We believe that property operating income is useful to investors in measuring the operating performance of our property portfolio because the definition excludes various items included in operating income that do not relate to, or are not indicative of, the operating performance of our properties, such as general and administrative expenses and depreciation and amortization, and allows us to isolate disparities in operating income caused by acquisitions, dispositions, and stabilization of properties. Property operating income may, therefore, provide a more consistent metric for comparing the operating performance of our real estate between periods. Property operating income should not be considered an alternative measure of operating results or cash flow from operations as determined in accordance with GAAP. The reconciliation of operating income to property operating income for</w:t>
      </w:r>
    </w:p>
    <w:p>
      <w:pPr>
        <w:ind w:left="260"/>
        <w:spacing w:after="0"/>
        <w:rPr>
          <w:rFonts w:ascii="Arial" w:cs="Arial" w:eastAsia="Arial" w:hAnsi="Arial"/>
          <w:sz w:val="16"/>
          <w:szCs w:val="16"/>
          <w:color w:val="auto"/>
        </w:rPr>
      </w:pPr>
      <w:r>
        <w:rPr>
          <w:rFonts w:ascii="Arial" w:cs="Arial" w:eastAsia="Arial" w:hAnsi="Arial"/>
          <w:sz w:val="18"/>
          <w:szCs w:val="18"/>
          <w:color w:val="auto"/>
        </w:rPr>
        <w:t>2022 and 2021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2021</w:t>
            </w:r>
          </w:p>
        </w:tc>
      </w:tr>
      <w:tr>
        <w:trPr>
          <w:trHeight w:val="207"/>
        </w:trPr>
        <w:tc>
          <w:tcPr>
            <w:tcW w:w="8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Borders>
              <w:bottom w:val="single" w:sz="8" w:color="auto"/>
            </w:tcBorders>
          </w:tcPr>
          <w:p>
            <w:pPr>
              <w:spacing w:after="0"/>
              <w:rPr>
                <w:sz w:val="17"/>
                <w:szCs w:val="17"/>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394,725</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49,856</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279,976</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717,596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634,607</w:t>
            </w:r>
          </w:p>
        </w:tc>
      </w:tr>
      <w:tr>
        <w:trPr>
          <w:trHeight w:val="21"/>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Total property revenue increased $123.2 million, or 12.9%, to $1.1 billion in 2022 compared to $951.2 million in 2021. The percentage occupied at our shopping centers was 92.8% at December 31, 2022 compared to 91.1% at December 31, 2021. The most significant driver of the increase in property revenues is the ongoing recovery from the initial impacts of COVID-19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2022, as compared to 2021, when COVID-19 related restrictions were still in effect for a portion of the year. Changes in the components of property revenue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Rental income consists primarily of minimum rent, cost reimbursements from tenants and percentage rent, and is net of collectibility related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Rental income increased $124.5 million, or 13.1%, to $1.1 billion in 2022 compared to $948.8 million in 2021 due primarily to the following:</w:t>
      </w:r>
    </w:p>
    <w:p>
      <w:pPr>
        <w:spacing w:after="0" w:line="49" w:lineRule="exact"/>
        <w:rPr>
          <w:sz w:val="20"/>
          <w:szCs w:val="20"/>
          <w:color w:val="auto"/>
        </w:rPr>
      </w:pPr>
    </w:p>
    <w:p>
      <w:pPr>
        <w:ind w:left="1140" w:hanging="241"/>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$39.8 million from 2021 and 2022 acquisitions,</w:t>
      </w:r>
    </w:p>
    <w:p>
      <w:pPr>
        <w:spacing w:after="0" w:line="63" w:lineRule="exact"/>
        <w:rPr>
          <w:rFonts w:ascii="Arial" w:cs="Arial" w:eastAsia="Arial" w:hAnsi="Arial"/>
          <w:sz w:val="18"/>
          <w:szCs w:val="18"/>
          <w:color w:val="auto"/>
        </w:rPr>
      </w:pPr>
    </w:p>
    <w:p>
      <w:pPr>
        <w:ind w:left="1140" w:right="120" w:hanging="241"/>
        <w:spacing w:after="0" w:line="299" w:lineRule="auto"/>
        <w:tabs>
          <w:tab w:leader="none" w:pos="11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increase of $36.3 million from comparable properties primarily related to higher percentage rent, parking income, and specialty leasing of $10.7 million primarily the result of the gradual lifting of COVID-19 closures and restrictions during 2021, higher rental rates of $9.9 million, higher average occupancy of approximately $8.3 million, a $5.7 million increase in CAM recoveries on higher CAM costs, and a $3.2 million increase in tenant recoveries, partially offset by lower net termination fees and legal fee income of $2.5 million,</w:t>
      </w:r>
    </w:p>
    <w:p>
      <w:pPr>
        <w:spacing w:after="0" w:line="1" w:lineRule="exact"/>
        <w:rPr>
          <w:rFonts w:ascii="Arial" w:cs="Arial" w:eastAsia="Arial" w:hAnsi="Arial"/>
          <w:sz w:val="16"/>
          <w:szCs w:val="16"/>
          <w:color w:val="auto"/>
        </w:rPr>
      </w:pPr>
    </w:p>
    <w:p>
      <w:pPr>
        <w:ind w:left="1140" w:right="120" w:hanging="241"/>
        <w:spacing w:after="0" w:line="263"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$30.6 million from non-comparable properties primarily driven by the opening of Phase III at Assembly Row in 2021, redevelopment related occupancy increases at CocoWalk, and the 2021 and 2022 openings at the Phase III office building at Pike &amp; Rose, partially offset by redevelopment related occupancy decreases at Huntington Shopping Center,</w:t>
      </w:r>
    </w:p>
    <w:p>
      <w:pPr>
        <w:spacing w:after="0" w:line="21" w:lineRule="exact"/>
        <w:rPr>
          <w:rFonts w:ascii="Arial" w:cs="Arial" w:eastAsia="Arial" w:hAnsi="Arial"/>
          <w:sz w:val="18"/>
          <w:szCs w:val="18"/>
          <w:color w:val="auto"/>
        </w:rPr>
      </w:pPr>
    </w:p>
    <w:p>
      <w:pPr>
        <w:ind w:left="1140" w:right="600" w:hanging="241"/>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$28.0 million decrease in collectibility related impacts across all properties primarily due to higher collection rates and lower rent abatements in 2022 as tenants continue to recover from the initial impacts of COVID-19,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$4.2 million from improving demand at our Pike &amp; Rose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$11.4 million from property sales.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Mortgage interest income decreased $1.3 million, or 54.4%, to $1.1 million in 2022 compared to $2.4 million in 2021 primarily due to the repayment of $31.1 million of mortgage notes receivable in May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property expenses increased $40.2 million, or 12.7%, to $356.8 million in 2022 compared to $316.6 million in 2021.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Rental expenses increased $30.8 million, or 15.6%, to $229.0 million in 2022 compared to $198.1 million in 2021. This increase is primarily due to the following:</w:t>
      </w:r>
    </w:p>
    <w:p>
      <w:pPr>
        <w:spacing w:after="0" w:line="8" w:lineRule="exact"/>
        <w:rPr>
          <w:sz w:val="20"/>
          <w:szCs w:val="20"/>
          <w:color w:val="auto"/>
        </w:rPr>
      </w:pPr>
    </w:p>
    <w:p>
      <w:pPr>
        <w:ind w:left="1140" w:right="160" w:hanging="241"/>
        <w:spacing w:after="0" w:line="316" w:lineRule="auto"/>
        <w:tabs>
          <w:tab w:leader="none" w:pos="11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increase of $12.2 million from comparable properties due primarily to higher repairs and maintenance costs, utilities, and management fees, as 2021 had lower costs as a result of COVID-19 impacts, as well as inflationary impacts in 2022 and higher insurance costs,</w:t>
      </w:r>
    </w:p>
    <w:p>
      <w:pPr>
        <w:spacing w:after="0" w:line="1" w:lineRule="exact"/>
        <w:rPr>
          <w:rFonts w:ascii="Arial" w:cs="Arial" w:eastAsia="Arial" w:hAnsi="Arial"/>
          <w:sz w:val="16"/>
          <w:szCs w:val="16"/>
          <w:color w:val="auto"/>
        </w:rPr>
      </w:pPr>
    </w:p>
    <w:p>
      <w:pPr>
        <w:ind w:left="1140" w:hanging="24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$7.7 million from 2021 and 2022 acquisitions,</w:t>
      </w:r>
    </w:p>
    <w:p>
      <w:pPr>
        <w:spacing w:after="0" w:line="63" w:lineRule="exact"/>
        <w:rPr>
          <w:rFonts w:ascii="Arial" w:cs="Arial" w:eastAsia="Arial" w:hAnsi="Arial"/>
          <w:sz w:val="18"/>
          <w:szCs w:val="18"/>
          <w:color w:val="auto"/>
        </w:rPr>
      </w:pPr>
    </w:p>
    <w:p>
      <w:pPr>
        <w:ind w:left="1140" w:hanging="241"/>
        <w:spacing w:after="0" w:line="263"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$6.9 million from non-comparable properties due primarily to the 2021 openings of Phase III at Assembly Row, the Phase III office building at Pike &amp; Rose, and CocoWalk, as well as increased costs associated with the redevelopment of Huntington Shopping Center, and</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$5.3 million from higher operating costs at our Pike &amp; Rose hotel largely due to lifting of COVID-19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$1.5 million from our property sales.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21.3% for the year ended December 31, 2022 from 20.9%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increased $9.3 million, or 7.9% to $127.8 million in 2022 compared to $118.5 million in 2021 due primarily to the following:</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hanging="241"/>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$5.6 million from 2021 and 2022 acquisitions,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$2.6 million from non-comparable properties due primarily to the opening of Phase III at Assembly Row, and</w:t>
      </w:r>
    </w:p>
    <w:p>
      <w:pPr>
        <w:spacing w:after="0" w:line="63" w:lineRule="exact"/>
        <w:rPr>
          <w:rFonts w:ascii="Arial" w:cs="Arial" w:eastAsia="Arial" w:hAnsi="Arial"/>
          <w:sz w:val="18"/>
          <w:szCs w:val="18"/>
          <w:color w:val="auto"/>
        </w:rPr>
      </w:pPr>
    </w:p>
    <w:p>
      <w:pPr>
        <w:ind w:left="1140" w:right="300" w:hanging="241"/>
        <w:spacing w:after="0" w:line="277" w:lineRule="auto"/>
        <w:tabs>
          <w:tab w:leader="none" w:pos="11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$2.1 million from comparable properties primarily due to a true-up in 2021 of prior year supplemental taxes at one of our properties and higher assessments,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$0.8 million from our property sales.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Property operating income increased $83.0 million, or 13.1%, to $717.6 million in 2022 compared to $634.6 million in 2021. This increase is primarily driven by the ongoing recovery from the initial impacts of COVID-19, which resulted in lower collectibility related adjustments and higher percentage rent, specialty leasing, and parking income, compared to 2021 during which COVID-19 related restrictions were gradually being lifted. Also contributing to the increase were property acquisitions, higher occupancy and rental rates at comparable properties, and the opening of Phase III at Assembly Row in 2021, partially offset by property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General and administrative expense increased $2.8 million, or 5.6%, to $52.6 million in 2022 from $49.9 million in 2021. This increase is due primarily to higher personnel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Depreciation and amortization expense increased $22.4 million, or 8.0%, to $302.4 million in 2022 from $280.0 million in 2021. This increase is due primarily to property acquisitions, the openings of Phase III at Assembly Row, the Phase III office building at Pike &amp; Rose, and CocoWalk, partially offset by the net impact of accelerated depreciation related to 2021 and 2022 redevelopment activities and 2021 property sales.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VIE</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$70.4 million gain on deconsolidation of VIE for the year ended December 31, 2022 is the result of the deconsolidation of Escondido Promenade in connection with the execution of the related August 25, 2022 TIC agreement (see Note 3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$93.5 million gain on sale of real estate for the year ended December 31, 2022 is due primarily to a net gain of $84.1 million from the sale of two residential properties (including an adjacent retail pad), one retail property, and one parcel of land (see Note 3 for additional information), and a $9.3 million gain related to the reduction of our liability for estimated condemnation and transaction costs associated with the sale under threat of condemnation in December 2019 at San Antonio Center (see Note 7 for additional information).</w:t>
      </w:r>
    </w:p>
    <w:p>
      <w:pPr>
        <w:spacing w:after="0" w:line="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$90.0 million gain on sale of real estate for the year ended December 31, 2021 is due to the sale of two properties and portions of three properties, as well as the $2.1 million gain relating to the acquisition of the previously unconsolidated Pike &amp; Rose hotel joint venture (see Note 3 to the consolidated financial statements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Operating income increased $131.7 million, or 33.4%, to $526.4 million in 2022 compared to $394.7 million in 2021. This increase is primarily due to the gain on the deconsolidation of a VIE, and the ongoing recovery from the impacts of COVID-19 restrictions, which resulted in lower collectibility related adjustments and higher percentage rent, specialty leasing, and parking income, compared to 2021 during which COVID-19 related restrictions were gradually being lifted. Also contributing to the increase were property acquisitions, higher occupancy and rental rates at comparable properties, and the opening of Phase III at Assembly Row in 2021, partially offset by property sales and higher personnel related costs.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expense increased $9.3 million, or 7.3%, to $137.0 million in 2022 compared to $127.7 million in 2021. This increase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$5.6 million due to a higher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of $4.0 million in capitalized interest,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$0.2 million due to lower weighted average borrowings.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interest costs were $155.7 million and $150.3 million in 2022 and 2021, respectively. Capitalized interest was $18.7 million and $22.6 million in 2022 and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Partnerships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Income from partnerships increased $3.9 million or 315.3% to $5.2 million in 2022 compared to $1.2 million in 2021. This increase is due primarily to improved operating results at our Assembly Row hotel joint venture and our restaurant joint ventures, largely the result of the easing of COVID-19 closures and restrictions and the forgiveness of certain loans for some of our restaurants joint ventures and at our Assembly Row hotel joint venture.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attributable to noncontrolling interests increased $2.6 million, or 34.1%, to $10.2 million in 2022 compared to $7.6 million in 2021. The increase is primarily due to 2021 acquisitions and higher income at our properties with third party partners.</w:t>
      </w:r>
    </w:p>
    <w:p>
      <w:pPr>
        <w:spacing w:after="0" w:line="19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Discussions of year-to-year comparisons between 2021 and 2020 can be found in “Management’s Discussion and Analysis of Financial Condition and Results of Operations” in Part II, Item 7 of our Annual Report on Form 10-K for the fiscal year ended December 31, 2021 filed with the Securities and Exchange Commission on February 10,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2022 were approximately $349.0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$1.25 billion revolving credit facility to fund short term cash flow needs and also look to the public and private debt and equity markets, joint venture relationships, and property dispositions to fund capital expenditures on a long-term basis.</w:t>
      </w:r>
    </w:p>
    <w:p>
      <w:pPr>
        <w:spacing w:after="0" w:line="14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2022, we have continued to see improvements in overall cash collections from tenants with collection rates nearing pre-pandemic levels. We have also taken multiple steps over the past two years to strengthen our financial position, maximize liquidity, and to provide maximum flexibility during these uncertain times. On October 5, 2022, we amended our revolving credit facility increasing the borrowing capacity from $1.0 billion to $1.25 billion and extending the maturity date to April 5, 2027, plus two six-month extensions at our option. Additionally, we have an option (subject to bank approval) to increase the credit facility through an accordion feature to $1.75 billion. We also amended our unsecured term loan, borrowing an additional $300.0 million.</w:t>
      </w:r>
    </w:p>
    <w:p>
      <w:pPr>
        <w:spacing w:after="0" w:line="1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2022, there is no balance outstanding on our $1.25 billion unsecured revolving credit facility and we had cash and cash equivalents of $85.6 million. For the year ended 2022, the weighted average amount of borrowings outstanding on our revolving credit facility was $80.3 million, and the weighted average interest rate, before amortization of debt fees, was 3.2%. We also have the capacity to issue up to $452.0 million in common shares under the ATM program. We have $275.0 million of debt maturing in 2023.</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overall capital requirements during 2023 will be impacted by the overall economic environment including impacts of inflation, supply chain issues, and a potential recession, as well as acquisition opportunities and the level and general timing of our redevelopment and development activities. We currently have development and redevelopment projects in various stages of construction with remaining costs of $274 million. We expect to incur the majority of those costs in the next two years. We expect overall capital costs to be at levels consistent with 2022 or slightly reduced as we complete current redevelopment</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projects, prepare vacant space for new tenants, and complete the current phase and start on the next phase of our larger mixed use development projects.</w:t>
      </w:r>
    </w:p>
    <w:p>
      <w:pPr>
        <w:spacing w:after="0" w:line="1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believe cash flow from operations, the cash on our balance sheet, and our $1.25 billion revolving credit facility will allow us to continue to operate our business in the short-term. 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While we have seen significant improvements from the initial negative impacts of the COVID-19 pandemic, it, along with the overall state of the economy continues to affect our overall business, and we expect it will continue to negatively impact our business in the short term. However,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19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38"/>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516,769</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9"/>
              </w:rPr>
              <w:t>471,352</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(785,998)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center"/>
              <w:ind w:left="13"/>
              <w:spacing w:after="0"/>
              <w:rPr>
                <w:sz w:val="20"/>
                <w:szCs w:val="20"/>
                <w:color w:val="auto"/>
              </w:rPr>
            </w:pPr>
            <w:r>
              <w:rPr>
                <w:rFonts w:ascii="Arial" w:cs="Arial" w:eastAsia="Arial" w:hAnsi="Arial"/>
                <w:sz w:val="18"/>
                <w:szCs w:val="18"/>
                <w:color w:val="auto"/>
                <w:w w:val="90"/>
              </w:rPr>
              <w:t>(660,118)</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190,414</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(452,967)</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(78,815)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center"/>
              <w:ind w:left="13"/>
              <w:spacing w:after="0"/>
              <w:rPr>
                <w:sz w:val="20"/>
                <w:szCs w:val="20"/>
                <w:color w:val="auto"/>
              </w:rPr>
            </w:pPr>
            <w:r>
              <w:rPr>
                <w:rFonts w:ascii="Arial" w:cs="Arial" w:eastAsia="Arial" w:hAnsi="Arial"/>
                <w:sz w:val="18"/>
                <w:szCs w:val="18"/>
                <w:color w:val="auto"/>
                <w:w w:val="90"/>
              </w:rPr>
              <w:t>(641,733)</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175,163</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9"/>
              </w:rPr>
              <w:t>816,896</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ind w:left="53"/>
              <w:spacing w:after="0"/>
              <w:rPr>
                <w:sz w:val="20"/>
                <w:szCs w:val="20"/>
                <w:color w:val="auto"/>
              </w:rPr>
            </w:pPr>
            <w:r>
              <w:rPr>
                <w:rFonts w:ascii="Arial" w:cs="Arial" w:eastAsia="Arial" w:hAnsi="Arial"/>
                <w:sz w:val="18"/>
                <w:szCs w:val="18"/>
                <w:color w:val="auto"/>
                <w:w w:val="89"/>
              </w:rPr>
              <w:t>175,163</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provided by operating activities increased $45.4 million to $516.8 million during 2022 from $471.4 million during 2021. The increase was primarily attributable to higher net income before non-cash items and gains on sale of real estate, partially offset by the timing of collections of real estate tax reconciliation billings during 2021 and the timing of payments.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increased $125.9 million to $786.0 million during 2022 from $660.1 million during 2021. The increase was primarily attributable to:</w:t>
      </w:r>
    </w:p>
    <w:p>
      <w:pPr>
        <w:spacing w:after="0" w:line="8" w:lineRule="exact"/>
        <w:rPr>
          <w:sz w:val="20"/>
          <w:szCs w:val="20"/>
          <w:color w:val="auto"/>
        </w:rPr>
      </w:pPr>
    </w:p>
    <w:p>
      <w:pPr>
        <w:ind w:left="1140" w:right="260" w:hanging="241"/>
        <w:spacing w:after="0" w:line="277" w:lineRule="auto"/>
        <w:tabs>
          <w:tab w:leader="none" w:pos="1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$72.0 million increase in acquisition of real estate primarily due to 2022 property acquisitions (see Note 3 to the consolidated financial statements for additional information), as compared to 2021 property acquisitions,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$31.1 million payoff of two mortgage notes receivable in May 2021,</w:t>
      </w:r>
    </w:p>
    <w:p>
      <w:pPr>
        <w:spacing w:after="0" w:line="63" w:lineRule="exact"/>
        <w:rPr>
          <w:rFonts w:ascii="Arial" w:cs="Arial" w:eastAsia="Arial" w:hAnsi="Arial"/>
          <w:sz w:val="18"/>
          <w:szCs w:val="18"/>
          <w:color w:val="auto"/>
        </w:rPr>
      </w:pPr>
    </w:p>
    <w:p>
      <w:pPr>
        <w:ind w:left="1140" w:right="20" w:hanging="241"/>
        <w:spacing w:after="0" w:line="298" w:lineRule="auto"/>
        <w:tabs>
          <w:tab w:leader="none" w:pos="11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$20.0 million increase in investment in partnerships, resulting from the 2022 acquisition of a 47.5% net interest in an unconsolidated joint venture that owns two shopping centers (see Note 3 to the consolidated financial statements for additional information), and</w:t>
      </w:r>
    </w:p>
    <w:p>
      <w:pPr>
        <w:ind w:left="1140" w:hanging="241"/>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$18.0 million for net costs paid in 2022 relating to the partial sale under threat of condemnation at San Antonio Center in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$23.8 million decrease in net capital expenditures.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financing activities decreased $643.4 million to $190.4 million provided during 2022 from $453.0 million used during 2021. The decrease was primarily attributable to:</w:t>
      </w:r>
    </w:p>
    <w:p>
      <w:pPr>
        <w:spacing w:after="0" w:line="8" w:lineRule="exact"/>
        <w:rPr>
          <w:sz w:val="20"/>
          <w:szCs w:val="20"/>
          <w:color w:val="auto"/>
        </w:rPr>
      </w:pPr>
    </w:p>
    <w:p>
      <w:pPr>
        <w:ind w:left="1140" w:hanging="24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$298.6 million in net proceeds from our unsecured term loan in October 2022,</w:t>
      </w:r>
    </w:p>
    <w:p>
      <w:pPr>
        <w:spacing w:after="0" w:line="63" w:lineRule="exact"/>
        <w:rPr>
          <w:rFonts w:ascii="Arial" w:cs="Arial" w:eastAsia="Arial" w:hAnsi="Arial"/>
          <w:sz w:val="18"/>
          <w:szCs w:val="18"/>
          <w:color w:val="auto"/>
        </w:rPr>
      </w:pPr>
    </w:p>
    <w:p>
      <w:pPr>
        <w:ind w:left="1140" w:right="220" w:hanging="241"/>
        <w:spacing w:after="0" w:line="279" w:lineRule="auto"/>
        <w:tabs>
          <w:tab w:leader="none" w:pos="11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$258.2 million decrease in repayment of mortgages, finance leases, and notes payable primarily due to the $16.1 million mortgage loan repayment on one of the buildings at our Hoboken property in June 2022, as compared to the $140.9 million net repayments of four mortgage loans in 2021, the $100.0 million partial repayment of our $400.0 term loan which was amended in April 2021, and the $31.5 million repayment of the mortgage loan related to the Pike &amp; Rose hotel in January 2021, and</w:t>
      </w:r>
    </w:p>
    <w:p>
      <w:pPr>
        <w:spacing w:after="0" w:line="9" w:lineRule="exact"/>
        <w:rPr>
          <w:rFonts w:ascii="Arial" w:cs="Arial" w:eastAsia="Arial" w:hAnsi="Arial"/>
          <w:sz w:val="17"/>
          <w:szCs w:val="17"/>
          <w:color w:val="auto"/>
        </w:rPr>
      </w:pPr>
    </w:p>
    <w:p>
      <w:pPr>
        <w:ind w:left="1140" w:right="320" w:hanging="241"/>
        <w:spacing w:after="0" w:line="277" w:lineRule="auto"/>
        <w:tabs>
          <w:tab w:leader="none" w:pos="1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$134.3 million increase in net proceeds from the issuance of common shares under our ATM equity program for net proceeds of $306.8 million and $172.7 million, respectively, during 2022 and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860" w:hanging="241"/>
        <w:spacing w:after="0" w:line="316" w:lineRule="auto"/>
        <w:tabs>
          <w:tab w:leader="none" w:pos="11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$27.6 million increase in distributions to and redemptions of noncontrolling interests primarily related to our acquisition of the redeemable noncontrolling interest in the partnership that owns the Plaza El Segundo shopping center for $23.6 million, and</w:t>
      </w:r>
    </w:p>
    <w:p>
      <w:pPr>
        <w:spacing w:after="0" w:line="1" w:lineRule="exact"/>
        <w:rPr>
          <w:rFonts w:ascii="Arial" w:cs="Arial" w:eastAsia="Arial" w:hAnsi="Arial"/>
          <w:sz w:val="16"/>
          <w:szCs w:val="16"/>
          <w:color w:val="auto"/>
        </w:rPr>
      </w:pPr>
    </w:p>
    <w:p>
      <w:pPr>
        <w:ind w:left="1140" w:right="380" w:hanging="241"/>
        <w:spacing w:after="0" w:line="277" w:lineRule="auto"/>
        <w:tabs>
          <w:tab w:leader="none" w:pos="1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$11.6 million increase in dividends paid to shareholders due to an increase in the common share dividend rate and an increase in the number of common shares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material cash requirements comprising our fixed, noncancelable obligations as of December 31,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Cash Requirements by Period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Next Twelve Months</w:t>
            </w:r>
          </w:p>
        </w:tc>
        <w:tc>
          <w:tcPr>
            <w:tcW w:w="120" w:type="dxa"/>
            <w:vAlign w:val="bottom"/>
          </w:tcPr>
          <w:p>
            <w:pPr>
              <w:spacing w:after="0"/>
              <w:rPr>
                <w:sz w:val="12"/>
                <w:szCs w:val="12"/>
                <w:color w:val="auto"/>
              </w:rPr>
            </w:pPr>
          </w:p>
        </w:tc>
        <w:tc>
          <w:tcPr>
            <w:tcW w:w="1420" w:type="dxa"/>
            <w:vAlign w:val="bottom"/>
          </w:tcPr>
          <w:p>
            <w:pPr>
              <w:jc w:val="right"/>
              <w:ind w:right="55"/>
              <w:spacing w:after="0" w:line="147" w:lineRule="exact"/>
              <w:rPr>
                <w:sz w:val="20"/>
                <w:szCs w:val="20"/>
                <w:color w:val="auto"/>
              </w:rPr>
            </w:pPr>
            <w:r>
              <w:rPr>
                <w:rFonts w:ascii="Arial" w:cs="Arial" w:eastAsia="Arial" w:hAnsi="Arial"/>
                <w:sz w:val="14"/>
                <w:szCs w:val="14"/>
                <w:b w:val="1"/>
                <w:bCs w:val="1"/>
                <w:color w:val="auto"/>
                <w:w w:val="94"/>
              </w:rPr>
              <w:t>Greater than Twelve</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94"/>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and variable rate debt (principal only)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4,344,474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4,065,581</w:t>
            </w:r>
          </w:p>
        </w:tc>
        <w:tc>
          <w:tcPr>
            <w:tcW w:w="0" w:type="dxa"/>
            <w:vAlign w:val="bottom"/>
          </w:tcPr>
          <w:p>
            <w:pPr>
              <w:spacing w:after="0"/>
              <w:rPr>
                <w:sz w:val="1"/>
                <w:szCs w:val="1"/>
                <w:color w:val="auto"/>
              </w:rPr>
            </w:pPr>
          </w:p>
        </w:tc>
      </w:tr>
      <w:tr>
        <w:trPr>
          <w:trHeight w:val="188"/>
        </w:trPr>
        <w:tc>
          <w:tcPr>
            <w:tcW w:w="6440" w:type="dxa"/>
            <w:vAlign w:val="bottom"/>
          </w:tcPr>
          <w:p>
            <w:pPr>
              <w:ind w:left="20"/>
              <w:spacing w:after="0" w:line="189" w:lineRule="exact"/>
              <w:rPr>
                <w:sz w:val="20"/>
                <w:szCs w:val="20"/>
                <w:color w:val="auto"/>
              </w:rPr>
            </w:pPr>
            <w:r>
              <w:rPr>
                <w:rFonts w:ascii="Arial" w:cs="Arial" w:eastAsia="Arial" w:hAnsi="Arial"/>
                <w:sz w:val="18"/>
                <w:szCs w:val="18"/>
                <w:color w:val="auto"/>
                <w:w w:val="97"/>
              </w:rPr>
              <w:t>Fixed and variable rate debt - our share of unconsolidated real estate partnerships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(principal only)(2)</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43,935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obligations (minimum rental payments) (3)(4)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292,788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Redevelopments/capital expenditure contracts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262,081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244,096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17,985</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commitments (5)</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 estimated cash requirements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5,040,105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608,725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4,431,380</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weighted average interest rate on our fixed and variable rate debt is 3.7% as of December 31, 2022.</w:t>
      </w:r>
    </w:p>
    <w:p>
      <w:pPr>
        <w:spacing w:after="0" w:line="63" w:lineRule="exact"/>
        <w:rPr>
          <w:rFonts w:ascii="Arial" w:cs="Arial" w:eastAsia="Arial" w:hAnsi="Arial"/>
          <w:sz w:val="18"/>
          <w:szCs w:val="18"/>
          <w:color w:val="auto"/>
        </w:rPr>
      </w:pPr>
    </w:p>
    <w:p>
      <w:pPr>
        <w:ind w:left="660" w:right="72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weighted average interest rate on the fixed and variable rate debt related to our unconsolidated real estate partnerships is 4.05% as of December 31, 2022.</w:t>
      </w:r>
    </w:p>
    <w:p>
      <w:pPr>
        <w:spacing w:after="0" w:line="8" w:lineRule="exact"/>
        <w:rPr>
          <w:rFonts w:ascii="Arial" w:cs="Arial" w:eastAsia="Arial" w:hAnsi="Arial"/>
          <w:sz w:val="18"/>
          <w:szCs w:val="18"/>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includes minimum rental payments related to both finance and operating leases.</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Lease obligations in the next twelve months include the $55 million fixed purchase price option for Mercer Mall as discussed in Note 7 to the consolidated financial statements.</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includes the liability related to the sale under threat of condemnation at San Antonio Center as further discussed in Note 7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amounts set forth in the table above and other liquidity requirements previously discussed, the following potential commitments exist:</w:t>
      </w:r>
    </w:p>
    <w:p>
      <w:pPr>
        <w:spacing w:after="0" w:line="194" w:lineRule="exact"/>
        <w:rPr>
          <w:sz w:val="20"/>
          <w:szCs w:val="20"/>
          <w:color w:val="auto"/>
        </w:rPr>
      </w:pPr>
    </w:p>
    <w:p>
      <w:pPr>
        <w:ind w:right="80" w:firstLine="413"/>
        <w:spacing w:after="0" w:line="259" w:lineRule="auto"/>
        <w:tabs>
          <w:tab w:leader="none" w:pos="6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2022, our estimated liability upon exercise of the put option would range from approximately $62 million to $65 million.</w:t>
      </w:r>
    </w:p>
    <w:p>
      <w:pPr>
        <w:spacing w:after="0" w:line="65" w:lineRule="exact"/>
        <w:rPr>
          <w:rFonts w:ascii="Arial" w:cs="Arial" w:eastAsia="Arial" w:hAnsi="Arial"/>
          <w:sz w:val="18"/>
          <w:szCs w:val="18"/>
          <w:color w:val="auto"/>
        </w:rPr>
      </w:pPr>
    </w:p>
    <w:p>
      <w:pPr>
        <w:ind w:right="220" w:firstLine="413"/>
        <w:spacing w:after="0" w:line="334" w:lineRule="auto"/>
        <w:tabs>
          <w:tab w:leader="none" w:pos="6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2022, a total of 644,554 downREIT operating partnership units are outstanding.</w:t>
      </w:r>
    </w:p>
    <w:p>
      <w:pPr>
        <w:ind w:right="80" w:firstLine="413"/>
        <w:spacing w:after="0" w:line="311" w:lineRule="auto"/>
        <w:tabs>
          <w:tab w:leader="none" w:pos="6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2022, our estimated maximum liability upon exercise of the put option would range from $6 million to $7 million.</w:t>
      </w:r>
    </w:p>
    <w:p>
      <w:pPr>
        <w:spacing w:after="0" w:line="27" w:lineRule="exact"/>
        <w:rPr>
          <w:rFonts w:ascii="Arial" w:cs="Arial" w:eastAsia="Arial" w:hAnsi="Arial"/>
          <w:sz w:val="16"/>
          <w:szCs w:val="16"/>
          <w:color w:val="auto"/>
        </w:rPr>
      </w:pPr>
    </w:p>
    <w:p>
      <w:pPr>
        <w:ind w:right="220" w:firstLine="413"/>
        <w:spacing w:after="0" w:line="263" w:lineRule="auto"/>
        <w:tabs>
          <w:tab w:leader="none" w:pos="6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September 18, 2023, the other member in Hoboken has the right to require us to purchase all of its 10% ownership interest at the interest's then-current fair market value. Based on management's current estimate of fair market value as of December 31, 2022, our estimated maximum liability upon exercise of the put option would range from $8 million to $9 million.</w:t>
      </w:r>
    </w:p>
    <w:p>
      <w:pPr>
        <w:spacing w:after="0" w:line="62" w:lineRule="exact"/>
        <w:rPr>
          <w:rFonts w:ascii="Arial" w:cs="Arial" w:eastAsia="Arial" w:hAnsi="Arial"/>
          <w:sz w:val="18"/>
          <w:szCs w:val="18"/>
          <w:color w:val="auto"/>
        </w:rPr>
      </w:pPr>
    </w:p>
    <w:p>
      <w:pPr>
        <w:ind w:right="480" w:firstLine="413"/>
        <w:spacing w:after="0" w:line="277" w:lineRule="auto"/>
        <w:tabs>
          <w:tab w:leader="none" w:pos="6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June 14, 2026, the other member in Camelback Colonnade and Hilton Village has the right to require us to purchase all of its 2.0% ownership interest at the interest's then-current fair market value. Based on management's current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estimate of fair value as of December 31, 2022, our estimated maximum liability upon exercise of the put option would range from $4 million to $5 million.</w:t>
      </w:r>
    </w:p>
    <w:p>
      <w:pPr>
        <w:spacing w:after="0" w:line="35" w:lineRule="exact"/>
        <w:rPr>
          <w:sz w:val="20"/>
          <w:szCs w:val="20"/>
          <w:color w:val="auto"/>
        </w:rPr>
      </w:pPr>
    </w:p>
    <w:p>
      <w:pPr>
        <w:jc w:val="both"/>
        <w:ind w:firstLine="413"/>
        <w:spacing w:after="0" w:line="263" w:lineRule="auto"/>
        <w:tabs>
          <w:tab w:leader="none" w:pos="6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2022, our estimated maximum liability upon exercise of the put option would range from $1 million and $2 million.</w:t>
      </w:r>
    </w:p>
    <w:p>
      <w:pPr>
        <w:spacing w:after="0" w:line="62" w:lineRule="exact"/>
        <w:rPr>
          <w:rFonts w:ascii="Arial" w:cs="Arial" w:eastAsia="Arial" w:hAnsi="Arial"/>
          <w:sz w:val="18"/>
          <w:szCs w:val="18"/>
          <w:color w:val="auto"/>
        </w:rPr>
      </w:pPr>
    </w:p>
    <w:p>
      <w:pPr>
        <w:ind w:right="20" w:firstLine="413"/>
        <w:spacing w:after="0" w:line="263" w:lineRule="auto"/>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June 1, 2029, the other member in Grossmont Center has the right to require us to purchase all of its 40.0% ownership interest at the interest's then-current fair market value. Based on management's current estimate of fair value as of December 31, 2022, our estimated maximum liability upon exercise of the put option would range from $68 million to $73 million.</w:t>
      </w:r>
    </w:p>
    <w:p>
      <w:pPr>
        <w:spacing w:after="0" w:line="62" w:lineRule="exact"/>
        <w:rPr>
          <w:rFonts w:ascii="Arial" w:cs="Arial" w:eastAsia="Arial" w:hAnsi="Arial"/>
          <w:sz w:val="18"/>
          <w:szCs w:val="18"/>
          <w:color w:val="auto"/>
        </w:rPr>
      </w:pPr>
    </w:p>
    <w:p>
      <w:pPr>
        <w:ind w:left="640" w:hanging="227"/>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December 31, 2022, we had letters of credit outstanding of approximately $6.7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2022, we have four real estate related equity method investments with total debt outstanding of $154.1 million, of which our share is $63.8 million. Our investment in these ventures at December 31, 2022 was $34.0 million.</w:t>
      </w:r>
    </w:p>
    <w:p>
      <w:pPr>
        <w:spacing w:after="0" w:line="3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Other than the items disclosed in the Cash Requirements table, we have no off-balance sheet arrangements as of December 31, 2022 that are reasonably likely to have a current or future material effect on our financial condition, changes in financial condition, revenues or expenses, results of operations, liquidity, cash requirements,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1"/>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Stated Interest Rate as of</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12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22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7"/>
                <w:szCs w:val="17"/>
                <w:color w:val="auto"/>
              </w:rPr>
            </w:pPr>
          </w:p>
        </w:tc>
        <w:tc>
          <w:tcPr>
            <w:tcW w:w="154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top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140"/>
              <w:spacing w:after="0"/>
              <w:rPr>
                <w:sz w:val="20"/>
                <w:szCs w:val="20"/>
                <w:color w:val="auto"/>
              </w:rPr>
            </w:pPr>
            <w:r>
              <w:rPr>
                <w:rFonts w:ascii="Arial" w:cs="Arial" w:eastAsia="Arial" w:hAnsi="Arial"/>
                <w:sz w:val="16"/>
                <w:szCs w:val="16"/>
                <w:i w:val="1"/>
                <w:iCs w:val="1"/>
                <w:color w:val="auto"/>
              </w:rPr>
              <w:t>Secured fixed rate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Bell Gardens</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11,835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4.06 %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The Grove at Shrewsbury (East)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43,600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3.77 %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11,500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Hoboken (24 Buildings) (1)</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55,060</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LIBOR + 1.95%</w:t>
            </w:r>
          </w:p>
        </w:tc>
        <w:tc>
          <w:tcPr>
            <w:tcW w:w="1840" w:type="dxa"/>
            <w:vAlign w:val="bottom"/>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Various Hoboken (14 Buildings)</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30,876</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 (2)</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Chelsea</w:t>
            </w:r>
          </w:p>
        </w:tc>
        <w:tc>
          <w:tcPr>
            <w:tcW w:w="122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4,446</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5.36 %</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322,317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w w:val="99"/>
              </w:rPr>
              <w:t>Net unamortized debt issuance costs and premium</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mortgages payable, net</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320,615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Notes payable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Term Loan (3)(5)</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SOFR + 0.85%</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16, 2024</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Revolving credit facility (3)(4)(5)</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1,250,000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SOFR + 0.775%</w:t>
            </w:r>
          </w:p>
        </w:tc>
        <w:tc>
          <w:tcPr>
            <w:tcW w:w="1840" w:type="dxa"/>
            <w:vAlign w:val="bottom"/>
          </w:tcPr>
          <w:p>
            <w:pPr>
              <w:jc w:val="right"/>
              <w:spacing w:after="0"/>
              <w:rPr>
                <w:sz w:val="20"/>
                <w:szCs w:val="20"/>
                <w:color w:val="auto"/>
              </w:rPr>
            </w:pPr>
            <w:r>
              <w:rPr>
                <w:rFonts w:ascii="Arial" w:cs="Arial" w:eastAsia="Arial" w:hAnsi="Arial"/>
                <w:sz w:val="16"/>
                <w:szCs w:val="16"/>
                <w:color w:val="auto"/>
              </w:rPr>
              <w:t>April 5, 2027</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 (6)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 2059</w:t>
            </w:r>
          </w:p>
        </w:tc>
        <w:tc>
          <w:tcPr>
            <w:tcW w:w="0" w:type="dxa"/>
            <w:vAlign w:val="bottom"/>
          </w:tcPr>
          <w:p>
            <w:pPr>
              <w:spacing w:after="0"/>
              <w:rPr>
                <w:sz w:val="1"/>
                <w:szCs w:val="1"/>
                <w:color w:val="auto"/>
              </w:rPr>
            </w:pPr>
          </w:p>
        </w:tc>
      </w:tr>
      <w:tr>
        <w:trPr>
          <w:trHeight w:val="206"/>
        </w:trPr>
        <w:tc>
          <w:tcPr>
            <w:tcW w:w="450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602,957</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debt issuance costs</w:t>
            </w:r>
          </w:p>
        </w:tc>
        <w:tc>
          <w:tcPr>
            <w:tcW w:w="1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notes payable, net</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601,077</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140"/>
              <w:spacing w:after="0"/>
              <w:rPr>
                <w:sz w:val="20"/>
                <w:szCs w:val="20"/>
                <w:color w:val="auto"/>
              </w:rPr>
            </w:pPr>
            <w:r>
              <w:rPr>
                <w:rFonts w:ascii="Arial" w:cs="Arial" w:eastAsia="Arial" w:hAnsi="Arial"/>
                <w:sz w:val="16"/>
                <w:szCs w:val="16"/>
                <w:i w:val="1"/>
                <w:iCs w:val="1"/>
                <w:color w:val="auto"/>
              </w:rPr>
              <w:t>Unsecured fixed rate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275,000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3.95%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3.95 %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1.25%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7.48% debentures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475,000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6.82% medium term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6.82 %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3.20%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3.50%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3.625% notes</w:t>
            </w:r>
          </w:p>
        </w:tc>
        <w:tc>
          <w:tcPr>
            <w:tcW w:w="122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3.625 %</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w w:val="99"/>
              </w:rPr>
              <w:t>Net unamortized debt issuance costs and premium</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(11,499)</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3,407,701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4,329,393</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4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the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80" w:hanging="652"/>
        <w:spacing w:after="0" w:line="277"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revolving credit facility SOFR loans bear interest at Daily Simple SOFR or Term SOFR as defined in the credit agreement and our term loan bears interest at Term SOFR, plus 0.10%, plus a spread, based on our current credit rating.</w:t>
      </w:r>
    </w:p>
    <w:p>
      <w:pPr>
        <w:spacing w:after="0" w:line="8" w:lineRule="exact"/>
        <w:rPr>
          <w:rFonts w:ascii="Arial" w:cs="Arial" w:eastAsia="Arial" w:hAnsi="Arial"/>
          <w:sz w:val="18"/>
          <w:szCs w:val="18"/>
          <w:color w:val="auto"/>
        </w:rPr>
      </w:pPr>
    </w:p>
    <w:p>
      <w:pPr>
        <w:ind w:left="660" w:right="120" w:hanging="652"/>
        <w:spacing w:after="0" w:line="277"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2022 was $330.0 million and the weighted average effective interest rate on borrowings under our revolving credit facility, before amortization of debt fees, was 3.2%.</w:t>
      </w:r>
    </w:p>
    <w:p>
      <w:pPr>
        <w:spacing w:after="0" w:line="8" w:lineRule="exact"/>
        <w:rPr>
          <w:rFonts w:ascii="Arial" w:cs="Arial" w:eastAsia="Arial" w:hAnsi="Arial"/>
          <w:sz w:val="18"/>
          <w:szCs w:val="18"/>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Operating Partnership is the obligor under our revolving credit facility, term loan, and senior notes and debentures.</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interest rates on these notes payable range from 3.00% to 11.31%.</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revolving credit facility, unsecured term loan, and other debt agreements include financial and other covenants that may limit our operating activities in the future. As of December 31, 2022,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2022: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r>
      <w:tr>
        <w:trPr>
          <w:trHeight w:val="26"/>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88"/>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275,755</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278,893</w:t>
            </w:r>
          </w:p>
        </w:tc>
        <w:tc>
          <w:tcPr>
            <w:tcW w:w="440" w:type="dxa"/>
            <w:vAlign w:val="bottom"/>
            <w:shd w:val="clear" w:color="auto" w:fill="CCEEFF"/>
          </w:tcPr>
          <w:p>
            <w:pPr>
              <w:spacing w:after="0"/>
              <w:rPr>
                <w:sz w:val="20"/>
                <w:szCs w:val="20"/>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1,200,671</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1,203,970</w:t>
            </w:r>
          </w:p>
        </w:tc>
        <w:tc>
          <w:tcPr>
            <w:tcW w:w="440" w:type="dxa"/>
            <w:vAlign w:val="bottom"/>
          </w:tcPr>
          <w:p>
            <w:pPr>
              <w:spacing w:after="0"/>
              <w:rPr>
                <w:sz w:val="19"/>
                <w:szCs w:val="19"/>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47,630</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48,048</w:t>
            </w:r>
          </w:p>
        </w:tc>
        <w:tc>
          <w:tcPr>
            <w:tcW w:w="440" w:type="dxa"/>
            <w:vAlign w:val="bottom"/>
            <w:shd w:val="clear" w:color="auto" w:fill="CCEEFF"/>
          </w:tcPr>
          <w:p>
            <w:pPr>
              <w:spacing w:after="0"/>
              <w:rPr>
                <w:sz w:val="19"/>
                <w:szCs w:val="19"/>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429,276</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26,240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455,516</w:t>
            </w:r>
          </w:p>
        </w:tc>
        <w:tc>
          <w:tcPr>
            <w:tcW w:w="440" w:type="dxa"/>
            <w:vAlign w:val="bottom"/>
          </w:tcPr>
          <w:p>
            <w:pPr>
              <w:spacing w:after="0"/>
              <w:rPr>
                <w:sz w:val="19"/>
                <w:szCs w:val="19"/>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515,037</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178,278</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693,315</w:t>
            </w:r>
          </w:p>
        </w:tc>
        <w:tc>
          <w:tcPr>
            <w:tcW w:w="440" w:type="dxa"/>
            <w:vAlign w:val="bottom"/>
            <w:shd w:val="clear" w:color="auto" w:fill="CCEEFF"/>
          </w:tcPr>
          <w:p>
            <w:pPr>
              <w:spacing w:after="0"/>
              <w:rPr>
                <w:sz w:val="19"/>
                <w:szCs w:val="19"/>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1,601,000</w:t>
            </w: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63,732</w:t>
            </w:r>
          </w:p>
        </w:tc>
        <w:tc>
          <w:tcPr>
            <w:tcW w:w="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1,664,732</w:t>
            </w:r>
          </w:p>
        </w:tc>
        <w:tc>
          <w:tcPr>
            <w:tcW w:w="440" w:type="dxa"/>
            <w:vAlign w:val="bottom"/>
            <w:tcBorders>
              <w:bottom w:val="single" w:sz="8" w:color="CCEEFF"/>
            </w:tcBorders>
          </w:tcPr>
          <w:p>
            <w:pPr>
              <w:spacing w:after="0"/>
              <w:rPr>
                <w:sz w:val="19"/>
                <w:szCs w:val="19"/>
                <w:color w:val="auto"/>
              </w:rPr>
            </w:pPr>
          </w:p>
        </w:tc>
      </w:tr>
      <w:tr>
        <w:trPr>
          <w:trHeight w:val="248"/>
        </w:trPr>
        <w:tc>
          <w:tcPr>
            <w:tcW w:w="5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4,022,157</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322,317</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4,344,474</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$600.0 million term loan matures on April 16, 2024, plus two one-year extensions, at our option.</w:t>
      </w:r>
    </w:p>
    <w:p>
      <w:pPr>
        <w:spacing w:after="0" w:line="63" w:lineRule="exact"/>
        <w:rPr>
          <w:rFonts w:ascii="Arial" w:cs="Arial" w:eastAsia="Arial" w:hAnsi="Arial"/>
          <w:sz w:val="18"/>
          <w:szCs w:val="18"/>
          <w:color w:val="auto"/>
        </w:rPr>
      </w:pPr>
    </w:p>
    <w:p>
      <w:pPr>
        <w:ind w:left="660" w:right="40" w:hanging="652"/>
        <w:spacing w:after="0" w:line="27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$1.25 billion revolving credit facility matures on April 5, 2027, plus two six-month extensions, at our option. As of December 31, 2022, there was no outstanding balance under this credit facility.</w:t>
      </w:r>
    </w:p>
    <w:p>
      <w:pPr>
        <w:spacing w:after="0" w:line="8" w:lineRule="exact"/>
        <w:rPr>
          <w:rFonts w:ascii="Arial" w:cs="Arial" w:eastAsia="Arial" w:hAnsi="Arial"/>
          <w:sz w:val="18"/>
          <w:szCs w:val="18"/>
          <w:color w:val="auto"/>
        </w:rPr>
      </w:pPr>
    </w:p>
    <w:p>
      <w:pPr>
        <w:ind w:left="660" w:right="560" w:hanging="652"/>
        <w:spacing w:after="0" w:line="27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debt issuance costs and premium/discount on mortgage loans, notes payable, and senior notes as of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As of December 31, 2022, we have two interest rate swap agreements that effectively fix the interest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our earnings in 2022, 2021 and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80" w:hanging="801"/>
        <w:spacing w:after="0" w:line="277" w:lineRule="auto"/>
        <w:tabs>
          <w:tab w:leader="none" w:pos="1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jc w:val="center"/>
              <w:ind w:left="373"/>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jc w:val="center"/>
              <w:ind w:left="373"/>
              <w:spacing w:after="0"/>
              <w:rPr>
                <w:sz w:val="20"/>
                <w:szCs w:val="20"/>
                <w:color w:val="auto"/>
              </w:rPr>
            </w:pPr>
            <w:r>
              <w:rPr>
                <w:rFonts w:ascii="Arial" w:cs="Arial" w:eastAsia="Arial" w:hAnsi="Arial"/>
                <w:sz w:val="14"/>
                <w:szCs w:val="14"/>
                <w:b w:val="1"/>
                <w:bCs w:val="1"/>
                <w:color w:val="auto"/>
                <w:w w:val="91"/>
              </w:rPr>
              <w:t>(In thousands, except per share data)</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395,661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deconsolidation of a VIE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(89,892)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(91,922)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 net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266,741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243,711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228,850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360"/>
              <w:spacing w:after="0"/>
              <w:rPr>
                <w:sz w:val="20"/>
                <w:szCs w:val="20"/>
                <w:color w:val="auto"/>
              </w:rPr>
            </w:pPr>
            <w:r>
              <w:rPr>
                <w:rFonts w:ascii="Arial" w:cs="Arial" w:eastAsia="Arial" w:hAnsi="Arial"/>
                <w:sz w:val="18"/>
                <w:szCs w:val="18"/>
                <w:color w:val="auto"/>
              </w:rPr>
              <w:t>Funds from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515,643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441,368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339,777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preferred shares (1)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360"/>
              <w:spacing w:after="0" w:line="196" w:lineRule="exact"/>
              <w:rPr>
                <w:sz w:val="20"/>
                <w:szCs w:val="20"/>
                <w:color w:val="auto"/>
              </w:rPr>
            </w:pPr>
            <w:r>
              <w:rPr>
                <w:rFonts w:ascii="Arial" w:cs="Arial" w:eastAsia="Arial" w:hAnsi="Arial"/>
                <w:sz w:val="18"/>
                <w:szCs w:val="18"/>
                <w:color w:val="auto"/>
              </w:rPr>
              <w:t>Funds from operations available for common shareholders (2)</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509,156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434,743</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333,849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 (1)(2)(3)</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9"/>
        </w:trPr>
        <w:tc>
          <w:tcPr>
            <w:tcW w:w="7420" w:type="dxa"/>
            <w:vAlign w:val="bottom"/>
          </w:tcPr>
          <w:p>
            <w:pPr>
              <w:ind w:left="55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620" w:hanging="652"/>
        <w:spacing w:after="0" w:line="298"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the year ended December 31, 2022, dividends on our Series 1 preferred stock were not deducted in the calculation of FFO available to common shareholders, as the related shares were dilutive and included in "weighted average common shares, diluted."</w:t>
      </w:r>
    </w:p>
    <w:p>
      <w:pPr>
        <w:ind w:left="660" w:right="20" w:hanging="652"/>
        <w:spacing w:after="0" w:line="263"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year ended December 31, 2020, FFO available for common shareholders includes an $11.2 million charge related to early extinguishment of debt. If this charge was excluded, our FFO available for common shareholders for 2020 would have been $345.0 million, and FFO available for common shareholders, per diluted share would have been $4.52.</w:t>
      </w:r>
    </w:p>
    <w:p>
      <w:pPr>
        <w:spacing w:after="0" w:line="21" w:lineRule="exact"/>
        <w:rPr>
          <w:rFonts w:ascii="Arial" w:cs="Arial" w:eastAsia="Arial" w:hAnsi="Arial"/>
          <w:sz w:val="18"/>
          <w:szCs w:val="18"/>
          <w:color w:val="auto"/>
        </w:rPr>
      </w:pPr>
    </w:p>
    <w:p>
      <w:pPr>
        <w:jc w:val="both"/>
        <w:ind w:left="660" w:right="120" w:hanging="652"/>
        <w:spacing w:after="0" w:line="263"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2021 and 2020.</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2059) have fixed interest rates which limit the risk of fluctuating interest rates. However, interest rate fluctuations may affect the fair value of our fixed rate debt instruments. At December 31, 2022, we had $3.7 billion of fixed-rate debt outstanding, including $55.1 million in mortgage payables that are effectively fixed by two interest rate swap agreements. If market interest rates used to calculate the fair value on our fixed-rate debt instruments at December 31, 2022 had been 1.0% higher, the fair value of those debt instruments on that date would have decreased by approximately $164.6 million. If market interest rates used to calculate the fair value on our fixed-rate debt instruments at December 31, 2022 had been 1.0% lower, the fair value of those debt instruments on that date would have increased by approximately $184.6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December 31, 2022, we had $600.0 million of variable rate debt outstanding (the principal balance on our unsecured term loan). Based upon this amount of variable rate debt and the specific terms, if market interest rates increased 1.0%, our annual interest expense would increase approximately $6.0 million with a corresponding decrease in our net income and cash flows for the year. Conversely, if market interest rates decreased 1.0%, our annual interest expense would decrease by approximately $6.0 million with a corresponding increase in our net income and cash flows for the year.</w:t>
      </w:r>
    </w:p>
    <w:p>
      <w:pPr>
        <w:spacing w:after="0" w:line="4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While no amounts were outstanding at December 31, 2022, we have a $1.25 billion revolving credit facility that bears interest at a variable rate. If we increase our outstanding balance on the revolving credit facility in the future, additional decreases to future earnings and cash flows could occur.</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207" w:lineRule="exact"/>
        <w:rPr>
          <w:sz w:val="20"/>
          <w:szCs w:val="20"/>
          <w:color w:val="auto"/>
        </w:rPr>
      </w:pPr>
    </w:p>
    <w:p>
      <w:pPr>
        <w:ind w:right="90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Evaluations of Disclosure Controls and Procedures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and the Operating Partnership maintain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 and the Operating Partnership's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the Trust and the Operating Partnership’s Chief Executive Officer and Chief Financial Officer, evaluated the effectiveness of the design and operation of the Trust and the Operating Partnership’s disclosure controls and procedures as of December 31, 2022. Based on that evaluation, the Trust and the Operating Partnership’s Chief Executive Officer and Chief Financial Officer concluded that, as of December 31, 2022, the Trust and the Operating Partnership’s disclosure controls and procedures were effective at a reasonable assurance level.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Evaluations of Internal Control over Financial Reporting</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Trust and the Operating Partnership’s management is responsible for establishing and maintaining adequate internal control over financial reporting. Internal control over financial reporting is defined in Rule 13a-15(f) and 15d-15(f) under the Exchange Act as a process designed by, or under the supervision of, the Trust and the Operating Partnership’s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3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our assets;</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assessed the effectiveness of the Trust and the Operating Partnership’s internal control over financial reporting as of December 31, 2022.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that assessment and criteria, management concluded that the Trust and the Operating Partnership's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 as of December 31, 2022.</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Grant Thornton LLP, the independent registered public accounting firm that audited the Trust and the Operating Partnership's consolidated financial statements included in this Annual Report on Form 10-K, has issued an attestation report on the Trust and the Operating Partnership's internal control over financial reporting, which appears on page </w:t>
      </w:r>
      <w:r>
        <w:rPr>
          <w:rFonts w:ascii="Arial" w:cs="Arial" w:eastAsia="Arial" w:hAnsi="Arial"/>
          <w:sz w:val="18"/>
          <w:szCs w:val="18"/>
          <w:u w:val="single" w:color="auto"/>
          <w:color w:val="0000FF"/>
        </w:rPr>
        <w:t>F-2</w:t>
      </w:r>
      <w:r>
        <w:rPr>
          <w:rFonts w:ascii="Arial" w:cs="Arial" w:eastAsia="Arial" w:hAnsi="Arial"/>
          <w:sz w:val="18"/>
          <w:szCs w:val="18"/>
          <w:color w:val="auto"/>
        </w:rPr>
        <w:t xml:space="preserve"> of this Annual Report on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2022 that materially affected, or is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2023 Annual Meeting of Shareholders (as amended or supplemented, the “Proxy Statement”).</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(a)(1) Financial Statements</w:t>
      </w:r>
    </w:p>
    <w:p>
      <w:pPr>
        <w:spacing w:after="0" w:line="189" w:lineRule="exact"/>
        <w:rPr>
          <w:sz w:val="20"/>
          <w:szCs w:val="20"/>
          <w:color w:val="auto"/>
        </w:rPr>
      </w:pPr>
    </w:p>
    <w:p>
      <w:pPr>
        <w:ind w:left="40" w:right="560"/>
        <w:spacing w:after="0" w:line="235" w:lineRule="auto"/>
        <w:rPr>
          <w:sz w:val="20"/>
          <w:szCs w:val="20"/>
          <w:color w:val="auto"/>
        </w:rPr>
      </w:pPr>
      <w:r>
        <w:rPr>
          <w:rFonts w:ascii="Arial" w:cs="Arial" w:eastAsia="Arial" w:hAnsi="Arial"/>
          <w:sz w:val="18"/>
          <w:szCs w:val="18"/>
          <w:color w:val="auto"/>
        </w:rPr>
        <w:t xml:space="preserve">Our consolidated financial statements and notes thereto, together with Reports of Independent Registered Public Accounting Firm are included as a separate section of this Annual Report on Form 10-K commencing on page </w:t>
      </w:r>
      <w:r>
        <w:rPr>
          <w:rFonts w:ascii="Arial" w:cs="Arial" w:eastAsia="Arial" w:hAnsi="Arial"/>
          <w:sz w:val="18"/>
          <w:szCs w:val="18"/>
          <w:u w:val="single" w:color="auto"/>
          <w:color w:val="0000FF"/>
        </w:rPr>
        <w:t>F-1</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r>
        <w:rPr>
          <w:rFonts w:ascii="Arial" w:cs="Arial" w:eastAsia="Arial" w:hAnsi="Arial"/>
          <w:sz w:val="18"/>
          <w:szCs w:val="18"/>
          <w:u w:val="single" w:color="auto"/>
          <w:color w:val="0000FF"/>
        </w:rPr>
        <w:t>F-40</w:t>
      </w:r>
      <w:r>
        <w:rPr>
          <w:rFonts w:ascii="Arial" w:cs="Arial" w:eastAsia="Arial" w:hAnsi="Arial"/>
          <w:sz w:val="18"/>
          <w:szCs w:val="18"/>
          <w:color w:val="auto"/>
        </w:rPr>
        <w:t>.</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297" w:lineRule="exact"/>
        <w:rPr>
          <w:sz w:val="20"/>
          <w:szCs w:val="20"/>
          <w:color w:val="auto"/>
        </w:rPr>
      </w:pPr>
    </w:p>
    <w:p>
      <w:pPr>
        <w:ind w:left="300" w:hanging="261"/>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documents are filed as exhibits are filed as part of, or incorporated by reference info,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20" w:type="dxa"/>
            <w:vAlign w:val="bottom"/>
            <w:gridSpan w:val="17"/>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2"/>
                <w:szCs w:val="22"/>
                <w:color w:val="auto"/>
              </w:rPr>
            </w:pPr>
          </w:p>
        </w:tc>
        <w:tc>
          <w:tcPr>
            <w:tcW w:w="1020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7"/>
                <w:szCs w:val="17"/>
                <w:color w:val="auto"/>
              </w:rPr>
            </w:pPr>
          </w:p>
        </w:tc>
        <w:tc>
          <w:tcPr>
            <w:tcW w:w="10200" w:type="dxa"/>
            <w:vAlign w:val="bottom"/>
            <w:gridSpan w:val="2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0" w:type="dxa"/>
            <w:vAlign w:val="bottom"/>
            <w:tcBorders>
              <w:top w:val="single" w:sz="8" w:color="auto"/>
            </w:tcBorders>
            <w:gridSpan w:val="27"/>
          </w:tcPr>
          <w:p>
            <w:pPr>
              <w:spacing w:after="0"/>
              <w:rPr>
                <w:sz w:val="20"/>
                <w:szCs w:val="20"/>
                <w:color w:val="auto"/>
              </w:rPr>
            </w:pPr>
            <w:r>
              <w:rPr>
                <w:rFonts w:ascii="Arial" w:cs="Arial" w:eastAsia="Arial" w:hAnsi="Arial"/>
                <w:sz w:val="18"/>
                <w:szCs w:val="18"/>
                <w:color w:val="auto"/>
                <w:w w:val="91"/>
              </w:rPr>
              <w:t>Merger Agreement and Plan of Reorganization, dated December 2, 2021, by and among the Predecessor, the Parent Company, and Merger</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Sub (previously filed as </w:t>
            </w:r>
            <w:hyperlink r:id="rId65">
              <w:r>
                <w:rPr>
                  <w:rFonts w:ascii="Arial" w:cs="Arial" w:eastAsia="Arial" w:hAnsi="Arial"/>
                  <w:sz w:val="18"/>
                  <w:szCs w:val="18"/>
                  <w:color w:val="0000FF"/>
                  <w:w w:val="91"/>
                </w:rPr>
                <w:t>Exhibit 2.1</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Current Report on Form 8-K filed on December 2, 2021 and incorporated herein by</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reference) ‡</w:t>
            </w:r>
          </w:p>
        </w:tc>
        <w:tc>
          <w:tcPr>
            <w:tcW w:w="8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3"/>
              </w:rPr>
              <w:t>Amended and Restated Declaration of Trust of the Parent Company dated January 1, 2022, as amended by the Articles of Amendment of</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Amended and Restated Declaration of Trust dated January 1, 2022 (previously filed as </w:t>
            </w:r>
            <w:hyperlink r:id="rId66">
              <w:r>
                <w:rPr>
                  <w:rFonts w:ascii="Arial" w:cs="Arial" w:eastAsia="Arial" w:hAnsi="Arial"/>
                  <w:sz w:val="18"/>
                  <w:szCs w:val="18"/>
                  <w:color w:val="0000FF"/>
                  <w:w w:val="91"/>
                </w:rPr>
                <w:t>Exhibit 3.1</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60" w:type="dxa"/>
            <w:vAlign w:val="bottom"/>
            <w:gridSpan w:val="16"/>
          </w:tcPr>
          <w:p>
            <w:pPr>
              <w:spacing w:after="0"/>
              <w:rPr>
                <w:sz w:val="20"/>
                <w:szCs w:val="20"/>
                <w:color w:val="auto"/>
              </w:rPr>
            </w:pPr>
            <w:r>
              <w:rPr>
                <w:rFonts w:ascii="Arial" w:cs="Arial" w:eastAsia="Arial" w:hAnsi="Arial"/>
                <w:sz w:val="18"/>
                <w:szCs w:val="18"/>
                <w:color w:val="auto"/>
                <w:w w:val="98"/>
              </w:rPr>
              <w:t>K for the year ended December 31, 2021 and incorporated herein by reference)</w:t>
            </w:r>
          </w:p>
        </w:tc>
        <w:tc>
          <w:tcPr>
            <w:tcW w:w="2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27"/>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Amended and Restated Bylaws of the Parent Company dated January 1, 2022 (previously filed as </w:t>
            </w:r>
            <w:hyperlink r:id="rId67">
              <w:r>
                <w:rPr>
                  <w:rFonts w:ascii="Arial" w:cs="Arial" w:eastAsia="Arial" w:hAnsi="Arial"/>
                  <w:sz w:val="18"/>
                  <w:szCs w:val="18"/>
                  <w:color w:val="0000FF"/>
                  <w:w w:val="91"/>
                </w:rPr>
                <w:t>Exhibit 3.3</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our Current Report on Form</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19"/>
          </w:tcPr>
          <w:p>
            <w:pPr>
              <w:spacing w:after="0"/>
              <w:rPr>
                <w:sz w:val="20"/>
                <w:szCs w:val="20"/>
                <w:color w:val="auto"/>
              </w:rPr>
            </w:pPr>
            <w:r>
              <w:rPr>
                <w:rFonts w:ascii="Arial" w:cs="Arial" w:eastAsia="Arial" w:hAnsi="Arial"/>
                <w:sz w:val="18"/>
                <w:szCs w:val="18"/>
                <w:color w:val="auto"/>
              </w:rPr>
              <w:t>8-K filed on January 3, 2022 and incorporated herein by reference)</w:t>
            </w:r>
          </w:p>
        </w:tc>
        <w:tc>
          <w:tcPr>
            <w:tcW w:w="640" w:type="dxa"/>
            <w:vAlign w:val="bottom"/>
            <w:tcBorders>
              <w:top w:val="single" w:sz="8" w:color="0000FF"/>
            </w:tcBorders>
            <w:gridSpan w:val="2"/>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27"/>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Articles of Merger, dated December 8, 2021, by and among Merger Sub and the Predecessor (previously filed as </w:t>
            </w:r>
            <w:hyperlink r:id="rId68">
              <w:r>
                <w:rPr>
                  <w:rFonts w:ascii="Arial" w:cs="Arial" w:eastAsia="Arial" w:hAnsi="Arial"/>
                  <w:sz w:val="18"/>
                  <w:szCs w:val="18"/>
                  <w:color w:val="0000FF"/>
                  <w:w w:val="93"/>
                </w:rPr>
                <w:t>Exhibit 3.4</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Parent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auto"/>
                <w:w w:val="98"/>
              </w:rPr>
              <w:t>Company's Current Report on Form 8-K filed on January 3, 2022 and incorporated herein by reference)</w:t>
            </w:r>
          </w:p>
        </w:tc>
        <w:tc>
          <w:tcPr>
            <w:tcW w:w="4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27"/>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Certificate of Limited Partnership of Federal Realty OP LP (previously filed as </w:t>
            </w:r>
            <w:hyperlink r:id="rId69">
              <w:r>
                <w:rPr>
                  <w:rFonts w:ascii="Arial" w:cs="Arial" w:eastAsia="Arial" w:hAnsi="Arial"/>
                  <w:sz w:val="18"/>
                  <w:szCs w:val="18"/>
                  <w:color w:val="0000FF"/>
                  <w:w w:val="97"/>
                </w:rPr>
                <w:t>Exhibit 3.1</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our Current Report on Form 8-K filed on</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40" w:type="dxa"/>
            <w:vAlign w:val="bottom"/>
            <w:gridSpan w:val="14"/>
          </w:tcPr>
          <w:p>
            <w:pPr>
              <w:spacing w:after="0"/>
              <w:rPr>
                <w:sz w:val="20"/>
                <w:szCs w:val="20"/>
                <w:color w:val="auto"/>
              </w:rPr>
            </w:pPr>
            <w:r>
              <w:rPr>
                <w:rFonts w:ascii="Arial" w:cs="Arial" w:eastAsia="Arial" w:hAnsi="Arial"/>
                <w:sz w:val="18"/>
                <w:szCs w:val="18"/>
                <w:color w:val="auto"/>
              </w:rPr>
              <w:t>January 5, 2022 and incorporated herein by reference)</w:t>
            </w:r>
          </w:p>
        </w:tc>
        <w:tc>
          <w:tcPr>
            <w:tcW w:w="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gridSpan w:val="2"/>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1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3"/>
              </w:rPr>
              <w:t>Agreement of Limited Partnership of Federal Realty OP LP, dated as of January 5, 2022, by and between Federal Realty GP LLC and the</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Parent Company (Previously filed as </w:t>
            </w:r>
            <w:hyperlink r:id="rId70">
              <w:r>
                <w:rPr>
                  <w:rFonts w:ascii="Arial" w:cs="Arial" w:eastAsia="Arial" w:hAnsi="Arial"/>
                  <w:sz w:val="18"/>
                  <w:szCs w:val="18"/>
                  <w:color w:val="0000FF"/>
                  <w:w w:val="94"/>
                </w:rPr>
                <w:t>Exhibit 3.2</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our Current Report on Form 8-K filed on January 5, 2022 and incorporated herein by</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Arial" w:cs="Arial" w:eastAsia="Arial" w:hAnsi="Arial"/>
                <w:sz w:val="18"/>
                <w:szCs w:val="18"/>
                <w:color w:val="auto"/>
              </w:rPr>
              <w:t>reference)</w:t>
            </w:r>
          </w:p>
        </w:tc>
        <w:tc>
          <w:tcPr>
            <w:tcW w:w="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140" w:type="dxa"/>
            <w:vAlign w:val="bottom"/>
            <w:gridSpan w:val="3"/>
          </w:tcPr>
          <w:p>
            <w:pPr>
              <w:spacing w:after="0"/>
              <w:rPr>
                <w:sz w:val="18"/>
                <w:szCs w:val="18"/>
                <w:color w:val="auto"/>
              </w:rPr>
            </w:pPr>
          </w:p>
        </w:tc>
        <w:tc>
          <w:tcPr>
            <w:tcW w:w="8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1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27"/>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Specimen Common Share certificate (previously filed as Exhibit 4(i) to the Predecessor’s Annual Report on </w:t>
            </w:r>
            <w:hyperlink r:id="rId71">
              <w:r>
                <w:rPr>
                  <w:rFonts w:ascii="Arial" w:cs="Arial" w:eastAsia="Arial" w:hAnsi="Arial"/>
                  <w:sz w:val="18"/>
                  <w:szCs w:val="18"/>
                  <w:color w:val="0000FF"/>
                  <w:w w:val="93"/>
                </w:rPr>
                <w:t>Form 10-K</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for the year ended</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rPr>
              <w:t>December 31, 1999 and incorporated herein by reference)</w:t>
            </w:r>
          </w:p>
        </w:tc>
        <w:tc>
          <w:tcPr>
            <w:tcW w:w="800" w:type="dxa"/>
            <w:vAlign w:val="bottom"/>
            <w:tcBorders>
              <w:top w:val="single" w:sz="8" w:color="0000FF"/>
            </w:tcBorders>
            <w:gridSpan w:val="3"/>
          </w:tcPr>
          <w:p>
            <w:pPr>
              <w:spacing w:after="0"/>
              <w:rPr>
                <w:sz w:val="18"/>
                <w:szCs w:val="18"/>
                <w:color w:val="auto"/>
              </w:rPr>
            </w:pPr>
          </w:p>
        </w:tc>
        <w:tc>
          <w:tcPr>
            <w:tcW w:w="1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2"/>
              </w:rPr>
              <w:t>† Indenture dated December 1, 1993 related to the Partnership’s 7.48% Debentures due August 15, 2026; and 6.82% Medium Term Notes</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7"/>
          </w:tcPr>
          <w:p>
            <w:pPr>
              <w:spacing w:after="0" w:line="176" w:lineRule="exact"/>
              <w:rPr>
                <w:sz w:val="20"/>
                <w:szCs w:val="20"/>
                <w:color w:val="auto"/>
              </w:rPr>
            </w:pPr>
            <w:r>
              <w:rPr>
                <w:rFonts w:ascii="Arial" w:cs="Arial" w:eastAsia="Arial" w:hAnsi="Arial"/>
                <w:sz w:val="18"/>
                <w:szCs w:val="18"/>
                <w:color w:val="auto"/>
                <w:w w:val="92"/>
              </w:rPr>
              <w:t>due August 1, 2027; (previously filed as Exhibit 4(a) to the Predecessor’s Registration Statement on Form S-3, and amended on Form S-3,</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rPr>
              <w:t>filed on December 13, 1993 and incorporated herein by reference) ‡</w:t>
            </w:r>
          </w:p>
        </w:tc>
        <w:tc>
          <w:tcPr>
            <w:tcW w:w="0" w:type="dxa"/>
            <w:vAlign w:val="bottom"/>
          </w:tcPr>
          <w:p>
            <w:pPr>
              <w:spacing w:after="0"/>
              <w:rPr>
                <w:sz w:val="1"/>
                <w:szCs w:val="1"/>
                <w:color w:val="auto"/>
              </w:rPr>
            </w:pP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2"/>
              </w:rPr>
              <w:t>† Indenture dated September 1, 1998 related to the Partnership’s 2.75% Notes due 2023; 3.95% Notes due 2024; 4.50% Notes due 2044;</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7"/>
          </w:tcPr>
          <w:p>
            <w:pPr>
              <w:spacing w:after="0" w:line="176" w:lineRule="exact"/>
              <w:rPr>
                <w:sz w:val="20"/>
                <w:szCs w:val="20"/>
                <w:color w:val="auto"/>
              </w:rPr>
            </w:pPr>
            <w:r>
              <w:rPr>
                <w:rFonts w:ascii="Arial" w:cs="Arial" w:eastAsia="Arial" w:hAnsi="Arial"/>
                <w:sz w:val="18"/>
                <w:szCs w:val="18"/>
                <w:color w:val="auto"/>
                <w:w w:val="91"/>
              </w:rPr>
              <w:t>2.55% Notes due 2021; 3.625% Notes due 2046; 3.25% Notes due 2027; 3.20% Notes due 2029; 3.50% Notes due 2030; 1.25% Notes due</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w w:val="90"/>
              </w:rPr>
            </w:pPr>
            <w:r>
              <w:rPr>
                <w:rFonts w:ascii="Arial" w:cs="Arial" w:eastAsia="Arial" w:hAnsi="Arial"/>
                <w:sz w:val="18"/>
                <w:szCs w:val="18"/>
                <w:color w:val="auto"/>
                <w:w w:val="90"/>
              </w:rPr>
              <w:t xml:space="preserve">2026 (previously filed as </w:t>
            </w:r>
            <w:hyperlink r:id="rId72">
              <w:r>
                <w:rPr>
                  <w:rFonts w:ascii="Arial" w:cs="Arial" w:eastAsia="Arial" w:hAnsi="Arial"/>
                  <w:sz w:val="18"/>
                  <w:szCs w:val="18"/>
                  <w:color w:val="0000FF"/>
                  <w:w w:val="90"/>
                </w:rPr>
                <w:t>Exhibit 4(a)</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to the Predecessor’s Registration Statement on Form S-3 filed on September 17, 1998 and incorporated</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rPr>
              <w:t>herein by reference) ‡</w:t>
            </w:r>
          </w:p>
        </w:tc>
        <w:tc>
          <w:tcPr>
            <w:tcW w:w="880" w:type="dxa"/>
            <w:vAlign w:val="bottom"/>
            <w:tcBorders>
              <w:top w:val="single" w:sz="8" w:color="0000FF"/>
            </w:tcBorders>
            <w:gridSpan w:val="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140" w:type="dxa"/>
            <w:vAlign w:val="bottom"/>
            <w:gridSpan w:val="3"/>
          </w:tcPr>
          <w:p>
            <w:pPr>
              <w:spacing w:after="0"/>
              <w:rPr>
                <w:sz w:val="18"/>
                <w:szCs w:val="18"/>
                <w:color w:val="auto"/>
              </w:rPr>
            </w:pPr>
          </w:p>
        </w:tc>
        <w:tc>
          <w:tcPr>
            <w:tcW w:w="800" w:type="dxa"/>
            <w:vAlign w:val="bottom"/>
            <w:gridSpan w:val="3"/>
          </w:tcPr>
          <w:p>
            <w:pPr>
              <w:spacing w:after="0"/>
              <w:rPr>
                <w:sz w:val="18"/>
                <w:szCs w:val="18"/>
                <w:color w:val="auto"/>
              </w:rPr>
            </w:pPr>
          </w:p>
        </w:tc>
        <w:tc>
          <w:tcPr>
            <w:tcW w:w="25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3"/>
              </w:rPr>
              <w:t>† First Supplemental Indenture, dated as of January 5, 2022, by and between Federal Realty OP LP and U.S. Bank National Association,</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7"/>
          </w:tcPr>
          <w:p>
            <w:pPr>
              <w:spacing w:after="0" w:line="176" w:lineRule="exact"/>
              <w:rPr>
                <w:sz w:val="20"/>
                <w:szCs w:val="20"/>
                <w:color w:val="auto"/>
              </w:rPr>
            </w:pPr>
            <w:r>
              <w:rPr>
                <w:rFonts w:ascii="Arial" w:cs="Arial" w:eastAsia="Arial" w:hAnsi="Arial"/>
                <w:sz w:val="18"/>
                <w:szCs w:val="18"/>
                <w:color w:val="auto"/>
                <w:w w:val="90"/>
              </w:rPr>
              <w:t>with respect to the Partnership's Indenture dated December 1, 1993 related to the Partnership's 7.48% Debentures due August 15, 2026 and</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6.82% Medium Term Notes due August 1, 2027 (previously filed as </w:t>
            </w:r>
            <w:hyperlink r:id="rId73">
              <w:r>
                <w:rPr>
                  <w:rFonts w:ascii="Arial" w:cs="Arial" w:eastAsia="Arial" w:hAnsi="Arial"/>
                  <w:sz w:val="18"/>
                  <w:szCs w:val="18"/>
                  <w:color w:val="0000FF"/>
                  <w:w w:val="92"/>
                </w:rPr>
                <w:t>Exhibit 4.1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our Current Report on Form 8-K filed on January 5, 2022</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13"/>
          </w:tcPr>
          <w:p>
            <w:pPr>
              <w:spacing w:after="0"/>
              <w:rPr>
                <w:sz w:val="20"/>
                <w:szCs w:val="20"/>
                <w:color w:val="auto"/>
              </w:rPr>
            </w:pPr>
            <w:r>
              <w:rPr>
                <w:rFonts w:ascii="Arial" w:cs="Arial" w:eastAsia="Arial" w:hAnsi="Arial"/>
                <w:sz w:val="18"/>
                <w:szCs w:val="18"/>
                <w:color w:val="auto"/>
              </w:rPr>
              <w:t>and incorporated herein by reference)</w:t>
            </w:r>
          </w:p>
        </w:tc>
        <w:tc>
          <w:tcPr>
            <w:tcW w:w="820" w:type="dxa"/>
            <w:vAlign w:val="bottom"/>
            <w:tcBorders>
              <w:top w:val="single" w:sz="8" w:color="0000FF"/>
            </w:tcBorders>
            <w:gridSpan w:val="2"/>
          </w:tcPr>
          <w:p>
            <w:pPr>
              <w:spacing w:after="0"/>
              <w:rPr>
                <w:sz w:val="18"/>
                <w:szCs w:val="18"/>
                <w:color w:val="auto"/>
              </w:rPr>
            </w:pPr>
          </w:p>
        </w:tc>
        <w:tc>
          <w:tcPr>
            <w:tcW w:w="1140" w:type="dxa"/>
            <w:vAlign w:val="bottom"/>
            <w:gridSpan w:val="3"/>
          </w:tcPr>
          <w:p>
            <w:pPr>
              <w:spacing w:after="0"/>
              <w:rPr>
                <w:sz w:val="18"/>
                <w:szCs w:val="18"/>
                <w:color w:val="auto"/>
              </w:rPr>
            </w:pPr>
          </w:p>
        </w:tc>
        <w:tc>
          <w:tcPr>
            <w:tcW w:w="800" w:type="dxa"/>
            <w:vAlign w:val="bottom"/>
            <w:gridSpan w:val="3"/>
          </w:tcPr>
          <w:p>
            <w:pPr>
              <w:spacing w:after="0"/>
              <w:rPr>
                <w:sz w:val="18"/>
                <w:szCs w:val="18"/>
                <w:color w:val="auto"/>
              </w:rPr>
            </w:pPr>
          </w:p>
        </w:tc>
        <w:tc>
          <w:tcPr>
            <w:tcW w:w="25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3"/>
              </w:rPr>
              <w:t>† First Supplemental Indenture, dated as of January 5, 2022, by and between Federal Realty OP LP and U.S. Bank National Association,</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7"/>
          </w:tcPr>
          <w:p>
            <w:pPr>
              <w:spacing w:after="0" w:line="176" w:lineRule="exact"/>
              <w:rPr>
                <w:sz w:val="20"/>
                <w:szCs w:val="20"/>
                <w:color w:val="auto"/>
              </w:rPr>
            </w:pPr>
            <w:r>
              <w:rPr>
                <w:rFonts w:ascii="Arial" w:cs="Arial" w:eastAsia="Arial" w:hAnsi="Arial"/>
                <w:sz w:val="18"/>
                <w:szCs w:val="18"/>
                <w:color w:val="auto"/>
                <w:w w:val="92"/>
              </w:rPr>
              <w:t>with respect to the Partnership's Indenture dated September 1, 1998 related to the Partnership's 2.75% Notes due 2023; 3.95% Notes due</w:t>
            </w: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sz w:val="20"/>
                <w:szCs w:val="20"/>
                <w:color w:val="auto"/>
              </w:rPr>
            </w:pPr>
            <w:r>
              <w:rPr>
                <w:rFonts w:ascii="Arial" w:cs="Arial" w:eastAsia="Arial" w:hAnsi="Arial"/>
                <w:sz w:val="18"/>
                <w:szCs w:val="18"/>
                <w:color w:val="auto"/>
                <w:w w:val="90"/>
              </w:rPr>
              <w:t>2024; 4.50% Notes due 2044; 2.55% Notes due 2021; 3.625% Notes due 2046; 3.25% Notes due 2027; 3.20% Notes due 2029; 3.50% Notes</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90" w:lineRule="exact"/>
              <w:rPr>
                <w:rFonts w:ascii="Arial" w:cs="Arial" w:eastAsia="Arial" w:hAnsi="Arial"/>
                <w:sz w:val="18"/>
                <w:szCs w:val="18"/>
                <w:color w:val="auto"/>
                <w:w w:val="99"/>
              </w:rPr>
            </w:pPr>
            <w:r>
              <w:rPr>
                <w:rFonts w:ascii="Arial" w:cs="Arial" w:eastAsia="Arial" w:hAnsi="Arial"/>
                <w:sz w:val="18"/>
                <w:szCs w:val="18"/>
                <w:color w:val="auto"/>
                <w:w w:val="99"/>
              </w:rPr>
              <w:t xml:space="preserve">due 2030; 1.25% Notes due 2026 (previously filed as </w:t>
            </w:r>
            <w:hyperlink r:id="rId74">
              <w:r>
                <w:rPr>
                  <w:rFonts w:ascii="Arial" w:cs="Arial" w:eastAsia="Arial" w:hAnsi="Arial"/>
                  <w:sz w:val="18"/>
                  <w:szCs w:val="18"/>
                  <w:color w:val="0000FF"/>
                  <w:w w:val="99"/>
                </w:rPr>
                <w:t>Exhibit 4.2</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to our Current Report on Form 8-K filed on January 5, 2022 and</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auto"/>
              </w:rPr>
              <w:t>incorporated herein by reference)</w:t>
            </w: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220" w:type="dxa"/>
            <w:vAlign w:val="bottom"/>
            <w:gridSpan w:val="6"/>
          </w:tcPr>
          <w:p>
            <w:pPr>
              <w:spacing w:after="0"/>
              <w:rPr>
                <w:sz w:val="18"/>
                <w:szCs w:val="18"/>
                <w:color w:val="auto"/>
              </w:rPr>
            </w:pPr>
          </w:p>
        </w:tc>
        <w:tc>
          <w:tcPr>
            <w:tcW w:w="800" w:type="dxa"/>
            <w:vAlign w:val="bottom"/>
            <w:gridSpan w:val="3"/>
          </w:tcPr>
          <w:p>
            <w:pPr>
              <w:spacing w:after="0"/>
              <w:rPr>
                <w:sz w:val="18"/>
                <w:szCs w:val="18"/>
                <w:color w:val="auto"/>
              </w:rPr>
            </w:pPr>
          </w:p>
        </w:tc>
        <w:tc>
          <w:tcPr>
            <w:tcW w:w="25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2"/>
              </w:rPr>
              <w:t>Deposit Agreement, dated as of September 29, 2017, by and among Federal Realty Investment Trust, American Stock Transfer and Trust</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Company, LLC, as Depositary, and all holders from time to time of Receipt (previously filed as </w:t>
            </w:r>
            <w:hyperlink r:id="rId75">
              <w:r>
                <w:rPr>
                  <w:rFonts w:ascii="Arial" w:cs="Arial" w:eastAsia="Arial" w:hAnsi="Arial"/>
                  <w:sz w:val="18"/>
                  <w:szCs w:val="18"/>
                  <w:color w:val="0000FF"/>
                  <w:w w:val="92"/>
                </w:rPr>
                <w:t>Exhibit 4.1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Registration</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18"/>
          </w:tcPr>
          <w:p>
            <w:pPr>
              <w:spacing w:after="0"/>
              <w:rPr>
                <w:sz w:val="20"/>
                <w:szCs w:val="20"/>
                <w:color w:val="auto"/>
              </w:rPr>
            </w:pPr>
            <w:r>
              <w:rPr>
                <w:rFonts w:ascii="Arial" w:cs="Arial" w:eastAsia="Arial" w:hAnsi="Arial"/>
                <w:sz w:val="18"/>
                <w:szCs w:val="18"/>
                <w:color w:val="auto"/>
                <w:w w:val="94"/>
              </w:rPr>
              <w:t>Statement on Form 8-A, filed on September 29, 2017 and incorporated herein by reference)</w:t>
            </w:r>
          </w:p>
        </w:tc>
        <w:tc>
          <w:tcPr>
            <w:tcW w:w="800" w:type="dxa"/>
            <w:vAlign w:val="bottom"/>
            <w:tcBorders>
              <w:top w:val="single" w:sz="8" w:color="0000FF"/>
            </w:tcBorders>
            <w:gridSpan w:val="3"/>
          </w:tcPr>
          <w:p>
            <w:pPr>
              <w:spacing w:after="0"/>
              <w:rPr>
                <w:sz w:val="18"/>
                <w:szCs w:val="18"/>
                <w:color w:val="auto"/>
              </w:rPr>
            </w:pPr>
          </w:p>
        </w:tc>
        <w:tc>
          <w:tcPr>
            <w:tcW w:w="25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4"/>
              </w:rPr>
              <w:t>Specimen certificate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 xml:space="preserve">Exhibit 4.3 </w:t>
              </w:r>
            </w:hyperlink>
            <w:r>
              <w:rPr>
                <w:rFonts w:ascii="Arial" w:cs="Arial" w:eastAsia="Arial" w:hAnsi="Arial"/>
                <w:sz w:val="18"/>
                <w:szCs w:val="18"/>
                <w:color w:val="000000"/>
                <w:w w:val="93"/>
              </w:rPr>
              <w:t>to</w:t>
            </w:r>
            <w:r>
              <w:rPr>
                <w:rFonts w:ascii="Arial" w:cs="Arial" w:eastAsia="Arial" w:hAnsi="Arial"/>
                <w:sz w:val="18"/>
                <w:szCs w:val="18"/>
                <w:color w:val="0000FF"/>
                <w:w w:val="93"/>
              </w:rPr>
              <w:t xml:space="preserve"> </w:t>
            </w:r>
            <w:r>
              <w:rPr>
                <w:rFonts w:ascii="Arial" w:cs="Arial" w:eastAsia="Arial" w:hAnsi="Arial"/>
                <w:sz w:val="18"/>
                <w:szCs w:val="18"/>
                <w:color w:val="000000"/>
                <w:w w:val="93"/>
              </w:rPr>
              <w:t>the Predecessor's Registration Statement on Form 8-A, filed on September 29, 2017 and incorporated herein by reference)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Description of Securities (previously filed as </w:t>
            </w:r>
            <w:hyperlink r:id="rId77">
              <w:r>
                <w:rPr>
                  <w:rFonts w:ascii="Arial" w:cs="Arial" w:eastAsia="Arial" w:hAnsi="Arial"/>
                  <w:sz w:val="18"/>
                  <w:szCs w:val="18"/>
                  <w:color w:val="0000FF"/>
                  <w:w w:val="91"/>
                </w:rPr>
                <w:t>Exhibit 4.8</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Annual Report on Form 10-K for the year ended December 31,</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8"/>
          </w:tcPr>
          <w:p>
            <w:pPr>
              <w:spacing w:after="0"/>
              <w:rPr>
                <w:sz w:val="20"/>
                <w:szCs w:val="20"/>
                <w:color w:val="auto"/>
              </w:rPr>
            </w:pPr>
            <w:r>
              <w:rPr>
                <w:rFonts w:ascii="Arial" w:cs="Arial" w:eastAsia="Arial" w:hAnsi="Arial"/>
                <w:sz w:val="18"/>
                <w:szCs w:val="18"/>
                <w:color w:val="auto"/>
                <w:w w:val="97"/>
              </w:rPr>
              <w:t>2019 and incorporated here by reference)</w:t>
            </w:r>
          </w:p>
        </w:tc>
        <w:tc>
          <w:tcPr>
            <w:tcW w:w="800" w:type="dxa"/>
            <w:vAlign w:val="bottom"/>
            <w:tcBorders>
              <w:top w:val="single" w:sz="8" w:color="0000FF"/>
            </w:tcBorders>
            <w:gridSpan w:val="3"/>
          </w:tcPr>
          <w:p>
            <w:pPr>
              <w:spacing w:after="0"/>
              <w:rPr>
                <w:sz w:val="18"/>
                <w:szCs w:val="18"/>
                <w:color w:val="auto"/>
              </w:rPr>
            </w:pPr>
          </w:p>
        </w:tc>
        <w:tc>
          <w:tcPr>
            <w:tcW w:w="614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5"/>
              </w:rPr>
              <w:t>* Severance Agreement between Federal Realty Investment Trust and Donald C. Wood dated February 22, 1999 (previously filed as a</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portion of </w:t>
            </w:r>
            <w:hyperlink r:id="rId78">
              <w:r>
                <w:rPr>
                  <w:rFonts w:ascii="Arial" w:cs="Arial" w:eastAsia="Arial" w:hAnsi="Arial"/>
                  <w:sz w:val="18"/>
                  <w:szCs w:val="18"/>
                  <w:color w:val="0000FF"/>
                  <w:w w:val="91"/>
                </w:rPr>
                <w:t>Exhibit 10</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Quarterly Report on Form 10-Q for the quarter ended March 31, 1999 (the "1999 1Q Form 10-Q")</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8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w w:val="95"/>
              </w:rPr>
              <w:t>* Executive Agreement between Federal Realty Investment Trust and Donald C. Wood dated February 22, 1999 (previously filed as a</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portion of </w:t>
            </w:r>
            <w:hyperlink r:id="rId78">
              <w:r>
                <w:rPr>
                  <w:rFonts w:ascii="Arial" w:cs="Arial" w:eastAsia="Arial" w:hAnsi="Arial"/>
                  <w:sz w:val="18"/>
                  <w:szCs w:val="18"/>
                  <w:color w:val="0000FF"/>
                </w:rPr>
                <w:t>Exhibit 10</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1999 1Q Form 10-Q and incorporated herein by reference)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1022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7"/>
                <w:szCs w:val="17"/>
                <w:color w:val="auto"/>
              </w:rPr>
            </w:pPr>
          </w:p>
        </w:tc>
        <w:tc>
          <w:tcPr>
            <w:tcW w:w="10220" w:type="dxa"/>
            <w:vAlign w:val="bottom"/>
            <w:gridSpan w:val="2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200" w:type="dxa"/>
            <w:vAlign w:val="bottom"/>
            <w:tcBorders>
              <w:top w:val="single" w:sz="8" w:color="auto"/>
            </w:tcBorders>
            <w:gridSpan w:val="26"/>
          </w:tcPr>
          <w:p>
            <w:pPr>
              <w:spacing w:after="0" w:line="176" w:lineRule="exact"/>
              <w:rPr>
                <w:sz w:val="20"/>
                <w:szCs w:val="20"/>
                <w:color w:val="auto"/>
              </w:rPr>
            </w:pPr>
            <w:r>
              <w:rPr>
                <w:rFonts w:ascii="Arial" w:cs="Arial" w:eastAsia="Arial" w:hAnsi="Arial"/>
                <w:sz w:val="18"/>
                <w:szCs w:val="18"/>
                <w:color w:val="auto"/>
                <w:w w:val="92"/>
              </w:rPr>
              <w:t>* Amendment to Executive Agreement between Federal Realty Investment Trust and Donald C. Wood dated February 16, 2005 (previously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filed as </w:t>
            </w:r>
            <w:hyperlink r:id="rId80">
              <w:r>
                <w:rPr>
                  <w:rFonts w:ascii="Arial" w:cs="Arial" w:eastAsia="Arial" w:hAnsi="Arial"/>
                  <w:sz w:val="18"/>
                  <w:szCs w:val="18"/>
                  <w:color w:val="0000FF"/>
                  <w:w w:val="92"/>
                </w:rPr>
                <w:t>Exhibit 10.12</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Annual Report on Form 10-K for the year ended December 31, 2004 (the “2004 Form 10-K”) and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6"/>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81">
              <w:r>
                <w:rPr>
                  <w:rFonts w:ascii="Arial" w:cs="Arial" w:eastAsia="Arial" w:hAnsi="Arial"/>
                  <w:sz w:val="18"/>
                  <w:szCs w:val="18"/>
                  <w:color w:val="0000FF"/>
                </w:rPr>
                <w:t>Exhibit 10.26</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2004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7"/>
          </w:tcPr>
          <w:p>
            <w:pPr>
              <w:spacing w:after="0"/>
              <w:rPr>
                <w:rFonts w:ascii="Arial" w:cs="Arial" w:eastAsia="Arial" w:hAnsi="Arial"/>
                <w:sz w:val="18"/>
                <w:szCs w:val="18"/>
                <w:color w:val="auto"/>
                <w:w w:val="94"/>
              </w:rPr>
            </w:pPr>
            <w:hyperlink r:id="rId82">
              <w:r>
                <w:rPr>
                  <w:rFonts w:ascii="Arial" w:cs="Arial" w:eastAsia="Arial" w:hAnsi="Arial"/>
                  <w:sz w:val="18"/>
                  <w:szCs w:val="18"/>
                  <w:color w:val="auto"/>
                  <w:w w:val="94"/>
                </w:rPr>
                <w:t xml:space="preserve">* Severance Agreement between Federal Realty Investment Trust and Dawn M. Becker dated April 19, 2000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23"/>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10.</w:t>
              </w:r>
              <w:r>
                <w:rPr>
                  <w:rFonts w:ascii="Arial" w:cs="Arial" w:eastAsia="Arial" w:hAnsi="Arial"/>
                  <w:sz w:val="18"/>
                  <w:szCs w:val="18"/>
                  <w:u w:val="single" w:color="auto"/>
                  <w:color w:val="0000FF"/>
                </w:rPr>
                <w:t>26</w:t>
              </w:r>
              <w:r>
                <w:rPr>
                  <w:rFonts w:ascii="Arial" w:cs="Arial" w:eastAsia="Arial" w:hAnsi="Arial"/>
                  <w:sz w:val="18"/>
                  <w:szCs w:val="18"/>
                  <w:color w:val="0000FF"/>
                </w:rPr>
                <w:t xml:space="preserve"> </w:t>
              </w:r>
              <w:r>
                <w:rPr>
                  <w:rFonts w:ascii="Arial" w:cs="Arial" w:eastAsia="Arial" w:hAnsi="Arial"/>
                  <w:sz w:val="18"/>
                  <w:szCs w:val="18"/>
                  <w:color w:val="000000"/>
                </w:rPr>
                <w:t>to the Predecessor’s 2005 2Q Form 10-Q and incorporated herein by reference)</w:t>
              </w:r>
            </w:hyperlink>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1"/>
              </w:rPr>
              <w:t>* Amendment to Severance Agreement between Federal Realty Investment Trust and Dawn M. Becker dated February 16, 2005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filed as </w:t>
            </w:r>
            <w:hyperlink r:id="rId83">
              <w:r>
                <w:rPr>
                  <w:rFonts w:ascii="Arial" w:cs="Arial" w:eastAsia="Arial" w:hAnsi="Arial"/>
                  <w:sz w:val="18"/>
                  <w:szCs w:val="18"/>
                  <w:color w:val="0000FF"/>
                </w:rPr>
                <w:t>Exhibit 10.27</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2004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3"/>
              </w:rPr>
              <w:t>Form of Restricted Share Award Agreement for long term vesting and retention awards for shares issued out of the 2010 Plan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filed as </w:t>
            </w:r>
            <w:hyperlink r:id="rId84">
              <w:r>
                <w:rPr>
                  <w:rFonts w:ascii="Arial" w:cs="Arial" w:eastAsia="Arial" w:hAnsi="Arial"/>
                  <w:sz w:val="18"/>
                  <w:szCs w:val="18"/>
                  <w:color w:val="0000FF"/>
                  <w:w w:val="91"/>
                </w:rPr>
                <w:t>Exhibit 10.35</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Annual Report on Form 10-K for the year ended December 31, 2010 (the "2010 Form 10-K") and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3"/>
              </w:rPr>
              <w:t>* Amendment to Severance Agreement between Federal Realty Investment Trust and Donald C. Wood dated January 1, 2009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filed as </w:t>
            </w:r>
            <w:hyperlink r:id="rId85">
              <w:r>
                <w:rPr>
                  <w:rFonts w:ascii="Arial" w:cs="Arial" w:eastAsia="Arial" w:hAnsi="Arial"/>
                  <w:sz w:val="18"/>
                  <w:szCs w:val="18"/>
                  <w:color w:val="0000FF"/>
                  <w:w w:val="92"/>
                </w:rPr>
                <w:t>Exhibit 10.26</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Annual Report on Form 10-K for the year ended December 31, 2008 (“the 2008 Form 10-K”) and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6"/>
              </w:rPr>
              <w:t>* Second Amendment to Executive Agreement between Federal Realty Investment Trust and Donald C. Wood dated January 1, 2009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86">
              <w:r>
                <w:rPr>
                  <w:rFonts w:ascii="Arial" w:cs="Arial" w:eastAsia="Arial" w:hAnsi="Arial"/>
                  <w:sz w:val="18"/>
                  <w:szCs w:val="18"/>
                  <w:color w:val="0000FF"/>
                </w:rPr>
                <w:t>Exhibit 10.27</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2008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1"/>
              </w:rPr>
              <w:t>* Amendment to Health Coverage Continuation Agreement between Federal Realty Investment Trust and Donald C. Wood dated January 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2009 (previously filed as </w:t>
            </w:r>
            <w:hyperlink r:id="rId87">
              <w:r>
                <w:rPr>
                  <w:rFonts w:ascii="Arial" w:cs="Arial" w:eastAsia="Arial" w:hAnsi="Arial"/>
                  <w:sz w:val="18"/>
                  <w:szCs w:val="18"/>
                  <w:color w:val="0000FF"/>
                </w:rPr>
                <w:t>Exhibit 10.28</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2008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5"/>
              </w:rPr>
              <w:t>* Second Amendment to Severance Agreement between Federal Realty Investment Trust and Dawn M. Becker dated January 1, 2009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88">
              <w:r>
                <w:rPr>
                  <w:rFonts w:ascii="Arial" w:cs="Arial" w:eastAsia="Arial" w:hAnsi="Arial"/>
                  <w:sz w:val="18"/>
                  <w:szCs w:val="18"/>
                  <w:color w:val="0000FF"/>
                </w:rPr>
                <w:t>Exhibit 10.30</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2008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7"/>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2010 Performance Incentive Plan (previously filed as </w:t>
            </w:r>
            <w:hyperlink r:id="rId89">
              <w:r>
                <w:rPr>
                  <w:rFonts w:ascii="Arial" w:cs="Arial" w:eastAsia="Arial" w:hAnsi="Arial"/>
                  <w:sz w:val="18"/>
                  <w:szCs w:val="18"/>
                  <w:color w:val="0000FF"/>
                  <w:w w:val="95"/>
                </w:rPr>
                <w:t>Appendix A</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Predecessor’s Definitive Proxy Statement for the 2010 Annual</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9"/>
          </w:tcPr>
          <w:p>
            <w:pPr>
              <w:spacing w:after="0"/>
              <w:rPr>
                <w:sz w:val="20"/>
                <w:szCs w:val="20"/>
                <w:color w:val="auto"/>
              </w:rPr>
            </w:pPr>
            <w:r>
              <w:rPr>
                <w:rFonts w:ascii="Arial" w:cs="Arial" w:eastAsia="Arial" w:hAnsi="Arial"/>
                <w:sz w:val="18"/>
                <w:szCs w:val="18"/>
                <w:color w:val="auto"/>
                <w:w w:val="92"/>
              </w:rPr>
              <w:t>Meeting of Shareholders and incorporated herein by</w:t>
            </w:r>
          </w:p>
        </w:tc>
        <w:tc>
          <w:tcPr>
            <w:tcW w:w="880" w:type="dxa"/>
            <w:vAlign w:val="bottom"/>
            <w:tcBorders>
              <w:top w:val="single" w:sz="8" w:color="0000FF"/>
            </w:tcBorders>
            <w:gridSpan w:val="2"/>
          </w:tcPr>
          <w:p>
            <w:pPr>
              <w:jc w:val="right"/>
              <w:ind w:right="240"/>
              <w:spacing w:after="0"/>
              <w:rPr>
                <w:sz w:val="20"/>
                <w:szCs w:val="20"/>
                <w:color w:val="auto"/>
              </w:rPr>
            </w:pPr>
            <w:r>
              <w:rPr>
                <w:rFonts w:ascii="Arial" w:cs="Arial" w:eastAsia="Arial" w:hAnsi="Arial"/>
                <w:sz w:val="18"/>
                <w:szCs w:val="18"/>
                <w:color w:val="auto"/>
                <w:w w:val="75"/>
              </w:rPr>
              <w:t>reference)</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8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7"/>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Amendment to 2010 Performance Incentive Plan (“the 2010 Plan”) (previously filed as </w:t>
            </w:r>
            <w:hyperlink r:id="rId90">
              <w:r>
                <w:rPr>
                  <w:rFonts w:ascii="Arial" w:cs="Arial" w:eastAsia="Arial" w:hAnsi="Arial"/>
                  <w:sz w:val="18"/>
                  <w:szCs w:val="18"/>
                  <w:color w:val="0000FF"/>
                  <w:w w:val="91"/>
                </w:rPr>
                <w:t>Appendix A</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Proxy Statement for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20" w:type="dxa"/>
            <w:vAlign w:val="bottom"/>
            <w:gridSpan w:val="15"/>
          </w:tcPr>
          <w:p>
            <w:pPr>
              <w:spacing w:after="0"/>
              <w:rPr>
                <w:sz w:val="20"/>
                <w:szCs w:val="20"/>
                <w:color w:val="auto"/>
              </w:rPr>
            </w:pPr>
            <w:r>
              <w:rPr>
                <w:rFonts w:ascii="Arial" w:cs="Arial" w:eastAsia="Arial" w:hAnsi="Arial"/>
                <w:sz w:val="18"/>
                <w:szCs w:val="18"/>
                <w:color w:val="auto"/>
                <w:w w:val="98"/>
              </w:rPr>
              <w:t>the 2010 Annual Meeting of Shareholders and incorporated herein by reference)</w:t>
            </w:r>
          </w:p>
        </w:tc>
        <w:tc>
          <w:tcPr>
            <w:tcW w:w="7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1"/>
              </w:rPr>
              <w:t>Form of Restricted Share Award Agreement for awards made under Federal Realty Investment Trust’s Long-Term Incentive Award Program</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7"/>
          </w:tcPr>
          <w:p>
            <w:pPr>
              <w:spacing w:after="0" w:line="176" w:lineRule="exact"/>
              <w:rPr>
                <w:sz w:val="20"/>
                <w:szCs w:val="20"/>
                <w:color w:val="auto"/>
              </w:rPr>
            </w:pPr>
            <w:r>
              <w:rPr>
                <w:rFonts w:ascii="Arial" w:cs="Arial" w:eastAsia="Arial" w:hAnsi="Arial"/>
                <w:sz w:val="18"/>
                <w:szCs w:val="18"/>
                <w:color w:val="auto"/>
                <w:w w:val="93"/>
              </w:rPr>
              <w:t>and the Trust’s Annual Incentive Bonus Program and basic awards with annual vesting for shares issued out of the 2010 Plan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filed as </w:t>
            </w:r>
            <w:hyperlink r:id="rId91">
              <w:r>
                <w:rPr>
                  <w:rFonts w:ascii="Arial" w:cs="Arial" w:eastAsia="Arial" w:hAnsi="Arial"/>
                  <w:sz w:val="18"/>
                  <w:szCs w:val="18"/>
                  <w:color w:val="0000FF"/>
                </w:rPr>
                <w:t>Exhibit 10.34</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2010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1"/>
              </w:rPr>
              <w:t>Form of Option Award Agreement for awards made under Federal Realty Investment Trust’s Long-Term Incentive Award Program for shares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issued out of the 2010 Plan (previously filed as </w:t>
            </w:r>
            <w:hyperlink r:id="rId92">
              <w:r>
                <w:rPr>
                  <w:rFonts w:ascii="Arial" w:cs="Arial" w:eastAsia="Arial" w:hAnsi="Arial"/>
                  <w:sz w:val="18"/>
                  <w:szCs w:val="18"/>
                  <w:color w:val="0000FF"/>
                  <w:w w:val="93"/>
                </w:rPr>
                <w:t>Exhibit 10.38</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Predecessor’s 2010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6"/>
              </w:rPr>
              <w:t>Form of Option Award Agreement for front loaded awards made under Federal Realty Investment Trust’s Long-Term Incentive Award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Program for shares issued out of the 2010 Plan (previously filed as </w:t>
            </w:r>
            <w:hyperlink r:id="rId93">
              <w:r>
                <w:rPr>
                  <w:rFonts w:ascii="Arial" w:cs="Arial" w:eastAsia="Arial" w:hAnsi="Arial"/>
                  <w:sz w:val="18"/>
                  <w:szCs w:val="18"/>
                  <w:color w:val="0000FF"/>
                  <w:w w:val="94"/>
                </w:rPr>
                <w:t>Exhibit 10.39</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Predecessor’s 2010 Form 10-K and incorporated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herein by reference)</w:t>
            </w:r>
          </w:p>
        </w:tc>
        <w:tc>
          <w:tcPr>
            <w:tcW w:w="98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7"/>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Form of Option Award Agreement for basic options awarded out of the 2010 Plan (previously filed as </w:t>
            </w:r>
            <w:hyperlink r:id="rId94">
              <w:r>
                <w:rPr>
                  <w:rFonts w:ascii="Arial" w:cs="Arial" w:eastAsia="Arial" w:hAnsi="Arial"/>
                  <w:sz w:val="18"/>
                  <w:szCs w:val="18"/>
                  <w:color w:val="0000FF"/>
                  <w:w w:val="94"/>
                </w:rPr>
                <w:t>Exhibit 10.40</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Predecessor’s</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80" w:type="dxa"/>
            <w:vAlign w:val="bottom"/>
            <w:gridSpan w:val="18"/>
          </w:tcPr>
          <w:p>
            <w:pPr>
              <w:spacing w:after="0"/>
              <w:rPr>
                <w:sz w:val="20"/>
                <w:szCs w:val="20"/>
                <w:color w:val="auto"/>
              </w:rPr>
            </w:pPr>
            <w:r>
              <w:rPr>
                <w:rFonts w:ascii="Arial" w:cs="Arial" w:eastAsia="Arial" w:hAnsi="Arial"/>
                <w:sz w:val="18"/>
                <w:szCs w:val="18"/>
                <w:color w:val="auto"/>
              </w:rPr>
              <w:t>2010 Form 10-K and incorporated herein by reference)</w:t>
            </w:r>
          </w:p>
        </w:tc>
        <w:tc>
          <w:tcPr>
            <w:tcW w:w="10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4"/>
              </w:rPr>
              <w:t>Revised Form of Restricted Share Award Agreement for front loaded awards made under Federal Realty Investment Trust’s Long-Term</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Incentive Award Program for shares issued out of the 2010 Plan (previously filed as </w:t>
            </w:r>
            <w:hyperlink r:id="rId95">
              <w:r>
                <w:rPr>
                  <w:rFonts w:ascii="Arial" w:cs="Arial" w:eastAsia="Arial" w:hAnsi="Arial"/>
                  <w:sz w:val="18"/>
                  <w:szCs w:val="18"/>
                  <w:color w:val="0000FF"/>
                  <w:w w:val="93"/>
                </w:rPr>
                <w:t>Exhibit 10.35</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Predecessor's Annual Report 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14"/>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160" w:type="dxa"/>
            <w:vAlign w:val="bottom"/>
            <w:gridSpan w:val="11"/>
            <w:vMerge w:val="restart"/>
          </w:tcPr>
          <w:p>
            <w:pPr>
              <w:ind w:left="140"/>
              <w:spacing w:after="0"/>
              <w:rPr>
                <w:sz w:val="20"/>
                <w:szCs w:val="20"/>
                <w:color w:val="auto"/>
              </w:rPr>
            </w:pPr>
            <w:r>
              <w:rPr>
                <w:rFonts w:ascii="Arial" w:cs="Arial" w:eastAsia="Arial" w:hAnsi="Arial"/>
                <w:sz w:val="18"/>
                <w:szCs w:val="18"/>
                <w:color w:val="auto"/>
              </w:rPr>
              <w:t>by reference)</w:t>
            </w: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60" w:type="dxa"/>
            <w:vAlign w:val="bottom"/>
            <w:gridSpan w:val="16"/>
          </w:tcPr>
          <w:p>
            <w:pPr>
              <w:spacing w:after="0"/>
              <w:rPr>
                <w:sz w:val="20"/>
                <w:szCs w:val="20"/>
                <w:color w:val="auto"/>
              </w:rPr>
            </w:pPr>
            <w:r>
              <w:rPr>
                <w:rFonts w:ascii="Arial" w:cs="Arial" w:eastAsia="Arial" w:hAnsi="Arial"/>
                <w:sz w:val="18"/>
                <w:szCs w:val="18"/>
                <w:color w:val="auto"/>
                <w:w w:val="89"/>
              </w:rPr>
              <w:t>Form 10-K for the year ended December 31, 2012 (the "2012 Form 10-K") and incorporated herein</w:t>
            </w:r>
          </w:p>
        </w:tc>
        <w:tc>
          <w:tcPr>
            <w:tcW w:w="3160" w:type="dxa"/>
            <w:vAlign w:val="bottom"/>
            <w:gridSpan w:val="1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4"/>
              </w:rPr>
              <w:t>Revised Form of Restricted Share Award Agreement for long-term vesting and retention awards made under Federal Realty Investment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7"/>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Trust’s Long-Term Incentive Award Program for shares issued out of the 2010 Plan (previously filed as </w:t>
            </w:r>
            <w:hyperlink r:id="rId96">
              <w:r>
                <w:rPr>
                  <w:rFonts w:ascii="Arial" w:cs="Arial" w:eastAsia="Arial" w:hAnsi="Arial"/>
                  <w:sz w:val="18"/>
                  <w:szCs w:val="18"/>
                  <w:color w:val="0000FF"/>
                  <w:w w:val="93"/>
                </w:rPr>
                <w:t>Exhibit 10.36</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Predecessor's</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80" w:type="dxa"/>
            <w:vAlign w:val="bottom"/>
            <w:gridSpan w:val="19"/>
          </w:tcPr>
          <w:p>
            <w:pPr>
              <w:spacing w:after="0"/>
              <w:rPr>
                <w:sz w:val="20"/>
                <w:szCs w:val="20"/>
                <w:color w:val="auto"/>
              </w:rPr>
            </w:pPr>
            <w:r>
              <w:rPr>
                <w:rFonts w:ascii="Arial" w:cs="Arial" w:eastAsia="Arial" w:hAnsi="Arial"/>
                <w:sz w:val="18"/>
                <w:szCs w:val="18"/>
                <w:color w:val="auto"/>
              </w:rPr>
              <w:t>2012 Form 10-K and incorporated herein by reference)</w:t>
            </w:r>
          </w:p>
        </w:tc>
        <w:tc>
          <w:tcPr>
            <w:tcW w:w="90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7"/>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Revised Form of Performance Share Award Agreement for shares awarded out of the 2010 Plan (previously filed as </w:t>
            </w:r>
            <w:hyperlink r:id="rId97">
              <w:r>
                <w:rPr>
                  <w:rFonts w:ascii="Arial" w:cs="Arial" w:eastAsia="Arial" w:hAnsi="Arial"/>
                  <w:sz w:val="18"/>
                  <w:szCs w:val="18"/>
                  <w:color w:val="0000FF"/>
                  <w:w w:val="94"/>
                </w:rPr>
                <w:t>Exhibit 10.37</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80" w:type="dxa"/>
            <w:vAlign w:val="bottom"/>
            <w:gridSpan w:val="21"/>
          </w:tcPr>
          <w:p>
            <w:pPr>
              <w:spacing w:after="0"/>
              <w:rPr>
                <w:sz w:val="20"/>
                <w:szCs w:val="20"/>
                <w:color w:val="auto"/>
              </w:rPr>
            </w:pPr>
            <w:r>
              <w:rPr>
                <w:rFonts w:ascii="Arial" w:cs="Arial" w:eastAsia="Arial" w:hAnsi="Arial"/>
                <w:sz w:val="18"/>
                <w:szCs w:val="18"/>
                <w:color w:val="auto"/>
              </w:rPr>
              <w:t>Predecessor's 2012 Form 10-K and incorporated herein by reference)</w:t>
            </w:r>
          </w:p>
        </w:tc>
        <w:tc>
          <w:tcPr>
            <w:tcW w:w="980" w:type="dxa"/>
            <w:vAlign w:val="bottom"/>
            <w:tcBorders>
              <w:top w:val="single" w:sz="8" w:color="0000FF"/>
            </w:tcBorders>
            <w:gridSpan w:val="3"/>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w w:val="91"/>
              </w:rPr>
              <w:t>Revised Form of Restricted Share Award Agreement for awards made under Federal Realty Investment Trust’s Long-Term Incentive Award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7"/>
          </w:tcPr>
          <w:p>
            <w:pPr>
              <w:spacing w:after="0" w:line="176" w:lineRule="exact"/>
              <w:rPr>
                <w:sz w:val="20"/>
                <w:szCs w:val="20"/>
                <w:color w:val="auto"/>
              </w:rPr>
            </w:pPr>
            <w:r>
              <w:rPr>
                <w:rFonts w:ascii="Arial" w:cs="Arial" w:eastAsia="Arial" w:hAnsi="Arial"/>
                <w:sz w:val="18"/>
                <w:szCs w:val="18"/>
                <w:color w:val="auto"/>
                <w:w w:val="95"/>
              </w:rPr>
              <w:t>Program and the Trust’s Annual Incentive Bonus Program and basic awards with annual vesting for shares issued out of the 2010 Plan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27"/>
          </w:tcPr>
          <w:p>
            <w:pPr>
              <w:spacing w:after="0"/>
              <w:rPr>
                <w:sz w:val="20"/>
                <w:szCs w:val="20"/>
                <w:color w:val="auto"/>
              </w:rPr>
            </w:pPr>
            <w:r>
              <w:rPr>
                <w:rFonts w:ascii="Arial" w:cs="Arial" w:eastAsia="Arial" w:hAnsi="Arial"/>
                <w:sz w:val="18"/>
                <w:szCs w:val="18"/>
                <w:color w:val="auto"/>
              </w:rPr>
              <w:t>(previously filed as Exhibit 10.38 to the Predecessor's 2012 Form 10-K and incorporated herein by reference)</w:t>
            </w:r>
          </w:p>
        </w:tc>
        <w:tc>
          <w:tcPr>
            <w:tcW w:w="0" w:type="dxa"/>
            <w:vAlign w:val="bottom"/>
          </w:tcPr>
          <w:p>
            <w:pPr>
              <w:spacing w:after="0"/>
              <w:rPr>
                <w:sz w:val="1"/>
                <w:szCs w:val="1"/>
                <w:color w:val="auto"/>
              </w:rPr>
            </w:pPr>
          </w:p>
        </w:tc>
      </w:tr>
      <w:tr>
        <w:trPr>
          <w:trHeight w:val="863"/>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1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ind w:left="36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7106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2" w:lineRule="exact"/>
        <w:rPr>
          <w:sz w:val="20"/>
          <w:szCs w:val="20"/>
          <w:color w:val="auto"/>
        </w:rPr>
      </w:pPr>
    </w:p>
    <w:p>
      <w:pPr>
        <w:ind w:left="40"/>
        <w:spacing w:after="0"/>
        <w:tabs>
          <w:tab w:leader="none" w:pos="1000" w:val="left"/>
        </w:tabs>
        <w:rPr>
          <w:rFonts w:ascii="Arial" w:cs="Arial" w:eastAsia="Arial" w:hAnsi="Arial"/>
          <w:sz w:val="16"/>
          <w:szCs w:val="16"/>
          <w:color w:val="auto"/>
        </w:rPr>
      </w:pPr>
      <w:r>
        <w:rPr>
          <w:rFonts w:ascii="Arial" w:cs="Arial" w:eastAsia="Arial" w:hAnsi="Arial"/>
          <w:sz w:val="18"/>
          <w:szCs w:val="18"/>
          <w:color w:val="auto"/>
        </w:rPr>
        <w:t>10.22</w:t>
      </w:r>
      <w:r>
        <w:rPr>
          <w:sz w:val="20"/>
          <w:szCs w:val="20"/>
          <w:color w:val="auto"/>
        </w:rPr>
        <w:tab/>
      </w:r>
      <w:hyperlink r:id="rId101">
        <w:r>
          <w:rPr>
            <w:rFonts w:ascii="Arial" w:cs="Arial" w:eastAsia="Arial" w:hAnsi="Arial"/>
            <w:sz w:val="16"/>
            <w:szCs w:val="16"/>
            <w:color w:val="auto"/>
          </w:rPr>
          <w:t xml:space="preserve">Severance Agreement between Federal Realty Investment Trust and Daniel Guglielmone dated August 15, 2016 (previously filed as </w:t>
        </w:r>
        <w:r>
          <w:rPr>
            <w:rFonts w:ascii="Arial" w:cs="Arial" w:eastAsia="Arial" w:hAnsi="Arial"/>
            <w:sz w:val="16"/>
            <w:szCs w:val="16"/>
            <w:u w:val="single" w:color="auto"/>
            <w:color w:val="0000FF"/>
          </w:rPr>
          <w:t>Exhibit</w:t>
        </w:r>
      </w:hyperlink>
    </w:p>
    <w:p>
      <w:pPr>
        <w:ind w:left="1020"/>
        <w:spacing w:after="0"/>
        <w:rPr>
          <w:rFonts w:ascii="Arial" w:cs="Arial" w:eastAsia="Arial" w:hAnsi="Arial"/>
          <w:sz w:val="16"/>
          <w:szCs w:val="16"/>
          <w:color w:val="0000FF"/>
        </w:rPr>
      </w:pPr>
      <w:hyperlink r:id="rId101">
        <w:r>
          <w:rPr>
            <w:rFonts w:ascii="Arial" w:cs="Arial" w:eastAsia="Arial" w:hAnsi="Arial"/>
            <w:sz w:val="16"/>
            <w:szCs w:val="16"/>
            <w:u w:val="single" w:color="auto"/>
            <w:color w:val="0000FF"/>
          </w:rPr>
          <w:t>10.36</w:t>
        </w:r>
        <w:r>
          <w:rPr>
            <w:rFonts w:ascii="Arial" w:cs="Arial" w:eastAsia="Arial" w:hAnsi="Arial"/>
            <w:sz w:val="16"/>
            <w:szCs w:val="16"/>
            <w:color w:val="0000FF"/>
          </w:rPr>
          <w:t xml:space="preserve"> </w:t>
        </w:r>
        <w:r>
          <w:rPr>
            <w:rFonts w:ascii="Arial" w:cs="Arial" w:eastAsia="Arial" w:hAnsi="Arial"/>
            <w:sz w:val="16"/>
            <w:szCs w:val="16"/>
            <w:color w:val="000000"/>
          </w:rPr>
          <w:t>to the Predecessor's Quarterly Report on Form 10-Q for the quarter ended September 30, 2016 and incorporated herein by reference)</w:t>
        </w:r>
      </w:hyperlink>
    </w:p>
    <w:p>
      <w:pPr>
        <w:spacing w:after="0" w:line="97" w:lineRule="exact"/>
        <w:rPr>
          <w:sz w:val="20"/>
          <w:szCs w:val="20"/>
          <w:color w:val="auto"/>
        </w:rPr>
      </w:pPr>
    </w:p>
    <w:p>
      <w:pPr>
        <w:jc w:val="right"/>
        <w:ind w:left="40" w:right="140"/>
        <w:spacing w:after="0" w:line="233" w:lineRule="auto"/>
        <w:rPr>
          <w:rFonts w:ascii="Arial" w:cs="Arial" w:eastAsia="Arial" w:hAnsi="Arial"/>
          <w:sz w:val="17"/>
          <w:szCs w:val="17"/>
          <w:color w:val="auto"/>
        </w:rPr>
      </w:pPr>
      <w:r>
        <w:rPr>
          <w:rFonts w:ascii="Arial" w:cs="Arial" w:eastAsia="Arial" w:hAnsi="Arial"/>
          <w:sz w:val="17"/>
          <w:szCs w:val="17"/>
          <w:color w:val="auto"/>
        </w:rPr>
        <w:t xml:space="preserve">10.23      Amended and Restated Credit Agreement, dated as of July 25, 2019, by and among the Predecessor, each of the Lenders party thereto, and PNC Bank, National Association, as Administrative Agent (previously filed as </w:t>
      </w:r>
      <w:hyperlink r:id="rId102">
        <w:r>
          <w:rPr>
            <w:rFonts w:ascii="Arial" w:cs="Arial" w:eastAsia="Arial" w:hAnsi="Arial"/>
            <w:sz w:val="17"/>
            <w:szCs w:val="17"/>
            <w:u w:val="single" w:color="auto"/>
            <w:color w:val="0000FF"/>
          </w:rPr>
          <w:t>Exhibit 10.1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Predecessor's Current Report on Form 8-</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 filed on July 29, 2019 and incorporated herein by reference) ‡</w:t>
      </w:r>
    </w:p>
    <w:p>
      <w:pPr>
        <w:spacing w:after="0" w:line="61" w:lineRule="exact"/>
        <w:rPr>
          <w:sz w:val="20"/>
          <w:szCs w:val="20"/>
          <w:color w:val="auto"/>
        </w:rPr>
      </w:pPr>
    </w:p>
    <w:p>
      <w:pPr>
        <w:ind w:left="1020" w:right="440" w:hanging="971"/>
        <w:spacing w:after="0" w:line="235"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xml:space="preserve">2020 Performance Incentive Plan (previously filed as </w:t>
      </w:r>
      <w:hyperlink r:id="rId103">
        <w:r>
          <w:rPr>
            <w:rFonts w:ascii="Arial" w:cs="Arial" w:eastAsia="Arial" w:hAnsi="Arial"/>
            <w:sz w:val="18"/>
            <w:szCs w:val="18"/>
            <w:u w:val="single" w:color="auto"/>
            <w:color w:val="0000FF"/>
          </w:rPr>
          <w:t>Appendix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Definitive Proxy Statement for the 2020 Annual Meeting of Shareholders and incorporated herein by reference)</w:t>
      </w:r>
    </w:p>
    <w:p>
      <w:pPr>
        <w:spacing w:after="0" w:line="67" w:lineRule="exact"/>
        <w:rPr>
          <w:sz w:val="20"/>
          <w:szCs w:val="20"/>
          <w:color w:val="auto"/>
        </w:rPr>
      </w:pPr>
    </w:p>
    <w:p>
      <w:pPr>
        <w:jc w:val="right"/>
        <w:ind w:left="40" w:right="60"/>
        <w:spacing w:after="0" w:line="233" w:lineRule="auto"/>
        <w:rPr>
          <w:sz w:val="20"/>
          <w:szCs w:val="20"/>
          <w:color w:val="auto"/>
        </w:rPr>
      </w:pPr>
      <w:r>
        <w:rPr>
          <w:rFonts w:ascii="Arial" w:cs="Arial" w:eastAsia="Arial" w:hAnsi="Arial"/>
          <w:sz w:val="17"/>
          <w:szCs w:val="17"/>
          <w:color w:val="auto"/>
        </w:rPr>
        <w:t>10.25      Term Loan Agreement dated as of May 6, 2020, by and among the Predecessor, as Borrower, the financial institutions party thereto and their permitted assignees under Section 12.6., as Lenders, PNC Bank, National Association, as Administrative Agent, Regions Bank, Truist Bank,</w:t>
      </w:r>
    </w:p>
    <w:p>
      <w:pPr>
        <w:spacing w:after="0" w:line="1" w:lineRule="exact"/>
        <w:rPr>
          <w:sz w:val="20"/>
          <w:szCs w:val="20"/>
          <w:color w:val="auto"/>
        </w:rPr>
      </w:pPr>
    </w:p>
    <w:p>
      <w:pPr>
        <w:ind w:left="1020" w:right="320"/>
        <w:spacing w:after="0" w:line="248" w:lineRule="auto"/>
        <w:rPr>
          <w:rFonts w:ascii="Arial" w:cs="Arial" w:eastAsia="Arial" w:hAnsi="Arial"/>
          <w:sz w:val="16"/>
          <w:szCs w:val="16"/>
          <w:color w:val="0000FF"/>
        </w:rPr>
      </w:pPr>
      <w:r>
        <w:rPr>
          <w:rFonts w:ascii="Arial" w:cs="Arial" w:eastAsia="Arial" w:hAnsi="Arial"/>
          <w:sz w:val="16"/>
          <w:szCs w:val="16"/>
          <w:color w:val="auto"/>
        </w:rPr>
        <w:t xml:space="preserve">and U.S. Bank National Bank Association as Co-Syndication Agents, PNC Capital Markets, LLC, Regions Capital Markets, Suntrust </w:t>
      </w:r>
      <w:hyperlink r:id="rId104">
        <w:r>
          <w:rPr>
            <w:rFonts w:ascii="Arial" w:cs="Arial" w:eastAsia="Arial" w:hAnsi="Arial"/>
            <w:sz w:val="16"/>
            <w:szCs w:val="16"/>
            <w:color w:val="auto"/>
          </w:rPr>
          <w:t xml:space="preserve">Robinson Humphrey, Inc., and U.S. Bank National Association, as Joint Lead Arrangers and Book Managers (previously filed as </w:t>
        </w:r>
        <w:r>
          <w:rPr>
            <w:rFonts w:ascii="Arial" w:cs="Arial" w:eastAsia="Arial" w:hAnsi="Arial"/>
            <w:sz w:val="16"/>
            <w:szCs w:val="16"/>
            <w:u w:val="single" w:color="auto"/>
            <w:color w:val="0000FF"/>
          </w:rPr>
          <w:t>Exhibit</w:t>
        </w:r>
      </w:hyperlink>
      <w:r>
        <w:rPr>
          <w:rFonts w:ascii="Arial" w:cs="Arial" w:eastAsia="Arial" w:hAnsi="Arial"/>
          <w:sz w:val="16"/>
          <w:szCs w:val="16"/>
          <w:color w:val="auto"/>
        </w:rPr>
        <w:t xml:space="preserve"> </w:t>
      </w:r>
      <w:hyperlink r:id="rId104">
        <w:r>
          <w:rPr>
            <w:rFonts w:ascii="Arial" w:cs="Arial" w:eastAsia="Arial" w:hAnsi="Arial"/>
            <w:sz w:val="16"/>
            <w:szCs w:val="16"/>
            <w:u w:val="single" w:color="auto"/>
            <w:color w:val="0000FF"/>
          </w:rPr>
          <w:t>10.1</w:t>
        </w:r>
        <w:r>
          <w:rPr>
            <w:rFonts w:ascii="Arial" w:cs="Arial" w:eastAsia="Arial" w:hAnsi="Arial"/>
            <w:sz w:val="16"/>
            <w:szCs w:val="16"/>
            <w:color w:val="0000FF"/>
          </w:rPr>
          <w:t xml:space="preserve"> </w:t>
        </w:r>
        <w:r>
          <w:rPr>
            <w:rFonts w:ascii="Arial" w:cs="Arial" w:eastAsia="Arial" w:hAnsi="Arial"/>
            <w:sz w:val="16"/>
            <w:szCs w:val="16"/>
            <w:color w:val="000000"/>
          </w:rPr>
          <w:t>to the Predecessor's Current Report on Form 8-K, filed on May 6, 2020 and incorporated herein by reference) ‡</w:t>
        </w:r>
      </w:hyperlink>
    </w:p>
    <w:p>
      <w:pPr>
        <w:spacing w:after="0" w:line="62" w:lineRule="exact"/>
        <w:rPr>
          <w:sz w:val="20"/>
          <w:szCs w:val="20"/>
          <w:color w:val="auto"/>
        </w:rPr>
      </w:pPr>
    </w:p>
    <w:p>
      <w:pPr>
        <w:ind w:left="1020" w:right="440" w:hanging="971"/>
        <w:spacing w:after="0" w:line="248" w:lineRule="auto"/>
        <w:tabs>
          <w:tab w:leader="none" w:pos="1000" w:val="left"/>
        </w:tabs>
        <w:rPr>
          <w:rFonts w:ascii="Arial" w:cs="Arial" w:eastAsia="Arial" w:hAnsi="Arial"/>
          <w:sz w:val="16"/>
          <w:szCs w:val="16"/>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 xml:space="preserve">First Amendment to the Amended and Restated Credit Agreement, dated as of May 6, 2020, by and among the Predecessor, each of the Lenders party thereto, and Wells Fargo Bank, National Association, as Administrative Agent (previously filed as </w:t>
      </w:r>
      <w:hyperlink r:id="rId105">
        <w:r>
          <w:rPr>
            <w:rFonts w:ascii="Arial" w:cs="Arial" w:eastAsia="Arial" w:hAnsi="Arial"/>
            <w:sz w:val="16"/>
            <w:szCs w:val="16"/>
            <w:u w:val="single" w:color="auto"/>
            <w:color w:val="0000FF"/>
          </w:rPr>
          <w:t>Exhibit 10.2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w:t>
      </w:r>
    </w:p>
    <w:p>
      <w:pPr>
        <w:ind w:left="1020"/>
        <w:spacing w:after="0"/>
        <w:rPr>
          <w:sz w:val="20"/>
          <w:szCs w:val="20"/>
          <w:color w:val="auto"/>
        </w:rPr>
      </w:pPr>
      <w:r>
        <w:rPr>
          <w:rFonts w:ascii="Arial" w:cs="Arial" w:eastAsia="Arial" w:hAnsi="Arial"/>
          <w:sz w:val="18"/>
          <w:szCs w:val="18"/>
          <w:color w:val="auto"/>
        </w:rPr>
        <w:t>Predecessor's Current Report on Form 8-K, filed on May 6, 2020, and incorporated herein by reference) ‡</w:t>
      </w:r>
    </w:p>
    <w:p>
      <w:pPr>
        <w:spacing w:after="0" w:line="61" w:lineRule="exact"/>
        <w:rPr>
          <w:sz w:val="20"/>
          <w:szCs w:val="20"/>
          <w:color w:val="auto"/>
        </w:rPr>
      </w:pPr>
    </w:p>
    <w:p>
      <w:pPr>
        <w:ind w:left="1020" w:right="60" w:hanging="971"/>
        <w:spacing w:after="0" w:line="248" w:lineRule="auto"/>
        <w:tabs>
          <w:tab w:leader="none" w:pos="10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Restricted Share Award Agreement for awards made under Federal Realty Investment Trust’s Long-Term Incentive Award Program and the Trust’s Annual Incentive Bonus Program and basic awards with annual vesting for shares issued out of the 2020 Plan (previously</w:t>
      </w:r>
    </w:p>
    <w:p>
      <w:pPr>
        <w:ind w:left="1020"/>
        <w:spacing w:after="0"/>
        <w:rPr>
          <w:rFonts w:ascii="Arial" w:cs="Arial" w:eastAsia="Arial" w:hAnsi="Arial"/>
          <w:sz w:val="16"/>
          <w:szCs w:val="16"/>
          <w:color w:val="auto"/>
        </w:rPr>
      </w:pPr>
      <w:r>
        <w:rPr>
          <w:rFonts w:ascii="Arial" w:cs="Arial" w:eastAsia="Arial" w:hAnsi="Arial"/>
          <w:sz w:val="16"/>
          <w:szCs w:val="16"/>
          <w:color w:val="auto"/>
        </w:rPr>
        <w:t xml:space="preserve">filed as </w:t>
      </w:r>
      <w:hyperlink r:id="rId106">
        <w:r>
          <w:rPr>
            <w:rFonts w:ascii="Arial" w:cs="Arial" w:eastAsia="Arial" w:hAnsi="Arial"/>
            <w:sz w:val="16"/>
            <w:szCs w:val="16"/>
            <w:u w:val="single" w:color="auto"/>
            <w:color w:val="0000FF"/>
          </w:rPr>
          <w:t>Exhibit 10.32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Predecessor's Annual Report on Form 10-K, filed on February 11, 2021, and incorporated herein by reference)</w:t>
      </w:r>
    </w:p>
    <w:p>
      <w:pPr>
        <w:spacing w:after="0" w:line="84" w:lineRule="exact"/>
        <w:rPr>
          <w:sz w:val="20"/>
          <w:szCs w:val="20"/>
          <w:color w:val="auto"/>
        </w:rPr>
      </w:pPr>
    </w:p>
    <w:p>
      <w:pPr>
        <w:ind w:left="1020" w:hanging="971"/>
        <w:spacing w:after="0" w:line="248" w:lineRule="auto"/>
        <w:tabs>
          <w:tab w:leader="none" w:pos="1000" w:val="left"/>
        </w:tabs>
        <w:rPr>
          <w:rFonts w:ascii="Arial" w:cs="Arial" w:eastAsia="Arial" w:hAnsi="Arial"/>
          <w:sz w:val="16"/>
          <w:szCs w:val="16"/>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 xml:space="preserve">Form of Option Award Agreement for awards made under Federal Realty Investment Trust’s Long-Term Incentive Award Program for shares issued out of the 2020 Plan (previously filed as </w:t>
      </w:r>
      <w:hyperlink r:id="rId107">
        <w:r>
          <w:rPr>
            <w:rFonts w:ascii="Arial" w:cs="Arial" w:eastAsia="Arial" w:hAnsi="Arial"/>
            <w:sz w:val="16"/>
            <w:szCs w:val="16"/>
            <w:u w:val="single" w:color="auto"/>
            <w:color w:val="0000FF"/>
          </w:rPr>
          <w:t>Exhibit 10.33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Predecessor's Annual Report on Form 10-K, filed on February 11, 2021,</w:t>
      </w:r>
    </w:p>
    <w:p>
      <w:pPr>
        <w:ind w:left="1020"/>
        <w:spacing w:after="0"/>
        <w:rPr>
          <w:sz w:val="20"/>
          <w:szCs w:val="20"/>
          <w:color w:val="auto"/>
        </w:rPr>
      </w:pPr>
      <w:r>
        <w:rPr>
          <w:rFonts w:ascii="Arial" w:cs="Arial" w:eastAsia="Arial" w:hAnsi="Arial"/>
          <w:sz w:val="18"/>
          <w:szCs w:val="18"/>
          <w:color w:val="auto"/>
        </w:rPr>
        <w:t>and incorporated herein by reference)</w:t>
      </w:r>
    </w:p>
    <w:p>
      <w:pPr>
        <w:spacing w:after="0" w:line="61" w:lineRule="exact"/>
        <w:rPr>
          <w:sz w:val="20"/>
          <w:szCs w:val="20"/>
          <w:color w:val="auto"/>
        </w:rPr>
      </w:pPr>
    </w:p>
    <w:p>
      <w:pPr>
        <w:ind w:left="1020" w:right="40" w:hanging="971"/>
        <w:spacing w:after="0" w:line="248" w:lineRule="auto"/>
        <w:tabs>
          <w:tab w:leader="none" w:pos="1000" w:val="left"/>
        </w:tabs>
        <w:rPr>
          <w:rFonts w:ascii="Arial" w:cs="Arial" w:eastAsia="Arial" w:hAnsi="Arial"/>
          <w:sz w:val="16"/>
          <w:szCs w:val="16"/>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 xml:space="preserve">Form of Restricted Share Award Agreement for long-term vesting and retention awards made under Federal Realty Investment Trust’s Long-Term Incentive Award Program for shares issued out of the 2020 Plan (previously filed as </w:t>
      </w:r>
      <w:hyperlink r:id="rId108">
        <w:r>
          <w:rPr>
            <w:rFonts w:ascii="Arial" w:cs="Arial" w:eastAsia="Arial" w:hAnsi="Arial"/>
            <w:sz w:val="16"/>
            <w:szCs w:val="16"/>
            <w:u w:val="single" w:color="auto"/>
            <w:color w:val="0000FF"/>
          </w:rPr>
          <w:t>Exhibit 10.34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Predecessor's Annual Report</w:t>
      </w:r>
    </w:p>
    <w:p>
      <w:pPr>
        <w:ind w:left="1020"/>
        <w:spacing w:after="0"/>
        <w:rPr>
          <w:sz w:val="20"/>
          <w:szCs w:val="20"/>
          <w:color w:val="auto"/>
        </w:rPr>
      </w:pPr>
      <w:r>
        <w:rPr>
          <w:rFonts w:ascii="Arial" w:cs="Arial" w:eastAsia="Arial" w:hAnsi="Arial"/>
          <w:sz w:val="18"/>
          <w:szCs w:val="18"/>
          <w:color w:val="auto"/>
        </w:rPr>
        <w:t>on Form 10-K, filed on February 11, 2021, and incorporated herein by reference)</w:t>
      </w:r>
    </w:p>
    <w:p>
      <w:pPr>
        <w:spacing w:after="0" w:line="61" w:lineRule="exact"/>
        <w:rPr>
          <w:sz w:val="20"/>
          <w:szCs w:val="20"/>
          <w:color w:val="auto"/>
        </w:rPr>
      </w:pPr>
    </w:p>
    <w:p>
      <w:pPr>
        <w:ind w:left="1020" w:right="1000" w:hanging="971"/>
        <w:spacing w:after="0" w:line="258" w:lineRule="auto"/>
        <w:tabs>
          <w:tab w:leader="none" w:pos="1000" w:val="left"/>
        </w:tabs>
        <w:rPr>
          <w:rFonts w:ascii="Arial" w:cs="Arial" w:eastAsia="Arial" w:hAnsi="Arial"/>
          <w:sz w:val="17"/>
          <w:szCs w:val="17"/>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 xml:space="preserve">Form of Performance Share Award Agreement for shares awarded out of the 2020 Plan (previously filed as </w:t>
      </w:r>
      <w:hyperlink r:id="rId109">
        <w:r>
          <w:rPr>
            <w:rFonts w:ascii="Arial" w:cs="Arial" w:eastAsia="Arial" w:hAnsi="Arial"/>
            <w:sz w:val="17"/>
            <w:szCs w:val="17"/>
            <w:u w:val="single" w:color="auto"/>
            <w:color w:val="0000FF"/>
          </w:rPr>
          <w:t>Exhibit 10.35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Predecessor's Annual Report on From 10-K, filed on February 11, 2021, and incorporated herein by reference)</w:t>
      </w:r>
    </w:p>
    <w:p>
      <w:pPr>
        <w:spacing w:after="0" w:line="52" w:lineRule="exact"/>
        <w:rPr>
          <w:sz w:val="20"/>
          <w:szCs w:val="20"/>
          <w:color w:val="auto"/>
        </w:rPr>
      </w:pPr>
    </w:p>
    <w:p>
      <w:pPr>
        <w:ind w:left="1020" w:right="380" w:hanging="971"/>
        <w:spacing w:after="0" w:line="235"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 xml:space="preserve">Form of Option Award Agreement for basic options awarded out of the 2020 Plan (previously filed as </w:t>
      </w:r>
      <w:hyperlink r:id="rId110">
        <w:r>
          <w:rPr>
            <w:rFonts w:ascii="Arial" w:cs="Arial" w:eastAsia="Arial" w:hAnsi="Arial"/>
            <w:sz w:val="18"/>
            <w:szCs w:val="18"/>
            <w:u w:val="single" w:color="auto"/>
            <w:color w:val="0000FF"/>
          </w:rPr>
          <w:t>Exhibit 10.36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on February 11, 2021, and incorporated herein by reference)</w:t>
      </w:r>
    </w:p>
    <w:p>
      <w:pPr>
        <w:spacing w:after="0" w:line="67" w:lineRule="exact"/>
        <w:rPr>
          <w:sz w:val="20"/>
          <w:szCs w:val="20"/>
          <w:color w:val="auto"/>
        </w:rPr>
      </w:pPr>
    </w:p>
    <w:p>
      <w:pPr>
        <w:ind w:left="1020" w:right="40" w:hanging="971"/>
        <w:spacing w:after="0" w:line="235"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 xml:space="preserve">Form of Performance Award Agreement for Jeffrey S. Berkes, dated February 10, 2021 (previously filed as </w:t>
      </w:r>
      <w:hyperlink r:id="rId111">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February 12, 2021, and incorporated herein by reference)</w:t>
      </w:r>
    </w:p>
    <w:p>
      <w:pPr>
        <w:spacing w:after="0" w:line="67" w:lineRule="exact"/>
        <w:rPr>
          <w:sz w:val="20"/>
          <w:szCs w:val="20"/>
          <w:color w:val="auto"/>
        </w:rPr>
      </w:pPr>
    </w:p>
    <w:p>
      <w:pPr>
        <w:ind w:left="1020" w:right="300" w:hanging="971"/>
        <w:spacing w:after="0" w:line="248" w:lineRule="auto"/>
        <w:tabs>
          <w:tab w:leader="none" w:pos="1000" w:val="left"/>
        </w:tabs>
        <w:rPr>
          <w:rFonts w:ascii="Arial" w:cs="Arial" w:eastAsia="Arial" w:hAnsi="Arial"/>
          <w:sz w:val="16"/>
          <w:szCs w:val="16"/>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 xml:space="preserve">Amended and Restated Severance Agreement between Federal Realty Investment Trust and Jeffery S. Berkes, dated February 10, 2021 (previously filed as </w:t>
      </w:r>
      <w:hyperlink r:id="rId112">
        <w:r>
          <w:rPr>
            <w:rFonts w:ascii="Arial" w:cs="Arial" w:eastAsia="Arial" w:hAnsi="Arial"/>
            <w:sz w:val="16"/>
            <w:szCs w:val="16"/>
            <w:u w:val="single" w:color="auto"/>
            <w:color w:val="0000FF"/>
          </w:rPr>
          <w:t>Exhibit 10.2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Predecessor's Current Report on Form 8-K, filed on February 12, 2021 and incorporated herein by</w:t>
      </w:r>
    </w:p>
    <w:p>
      <w:pPr>
        <w:ind w:left="1020"/>
        <w:spacing w:after="0"/>
        <w:rPr>
          <w:sz w:val="20"/>
          <w:szCs w:val="20"/>
          <w:color w:val="auto"/>
        </w:rPr>
      </w:pPr>
      <w:r>
        <w:rPr>
          <w:rFonts w:ascii="Arial" w:cs="Arial" w:eastAsia="Arial" w:hAnsi="Arial"/>
          <w:sz w:val="18"/>
          <w:szCs w:val="18"/>
          <w:color w:val="auto"/>
        </w:rPr>
        <w:t>reference)</w:t>
      </w:r>
    </w:p>
    <w:p>
      <w:pPr>
        <w:spacing w:after="0" w:line="61" w:lineRule="exact"/>
        <w:rPr>
          <w:sz w:val="20"/>
          <w:szCs w:val="20"/>
          <w:color w:val="auto"/>
        </w:rPr>
      </w:pPr>
    </w:p>
    <w:p>
      <w:pPr>
        <w:ind w:left="1020" w:right="520" w:hanging="971"/>
        <w:spacing w:after="0" w:line="248" w:lineRule="auto"/>
        <w:tabs>
          <w:tab w:leader="none" w:pos="10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Term Loan Agreement, dated as of April 16, 2021, by and among the Predecessor, as borrower, the Lenders, New Lenders, Departing Lenders (as each such term is defined therein) and PNC Bank, National Association, as Administrative Agent</w:t>
      </w:r>
    </w:p>
    <w:p>
      <w:pPr>
        <w:ind w:left="1020" w:right="520"/>
        <w:spacing w:after="0" w:line="226" w:lineRule="auto"/>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113">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From 8-K, filed on April 19, 2021, and incorporated herein by reference) ‡</w:t>
      </w:r>
    </w:p>
    <w:p>
      <w:pPr>
        <w:spacing w:after="0" w:line="53" w:lineRule="exact"/>
        <w:rPr>
          <w:sz w:val="20"/>
          <w:szCs w:val="20"/>
          <w:color w:val="auto"/>
        </w:rPr>
      </w:pPr>
    </w:p>
    <w:p>
      <w:pPr>
        <w:ind w:left="1020" w:right="460" w:hanging="971"/>
        <w:spacing w:after="0" w:line="258"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10.35</w:t>
      </w:r>
      <w:r>
        <w:rPr>
          <w:sz w:val="20"/>
          <w:szCs w:val="20"/>
          <w:color w:val="auto"/>
        </w:rPr>
        <w:tab/>
      </w:r>
      <w:r>
        <w:rPr>
          <w:rFonts w:ascii="Arial" w:cs="Arial" w:eastAsia="Arial" w:hAnsi="Arial"/>
          <w:sz w:val="17"/>
          <w:szCs w:val="17"/>
          <w:color w:val="auto"/>
        </w:rPr>
        <w:t xml:space="preserve">Omnibus Assignment, Assumption and Amendment entered into between the Predecessor and the Parent Company (previously filed as </w:t>
      </w:r>
      <w:hyperlink r:id="rId114">
        <w:r>
          <w:rPr>
            <w:rFonts w:ascii="Arial" w:cs="Arial" w:eastAsia="Arial" w:hAnsi="Arial"/>
            <w:sz w:val="17"/>
            <w:szCs w:val="17"/>
            <w:u w:val="single" w:color="auto"/>
            <w:color w:val="0000FF"/>
          </w:rPr>
          <w:t>Exhibit 10.1</w:t>
        </w:r>
        <w:r>
          <w:rPr>
            <w:rFonts w:ascii="Arial" w:cs="Arial" w:eastAsia="Arial" w:hAnsi="Arial"/>
            <w:sz w:val="17"/>
            <w:szCs w:val="17"/>
            <w:color w:val="0000FF"/>
          </w:rPr>
          <w:t xml:space="preserve"> </w:t>
        </w:r>
      </w:hyperlink>
      <w:r>
        <w:rPr>
          <w:rFonts w:ascii="Arial" w:cs="Arial" w:eastAsia="Arial" w:hAnsi="Arial"/>
          <w:sz w:val="17"/>
          <w:szCs w:val="17"/>
          <w:color w:val="000000"/>
        </w:rPr>
        <w:t>to</w:t>
      </w:r>
      <w:r>
        <w:rPr>
          <w:rFonts w:ascii="Arial" w:cs="Arial" w:eastAsia="Arial" w:hAnsi="Arial"/>
          <w:sz w:val="17"/>
          <w:szCs w:val="17"/>
          <w:color w:val="0000FF"/>
        </w:rPr>
        <w:t xml:space="preserve"> </w:t>
      </w:r>
      <w:r>
        <w:rPr>
          <w:rFonts w:ascii="Arial" w:cs="Arial" w:eastAsia="Arial" w:hAnsi="Arial"/>
          <w:sz w:val="17"/>
          <w:szCs w:val="17"/>
          <w:color w:val="000000"/>
        </w:rPr>
        <w:t>our Current Report on Form 8-K, filed on January 3, 2022 and incorporated herein by reference)</w:t>
      </w:r>
    </w:p>
    <w:p>
      <w:pPr>
        <w:spacing w:after="0" w:line="52" w:lineRule="exact"/>
        <w:rPr>
          <w:sz w:val="20"/>
          <w:szCs w:val="20"/>
          <w:color w:val="auto"/>
        </w:rPr>
      </w:pPr>
    </w:p>
    <w:p>
      <w:pPr>
        <w:ind w:left="1020" w:right="160" w:hanging="971"/>
        <w:spacing w:after="0" w:line="264" w:lineRule="auto"/>
        <w:tabs>
          <w:tab w:leader="none" w:pos="10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5"/>
          <w:szCs w:val="15"/>
          <w:color w:val="auto"/>
        </w:rPr>
        <w:t>Second Amendment to Amended and Restated Credit Agreement and Consent, dated as of January 1, 2022, by and among the Predecessor, as borrower, each of the lenders party thereto and Wells Fargo Bank, National Association, as administrative agent (previously filed as</w:t>
      </w:r>
    </w:p>
    <w:p>
      <w:pPr>
        <w:spacing w:after="0" w:line="1" w:lineRule="exact"/>
        <w:rPr>
          <w:sz w:val="20"/>
          <w:szCs w:val="20"/>
          <w:color w:val="auto"/>
        </w:rPr>
      </w:pPr>
    </w:p>
    <w:p>
      <w:pPr>
        <w:ind w:left="1020"/>
        <w:spacing w:after="0"/>
        <w:rPr>
          <w:rFonts w:ascii="Arial" w:cs="Arial" w:eastAsia="Arial" w:hAnsi="Arial"/>
          <w:sz w:val="18"/>
          <w:szCs w:val="18"/>
          <w:color w:val="0000FF"/>
        </w:rPr>
      </w:pPr>
      <w:hyperlink r:id="rId115">
        <w:r>
          <w:rPr>
            <w:rFonts w:ascii="Arial" w:cs="Arial" w:eastAsia="Arial" w:hAnsi="Arial"/>
            <w:sz w:val="18"/>
            <w:szCs w:val="18"/>
            <w:u w:val="single" w:color="auto"/>
            <w:color w:val="0000FF"/>
          </w:rPr>
          <w:t>Exhibit 10.2</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Trust’s Current Report on Form 8-K filed on January 3, 2022 and incorporated herein by reference) ‡</w:t>
      </w:r>
    </w:p>
    <w:p>
      <w:pPr>
        <w:spacing w:after="0" w:line="61" w:lineRule="exact"/>
        <w:rPr>
          <w:sz w:val="20"/>
          <w:szCs w:val="20"/>
          <w:color w:val="auto"/>
        </w:rPr>
      </w:pPr>
    </w:p>
    <w:p>
      <w:pPr>
        <w:jc w:val="right"/>
        <w:ind w:left="40"/>
        <w:spacing w:after="0" w:line="233" w:lineRule="auto"/>
        <w:rPr>
          <w:rFonts w:ascii="Arial" w:cs="Arial" w:eastAsia="Arial" w:hAnsi="Arial"/>
          <w:sz w:val="17"/>
          <w:szCs w:val="17"/>
          <w:color w:val="auto"/>
        </w:rPr>
      </w:pPr>
      <w:r>
        <w:rPr>
          <w:rFonts w:ascii="Arial" w:cs="Arial" w:eastAsia="Arial" w:hAnsi="Arial"/>
          <w:sz w:val="17"/>
          <w:szCs w:val="17"/>
          <w:color w:val="auto"/>
        </w:rPr>
        <w:t xml:space="preserve">10.37      Second Amendment to Term Loan Agreement and Consent, dated as of January 1, 2022, by and among the Predecessor, as borrower, each of the lenders party thereto and PNC Bank, National Association, as administrative agent (previously filed as </w:t>
      </w:r>
      <w:hyperlink r:id="rId116">
        <w:r>
          <w:rPr>
            <w:rFonts w:ascii="Arial" w:cs="Arial" w:eastAsia="Arial" w:hAnsi="Arial"/>
            <w:sz w:val="17"/>
            <w:szCs w:val="17"/>
            <w:u w:val="single" w:color="auto"/>
            <w:color w:val="0000FF"/>
          </w:rPr>
          <w:t>Exhibit 10.3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Trust’s Current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Report on Form 8-K filed on January 3, 2022 and incorporated herein by reference)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No.</w:t>
            </w:r>
          </w:p>
        </w:tc>
        <w:tc>
          <w:tcPr>
            <w:tcW w:w="1010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line="188" w:lineRule="exact"/>
              <w:rPr>
                <w:sz w:val="20"/>
                <w:szCs w:val="20"/>
                <w:color w:val="auto"/>
              </w:rPr>
            </w:pPr>
            <w:r>
              <w:rPr>
                <w:rFonts w:ascii="Arial" w:cs="Arial" w:eastAsia="Arial" w:hAnsi="Arial"/>
                <w:sz w:val="18"/>
                <w:szCs w:val="18"/>
                <w:color w:val="auto"/>
              </w:rPr>
              <w:t>10.38</w:t>
            </w:r>
          </w:p>
        </w:tc>
        <w:tc>
          <w:tcPr>
            <w:tcW w:w="10100" w:type="dxa"/>
            <w:vAlign w:val="bottom"/>
            <w:gridSpan w:val="15"/>
          </w:tcPr>
          <w:p>
            <w:pPr>
              <w:spacing w:after="0" w:line="188" w:lineRule="exact"/>
              <w:rPr>
                <w:sz w:val="20"/>
                <w:szCs w:val="20"/>
                <w:color w:val="auto"/>
              </w:rPr>
            </w:pPr>
            <w:r>
              <w:rPr>
                <w:rFonts w:ascii="Arial" w:cs="Arial" w:eastAsia="Arial" w:hAnsi="Arial"/>
                <w:sz w:val="18"/>
                <w:szCs w:val="18"/>
                <w:color w:val="auto"/>
                <w:w w:val="92"/>
              </w:rPr>
              <w:t>Second Amended and Restated Credit Agreement, dated as of October 5, 2022, by and among the Partnership, as borrower, each of the</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100" w:type="dxa"/>
            <w:vAlign w:val="bottom"/>
            <w:gridSpan w:val="15"/>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lenders party thereto and Wells Fargo Bank, National Association, as administrative agent (previously filed as </w:t>
            </w:r>
            <w:hyperlink r:id="rId118">
              <w:r>
                <w:rPr>
                  <w:rFonts w:ascii="Arial" w:cs="Arial" w:eastAsia="Arial" w:hAnsi="Arial"/>
                  <w:sz w:val="18"/>
                  <w:szCs w:val="18"/>
                  <w:color w:val="0000FF"/>
                  <w:w w:val="93"/>
                </w:rPr>
                <w:t>Exhibit 10.1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940" w:type="dxa"/>
            <w:vAlign w:val="bottom"/>
            <w:gridSpan w:val="13"/>
          </w:tcPr>
          <w:p>
            <w:pPr>
              <w:spacing w:after="0"/>
              <w:rPr>
                <w:sz w:val="20"/>
                <w:szCs w:val="20"/>
                <w:color w:val="auto"/>
              </w:rPr>
            </w:pPr>
            <w:r>
              <w:rPr>
                <w:rFonts w:ascii="Arial" w:cs="Arial" w:eastAsia="Arial" w:hAnsi="Arial"/>
                <w:sz w:val="18"/>
                <w:szCs w:val="18"/>
                <w:color w:val="auto"/>
              </w:rPr>
              <w:t>Current Report on Form 8-K filed on October 11, 2022 and incorporated herein by reference)</w:t>
            </w:r>
          </w:p>
        </w:tc>
        <w:tc>
          <w:tcPr>
            <w:tcW w:w="900" w:type="dxa"/>
            <w:vAlign w:val="bottom"/>
            <w:tcBorders>
              <w:top w:val="single" w:sz="8" w:color="0000FF"/>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10.39</w:t>
            </w:r>
          </w:p>
        </w:tc>
        <w:tc>
          <w:tcPr>
            <w:tcW w:w="10100" w:type="dxa"/>
            <w:vAlign w:val="bottom"/>
            <w:gridSpan w:val="15"/>
          </w:tcPr>
          <w:p>
            <w:pPr>
              <w:spacing w:after="0"/>
              <w:rPr>
                <w:sz w:val="20"/>
                <w:szCs w:val="20"/>
                <w:color w:val="auto"/>
              </w:rPr>
            </w:pPr>
            <w:r>
              <w:rPr>
                <w:rFonts w:ascii="Arial" w:cs="Arial" w:eastAsia="Arial" w:hAnsi="Arial"/>
                <w:sz w:val="18"/>
                <w:szCs w:val="18"/>
                <w:color w:val="auto"/>
                <w:w w:val="91"/>
              </w:rPr>
              <w:t>Third Amendment to Term Loan Agreement, dated as of October 5, 2022, by and among the Partnership, as borrower, each of the lenders</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100" w:type="dxa"/>
            <w:vAlign w:val="bottom"/>
            <w:gridSpan w:val="15"/>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party thereto and PNC Bank, National Association, as administrative agent (previously filed as </w:t>
            </w:r>
            <w:hyperlink r:id="rId119">
              <w:r>
                <w:rPr>
                  <w:rFonts w:ascii="Arial" w:cs="Arial" w:eastAsia="Arial" w:hAnsi="Arial"/>
                  <w:sz w:val="18"/>
                  <w:szCs w:val="18"/>
                  <w:color w:val="0000FF"/>
                  <w:w w:val="91"/>
                </w:rPr>
                <w:t>Exhibit 10.2</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Current Report on</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Form 8-K filed on October 11, 2022 and incorporated herein by reference)</w:t>
            </w:r>
          </w:p>
        </w:tc>
        <w:tc>
          <w:tcPr>
            <w:tcW w:w="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3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80" w:type="dxa"/>
            <w:vAlign w:val="bottom"/>
          </w:tcPr>
          <w:p>
            <w:pPr>
              <w:spacing w:after="0"/>
              <w:rPr>
                <w:sz w:val="20"/>
                <w:szCs w:val="20"/>
                <w:color w:val="auto"/>
              </w:rPr>
            </w:pPr>
            <w:r>
              <w:rPr>
                <w:rFonts w:ascii="Arial" w:cs="Arial" w:eastAsia="Arial" w:hAnsi="Arial"/>
                <w:sz w:val="18"/>
                <w:szCs w:val="18"/>
                <w:color w:val="auto"/>
              </w:rPr>
              <w:t>21.1</w:t>
            </w:r>
          </w:p>
        </w:tc>
        <w:tc>
          <w:tcPr>
            <w:tcW w:w="6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Subsidiaries of Federal Realty Investment Trust and Federal Realty OP LP (filed herewith)</w:t>
            </w:r>
          </w:p>
        </w:tc>
        <w:tc>
          <w:tcPr>
            <w:tcW w:w="356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0100" w:type="dxa"/>
            <w:vAlign w:val="bottom"/>
            <w:gridSpan w:val="15"/>
          </w:tcPr>
          <w:p>
            <w:pPr>
              <w:spacing w:after="0"/>
              <w:rPr>
                <w:sz w:val="20"/>
                <w:szCs w:val="20"/>
                <w:color w:val="auto"/>
              </w:rPr>
            </w:pPr>
            <w:r>
              <w:rPr>
                <w:rFonts w:ascii="Arial" w:cs="Arial" w:eastAsia="Arial" w:hAnsi="Arial"/>
                <w:sz w:val="18"/>
                <w:szCs w:val="18"/>
                <w:color w:val="0000FF"/>
              </w:rPr>
              <w:t>Consent of Grant Thornton LLP (filed herewith)</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76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Rule 13a-14(a) Certification of Chief Executive Officer - Federal Realty Investment Trust (filed herewith)</w:t>
            </w:r>
          </w:p>
        </w:tc>
        <w:tc>
          <w:tcPr>
            <w:tcW w:w="24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15"/>
          </w:tcPr>
          <w:p>
            <w:pPr>
              <w:spacing w:after="0"/>
              <w:rPr>
                <w:sz w:val="20"/>
                <w:szCs w:val="20"/>
                <w:color w:val="auto"/>
              </w:rPr>
            </w:pPr>
            <w:r>
              <w:rPr>
                <w:rFonts w:ascii="Arial" w:cs="Arial" w:eastAsia="Arial" w:hAnsi="Arial"/>
                <w:sz w:val="18"/>
                <w:szCs w:val="18"/>
                <w:color w:val="0000FF"/>
              </w:rPr>
              <w:t>Rule 13a-14(a) Certification of Chief Financial Officer - Federal Realty Investment Trust (filed herewith)</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Arial" w:cs="Arial" w:eastAsia="Arial" w:hAnsi="Arial"/>
                <w:sz w:val="18"/>
                <w:szCs w:val="18"/>
                <w:color w:val="auto"/>
              </w:rPr>
              <w:t>31.3</w:t>
            </w:r>
          </w:p>
        </w:tc>
        <w:tc>
          <w:tcPr>
            <w:tcW w:w="75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Rule 13a-14(a) Certification of Chief Executive Officer - Federal Realty OP LP (filed herewith)</w:t>
            </w:r>
          </w:p>
        </w:tc>
        <w:tc>
          <w:tcPr>
            <w:tcW w:w="25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0"/>
                <w:szCs w:val="20"/>
                <w:color w:val="auto"/>
              </w:rPr>
            </w:pPr>
            <w:r>
              <w:rPr>
                <w:rFonts w:ascii="Arial" w:cs="Arial" w:eastAsia="Arial" w:hAnsi="Arial"/>
                <w:sz w:val="18"/>
                <w:szCs w:val="18"/>
                <w:color w:val="auto"/>
              </w:rPr>
              <w:t>31.4</w:t>
            </w:r>
          </w:p>
        </w:tc>
        <w:tc>
          <w:tcPr>
            <w:tcW w:w="68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Rule 13a-14(a) Certification of Chief Financial Officer - Federal Realty OP LP (filed herewith)</w:t>
            </w:r>
          </w:p>
        </w:tc>
        <w:tc>
          <w:tcPr>
            <w:tcW w:w="40" w:type="dxa"/>
            <w:vAlign w:val="bottom"/>
            <w:tcBorders>
              <w:top w:val="single" w:sz="8" w:color="0000FF"/>
            </w:tcBorders>
            <w:gridSpan w:val="2"/>
          </w:tcPr>
          <w:p>
            <w:pPr>
              <w:spacing w:after="0"/>
              <w:rPr>
                <w:sz w:val="22"/>
                <w:szCs w:val="22"/>
                <w:color w:val="auto"/>
              </w:rPr>
            </w:pPr>
          </w:p>
        </w:tc>
        <w:tc>
          <w:tcPr>
            <w:tcW w:w="32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75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Section 1350 Certification of Chief Executive Officer - Federal Realty Investment Trust (filed herewith)</w:t>
            </w:r>
          </w:p>
        </w:tc>
        <w:tc>
          <w:tcPr>
            <w:tcW w:w="26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15"/>
          </w:tcPr>
          <w:p>
            <w:pPr>
              <w:spacing w:after="0"/>
              <w:rPr>
                <w:sz w:val="20"/>
                <w:szCs w:val="20"/>
                <w:color w:val="auto"/>
              </w:rPr>
            </w:pPr>
            <w:r>
              <w:rPr>
                <w:rFonts w:ascii="Arial" w:cs="Arial" w:eastAsia="Arial" w:hAnsi="Arial"/>
                <w:sz w:val="18"/>
                <w:szCs w:val="18"/>
                <w:color w:val="0000FF"/>
              </w:rPr>
              <w:t>Section 1350 Certification of Chief Financial Officer - Federal Realty Investment Trust (filed herewith)</w:t>
            </w:r>
          </w:p>
        </w:tc>
        <w:tc>
          <w:tcPr>
            <w:tcW w:w="0" w:type="dxa"/>
            <w:vAlign w:val="bottom"/>
          </w:tcPr>
          <w:p>
            <w:pPr>
              <w:spacing w:after="0"/>
              <w:rPr>
                <w:sz w:val="1"/>
                <w:szCs w:val="1"/>
                <w:color w:val="auto"/>
              </w:rPr>
            </w:pPr>
          </w:p>
        </w:tc>
      </w:tr>
      <w:tr>
        <w:trPr>
          <w:trHeight w:val="264"/>
        </w:trPr>
        <w:tc>
          <w:tcPr>
            <w:tcW w:w="980" w:type="dxa"/>
            <w:vAlign w:val="bottom"/>
          </w:tcPr>
          <w:p>
            <w:pPr>
              <w:spacing w:after="0"/>
              <w:rPr>
                <w:sz w:val="20"/>
                <w:szCs w:val="20"/>
                <w:color w:val="auto"/>
              </w:rPr>
            </w:pPr>
            <w:r>
              <w:rPr>
                <w:rFonts w:ascii="Arial" w:cs="Arial" w:eastAsia="Arial" w:hAnsi="Arial"/>
                <w:sz w:val="18"/>
                <w:szCs w:val="18"/>
                <w:color w:val="auto"/>
              </w:rPr>
              <w:t>32.3</w:t>
            </w:r>
          </w:p>
        </w:tc>
        <w:tc>
          <w:tcPr>
            <w:tcW w:w="74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Section 1350 Certification of Chief Executive Officer - Federal Realty OP LP (filed herewith)</w:t>
            </w:r>
          </w:p>
        </w:tc>
        <w:tc>
          <w:tcPr>
            <w:tcW w:w="26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Arial" w:cs="Arial" w:eastAsia="Arial" w:hAnsi="Arial"/>
                <w:sz w:val="18"/>
                <w:szCs w:val="18"/>
                <w:color w:val="auto"/>
              </w:rPr>
              <w:t>32.4</w:t>
            </w:r>
          </w:p>
        </w:tc>
        <w:tc>
          <w:tcPr>
            <w:tcW w:w="67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Section 1350 Certification of Chief Financial Officer - Federal Realty OP LP (filed herewith)</w:t>
            </w:r>
          </w:p>
        </w:tc>
        <w:tc>
          <w:tcPr>
            <w:tcW w:w="40" w:type="dxa"/>
            <w:vAlign w:val="bottom"/>
            <w:tcBorders>
              <w:top w:val="single" w:sz="8" w:color="0000FF"/>
            </w:tcBorders>
          </w:tcPr>
          <w:p>
            <w:pPr>
              <w:spacing w:after="0"/>
              <w:rPr>
                <w:sz w:val="22"/>
                <w:szCs w:val="22"/>
                <w:color w:val="auto"/>
              </w:rPr>
            </w:pPr>
          </w:p>
        </w:tc>
        <w:tc>
          <w:tcPr>
            <w:tcW w:w="33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0" w:right="320" w:hanging="974"/>
        <w:spacing w:after="0" w:line="22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materials from this Annual Report on Form 10-K for the year ended December 31, 2022,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4"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sz w:val="20"/>
          <w:szCs w:val="20"/>
          <w:color w:val="auto"/>
        </w:rPr>
      </w:pPr>
    </w:p>
    <w:p>
      <w:pPr>
        <w:ind w:right="80" w:firstLine="8"/>
        <w:spacing w:after="0" w:line="250" w:lineRule="auto"/>
        <w:tabs>
          <w:tab w:leader="none" w:pos="1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and the Partnership by this filing agree, upon request, to furnish to the Securities and Exchange Commission a copy of other instruments defining the rights of holders of long-term debt of the Trust and the Partnership.</w:t>
      </w: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In this Exhibit Index, the term "Predecessor" refers to Federal Realty Investment Trust before the effectiveness of our UPREIT conversion as described in our Current Reports on Form 8-K filed on January 3 and 5, 2022. Upon completion of the UPREIT conversion, the Partnership became the successor to the Predecessor's right and obligations under this instrument.</w:t>
      </w:r>
    </w:p>
    <w:p>
      <w:pPr>
        <w:spacing w:after="0" w:line="1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8, 2023.</w:t>
      </w:r>
    </w:p>
    <w:p>
      <w:pPr>
        <w:spacing w:after="0" w:line="200" w:lineRule="exact"/>
        <w:rPr>
          <w:sz w:val="20"/>
          <w:szCs w:val="20"/>
          <w:color w:val="auto"/>
        </w:rPr>
      </w:pPr>
    </w:p>
    <w:p>
      <w:pPr>
        <w:spacing w:after="0" w:line="3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Federal Realty OP LP</w:t>
      </w:r>
    </w:p>
    <w:p>
      <w:pPr>
        <w:spacing w:after="0" w:line="292" w:lineRule="exact"/>
        <w:rPr>
          <w:sz w:val="20"/>
          <w:szCs w:val="20"/>
          <w:color w:val="auto"/>
        </w:rPr>
      </w:pPr>
    </w:p>
    <w:p>
      <w:pPr>
        <w:ind w:left="4980"/>
        <w:spacing w:after="0"/>
        <w:tabs>
          <w:tab w:leader="none" w:pos="6140" w:val="left"/>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31750</wp:posOffset>
            </wp:positionV>
            <wp:extent cx="24174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5" w:lineRule="exact"/>
        <w:rPr>
          <w:sz w:val="20"/>
          <w:szCs w:val="20"/>
          <w:color w:val="auto"/>
        </w:rPr>
      </w:pPr>
    </w:p>
    <w:p>
      <w:pPr>
        <w:jc w:val="center"/>
        <w:ind w:left="3080"/>
        <w:spacing w:after="0"/>
        <w:rPr>
          <w:sz w:val="20"/>
          <w:szCs w:val="20"/>
          <w:color w:val="auto"/>
        </w:rPr>
      </w:pPr>
      <w:r>
        <w:rPr>
          <w:rFonts w:ascii="Arial" w:cs="Arial" w:eastAsia="Arial" w:hAnsi="Arial"/>
          <w:sz w:val="14"/>
          <w:szCs w:val="14"/>
          <w:b w:val="1"/>
          <w:bCs w:val="1"/>
          <w:color w:val="auto"/>
        </w:rPr>
        <w:t>Donald C. Wood</w:t>
      </w:r>
    </w:p>
    <w:p>
      <w:pPr>
        <w:spacing w:after="0" w:line="4" w:lineRule="exact"/>
        <w:rPr>
          <w:sz w:val="20"/>
          <w:szCs w:val="20"/>
          <w:color w:val="auto"/>
        </w:rPr>
      </w:pPr>
    </w:p>
    <w:p>
      <w:pPr>
        <w:jc w:val="center"/>
        <w:ind w:left="3080"/>
        <w:spacing w:after="0"/>
        <w:rPr>
          <w:sz w:val="20"/>
          <w:szCs w:val="20"/>
          <w:color w:val="auto"/>
        </w:rPr>
      </w:pPr>
      <w:r>
        <w:rPr>
          <w:rFonts w:ascii="Arial" w:cs="Arial" w:eastAsia="Arial" w:hAnsi="Arial"/>
          <w:sz w:val="14"/>
          <w:szCs w:val="14"/>
          <w:b w:val="1"/>
          <w:bCs w:val="1"/>
          <w:color w:val="auto"/>
        </w:rPr>
        <w:t>Chief Executive Officer and Trustee</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0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89"/>
              </w:rPr>
              <w:t>Signature</w:t>
            </w:r>
          </w:p>
        </w:tc>
        <w:tc>
          <w:tcPr>
            <w:tcW w:w="4320" w:type="dxa"/>
            <w:vAlign w:val="bottom"/>
            <w:gridSpan w:val="3"/>
          </w:tcPr>
          <w:p>
            <w:pPr>
              <w:ind w:left="2220"/>
              <w:spacing w:after="0"/>
              <w:rPr>
                <w:sz w:val="20"/>
                <w:szCs w:val="20"/>
                <w:color w:val="auto"/>
              </w:rPr>
            </w:pPr>
            <w:r>
              <w:rPr>
                <w:rFonts w:ascii="Arial" w:cs="Arial" w:eastAsia="Arial" w:hAnsi="Arial"/>
                <w:sz w:val="14"/>
                <w:szCs w:val="14"/>
                <w:b w:val="1"/>
                <w:bCs w:val="1"/>
                <w:color w:val="auto"/>
              </w:rPr>
              <w:t>Title</w:t>
            </w:r>
          </w:p>
        </w:tc>
        <w:tc>
          <w:tcPr>
            <w:tcW w:w="204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39"/>
        </w:trPr>
        <w:tc>
          <w:tcPr>
            <w:tcW w:w="15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8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Chief Executive Officer and Trustee</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210"/>
        </w:trPr>
        <w:tc>
          <w:tcPr>
            <w:tcW w:w="1560" w:type="dxa"/>
            <w:vAlign w:val="bottom"/>
          </w:tcPr>
          <w:p>
            <w:pPr>
              <w:spacing w:after="0"/>
              <w:rPr>
                <w:sz w:val="18"/>
                <w:szCs w:val="18"/>
                <w:color w:val="auto"/>
              </w:rPr>
            </w:pPr>
          </w:p>
        </w:tc>
        <w:tc>
          <w:tcPr>
            <w:tcW w:w="28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4"/>
              </w:rPr>
              <w:t>Donald C. Wood</w:t>
            </w:r>
          </w:p>
        </w:tc>
        <w:tc>
          <w:tcPr>
            <w:tcW w:w="4320" w:type="dxa"/>
            <w:vAlign w:val="bottom"/>
            <w:gridSpan w:val="3"/>
          </w:tcPr>
          <w:p>
            <w:pPr>
              <w:ind w:left="640"/>
              <w:spacing w:after="0"/>
              <w:rPr>
                <w:sz w:val="20"/>
                <w:szCs w:val="20"/>
                <w:color w:val="auto"/>
              </w:rPr>
            </w:pPr>
            <w:r>
              <w:rPr>
                <w:rFonts w:ascii="Arial" w:cs="Arial" w:eastAsia="Arial" w:hAnsi="Arial"/>
                <w:sz w:val="18"/>
                <w:szCs w:val="18"/>
                <w:color w:val="auto"/>
              </w:rPr>
              <w:t>(Principal Executive Officer)</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58"/>
        </w:trPr>
        <w:tc>
          <w:tcPr>
            <w:tcW w:w="15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8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UGLIELMONE</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 Chief Financial</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209"/>
        </w:trPr>
        <w:tc>
          <w:tcPr>
            <w:tcW w:w="1560" w:type="dxa"/>
            <w:vAlign w:val="bottom"/>
          </w:tcPr>
          <w:p>
            <w:pPr>
              <w:spacing w:after="0"/>
              <w:rPr>
                <w:sz w:val="18"/>
                <w:szCs w:val="18"/>
                <w:color w:val="auto"/>
              </w:rPr>
            </w:pPr>
          </w:p>
        </w:tc>
        <w:tc>
          <w:tcPr>
            <w:tcW w:w="28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3"/>
              </w:rPr>
              <w:t>Daniel Guglielmone</w:t>
            </w:r>
          </w:p>
        </w:tc>
        <w:tc>
          <w:tcPr>
            <w:tcW w:w="4320" w:type="dxa"/>
            <w:vAlign w:val="bottom"/>
            <w:gridSpan w:val="3"/>
          </w:tcPr>
          <w:p>
            <w:pPr>
              <w:ind w:left="640"/>
              <w:spacing w:after="0"/>
              <w:rPr>
                <w:sz w:val="20"/>
                <w:szCs w:val="20"/>
                <w:color w:val="auto"/>
              </w:rPr>
            </w:pPr>
            <w:r>
              <w:rPr>
                <w:rFonts w:ascii="Arial" w:cs="Arial" w:eastAsia="Arial" w:hAnsi="Arial"/>
                <w:sz w:val="18"/>
                <w:szCs w:val="18"/>
                <w:color w:val="auto"/>
              </w:rPr>
              <w:t>Officer and Treasurer (Principal</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320" w:type="dxa"/>
            <w:vAlign w:val="bottom"/>
            <w:gridSpan w:val="3"/>
          </w:tcPr>
          <w:p>
            <w:pPr>
              <w:ind w:left="640"/>
              <w:spacing w:after="0"/>
              <w:rPr>
                <w:sz w:val="20"/>
                <w:szCs w:val="20"/>
                <w:color w:val="auto"/>
              </w:rPr>
            </w:pPr>
            <w:r>
              <w:rPr>
                <w:rFonts w:ascii="Arial" w:cs="Arial" w:eastAsia="Arial" w:hAnsi="Arial"/>
                <w:sz w:val="18"/>
                <w:szCs w:val="18"/>
                <w:color w:val="auto"/>
              </w:rPr>
              <w:t>Financial and Accounting Officer)</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52"/>
        </w:trPr>
        <w:tc>
          <w:tcPr>
            <w:tcW w:w="15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8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Non -Executive Chairman</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186"/>
        </w:trPr>
        <w:tc>
          <w:tcPr>
            <w:tcW w:w="1560" w:type="dxa"/>
            <w:vAlign w:val="bottom"/>
          </w:tcPr>
          <w:p>
            <w:pPr>
              <w:spacing w:after="0"/>
              <w:rPr>
                <w:sz w:val="16"/>
                <w:szCs w:val="16"/>
                <w:color w:val="auto"/>
              </w:rPr>
            </w:pPr>
          </w:p>
        </w:tc>
        <w:tc>
          <w:tcPr>
            <w:tcW w:w="28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5"/>
              </w:rPr>
              <w:t>David W. Faeder</w:t>
            </w: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523"/>
        </w:trPr>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E</w:t>
            </w:r>
            <w:r>
              <w:rPr>
                <w:rFonts w:ascii="Arial" w:cs="Arial" w:eastAsia="Arial" w:hAnsi="Arial"/>
                <w:sz w:val="14"/>
                <w:szCs w:val="14"/>
                <w:color w:val="auto"/>
              </w:rPr>
              <w:t xml:space="preserve">LIZABETH </w:t>
            </w:r>
            <w:r>
              <w:rPr>
                <w:rFonts w:ascii="Arial" w:cs="Arial" w:eastAsia="Arial" w:hAnsi="Arial"/>
                <w:sz w:val="17"/>
                <w:szCs w:val="17"/>
                <w:color w:val="auto"/>
              </w:rPr>
              <w:t>I. H</w:t>
            </w:r>
            <w:r>
              <w:rPr>
                <w:rFonts w:ascii="Arial" w:cs="Arial" w:eastAsia="Arial" w:hAnsi="Arial"/>
                <w:sz w:val="14"/>
                <w:szCs w:val="14"/>
                <w:color w:val="auto"/>
              </w:rPr>
              <w:t>OLLAND</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186"/>
        </w:trPr>
        <w:tc>
          <w:tcPr>
            <w:tcW w:w="1560" w:type="dxa"/>
            <w:vAlign w:val="bottom"/>
          </w:tcPr>
          <w:p>
            <w:pPr>
              <w:spacing w:after="0"/>
              <w:rPr>
                <w:sz w:val="16"/>
                <w:szCs w:val="16"/>
                <w:color w:val="auto"/>
              </w:rPr>
            </w:pPr>
          </w:p>
        </w:tc>
        <w:tc>
          <w:tcPr>
            <w:tcW w:w="28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8"/>
              </w:rPr>
              <w:t>Elizabeth I. Holland</w:t>
            </w: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469"/>
        </w:trPr>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N</w:t>
            </w:r>
            <w:r>
              <w:rPr>
                <w:rFonts w:ascii="Arial" w:cs="Arial" w:eastAsia="Arial" w:hAnsi="Arial"/>
                <w:sz w:val="14"/>
                <w:szCs w:val="14"/>
                <w:color w:val="auto"/>
              </w:rPr>
              <w:t xml:space="preserve">ICOLE </w:t>
            </w:r>
            <w:r>
              <w:rPr>
                <w:rFonts w:ascii="Arial" w:cs="Arial" w:eastAsia="Arial" w:hAnsi="Arial"/>
                <w:sz w:val="17"/>
                <w:szCs w:val="17"/>
                <w:color w:val="auto"/>
              </w:rPr>
              <w:t>Y. L</w:t>
            </w:r>
            <w:r>
              <w:rPr>
                <w:rFonts w:ascii="Arial" w:cs="Arial" w:eastAsia="Arial" w:hAnsi="Arial"/>
                <w:sz w:val="14"/>
                <w:szCs w:val="14"/>
                <w:color w:val="auto"/>
              </w:rPr>
              <w:t>AMB-HALE</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186"/>
        </w:trPr>
        <w:tc>
          <w:tcPr>
            <w:tcW w:w="1560" w:type="dxa"/>
            <w:vAlign w:val="bottom"/>
          </w:tcPr>
          <w:p>
            <w:pPr>
              <w:spacing w:after="0"/>
              <w:rPr>
                <w:sz w:val="16"/>
                <w:szCs w:val="16"/>
                <w:color w:val="auto"/>
              </w:rPr>
            </w:pPr>
          </w:p>
        </w:tc>
        <w:tc>
          <w:tcPr>
            <w:tcW w:w="28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6"/>
              </w:rPr>
              <w:t>Nicole Y. Lamb-Hale</w:t>
            </w: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462"/>
        </w:trPr>
        <w:tc>
          <w:tcPr>
            <w:tcW w:w="156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/S/</w:t>
            </w:r>
          </w:p>
        </w:tc>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THOMAS A. MCEACHIN</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180"/>
        </w:trPr>
        <w:tc>
          <w:tcPr>
            <w:tcW w:w="1560" w:type="dxa"/>
            <w:vAlign w:val="bottom"/>
          </w:tcPr>
          <w:p>
            <w:pPr>
              <w:spacing w:after="0"/>
              <w:rPr>
                <w:sz w:val="15"/>
                <w:szCs w:val="15"/>
                <w:color w:val="auto"/>
              </w:rPr>
            </w:pPr>
          </w:p>
        </w:tc>
        <w:tc>
          <w:tcPr>
            <w:tcW w:w="28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5"/>
              </w:rPr>
              <w:t>Thomas A. McEachin</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469"/>
        </w:trPr>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A</w:t>
            </w:r>
            <w:r>
              <w:rPr>
                <w:rFonts w:ascii="Arial" w:cs="Arial" w:eastAsia="Arial" w:hAnsi="Arial"/>
                <w:sz w:val="14"/>
                <w:szCs w:val="14"/>
                <w:color w:val="auto"/>
              </w:rPr>
              <w:t xml:space="preserve">NTHONY </w:t>
            </w:r>
            <w:r>
              <w:rPr>
                <w:rFonts w:ascii="Arial" w:cs="Arial" w:eastAsia="Arial" w:hAnsi="Arial"/>
                <w:sz w:val="17"/>
                <w:szCs w:val="17"/>
                <w:color w:val="auto"/>
              </w:rPr>
              <w:t>P. N</w:t>
            </w:r>
            <w:r>
              <w:rPr>
                <w:rFonts w:ascii="Arial" w:cs="Arial" w:eastAsia="Arial" w:hAnsi="Arial"/>
                <w:sz w:val="14"/>
                <w:szCs w:val="14"/>
                <w:color w:val="auto"/>
              </w:rPr>
              <w:t xml:space="preserve">ADER, </w:t>
            </w:r>
            <w:r>
              <w:rPr>
                <w:rFonts w:ascii="Arial" w:cs="Arial" w:eastAsia="Arial" w:hAnsi="Arial"/>
                <w:sz w:val="17"/>
                <w:szCs w:val="17"/>
                <w:color w:val="auto"/>
              </w:rPr>
              <w:t>III</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186"/>
        </w:trPr>
        <w:tc>
          <w:tcPr>
            <w:tcW w:w="1560" w:type="dxa"/>
            <w:vAlign w:val="bottom"/>
          </w:tcPr>
          <w:p>
            <w:pPr>
              <w:spacing w:after="0"/>
              <w:rPr>
                <w:sz w:val="16"/>
                <w:szCs w:val="16"/>
                <w:color w:val="auto"/>
              </w:rPr>
            </w:pPr>
          </w:p>
        </w:tc>
        <w:tc>
          <w:tcPr>
            <w:tcW w:w="28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7"/>
              </w:rPr>
              <w:t>Anthony P. Nader, III</w:t>
            </w: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482"/>
        </w:trPr>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AIL</w:t>
            </w:r>
            <w:r>
              <w:rPr>
                <w:rFonts w:ascii="Arial" w:cs="Arial" w:eastAsia="Arial" w:hAnsi="Arial"/>
                <w:sz w:val="18"/>
                <w:szCs w:val="18"/>
                <w:color w:val="auto"/>
              </w:rPr>
              <w:t xml:space="preserve"> P. S</w:t>
            </w:r>
            <w:r>
              <w:rPr>
                <w:rFonts w:ascii="Arial" w:cs="Arial" w:eastAsia="Arial" w:hAnsi="Arial"/>
                <w:sz w:val="14"/>
                <w:szCs w:val="14"/>
                <w:color w:val="auto"/>
              </w:rPr>
              <w:t>TEINEL</w:t>
            </w: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04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February 8, 2023</w:t>
            </w:r>
          </w:p>
        </w:tc>
      </w:tr>
      <w:tr>
        <w:trPr>
          <w:trHeight w:val="186"/>
        </w:trPr>
        <w:tc>
          <w:tcPr>
            <w:tcW w:w="1560" w:type="dxa"/>
            <w:vAlign w:val="bottom"/>
          </w:tcPr>
          <w:p>
            <w:pPr>
              <w:spacing w:after="0"/>
              <w:rPr>
                <w:sz w:val="16"/>
                <w:szCs w:val="16"/>
                <w:color w:val="auto"/>
              </w:rPr>
            </w:pPr>
          </w:p>
        </w:tc>
        <w:tc>
          <w:tcPr>
            <w:tcW w:w="28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2"/>
              </w:rPr>
              <w:t>Gail P. Steinel</w:t>
            </w: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100" w:type="dxa"/>
            <w:vAlign w:val="bottom"/>
            <w:vMerge w:val="restart"/>
          </w:tcPr>
          <w:p>
            <w:pPr>
              <w:spacing w:after="0"/>
              <w:rPr>
                <w:sz w:val="20"/>
                <w:szCs w:val="20"/>
                <w:color w:val="auto"/>
              </w:rPr>
            </w:pPr>
            <w:r>
              <w:rPr>
                <w:rFonts w:ascii="Arial" w:cs="Arial" w:eastAsia="Arial" w:hAnsi="Arial"/>
                <w:sz w:val="18"/>
                <w:szCs w:val="18"/>
                <w:color w:val="auto"/>
              </w:rPr>
              <w:t>Report of Independent Registered Public Accounting Firm ( PCAOB ID Number 248)</w:t>
            </w: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Page No.</w:t>
            </w:r>
          </w:p>
        </w:tc>
        <w:tc>
          <w:tcPr>
            <w:tcW w:w="0" w:type="dxa"/>
            <w:vAlign w:val="bottom"/>
          </w:tcPr>
          <w:p>
            <w:pPr>
              <w:spacing w:after="0"/>
              <w:rPr>
                <w:sz w:val="1"/>
                <w:szCs w:val="1"/>
                <w:color w:val="auto"/>
              </w:rPr>
            </w:pPr>
          </w:p>
        </w:tc>
      </w:tr>
      <w:tr>
        <w:trPr>
          <w:trHeight w:val="183"/>
        </w:trPr>
        <w:tc>
          <w:tcPr>
            <w:tcW w:w="10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center"/>
              <w:ind w:right="440"/>
              <w:spacing w:after="0" w:line="182" w:lineRule="exact"/>
              <w:rPr>
                <w:sz w:val="20"/>
                <w:szCs w:val="20"/>
                <w:color w:val="auto"/>
              </w:rPr>
            </w:pPr>
            <w:r>
              <w:rPr>
                <w:rFonts w:ascii="Arial" w:cs="Arial" w:eastAsia="Arial" w:hAnsi="Arial"/>
                <w:sz w:val="18"/>
                <w:szCs w:val="18"/>
                <w:color w:val="0000FF"/>
                <w:w w:val="88"/>
              </w:rPr>
              <w:t>F-2</w:t>
            </w:r>
          </w:p>
        </w:tc>
        <w:tc>
          <w:tcPr>
            <w:tcW w:w="0" w:type="dxa"/>
            <w:vAlign w:val="bottom"/>
          </w:tcPr>
          <w:p>
            <w:pPr>
              <w:spacing w:after="0"/>
              <w:rPr>
                <w:sz w:val="1"/>
                <w:szCs w:val="1"/>
                <w:color w:val="auto"/>
              </w:rPr>
            </w:pPr>
          </w:p>
        </w:tc>
      </w:tr>
      <w:tr>
        <w:trPr>
          <w:trHeight w:val="411"/>
        </w:trPr>
        <w:tc>
          <w:tcPr>
            <w:tcW w:w="10100" w:type="dxa"/>
            <w:vAlign w:val="bottom"/>
          </w:tcPr>
          <w:p>
            <w:pPr>
              <w:spacing w:after="0"/>
              <w:rPr>
                <w:sz w:val="20"/>
                <w:szCs w:val="20"/>
                <w:color w:val="auto"/>
              </w:rPr>
            </w:pPr>
            <w:r>
              <w:rPr>
                <w:rFonts w:ascii="Arial" w:cs="Arial" w:eastAsia="Arial" w:hAnsi="Arial"/>
                <w:sz w:val="18"/>
                <w:szCs w:val="18"/>
                <w:b w:val="1"/>
                <w:bCs w:val="1"/>
                <w:color w:val="auto"/>
              </w:rPr>
              <w:t>Federal Realty Investment Trust:</w:t>
            </w:r>
          </w:p>
        </w:tc>
        <w:tc>
          <w:tcPr>
            <w:tcW w:w="4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100" w:type="dxa"/>
            <w:vAlign w:val="bottom"/>
          </w:tcPr>
          <w:p>
            <w:pPr>
              <w:spacing w:after="0" w:line="190" w:lineRule="exact"/>
              <w:rPr>
                <w:sz w:val="20"/>
                <w:szCs w:val="20"/>
                <w:color w:val="auto"/>
              </w:rPr>
            </w:pPr>
            <w:r>
              <w:rPr>
                <w:rFonts w:ascii="Arial" w:cs="Arial" w:eastAsia="Arial" w:hAnsi="Arial"/>
                <w:sz w:val="18"/>
                <w:szCs w:val="18"/>
                <w:color w:val="auto"/>
              </w:rPr>
              <w:t>Consolidated Balance Sheets as of December 31, 2022 and 2021</w:t>
            </w:r>
          </w:p>
        </w:tc>
        <w:tc>
          <w:tcPr>
            <w:tcW w:w="440" w:type="dxa"/>
            <w:vAlign w:val="bottom"/>
          </w:tcPr>
          <w:p>
            <w:pPr>
              <w:spacing w:after="0"/>
              <w:rPr>
                <w:sz w:val="16"/>
                <w:szCs w:val="16"/>
                <w:color w:val="auto"/>
              </w:rPr>
            </w:pPr>
          </w:p>
        </w:tc>
        <w:tc>
          <w:tcPr>
            <w:tcW w:w="680" w:type="dxa"/>
            <w:vAlign w:val="bottom"/>
            <w:gridSpan w:val="2"/>
          </w:tcPr>
          <w:p>
            <w:pPr>
              <w:jc w:val="center"/>
              <w:ind w:right="440"/>
              <w:spacing w:after="0" w:line="190" w:lineRule="exact"/>
              <w:rPr>
                <w:sz w:val="20"/>
                <w:szCs w:val="20"/>
                <w:color w:val="auto"/>
              </w:rPr>
            </w:pPr>
            <w:r>
              <w:rPr>
                <w:rFonts w:ascii="Arial" w:cs="Arial" w:eastAsia="Arial" w:hAnsi="Arial"/>
                <w:sz w:val="18"/>
                <w:szCs w:val="18"/>
                <w:color w:val="0000FF"/>
                <w:w w:val="88"/>
              </w:rPr>
              <w:t>F-8</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2022, 2021, and 2020</w:t>
            </w:r>
          </w:p>
        </w:tc>
        <w:tc>
          <w:tcPr>
            <w:tcW w:w="440" w:type="dxa"/>
            <w:vAlign w:val="bottom"/>
          </w:tcPr>
          <w:p>
            <w:pPr>
              <w:spacing w:after="0"/>
              <w:rPr>
                <w:sz w:val="18"/>
                <w:szCs w:val="18"/>
                <w:color w:val="auto"/>
              </w:rPr>
            </w:pPr>
          </w:p>
        </w:tc>
        <w:tc>
          <w:tcPr>
            <w:tcW w:w="68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F-9</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00" w:type="dxa"/>
            <w:vAlign w:val="bottom"/>
          </w:tcPr>
          <w:p>
            <w:pPr>
              <w:spacing w:after="0"/>
              <w:rPr>
                <w:sz w:val="20"/>
                <w:szCs w:val="20"/>
                <w:color w:val="auto"/>
              </w:rPr>
            </w:pPr>
            <w:r>
              <w:rPr>
                <w:rFonts w:ascii="Arial" w:cs="Arial" w:eastAsia="Arial" w:hAnsi="Arial"/>
                <w:sz w:val="18"/>
                <w:szCs w:val="18"/>
                <w:color w:val="auto"/>
              </w:rPr>
              <w:t>Consolidated Statements of Shareholders’ Equity for the Years Ended December 31, 2022, 2021, and 2020</w:t>
            </w:r>
          </w:p>
        </w:tc>
        <w:tc>
          <w:tcPr>
            <w:tcW w:w="440" w:type="dxa"/>
            <w:vAlign w:val="bottom"/>
          </w:tcPr>
          <w:p>
            <w:pPr>
              <w:spacing w:after="0"/>
              <w:rPr>
                <w:sz w:val="18"/>
                <w:szCs w:val="18"/>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8"/>
                <w:szCs w:val="18"/>
                <w:color w:val="0000FF"/>
                <w:w w:val="75"/>
              </w:rPr>
              <w:t>F-10</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440" w:type="dxa"/>
            <w:vAlign w:val="bottom"/>
          </w:tcPr>
          <w:p>
            <w:pPr>
              <w:spacing w:after="0"/>
              <w:rPr>
                <w:sz w:val="18"/>
                <w:szCs w:val="18"/>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8"/>
                <w:szCs w:val="18"/>
                <w:color w:val="0000FF"/>
                <w:w w:val="75"/>
              </w:rPr>
              <w:t>F-11</w:t>
            </w:r>
          </w:p>
        </w:tc>
        <w:tc>
          <w:tcPr>
            <w:tcW w:w="0" w:type="dxa"/>
            <w:vAlign w:val="bottom"/>
          </w:tcPr>
          <w:p>
            <w:pPr>
              <w:spacing w:after="0"/>
              <w:rPr>
                <w:sz w:val="1"/>
                <w:szCs w:val="1"/>
                <w:color w:val="auto"/>
              </w:rPr>
            </w:pPr>
          </w:p>
        </w:tc>
      </w:tr>
      <w:tr>
        <w:trPr>
          <w:trHeight w:val="506"/>
        </w:trPr>
        <w:tc>
          <w:tcPr>
            <w:tcW w:w="10100" w:type="dxa"/>
            <w:vAlign w:val="bottom"/>
          </w:tcPr>
          <w:p>
            <w:pPr>
              <w:spacing w:after="0"/>
              <w:rPr>
                <w:sz w:val="20"/>
                <w:szCs w:val="20"/>
                <w:color w:val="auto"/>
              </w:rPr>
            </w:pPr>
            <w:r>
              <w:rPr>
                <w:rFonts w:ascii="Arial" w:cs="Arial" w:eastAsia="Arial" w:hAnsi="Arial"/>
                <w:sz w:val="18"/>
                <w:szCs w:val="18"/>
                <w:b w:val="1"/>
                <w:bCs w:val="1"/>
                <w:color w:val="auto"/>
              </w:rPr>
              <w:t>Federal Realty OP LP:</w:t>
            </w:r>
          </w:p>
        </w:tc>
        <w:tc>
          <w:tcPr>
            <w:tcW w:w="4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100" w:type="dxa"/>
            <w:vAlign w:val="bottom"/>
          </w:tcPr>
          <w:p>
            <w:pPr>
              <w:spacing w:after="0" w:line="190" w:lineRule="exact"/>
              <w:rPr>
                <w:sz w:val="20"/>
                <w:szCs w:val="20"/>
                <w:color w:val="auto"/>
              </w:rPr>
            </w:pPr>
            <w:r>
              <w:rPr>
                <w:rFonts w:ascii="Arial" w:cs="Arial" w:eastAsia="Arial" w:hAnsi="Arial"/>
                <w:sz w:val="18"/>
                <w:szCs w:val="18"/>
                <w:color w:val="auto"/>
              </w:rPr>
              <w:t>Consolidated Balance Sheets as of December 31, 2022 and 2021</w:t>
            </w:r>
          </w:p>
        </w:tc>
        <w:tc>
          <w:tcPr>
            <w:tcW w:w="440" w:type="dxa"/>
            <w:vAlign w:val="bottom"/>
          </w:tcPr>
          <w:p>
            <w:pPr>
              <w:spacing w:after="0"/>
              <w:rPr>
                <w:sz w:val="16"/>
                <w:szCs w:val="16"/>
                <w:color w:val="auto"/>
              </w:rPr>
            </w:pPr>
          </w:p>
        </w:tc>
        <w:tc>
          <w:tcPr>
            <w:tcW w:w="680" w:type="dxa"/>
            <w:vAlign w:val="bottom"/>
            <w:gridSpan w:val="2"/>
          </w:tcPr>
          <w:p>
            <w:pPr>
              <w:jc w:val="center"/>
              <w:ind w:right="400"/>
              <w:spacing w:after="0" w:line="190" w:lineRule="exact"/>
              <w:rPr>
                <w:sz w:val="20"/>
                <w:szCs w:val="20"/>
                <w:color w:val="auto"/>
              </w:rPr>
            </w:pPr>
            <w:r>
              <w:rPr>
                <w:rFonts w:ascii="Arial" w:cs="Arial" w:eastAsia="Arial" w:hAnsi="Arial"/>
                <w:sz w:val="18"/>
                <w:szCs w:val="18"/>
                <w:color w:val="0000FF"/>
                <w:w w:val="75"/>
              </w:rPr>
              <w:t>F-12</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2022, 2021, and 2020</w:t>
            </w:r>
          </w:p>
        </w:tc>
        <w:tc>
          <w:tcPr>
            <w:tcW w:w="440" w:type="dxa"/>
            <w:vAlign w:val="bottom"/>
          </w:tcPr>
          <w:p>
            <w:pPr>
              <w:spacing w:after="0"/>
              <w:rPr>
                <w:sz w:val="18"/>
                <w:szCs w:val="18"/>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8"/>
                <w:szCs w:val="18"/>
                <w:color w:val="0000FF"/>
                <w:w w:val="75"/>
              </w:rPr>
              <w:t>F-13</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00" w:type="dxa"/>
            <w:vAlign w:val="bottom"/>
          </w:tcPr>
          <w:p>
            <w:pPr>
              <w:spacing w:after="0"/>
              <w:rPr>
                <w:sz w:val="20"/>
                <w:szCs w:val="20"/>
                <w:color w:val="auto"/>
              </w:rPr>
            </w:pPr>
            <w:r>
              <w:rPr>
                <w:rFonts w:ascii="Arial" w:cs="Arial" w:eastAsia="Arial" w:hAnsi="Arial"/>
                <w:sz w:val="18"/>
                <w:szCs w:val="18"/>
                <w:color w:val="auto"/>
              </w:rPr>
              <w:t>Consolidated Statements of Capital for the Years Ended December 31, 2022, 2021, and 2020</w:t>
            </w:r>
          </w:p>
        </w:tc>
        <w:tc>
          <w:tcPr>
            <w:tcW w:w="440" w:type="dxa"/>
            <w:vAlign w:val="bottom"/>
          </w:tcPr>
          <w:p>
            <w:pPr>
              <w:spacing w:after="0"/>
              <w:rPr>
                <w:sz w:val="18"/>
                <w:szCs w:val="18"/>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8"/>
                <w:szCs w:val="18"/>
                <w:color w:val="0000FF"/>
                <w:w w:val="75"/>
              </w:rPr>
              <w:t>F-14</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440" w:type="dxa"/>
            <w:vAlign w:val="bottom"/>
          </w:tcPr>
          <w:p>
            <w:pPr>
              <w:spacing w:after="0"/>
              <w:rPr>
                <w:sz w:val="18"/>
                <w:szCs w:val="18"/>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8"/>
                <w:szCs w:val="18"/>
                <w:color w:val="0000FF"/>
                <w:w w:val="75"/>
              </w:rPr>
              <w:t>F-15</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1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spacing w:after="0"/>
              <w:rPr>
                <w:sz w:val="24"/>
                <w:szCs w:val="24"/>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8"/>
                <w:szCs w:val="18"/>
                <w:color w:val="0000FF"/>
                <w:w w:val="75"/>
              </w:rPr>
              <w:t>F-16</w:t>
            </w:r>
          </w:p>
        </w:tc>
        <w:tc>
          <w:tcPr>
            <w:tcW w:w="0" w:type="dxa"/>
            <w:vAlign w:val="bottom"/>
          </w:tcPr>
          <w:p>
            <w:pPr>
              <w:spacing w:after="0"/>
              <w:rPr>
                <w:sz w:val="1"/>
                <w:szCs w:val="1"/>
                <w:color w:val="auto"/>
              </w:rPr>
            </w:pPr>
          </w:p>
        </w:tc>
      </w:tr>
      <w:tr>
        <w:trPr>
          <w:trHeight w:val="519"/>
        </w:trPr>
        <w:tc>
          <w:tcPr>
            <w:tcW w:w="10100" w:type="dxa"/>
            <w:vAlign w:val="bottom"/>
          </w:tcPr>
          <w:p>
            <w:pPr>
              <w:spacing w:after="0"/>
              <w:rPr>
                <w:sz w:val="20"/>
                <w:szCs w:val="20"/>
                <w:color w:val="auto"/>
              </w:rPr>
            </w:pPr>
            <w:r>
              <w:rPr>
                <w:rFonts w:ascii="Arial" w:cs="Arial" w:eastAsia="Arial" w:hAnsi="Arial"/>
                <w:sz w:val="18"/>
                <w:szCs w:val="18"/>
                <w:i w:val="1"/>
                <w:iCs w:val="1"/>
                <w:color w:val="auto"/>
              </w:rPr>
              <w:t>Financial Statement Schedules</w:t>
            </w:r>
          </w:p>
        </w:tc>
        <w:tc>
          <w:tcPr>
            <w:tcW w:w="4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100" w:type="dxa"/>
            <w:vAlign w:val="bottom"/>
          </w:tcPr>
          <w:p>
            <w:pPr>
              <w:spacing w:after="0" w:line="190" w:lineRule="exact"/>
              <w:rPr>
                <w:sz w:val="20"/>
                <w:szCs w:val="20"/>
                <w:color w:val="auto"/>
              </w:rPr>
            </w:pPr>
            <w:r>
              <w:rPr>
                <w:rFonts w:ascii="Arial" w:cs="Arial" w:eastAsia="Arial" w:hAnsi="Arial"/>
                <w:sz w:val="18"/>
                <w:szCs w:val="18"/>
                <w:color w:val="auto"/>
              </w:rPr>
              <w:t>Schedule III—Summary of Real Estate and Accumulated Depreciation</w:t>
            </w:r>
          </w:p>
        </w:tc>
        <w:tc>
          <w:tcPr>
            <w:tcW w:w="440" w:type="dxa"/>
            <w:vAlign w:val="bottom"/>
          </w:tcPr>
          <w:p>
            <w:pPr>
              <w:spacing w:after="0"/>
              <w:rPr>
                <w:sz w:val="16"/>
                <w:szCs w:val="16"/>
                <w:color w:val="auto"/>
              </w:rPr>
            </w:pPr>
          </w:p>
        </w:tc>
        <w:tc>
          <w:tcPr>
            <w:tcW w:w="680" w:type="dxa"/>
            <w:vAlign w:val="bottom"/>
            <w:gridSpan w:val="2"/>
          </w:tcPr>
          <w:p>
            <w:pPr>
              <w:jc w:val="center"/>
              <w:ind w:right="400"/>
              <w:spacing w:after="0" w:line="190" w:lineRule="exact"/>
              <w:rPr>
                <w:sz w:val="20"/>
                <w:szCs w:val="20"/>
                <w:color w:val="auto"/>
              </w:rPr>
            </w:pPr>
            <w:r>
              <w:rPr>
                <w:rFonts w:ascii="Arial" w:cs="Arial" w:eastAsia="Arial" w:hAnsi="Arial"/>
                <w:sz w:val="18"/>
                <w:szCs w:val="18"/>
                <w:color w:val="0000FF"/>
                <w:w w:val="75"/>
              </w:rPr>
              <w:t>F-40</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color w:val="auto"/>
              </w:rPr>
              <w:t>Schedule IV—Mortgage Loans on Real Estate</w:t>
            </w:r>
          </w:p>
        </w:tc>
        <w:tc>
          <w:tcPr>
            <w:tcW w:w="440" w:type="dxa"/>
            <w:vAlign w:val="bottom"/>
          </w:tcPr>
          <w:p>
            <w:pPr>
              <w:spacing w:after="0"/>
              <w:rPr>
                <w:sz w:val="18"/>
                <w:szCs w:val="18"/>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8"/>
                <w:szCs w:val="18"/>
                <w:color w:val="0000FF"/>
                <w:w w:val="75"/>
              </w:rPr>
              <w:t>F-48</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Trust maintained, in all material respects, effective internal control over financial reporting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Trust as of and for the year ended December 31, 2022, and our report dated February 8, 2023 expressed an unqualified opinion on those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8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21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8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audited the accompanying consolidated balance sheets of Federal Realty Investment Trust (a Maryland real estate investment trust) and subsidiaries (collectively, the "Trust") as of December 31, 2022 and 2021, the related consolidated statements of comprehensive income, changes in shareholders’ equity, and cash flows for each of the three years in the period ended December 31, 2022, and the related notes and financial statement schedules included under Item 15(a)(2) (collectively referred to as the “financial statements”). In our opinion, the financial statements present fairly, in all material respects, the financial position of the Trust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Trust’s internal control over financial reporting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8, 2023 expressed an unqualified opinion.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8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Collectibility Assessment</w:t>
      </w:r>
    </w:p>
    <w:p>
      <w:pPr>
        <w:spacing w:after="0" w:line="7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order to recognize rental revenue on an accrual basis, the Trust must determine whether substantially all the rents due under a lease arrangement are collectible. If the Trust reaches the conclusion that substantially all of the rents are not collectible for a specific lease, then rental revenue under that arrangement can only be recognized when cash payment from the tenant is received.</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Significant judgment is exercised by the Trust when making a collectibility assessment and includes the following considerations which require challenging and subjective auditor judgment in the execution of our audit procedures:</w:t>
      </w:r>
    </w:p>
    <w:p>
      <w:pPr>
        <w:spacing w:after="0" w:line="3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Creditworthiness of the tenant</w:t>
      </w:r>
    </w:p>
    <w:p>
      <w:pPr>
        <w:ind w:left="660" w:hanging="328"/>
        <w:spacing w:after="0" w:line="21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economic conditions</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experience with the tenant and other tenants operating in the same industry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collectibility assessment included the following:</w:t>
      </w:r>
    </w:p>
    <w:p>
      <w:pPr>
        <w:spacing w:after="0" w:line="77" w:lineRule="exact"/>
        <w:rPr>
          <w:sz w:val="20"/>
          <w:szCs w:val="20"/>
          <w:color w:val="auto"/>
        </w:rPr>
      </w:pPr>
    </w:p>
    <w:p>
      <w:pPr>
        <w:ind w:left="5500" w:right="1300" w:hanging="5168"/>
        <w:spacing w:after="0" w:line="919"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assessed the design and tested the operating effectiveness of internal controls relating to the collectibility assessment process.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evaluated management’s accounting policies related to this assessment.</w:t>
      </w:r>
    </w:p>
    <w:p>
      <w:pPr>
        <w:ind w:left="660" w:hanging="328"/>
        <w:spacing w:after="0" w:line="23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verified the completeness of the population of tenants that management evaluated.</w:t>
      </w:r>
    </w:p>
    <w:p>
      <w:pPr>
        <w:ind w:left="660" w:right="400" w:hanging="328"/>
        <w:spacing w:after="0" w:line="246"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researched recent publicly available information such as bankruptcy filings, industry journals, and periodicals, and for any of the Trust’s tenants identified in our research, we evaluated whether such information was considered in management’s collectibility assessment.</w:t>
      </w:r>
    </w:p>
    <w:p>
      <w:pPr>
        <w:ind w:left="660" w:right="400" w:hanging="328"/>
        <w:spacing w:after="0" w:line="22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selection of tenant receivables where collectibility was deemed as probable, we inspected and evaluated management’s documentation supporting the collectibility assessment.</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recalculated the aging for a selection of tenant receivable balances using supporting documentation.</w:t>
      </w:r>
    </w:p>
    <w:p>
      <w:pPr>
        <w:ind w:left="660" w:right="100" w:hanging="328"/>
        <w:spacing w:after="0" w:line="219"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selection of leases, we evaluated the collectibility assessment conclusion reached by management and performed the following procedures for each selection:</w:t>
      </w:r>
    </w:p>
    <w:p>
      <w:pPr>
        <w:ind w:left="1300" w:hanging="320"/>
        <w:spacing w:after="0" w:line="23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Verified that management’s accounting policies related to the collectibility assessment were followed.</w:t>
      </w:r>
    </w:p>
    <w:p>
      <w:pPr>
        <w:ind w:left="1300" w:hanging="320"/>
        <w:spacing w:after="0" w:line="219"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Obtained from management documentation such as tenant collection history and any direct correspondence and evaluated management’s considerations supporting the collectibility assessment conclusion reached.</w:t>
      </w:r>
    </w:p>
    <w:p>
      <w:pPr>
        <w:ind w:left="1300" w:right="60" w:hanging="320"/>
        <w:spacing w:after="0" w:line="233"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Trust’s auditor since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Unitholders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OP LP</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Federal Realty OP LP (a Delaware limited partnership) and subsidiaries (collectively, the “Operating Partnership”)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Operating Partnership maintained, in all material respects, effective internal control over financial reporting as of December 31, 2022,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COSO.</w:t>
      </w:r>
    </w:p>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Operating Partnership as of and for the year ended December 31, 2022, and our report dated February 8,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Operating Partnership’s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2023</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Unitholders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OP LP</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audited the accompanying consolidated balance sheets of Federal Realty OP LP (a Delaware limited partnership) and subsidiaries (collectively, the "Operating Partnership") as of December 31, 2022 and 2021, the related consolidated statements of comprehensive income, capital, and cash flows for each of the three years in the period ended December 31, 2022, and the related notes and financial statement schedules included under Item 15(a)(2) (collectively referred to as the “financial statements”). In our opinion, the financial statements present fairly, in all material respects, the financial position of the Operating Partnership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Operating Partnership’s internal control over financial reporting as of December 31, 2022,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8, 2023</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These financial statements are the responsibility of the Operating Partnership’s management. Our responsibility is to express an opinion on the Operating Partnership’s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Collectibility Assessment</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order to recognize rental revenue on an accrual basis, the Operating Partnership must determine whether substantially all the rents due under a lease arrangement are collectible. If the Operating Partnership reaches the conclusion that substantially all of the rents are not collectible for a specific lease, then rental revenue under that arrangement can only be recognized when cash payment from the tenant is received.</w:t>
      </w:r>
    </w:p>
    <w:p>
      <w:pPr>
        <w:spacing w:after="0" w:line="19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Significant judgment is exercised by the Operating Partnership when making a collectibility assessment and includes the following considerations which require challenging and subjective auditor judgment in the execution of our audit procedures:</w:t>
      </w:r>
    </w:p>
    <w:p>
      <w:pPr>
        <w:ind w:left="660" w:hanging="328"/>
        <w:spacing w:after="0" w:line="23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Creditworthiness of the tenant</w:t>
      </w:r>
    </w:p>
    <w:p>
      <w:pPr>
        <w:ind w:left="660" w:hanging="328"/>
        <w:spacing w:after="0" w:line="21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Current economic conditions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Historical experience with the tenant and other tenants operating in the same industry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collectibility assessment included the following:</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assessed the design and tested the operating effectiveness of internal controls relating to the collectibility assessment process.</w:t>
      </w:r>
    </w:p>
    <w:p>
      <w:pPr>
        <w:ind w:left="660" w:hanging="328"/>
        <w:spacing w:after="0" w:line="23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evaluated management’s accounting policies related to this assessment.</w:t>
      </w:r>
    </w:p>
    <w:p>
      <w:pPr>
        <w:ind w:left="660" w:hanging="328"/>
        <w:spacing w:after="0" w:line="21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verified the completeness of the population of tenants that management evaluated.</w:t>
      </w:r>
    </w:p>
    <w:p>
      <w:pPr>
        <w:ind w:left="660" w:hanging="328"/>
        <w:spacing w:after="0" w:line="246"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researched recent publicly available information such as bankruptcy filings, industry journals, and periodicals, and for any of the Operating Partnership’s tenants identified in our research, we evaluated whether such information was considered in management’s collectibility assessment.</w:t>
      </w:r>
    </w:p>
    <w:p>
      <w:pPr>
        <w:ind w:left="660" w:right="440" w:hanging="328"/>
        <w:spacing w:after="0" w:line="226"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 selection of tenant receivables where collectibility was deemed as probable, we inspected and evaluated management’s documentation supporting the collectibility assessment.</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recalculated the aging for a selection of tenant receivable balances using supporting documentation.</w:t>
      </w:r>
    </w:p>
    <w:p>
      <w:pPr>
        <w:ind w:left="660" w:right="140" w:hanging="328"/>
        <w:spacing w:after="0" w:line="226"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 selection of leases, we evaluated the collectibility assessment conclusion reached by management and performed the following procedures for each selection:</w:t>
      </w:r>
    </w:p>
    <w:p>
      <w:pPr>
        <w:ind w:left="1300" w:hanging="320"/>
        <w:spacing w:after="0" w:line="221"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Verified that management’s accounting policies related to the collectibility assessment were followed.</w:t>
      </w:r>
    </w:p>
    <w:p>
      <w:pPr>
        <w:ind w:left="1300" w:right="940" w:hanging="323"/>
        <w:spacing w:after="0" w:line="219" w:lineRule="auto"/>
        <w:tabs>
          <w:tab w:leader="none" w:pos="1280" w:val="left"/>
        </w:tabs>
        <w:rPr>
          <w:sz w:val="20"/>
          <w:szCs w:val="20"/>
          <w:color w:val="auto"/>
        </w:rPr>
      </w:pPr>
      <w:r>
        <w:rPr>
          <w:rFonts w:ascii="Arial" w:cs="Arial" w:eastAsia="Arial" w:hAnsi="Arial"/>
          <w:sz w:val="18"/>
          <w:szCs w:val="18"/>
          <w:color w:val="auto"/>
        </w:rPr>
        <w:t>◦</w:t>
        <w:tab/>
        <w:t>Obtained from management documentation such as tenant collection history and any direct correspondence and evaluated management’s considerations supporting the collectibility assessment conclusion reached.</w:t>
      </w:r>
    </w:p>
    <w:p>
      <w:pPr>
        <w:ind w:left="1300" w:right="100" w:hanging="320"/>
        <w:spacing w:after="0" w:line="243" w:lineRule="auto"/>
        <w:tabs>
          <w:tab w:leader="none" w:pos="12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Operating Partnership's auditor since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135"/>
        </w:trPr>
        <w:tc>
          <w:tcPr>
            <w:tcW w:w="3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60" w:type="dxa"/>
            <w:vAlign w:val="bottom"/>
            <w:gridSpan w:val="4"/>
          </w:tcPr>
          <w:p>
            <w:pPr>
              <w:jc w:val="center"/>
              <w:ind w:right="91"/>
              <w:spacing w:after="0" w:line="135" w:lineRule="exact"/>
              <w:rPr>
                <w:sz w:val="20"/>
                <w:szCs w:val="20"/>
                <w:color w:val="auto"/>
              </w:rPr>
            </w:pPr>
            <w:r>
              <w:rPr>
                <w:rFonts w:ascii="Arial" w:cs="Arial" w:eastAsia="Arial" w:hAnsi="Arial"/>
                <w:sz w:val="14"/>
                <w:szCs w:val="14"/>
                <w:b w:val="1"/>
                <w:bCs w:val="1"/>
                <w:color w:val="auto"/>
                <w:w w:val="91"/>
              </w:rPr>
              <w:t>(In thousands, except share and per</w:t>
            </w:r>
          </w:p>
        </w:tc>
      </w:tr>
      <w:tr>
        <w:trPr>
          <w:trHeight w:val="186"/>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0"/>
              </w:rPr>
              <w:t>share data)</w:t>
            </w:r>
          </w:p>
        </w:tc>
        <w:tc>
          <w:tcPr>
            <w:tcW w:w="880" w:type="dxa"/>
            <w:vAlign w:val="bottom"/>
          </w:tcPr>
          <w:p>
            <w:pPr>
              <w:spacing w:after="0"/>
              <w:rPr>
                <w:sz w:val="16"/>
                <w:szCs w:val="16"/>
                <w:color w:val="auto"/>
              </w:rPr>
            </w:pPr>
          </w:p>
        </w:tc>
      </w:tr>
      <w:tr>
        <w:trPr>
          <w:trHeight w:val="246"/>
        </w:trPr>
        <w:tc>
          <w:tcPr>
            <w:tcW w:w="8560" w:type="dxa"/>
            <w:vAlign w:val="bottom"/>
            <w:gridSpan w:val="5"/>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60" w:type="dxa"/>
            <w:vAlign w:val="bottom"/>
            <w:gridSpan w:val="5"/>
          </w:tcPr>
          <w:p>
            <w:pPr>
              <w:ind w:left="660"/>
              <w:spacing w:after="0"/>
              <w:rPr>
                <w:sz w:val="20"/>
                <w:szCs w:val="20"/>
                <w:color w:val="auto"/>
              </w:rPr>
            </w:pPr>
            <w:r>
              <w:rPr>
                <w:rFonts w:ascii="Arial" w:cs="Arial" w:eastAsia="Arial" w:hAnsi="Arial"/>
                <w:sz w:val="18"/>
                <w:szCs w:val="18"/>
                <w:color w:val="auto"/>
                <w:w w:val="96"/>
              </w:rPr>
              <w:t>Operating (including $1,997,583 and $2,207,648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9,441,945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8,814,791</w:t>
            </w:r>
          </w:p>
        </w:tc>
      </w:tr>
      <w:tr>
        <w:trPr>
          <w:trHeight w:val="175"/>
        </w:trPr>
        <w:tc>
          <w:tcPr>
            <w:tcW w:w="8560" w:type="dxa"/>
            <w:vAlign w:val="bottom"/>
            <w:gridSpan w:val="5"/>
            <w:shd w:val="clear" w:color="auto" w:fill="CCEEFF"/>
          </w:tcPr>
          <w:p>
            <w:pPr>
              <w:ind w:left="660"/>
              <w:spacing w:after="0" w:line="176" w:lineRule="exact"/>
              <w:rPr>
                <w:sz w:val="20"/>
                <w:szCs w:val="20"/>
                <w:color w:val="auto"/>
              </w:rPr>
            </w:pPr>
            <w:r>
              <w:rPr>
                <w:rFonts w:ascii="Arial" w:cs="Arial" w:eastAsia="Arial" w:hAnsi="Arial"/>
                <w:sz w:val="18"/>
                <w:szCs w:val="18"/>
                <w:color w:val="auto"/>
              </w:rPr>
              <w:t>Construction-in-progress (including $8,477 and $18,752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662,554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607,271</w:t>
            </w:r>
          </w:p>
        </w:tc>
      </w:tr>
      <w:tr>
        <w:trPr>
          <w:trHeight w:val="223"/>
        </w:trPr>
        <w:tc>
          <w:tcPr>
            <w:tcW w:w="3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10,104,499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9,422,062</w:t>
            </w:r>
          </w:p>
        </w:tc>
      </w:tr>
      <w:tr>
        <w:trPr>
          <w:trHeight w:val="176"/>
        </w:trPr>
        <w:tc>
          <w:tcPr>
            <w:tcW w:w="8560" w:type="dxa"/>
            <w:vAlign w:val="bottom"/>
            <w:gridSpan w:val="5"/>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$362,921 and $389,950 of consolidated variable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(2,715,817)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(2,531,095)</w:t>
            </w:r>
          </w:p>
        </w:tc>
      </w:tr>
      <w:tr>
        <w:trPr>
          <w:trHeight w:val="223"/>
        </w:trPr>
        <w:tc>
          <w:tcPr>
            <w:tcW w:w="8560" w:type="dxa"/>
            <w:vAlign w:val="bottom"/>
            <w:gridSpan w:val="5"/>
          </w:tcPr>
          <w:p>
            <w:pPr>
              <w:ind w:left="340"/>
              <w:spacing w:after="0"/>
              <w:rPr>
                <w:sz w:val="20"/>
                <w:szCs w:val="20"/>
                <w:color w:val="auto"/>
              </w:rPr>
            </w:pPr>
            <w:r>
              <w:rPr>
                <w:rFonts w:ascii="Arial" w:cs="Arial" w:eastAsia="Arial" w:hAnsi="Arial"/>
                <w:sz w:val="18"/>
                <w:szCs w:val="18"/>
                <w:color w:val="auto"/>
              </w:rPr>
              <w:t>Net real estate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7,388,682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6,890,967</w:t>
            </w:r>
          </w:p>
        </w:tc>
      </w:tr>
      <w:tr>
        <w:trPr>
          <w:trHeight w:val="229"/>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162,132</w:t>
            </w:r>
          </w:p>
        </w:tc>
      </w:tr>
      <w:tr>
        <w:trPr>
          <w:trHeight w:val="230"/>
        </w:trPr>
        <w:tc>
          <w:tcPr>
            <w:tcW w:w="8560" w:type="dxa"/>
            <w:vAlign w:val="bottom"/>
            <w:gridSpan w:val="5"/>
          </w:tcPr>
          <w:p>
            <w:pPr>
              <w:ind w:left="34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169,007</w:t>
            </w:r>
          </w:p>
        </w:tc>
      </w:tr>
      <w:tr>
        <w:trPr>
          <w:trHeight w:val="229"/>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Mortgage notes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r>
      <w:tr>
        <w:trPr>
          <w:trHeight w:val="230"/>
        </w:trPr>
        <w:tc>
          <w:tcPr>
            <w:tcW w:w="8560" w:type="dxa"/>
            <w:vAlign w:val="bottom"/>
            <w:gridSpan w:val="5"/>
          </w:tcPr>
          <w:p>
            <w:pPr>
              <w:ind w:left="340"/>
              <w:spacing w:after="0"/>
              <w:rPr>
                <w:sz w:val="20"/>
                <w:szCs w:val="20"/>
                <w:color w:val="auto"/>
              </w:rPr>
            </w:pPr>
            <w:r>
              <w:rPr>
                <w:rFonts w:ascii="Arial" w:cs="Arial" w:eastAsia="Arial" w:hAnsi="Arial"/>
                <w:sz w:val="18"/>
                <w:szCs w:val="18"/>
                <w:color w:val="auto"/>
              </w:rPr>
              <w:t>Investment in partnerships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145,205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13,027</w:t>
            </w:r>
          </w:p>
        </w:tc>
      </w:tr>
      <w:tr>
        <w:trPr>
          <w:trHeight w:val="229"/>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90,743</w:t>
            </w:r>
          </w:p>
        </w:tc>
      </w:tr>
      <w:tr>
        <w:trPr>
          <w:trHeight w:val="229"/>
        </w:trPr>
        <w:tc>
          <w:tcPr>
            <w:tcW w:w="8560" w:type="dxa"/>
            <w:vAlign w:val="bottom"/>
            <w:gridSpan w:val="5"/>
          </w:tcPr>
          <w:p>
            <w:pPr>
              <w:ind w:left="340"/>
              <w:spacing w:after="0"/>
              <w:rPr>
                <w:sz w:val="20"/>
                <w:szCs w:val="20"/>
                <w:color w:val="auto"/>
              </w:rPr>
            </w:pPr>
            <w:r>
              <w:rPr>
                <w:rFonts w:ascii="Arial" w:cs="Arial" w:eastAsia="Arial" w:hAnsi="Arial"/>
                <w:sz w:val="18"/>
                <w:szCs w:val="18"/>
                <w:color w:val="auto"/>
              </w:rPr>
              <w:t>Finance lease right of use assets,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49,832</w:t>
            </w:r>
          </w:p>
        </w:tc>
      </w:tr>
      <w:tr>
        <w:trPr>
          <w:trHeight w:val="230"/>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237,069</w:t>
            </w:r>
          </w:p>
        </w:tc>
      </w:tr>
      <w:tr>
        <w:trPr>
          <w:trHeight w:val="223"/>
        </w:trPr>
        <w:tc>
          <w:tcPr>
            <w:tcW w:w="856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8,233,991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7,622,320</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560" w:type="dxa"/>
            <w:vAlign w:val="bottom"/>
            <w:gridSpan w:val="5"/>
          </w:tcPr>
          <w:p>
            <w:pPr>
              <w:ind w:left="3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31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Mortgages payable, net (including</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shd w:val="clear" w:color="auto" w:fill="CCEEFF"/>
              </w:rPr>
              <w:t>$191,827</w:t>
            </w:r>
          </w:p>
        </w:tc>
        <w:tc>
          <w:tcPr>
            <w:tcW w:w="472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and $335,301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3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68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339,993</w:t>
            </w:r>
          </w:p>
        </w:tc>
      </w:tr>
      <w:tr>
        <w:trPr>
          <w:trHeight w:val="230"/>
        </w:trPr>
        <w:tc>
          <w:tcPr>
            <w:tcW w:w="8560" w:type="dxa"/>
            <w:vAlign w:val="bottom"/>
            <w:gridSpan w:val="5"/>
          </w:tcPr>
          <w:p>
            <w:pPr>
              <w:ind w:left="66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601,077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301,466</w:t>
            </w:r>
          </w:p>
        </w:tc>
      </w:tr>
      <w:tr>
        <w:trPr>
          <w:trHeight w:val="230"/>
        </w:trPr>
        <w:tc>
          <w:tcPr>
            <w:tcW w:w="8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Senior notes and debentures,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3,406,088</w:t>
            </w:r>
          </w:p>
        </w:tc>
      </w:tr>
      <w:tr>
        <w:trPr>
          <w:trHeight w:val="230"/>
        </w:trPr>
        <w:tc>
          <w:tcPr>
            <w:tcW w:w="8560" w:type="dxa"/>
            <w:vAlign w:val="bottom"/>
            <w:gridSpan w:val="5"/>
          </w:tcPr>
          <w:p>
            <w:pPr>
              <w:ind w:left="6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235,168</w:t>
            </w:r>
          </w:p>
        </w:tc>
      </w:tr>
      <w:tr>
        <w:trPr>
          <w:trHeight w:val="229"/>
        </w:trPr>
        <w:tc>
          <w:tcPr>
            <w:tcW w:w="8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86,538</w:t>
            </w:r>
          </w:p>
        </w:tc>
      </w:tr>
      <w:tr>
        <w:trPr>
          <w:trHeight w:val="230"/>
        </w:trPr>
        <w:tc>
          <w:tcPr>
            <w:tcW w:w="8560" w:type="dxa"/>
            <w:vAlign w:val="bottom"/>
            <w:gridSpan w:val="5"/>
          </w:tcPr>
          <w:p>
            <w:pPr>
              <w:ind w:left="66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25,331</w:t>
            </w:r>
          </w:p>
        </w:tc>
      </w:tr>
      <w:tr>
        <w:trPr>
          <w:trHeight w:val="230"/>
        </w:trPr>
        <w:tc>
          <w:tcPr>
            <w:tcW w:w="8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r>
      <w:tr>
        <w:trPr>
          <w:trHeight w:val="230"/>
        </w:trPr>
        <w:tc>
          <w:tcPr>
            <w:tcW w:w="8560" w:type="dxa"/>
            <w:vAlign w:val="bottom"/>
            <w:gridSpan w:val="5"/>
          </w:tcPr>
          <w:p>
            <w:pPr>
              <w:ind w:left="66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72,032</w:t>
            </w:r>
          </w:p>
        </w:tc>
      </w:tr>
      <w:tr>
        <w:trPr>
          <w:trHeight w:val="229"/>
        </w:trPr>
        <w:tc>
          <w:tcPr>
            <w:tcW w:w="8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206,187</w:t>
            </w:r>
          </w:p>
        </w:tc>
      </w:tr>
      <w:tr>
        <w:trPr>
          <w:trHeight w:val="223"/>
        </w:trPr>
        <w:tc>
          <w:tcPr>
            <w:tcW w:w="8560" w:type="dxa"/>
            <w:vAlign w:val="bottom"/>
            <w:gridSpan w:val="5"/>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5,021,606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4,745,464</w:t>
            </w:r>
          </w:p>
        </w:tc>
      </w:tr>
      <w:tr>
        <w:trPr>
          <w:trHeight w:val="230"/>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60" w:type="dxa"/>
            <w:vAlign w:val="bottom"/>
            <w:gridSpan w:val="5"/>
          </w:tcPr>
          <w:p>
            <w:pPr>
              <w:ind w:left="34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178,370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213,708</w:t>
            </w:r>
          </w:p>
        </w:tc>
      </w:tr>
      <w:tr>
        <w:trPr>
          <w:trHeight w:val="230"/>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60" w:type="dxa"/>
            <w:vAlign w:val="bottom"/>
            <w:gridSpan w:val="5"/>
          </w:tcPr>
          <w:p>
            <w:pPr>
              <w:ind w:left="660"/>
              <w:spacing w:after="0"/>
              <w:rPr>
                <w:sz w:val="20"/>
                <w:szCs w:val="20"/>
                <w:color w:val="auto"/>
              </w:rPr>
            </w:pPr>
            <w:r>
              <w:rPr>
                <w:rFonts w:ascii="Arial" w:cs="Arial" w:eastAsia="Arial" w:hAnsi="Arial"/>
                <w:sz w:val="18"/>
                <w:szCs w:val="18"/>
                <w:color w:val="auto"/>
              </w:rPr>
              <w:t>Preferred shares, authorized 15,000,000 shares, $0.01 par: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6"/>
        </w:trPr>
        <w:tc>
          <w:tcPr>
            <w:tcW w:w="8560" w:type="dxa"/>
            <w:vAlign w:val="bottom"/>
            <w:gridSpan w:val="5"/>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gridSpan w:val="5"/>
            <w:shd w:val="clear" w:color="auto" w:fill="CCEEFF"/>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175"/>
        </w:trPr>
        <w:tc>
          <w:tcPr>
            <w:tcW w:w="8560" w:type="dxa"/>
            <w:vAlign w:val="bottom"/>
            <w:gridSpan w:val="5"/>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8560" w:type="dxa"/>
            <w:vAlign w:val="bottom"/>
            <w:gridSpan w:val="5"/>
          </w:tcPr>
          <w:p>
            <w:pPr>
              <w:ind w:left="780"/>
              <w:spacing w:after="0"/>
              <w:rPr>
                <w:sz w:val="20"/>
                <w:szCs w:val="20"/>
                <w:color w:val="auto"/>
              </w:rPr>
            </w:pPr>
            <w:r>
              <w:rPr>
                <w:rFonts w:ascii="Arial" w:cs="Arial" w:eastAsia="Arial" w:hAnsi="Arial"/>
                <w:sz w:val="18"/>
                <w:szCs w:val="18"/>
                <w:color w:val="auto"/>
              </w:rPr>
              <w:t>392,878 and 399,896 shares issued and outstanding, respectively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9,997</w:t>
            </w:r>
          </w:p>
        </w:tc>
      </w:tr>
      <w:tr>
        <w:trPr>
          <w:trHeight w:val="175"/>
        </w:trPr>
        <w:tc>
          <w:tcPr>
            <w:tcW w:w="6480" w:type="dxa"/>
            <w:vAlign w:val="bottom"/>
            <w:gridSpan w:val="3"/>
            <w:shd w:val="clear" w:color="auto" w:fill="CCEEFF"/>
          </w:tcPr>
          <w:p>
            <w:pPr>
              <w:ind w:left="660"/>
              <w:spacing w:after="0" w:line="176" w:lineRule="exact"/>
              <w:rPr>
                <w:sz w:val="20"/>
                <w:szCs w:val="20"/>
                <w:color w:val="auto"/>
              </w:rPr>
            </w:pPr>
            <w:r>
              <w:rPr>
                <w:rFonts w:ascii="Arial" w:cs="Arial" w:eastAsia="Arial" w:hAnsi="Arial"/>
                <w:sz w:val="18"/>
                <w:szCs w:val="18"/>
                <w:color w:val="auto"/>
                <w:w w:val="89"/>
              </w:rPr>
              <w:t>Common shares of beneficial interest, $0.01 par, 100,000,000 shares authorized,</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8"/>
                <w:shd w:val="clear" w:color="auto" w:fill="CCEEFF"/>
              </w:rPr>
              <w:t>81,342,959</w:t>
            </w:r>
          </w:p>
        </w:tc>
        <w:tc>
          <w:tcPr>
            <w:tcW w:w="12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5"/>
              </w:rPr>
              <w:t>and 78,603,305</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4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8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8560" w:type="dxa"/>
            <w:vAlign w:val="bottom"/>
            <w:gridSpan w:val="5"/>
          </w:tcPr>
          <w:p>
            <w:pPr>
              <w:ind w:left="6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3,821,801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3,488,794</w:t>
            </w:r>
          </w:p>
        </w:tc>
      </w:tr>
      <w:tr>
        <w:trPr>
          <w:trHeight w:val="230"/>
        </w:trPr>
        <w:tc>
          <w:tcPr>
            <w:tcW w:w="8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(1,066,932)</w:t>
            </w:r>
          </w:p>
        </w:tc>
      </w:tr>
      <w:tr>
        <w:trPr>
          <w:trHeight w:val="229"/>
        </w:trPr>
        <w:tc>
          <w:tcPr>
            <w:tcW w:w="8560" w:type="dxa"/>
            <w:vAlign w:val="bottom"/>
            <w:tcBorders>
              <w:bottom w:val="single" w:sz="8" w:color="CCEEFF"/>
            </w:tcBorders>
            <w:gridSpan w:val="5"/>
          </w:tcPr>
          <w:p>
            <w:pPr>
              <w:ind w:left="6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r>
      <w:tr>
        <w:trPr>
          <w:trHeight w:val="223"/>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2,954,012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2,580,602</w:t>
            </w:r>
          </w:p>
        </w:tc>
      </w:tr>
      <w:tr>
        <w:trPr>
          <w:trHeight w:val="229"/>
        </w:trPr>
        <w:tc>
          <w:tcPr>
            <w:tcW w:w="8560" w:type="dxa"/>
            <w:vAlign w:val="bottom"/>
            <w:tcBorders>
              <w:bottom w:val="single" w:sz="8" w:color="CCEEFF"/>
            </w:tcBorders>
            <w:gridSpan w:val="5"/>
          </w:tcPr>
          <w:p>
            <w:pPr>
              <w:ind w:left="6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82,546</w:t>
            </w:r>
          </w:p>
        </w:tc>
      </w:tr>
      <w:tr>
        <w:trPr>
          <w:trHeight w:val="223"/>
        </w:trPr>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2,663,148</w:t>
            </w:r>
          </w:p>
        </w:tc>
      </w:tr>
      <w:tr>
        <w:trPr>
          <w:trHeight w:val="223"/>
        </w:trPr>
        <w:tc>
          <w:tcPr>
            <w:tcW w:w="8560" w:type="dxa"/>
            <w:vAlign w:val="bottom"/>
            <w:gridSpan w:val="5"/>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8,233,991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7,622,320</w:t>
            </w:r>
          </w:p>
        </w:tc>
      </w:tr>
      <w:tr>
        <w:trPr>
          <w:trHeight w:val="20"/>
        </w:trPr>
        <w:tc>
          <w:tcPr>
            <w:tcW w:w="3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832,171</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951,224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835,494</w:t>
            </w:r>
          </w:p>
        </w:tc>
        <w:tc>
          <w:tcPr>
            <w:tcW w:w="0" w:type="dxa"/>
            <w:vAlign w:val="bottom"/>
          </w:tcPr>
          <w:p>
            <w:pPr>
              <w:spacing w:after="0"/>
              <w:rPr>
                <w:sz w:val="1"/>
                <w:szCs w:val="1"/>
                <w:color w:val="auto"/>
              </w:rPr>
            </w:pPr>
          </w:p>
        </w:tc>
      </w:tr>
      <w:tr>
        <w:trPr>
          <w:trHeight w:val="209"/>
        </w:trPr>
        <w:tc>
          <w:tcPr>
            <w:tcW w:w="7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170,920</w:t>
            </w: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Real estate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119,242</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255,027</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586,869</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w:t>
            </w: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Gain on deconsolidation of VIE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Other interest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(136,289)</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partnerships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135,888</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261,498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131,706</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253,456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123,664</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BASIC</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80,508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77,368</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395,661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135,888</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 change in value of interest rate swaps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272,998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130,586</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TRUST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265,095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 of Shareholders’ Equity</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BALANCE AT DECEMBER 31, 2019</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January 1, 2020 adoption of new accounting standard</w:t>
      </w:r>
    </w:p>
    <w:p>
      <w:pPr>
        <w:spacing w:after="0" w:line="40" w:lineRule="exact"/>
        <w:rPr>
          <w:sz w:val="20"/>
          <w:szCs w:val="20"/>
          <w:color w:val="auto"/>
        </w:rPr>
      </w:pPr>
    </w:p>
    <w:p>
      <w:pPr>
        <w:ind w:left="80" w:right="360"/>
        <w:spacing w:after="0" w:line="253" w:lineRule="auto"/>
        <w:rPr>
          <w:sz w:val="20"/>
          <w:szCs w:val="20"/>
          <w:color w:val="auto"/>
        </w:rPr>
      </w:pPr>
      <w:r>
        <w:rPr>
          <w:rFonts w:ascii="Arial" w:cs="Arial" w:eastAsia="Arial" w:hAnsi="Arial"/>
          <w:sz w:val="13"/>
          <w:szCs w:val="13"/>
          <w:color w:val="auto"/>
        </w:rPr>
        <w:t>Net income, excluding $2,228 attributable to redeemable noncontrolling interests</w:t>
      </w:r>
    </w:p>
    <w:p>
      <w:pPr>
        <w:spacing w:after="0" w:line="9" w:lineRule="exact"/>
        <w:rPr>
          <w:sz w:val="20"/>
          <w:szCs w:val="20"/>
          <w:color w:val="auto"/>
        </w:rPr>
      </w:pPr>
    </w:p>
    <w:p>
      <w:pPr>
        <w:ind w:left="80" w:right="260"/>
        <w:spacing w:after="0" w:line="236" w:lineRule="auto"/>
        <w:rPr>
          <w:sz w:val="20"/>
          <w:szCs w:val="20"/>
          <w:color w:val="auto"/>
        </w:rPr>
      </w:pPr>
      <w:r>
        <w:rPr>
          <w:rFonts w:ascii="Arial" w:cs="Arial" w:eastAsia="Arial" w:hAnsi="Arial"/>
          <w:sz w:val="13"/>
          <w:szCs w:val="13"/>
          <w:color w:val="auto"/>
        </w:rPr>
        <w:t>Other comprehensive loss - change in value of interest rate swaps, excluding $471 attributable to redeemable noncontrolling interests</w:t>
      </w:r>
    </w:p>
    <w:p>
      <w:pPr>
        <w:spacing w:after="0" w:line="18" w:lineRule="exact"/>
        <w:rPr>
          <w:sz w:val="20"/>
          <w:szCs w:val="20"/>
          <w:color w:val="auto"/>
        </w:rPr>
      </w:pPr>
    </w:p>
    <w:p>
      <w:pPr>
        <w:ind w:left="80" w:right="60"/>
        <w:spacing w:after="0" w:line="303" w:lineRule="auto"/>
        <w:rPr>
          <w:sz w:val="20"/>
          <w:szCs w:val="20"/>
          <w:color w:val="auto"/>
        </w:rPr>
      </w:pPr>
      <w:r>
        <w:rPr>
          <w:rFonts w:ascii="Arial" w:cs="Arial" w:eastAsia="Arial" w:hAnsi="Arial"/>
          <w:sz w:val="13"/>
          <w:szCs w:val="13"/>
          <w:color w:val="auto"/>
        </w:rPr>
        <w:t>Dividends declared to common shareholders ($4.22 per share) Dividends declared to preferred shareholders</w:t>
      </w:r>
    </w:p>
    <w:p>
      <w:pPr>
        <w:spacing w:after="0" w:line="1" w:lineRule="exact"/>
        <w:rPr>
          <w:sz w:val="20"/>
          <w:szCs w:val="20"/>
          <w:color w:val="auto"/>
        </w:rPr>
      </w:pPr>
    </w:p>
    <w:p>
      <w:pPr>
        <w:ind w:left="80" w:right="180"/>
        <w:spacing w:after="0" w:line="281" w:lineRule="auto"/>
        <w:rPr>
          <w:sz w:val="20"/>
          <w:szCs w:val="20"/>
          <w:color w:val="auto"/>
        </w:rPr>
      </w:pPr>
      <w:r>
        <w:rPr>
          <w:rFonts w:ascii="Arial" w:cs="Arial" w:eastAsia="Arial" w:hAnsi="Arial"/>
          <w:sz w:val="12"/>
          <w:szCs w:val="12"/>
          <w:color w:val="auto"/>
        </w:rPr>
        <w:t>Distributions declared to noncontrolling interests, excluding $1,197 attributable to redeemable noncontrolling interests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Common shares issued, net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Shares issued under dividend reinvestment plan</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Share-based compensation expense, net of forfeitures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Shares withheld for employee taxes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Conversion and redemption of downREIT OP units</w:t>
      </w:r>
    </w:p>
    <w:p>
      <w:pPr>
        <w:spacing w:after="0" w:line="40" w:lineRule="exact"/>
        <w:rPr>
          <w:sz w:val="20"/>
          <w:szCs w:val="20"/>
          <w:color w:val="auto"/>
        </w:rPr>
      </w:pPr>
    </w:p>
    <w:p>
      <w:pPr>
        <w:ind w:left="80"/>
        <w:spacing w:after="0" w:line="253" w:lineRule="auto"/>
        <w:rPr>
          <w:sz w:val="20"/>
          <w:szCs w:val="20"/>
          <w:color w:val="auto"/>
        </w:rPr>
      </w:pPr>
      <w:r>
        <w:rPr>
          <w:rFonts w:ascii="Arial" w:cs="Arial" w:eastAsia="Arial" w:hAnsi="Arial"/>
          <w:sz w:val="13"/>
          <w:szCs w:val="13"/>
          <w:color w:val="auto"/>
        </w:rPr>
        <w:t>Contributions from noncontrolling interests, excluding $19,335 attributable to redeemable noncontrolling interests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3"/>
          <w:szCs w:val="13"/>
          <w:color w:val="auto"/>
        </w:rPr>
        <w:t>Purchase of noncontrolling interests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Adjustment to redeemable noncontrolling interests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BALANCE AT DECEMBER 31, 2020</w:t>
      </w:r>
    </w:p>
    <w:p>
      <w:pPr>
        <w:spacing w:after="0" w:line="53" w:lineRule="exact"/>
        <w:rPr>
          <w:sz w:val="20"/>
          <w:szCs w:val="20"/>
          <w:color w:val="auto"/>
        </w:rPr>
      </w:pPr>
    </w:p>
    <w:p>
      <w:pPr>
        <w:ind w:left="80" w:right="360"/>
        <w:spacing w:after="0" w:line="253" w:lineRule="auto"/>
        <w:rPr>
          <w:sz w:val="20"/>
          <w:szCs w:val="20"/>
          <w:color w:val="auto"/>
        </w:rPr>
      </w:pPr>
      <w:r>
        <w:rPr>
          <w:rFonts w:ascii="Arial" w:cs="Arial" w:eastAsia="Arial" w:hAnsi="Arial"/>
          <w:sz w:val="13"/>
          <w:szCs w:val="13"/>
          <w:color w:val="auto"/>
        </w:rPr>
        <w:t>Net income, excluding $4,296 attributable to redeemable noncontrolling interests</w:t>
      </w:r>
    </w:p>
    <w:p>
      <w:pPr>
        <w:spacing w:after="0" w:line="9" w:lineRule="exact"/>
        <w:rPr>
          <w:sz w:val="20"/>
          <w:szCs w:val="20"/>
          <w:color w:val="auto"/>
        </w:rPr>
      </w:pPr>
    </w:p>
    <w:p>
      <w:pPr>
        <w:ind w:left="80" w:right="60"/>
        <w:spacing w:after="0" w:line="236" w:lineRule="auto"/>
        <w:rPr>
          <w:sz w:val="20"/>
          <w:szCs w:val="20"/>
          <w:color w:val="auto"/>
        </w:rPr>
      </w:pPr>
      <w:r>
        <w:rPr>
          <w:rFonts w:ascii="Arial" w:cs="Arial" w:eastAsia="Arial" w:hAnsi="Arial"/>
          <w:sz w:val="13"/>
          <w:szCs w:val="13"/>
          <w:color w:val="auto"/>
        </w:rPr>
        <w:t>Other comprehensive income - change in value of interest rate swaps, excluding $320 attributable to redeemable noncontrolling interest</w:t>
      </w:r>
    </w:p>
    <w:p>
      <w:pPr>
        <w:spacing w:after="0" w:line="18" w:lineRule="exact"/>
        <w:rPr>
          <w:sz w:val="20"/>
          <w:szCs w:val="20"/>
          <w:color w:val="auto"/>
        </w:rPr>
      </w:pPr>
    </w:p>
    <w:p>
      <w:pPr>
        <w:ind w:left="80" w:right="60"/>
        <w:spacing w:after="0" w:line="303" w:lineRule="auto"/>
        <w:rPr>
          <w:sz w:val="20"/>
          <w:szCs w:val="20"/>
          <w:color w:val="auto"/>
        </w:rPr>
      </w:pPr>
      <w:r>
        <w:rPr>
          <w:rFonts w:ascii="Arial" w:cs="Arial" w:eastAsia="Arial" w:hAnsi="Arial"/>
          <w:sz w:val="13"/>
          <w:szCs w:val="13"/>
          <w:color w:val="auto"/>
        </w:rPr>
        <w:t>Dividends declared to common shareholders ($4.26 per share) Dividends declared to preferred shareholders</w:t>
      </w:r>
    </w:p>
    <w:p>
      <w:pPr>
        <w:spacing w:after="0" w:line="1" w:lineRule="exact"/>
        <w:rPr>
          <w:sz w:val="20"/>
          <w:szCs w:val="20"/>
          <w:color w:val="auto"/>
        </w:rPr>
      </w:pPr>
    </w:p>
    <w:p>
      <w:pPr>
        <w:ind w:left="80" w:right="180"/>
        <w:spacing w:after="0" w:line="281" w:lineRule="auto"/>
        <w:rPr>
          <w:sz w:val="20"/>
          <w:szCs w:val="20"/>
          <w:color w:val="auto"/>
        </w:rPr>
      </w:pPr>
      <w:r>
        <w:rPr>
          <w:rFonts w:ascii="Arial" w:cs="Arial" w:eastAsia="Arial" w:hAnsi="Arial"/>
          <w:sz w:val="12"/>
          <w:szCs w:val="12"/>
          <w:color w:val="auto"/>
        </w:rPr>
        <w:t>Distributions declared to noncontrolling interests, excluding $5,268 attributable to redeemable noncontrolling interests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Common shares issued, net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Shares issued under dividend reinvestment plan</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Share-based compensation expense, net of forfeitures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Shares withheld for employee taxes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Conversion and redemption of downREIT OP units</w:t>
      </w:r>
    </w:p>
    <w:p>
      <w:pPr>
        <w:spacing w:after="0" w:line="40" w:lineRule="exact"/>
        <w:rPr>
          <w:sz w:val="20"/>
          <w:szCs w:val="20"/>
          <w:color w:val="auto"/>
        </w:rPr>
      </w:pPr>
    </w:p>
    <w:p>
      <w:pPr>
        <w:ind w:left="80"/>
        <w:spacing w:after="0" w:line="253" w:lineRule="auto"/>
        <w:rPr>
          <w:sz w:val="20"/>
          <w:szCs w:val="20"/>
          <w:color w:val="auto"/>
        </w:rPr>
      </w:pPr>
      <w:r>
        <w:rPr>
          <w:rFonts w:ascii="Arial" w:cs="Arial" w:eastAsia="Arial" w:hAnsi="Arial"/>
          <w:sz w:val="13"/>
          <w:szCs w:val="13"/>
          <w:color w:val="auto"/>
        </w:rPr>
        <w:t>Contributions from noncontrolling interests, excluding $74,530 attributable to redeemable noncontrolling interests</w:t>
      </w:r>
    </w:p>
    <w:p>
      <w:pPr>
        <w:spacing w:after="0" w:line="9" w:lineRule="exact"/>
        <w:rPr>
          <w:sz w:val="20"/>
          <w:szCs w:val="20"/>
          <w:color w:val="auto"/>
        </w:rPr>
      </w:pPr>
    </w:p>
    <w:p>
      <w:pPr>
        <w:ind w:left="80" w:right="680"/>
        <w:spacing w:after="0" w:line="314" w:lineRule="auto"/>
        <w:rPr>
          <w:sz w:val="20"/>
          <w:szCs w:val="20"/>
          <w:color w:val="auto"/>
        </w:rPr>
      </w:pPr>
      <w:r>
        <w:rPr>
          <w:rFonts w:ascii="Arial" w:cs="Arial" w:eastAsia="Arial" w:hAnsi="Arial"/>
          <w:sz w:val="13"/>
          <w:szCs w:val="13"/>
          <w:color w:val="auto"/>
        </w:rPr>
        <w:t>Adjustment to redeemable noncontrolling interests BALANCE AT DECEMBER 31, 2021</w:t>
      </w:r>
    </w:p>
    <w:p>
      <w:pPr>
        <w:ind w:left="80" w:right="360"/>
        <w:spacing w:after="0" w:line="253" w:lineRule="auto"/>
        <w:rPr>
          <w:sz w:val="20"/>
          <w:szCs w:val="20"/>
          <w:color w:val="auto"/>
        </w:rPr>
      </w:pPr>
      <w:r>
        <w:rPr>
          <w:rFonts w:ascii="Arial" w:cs="Arial" w:eastAsia="Arial" w:hAnsi="Arial"/>
          <w:sz w:val="13"/>
          <w:szCs w:val="13"/>
          <w:color w:val="auto"/>
        </w:rPr>
        <w:t>Net income, excluding $6,613 attributable to redeemable noncontrolling interests</w:t>
      </w:r>
    </w:p>
    <w:p>
      <w:pPr>
        <w:spacing w:after="0" w:line="9" w:lineRule="exact"/>
        <w:rPr>
          <w:sz w:val="20"/>
          <w:szCs w:val="20"/>
          <w:color w:val="auto"/>
        </w:rPr>
      </w:pPr>
    </w:p>
    <w:p>
      <w:pPr>
        <w:ind w:left="80" w:right="60"/>
        <w:spacing w:after="0" w:line="236" w:lineRule="auto"/>
        <w:rPr>
          <w:sz w:val="20"/>
          <w:szCs w:val="20"/>
          <w:color w:val="auto"/>
        </w:rPr>
      </w:pPr>
      <w:r>
        <w:rPr>
          <w:rFonts w:ascii="Arial" w:cs="Arial" w:eastAsia="Arial" w:hAnsi="Arial"/>
          <w:sz w:val="13"/>
          <w:szCs w:val="13"/>
          <w:color w:val="auto"/>
        </w:rPr>
        <w:t>Other comprehensive income - change in value of interest rate swaps, excluding $765 attributable to redeemable noncontrolling interest</w:t>
      </w:r>
    </w:p>
    <w:p>
      <w:pPr>
        <w:spacing w:after="0" w:line="18" w:lineRule="exact"/>
        <w:rPr>
          <w:sz w:val="20"/>
          <w:szCs w:val="20"/>
          <w:color w:val="auto"/>
        </w:rPr>
      </w:pPr>
    </w:p>
    <w:p>
      <w:pPr>
        <w:ind w:left="80" w:right="60"/>
        <w:spacing w:after="0" w:line="303" w:lineRule="auto"/>
        <w:rPr>
          <w:sz w:val="20"/>
          <w:szCs w:val="20"/>
          <w:color w:val="auto"/>
        </w:rPr>
      </w:pPr>
      <w:r>
        <w:rPr>
          <w:rFonts w:ascii="Arial" w:cs="Arial" w:eastAsia="Arial" w:hAnsi="Arial"/>
          <w:sz w:val="13"/>
          <w:szCs w:val="13"/>
          <w:color w:val="auto"/>
        </w:rPr>
        <w:t>Dividends declared to common shareholders ($4.30 per share) Dividends declared to preferred shareholders</w:t>
      </w:r>
    </w:p>
    <w:p>
      <w:pPr>
        <w:spacing w:after="0" w:line="1" w:lineRule="exact"/>
        <w:rPr>
          <w:sz w:val="20"/>
          <w:szCs w:val="20"/>
          <w:color w:val="auto"/>
        </w:rPr>
      </w:pPr>
    </w:p>
    <w:p>
      <w:pPr>
        <w:ind w:left="80" w:right="180"/>
        <w:spacing w:after="0" w:line="281" w:lineRule="auto"/>
        <w:rPr>
          <w:sz w:val="20"/>
          <w:szCs w:val="20"/>
          <w:color w:val="auto"/>
        </w:rPr>
      </w:pPr>
      <w:r>
        <w:rPr>
          <w:rFonts w:ascii="Arial" w:cs="Arial" w:eastAsia="Arial" w:hAnsi="Arial"/>
          <w:sz w:val="12"/>
          <w:szCs w:val="12"/>
          <w:color w:val="auto"/>
        </w:rPr>
        <w:t>Distributions declared to noncontrolling interests, excluding $8,090 attributable to redeemable noncontrolling interests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Common shares issued, net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Exercise of stock options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Shares issued under dividend reinvestment plan</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Share-based compensation expense, net of forfeitures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Shares withheld for employee taxes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Conversion of preferred shares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Conversion and redemption of downREIT OP units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Deconsolidation of VIE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Adjustment to redeemable noncontrolling interests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BALANCE AT DECEMBER 31, 2022</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9"/>
          </w:tcPr>
          <w:p>
            <w:pPr>
              <w:ind w:left="440"/>
              <w:spacing w:after="0"/>
              <w:rPr>
                <w:sz w:val="20"/>
                <w:szCs w:val="20"/>
                <w:color w:val="auto"/>
              </w:rPr>
            </w:pPr>
            <w:r>
              <w:rPr>
                <w:rFonts w:ascii="Arial" w:cs="Arial" w:eastAsia="Arial" w:hAnsi="Arial"/>
                <w:sz w:val="14"/>
                <w:szCs w:val="14"/>
                <w:b w:val="1"/>
                <w:bCs w:val="1"/>
                <w:color w:val="auto"/>
                <w:w w:val="93"/>
              </w:rPr>
              <w:t>Shareholders’ Equity of the Trust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Preferred Shares</w:t>
            </w:r>
          </w:p>
        </w:tc>
        <w:tc>
          <w:tcPr>
            <w:tcW w:w="80" w:type="dxa"/>
            <w:vAlign w:val="bottom"/>
            <w:tcBorders>
              <w:top w:val="single" w:sz="8" w:color="auto"/>
            </w:tcBorders>
            <w:vMerge w:val="restart"/>
          </w:tcPr>
          <w:p>
            <w:pPr>
              <w:spacing w:after="0"/>
              <w:rPr>
                <w:sz w:val="11"/>
                <w:szCs w:val="11"/>
                <w:color w:val="auto"/>
              </w:rPr>
            </w:pPr>
          </w:p>
        </w:tc>
        <w:tc>
          <w:tcPr>
            <w:tcW w:w="1400" w:type="dxa"/>
            <w:vAlign w:val="bottom"/>
            <w:tcBorders>
              <w:top w:val="single" w:sz="8" w:color="auto"/>
            </w:tcBorders>
            <w:gridSpan w:val="4"/>
            <w:vMerge w:val="restart"/>
          </w:tcPr>
          <w:p>
            <w:pPr>
              <w:jc w:val="right"/>
              <w:ind w:right="133"/>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Borders>
              <w:top w:val="single" w:sz="8" w:color="auto"/>
            </w:tcBorders>
            <w:vMerge w:val="restart"/>
          </w:tcPr>
          <w:p>
            <w:pPr>
              <w:spacing w:after="0"/>
              <w:rPr>
                <w:sz w:val="11"/>
                <w:szCs w:val="11"/>
                <w:color w:val="auto"/>
              </w:rPr>
            </w:pPr>
          </w:p>
        </w:tc>
        <w:tc>
          <w:tcPr>
            <w:tcW w:w="8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26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Excess of Net</w:t>
            </w:r>
          </w:p>
        </w:tc>
        <w:tc>
          <w:tcPr>
            <w:tcW w:w="10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66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spacing w:after="0"/>
              <w:rPr>
                <w:sz w:val="20"/>
                <w:szCs w:val="20"/>
                <w:color w:val="auto"/>
              </w:rPr>
            </w:pPr>
            <w:r>
              <w:rPr>
                <w:rFonts w:ascii="Arial" w:cs="Arial" w:eastAsia="Arial" w:hAnsi="Arial"/>
                <w:sz w:val="13"/>
                <w:szCs w:val="13"/>
                <w:b w:val="1"/>
                <w:bCs w:val="1"/>
                <w:color w:val="auto"/>
                <w:w w:val="85"/>
              </w:rPr>
              <w:t>(In thousands, except share data)</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0" w:type="dxa"/>
            <w:vAlign w:val="bottom"/>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Pr>
          <w:p>
            <w:pPr>
              <w:spacing w:after="0"/>
              <w:rPr>
                <w:sz w:val="16"/>
                <w:szCs w:val="16"/>
                <w:color w:val="auto"/>
              </w:rPr>
            </w:pPr>
          </w:p>
        </w:tc>
        <w:tc>
          <w:tcPr>
            <w:tcW w:w="720" w:type="dxa"/>
            <w:vAlign w:val="bottom"/>
          </w:tcPr>
          <w:p>
            <w:pPr>
              <w:jc w:val="right"/>
              <w:ind w:right="12"/>
              <w:spacing w:after="0"/>
              <w:rPr>
                <w:sz w:val="20"/>
                <w:szCs w:val="20"/>
                <w:color w:val="auto"/>
              </w:rPr>
            </w:pPr>
            <w:r>
              <w:rPr>
                <w:rFonts w:ascii="Arial" w:cs="Arial" w:eastAsia="Arial" w:hAnsi="Arial"/>
                <w:sz w:val="13"/>
                <w:szCs w:val="13"/>
                <w:color w:val="auto"/>
                <w:w w:val="95"/>
              </w:rPr>
              <w:t>75,540,804</w:t>
            </w:r>
          </w:p>
        </w:tc>
        <w:tc>
          <w:tcPr>
            <w:tcW w:w="80" w:type="dxa"/>
            <w:vAlign w:val="bottom"/>
          </w:tcPr>
          <w:p>
            <w:pPr>
              <w:spacing w:after="0"/>
              <w:rPr>
                <w:sz w:val="16"/>
                <w:szCs w:val="16"/>
                <w:color w:val="auto"/>
              </w:rPr>
            </w:pPr>
          </w:p>
        </w:tc>
        <w:tc>
          <w:tcPr>
            <w:tcW w:w="200" w:type="dxa"/>
            <w:vAlign w:val="bottom"/>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759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3,166,522</w:t>
            </w:r>
          </w:p>
        </w:tc>
        <w:tc>
          <w:tcPr>
            <w:tcW w:w="1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(791,124)</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100,791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2,636,132</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00" w:type="dxa"/>
            <w:vAlign w:val="bottom"/>
          </w:tcPr>
          <w:p>
            <w:pPr>
              <w:jc w:val="right"/>
              <w:ind w:right="12"/>
              <w:spacing w:after="0"/>
              <w:rPr>
                <w:sz w:val="20"/>
                <w:szCs w:val="20"/>
                <w:color w:val="auto"/>
              </w:rPr>
            </w:pPr>
            <w:r>
              <w:rPr>
                <w:rFonts w:ascii="Arial" w:cs="Arial" w:eastAsia="Arial" w:hAnsi="Arial"/>
                <w:sz w:val="13"/>
                <w:szCs w:val="13"/>
                <w:color w:val="auto"/>
              </w:rPr>
              <w:t>131,706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133,660</w:t>
            </w:r>
          </w:p>
        </w:tc>
        <w:tc>
          <w:tcPr>
            <w:tcW w:w="0" w:type="dxa"/>
            <w:vAlign w:val="bottom"/>
          </w:tcPr>
          <w:p>
            <w:pPr>
              <w:spacing w:after="0"/>
              <w:rPr>
                <w:sz w:val="1"/>
                <w:szCs w:val="1"/>
                <w:color w:val="auto"/>
              </w:rPr>
            </w:pP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(4,831)</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(320,302)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(320,302)</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(8,874)</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1,080,882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98,839</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24,491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114,251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13,243</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(33,034)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(3,320)</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(7,321)</w:t>
            </w:r>
          </w:p>
        </w:tc>
        <w:tc>
          <w:tcPr>
            <w:tcW w:w="0" w:type="dxa"/>
            <w:vAlign w:val="bottom"/>
          </w:tcPr>
          <w:p>
            <w:pPr>
              <w:spacing w:after="0"/>
              <w:rPr>
                <w:sz w:val="1"/>
                <w:szCs w:val="1"/>
                <w:color w:val="auto"/>
              </w:rPr>
            </w:pPr>
          </w:p>
        </w:tc>
      </w:tr>
      <w:tr>
        <w:trPr>
          <w:trHeight w:val="197"/>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21,933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21,933</w:t>
            </w:r>
          </w:p>
        </w:tc>
        <w:tc>
          <w:tcPr>
            <w:tcW w:w="0" w:type="dxa"/>
            <w:vAlign w:val="bottom"/>
          </w:tcPr>
          <w:p>
            <w:pPr>
              <w:spacing w:after="0"/>
              <w:rPr>
                <w:sz w:val="1"/>
                <w:szCs w:val="1"/>
                <w:color w:val="auto"/>
              </w:rPr>
            </w:pPr>
          </w:p>
        </w:tc>
      </w:tr>
      <w:tr>
        <w:trPr>
          <w:trHeight w:val="175"/>
        </w:trPr>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3"/>
                <w:szCs w:val="13"/>
                <w:color w:val="auto"/>
                <w:w w:val="95"/>
              </w:rPr>
              <w:t>76,727,394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3,297,305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(988,272)</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(5,644)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84,590</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2,548,747</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00" w:type="dxa"/>
            <w:vAlign w:val="bottom"/>
          </w:tcPr>
          <w:p>
            <w:pPr>
              <w:jc w:val="right"/>
              <w:ind w:right="12"/>
              <w:spacing w:after="0"/>
              <w:rPr>
                <w:sz w:val="20"/>
                <w:szCs w:val="20"/>
                <w:color w:val="auto"/>
              </w:rPr>
            </w:pPr>
            <w:r>
              <w:rPr>
                <w:rFonts w:ascii="Arial" w:cs="Arial" w:eastAsia="Arial" w:hAnsi="Arial"/>
                <w:sz w:val="13"/>
                <w:szCs w:val="13"/>
                <w:color w:val="auto"/>
              </w:rPr>
              <w:t>261,498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264,785</w:t>
            </w:r>
          </w:p>
        </w:tc>
        <w:tc>
          <w:tcPr>
            <w:tcW w:w="0" w:type="dxa"/>
            <w:vAlign w:val="bottom"/>
          </w:tcPr>
          <w:p>
            <w:pPr>
              <w:spacing w:after="0"/>
              <w:rPr>
                <w:sz w:val="1"/>
                <w:szCs w:val="1"/>
                <w:color w:val="auto"/>
              </w:rPr>
            </w:pP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3"/>
                <w:szCs w:val="13"/>
                <w:color w:val="auto"/>
              </w:rPr>
              <w:t>3,597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3,597</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(332,116)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(332,116)</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(4,341)</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1,643,845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172,736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172,753</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19,758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164,553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14,434</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(29,031)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(2,998)</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76,786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6,583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6,583</w:t>
            </w:r>
          </w:p>
        </w:tc>
        <w:tc>
          <w:tcPr>
            <w:tcW w:w="0" w:type="dxa"/>
            <w:vAlign w:val="bottom"/>
          </w:tcPr>
          <w:p>
            <w:pPr>
              <w:spacing w:after="0"/>
              <w:rPr>
                <w:sz w:val="1"/>
                <w:szCs w:val="1"/>
                <w:color w:val="auto"/>
              </w:rPr>
            </w:pPr>
          </w:p>
        </w:tc>
      </w:tr>
      <w:tr>
        <w:trPr>
          <w:trHeight w:val="196"/>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175"/>
        </w:trPr>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3"/>
                <w:szCs w:val="13"/>
                <w:color w:val="auto"/>
                <w:w w:val="95"/>
              </w:rPr>
              <w:t>78,603,305</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3,488,794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(1,066,932)</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82,546</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2,663,148</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00" w:type="dxa"/>
            <w:vAlign w:val="bottom"/>
          </w:tcPr>
          <w:p>
            <w:pPr>
              <w:jc w:val="right"/>
              <w:ind w:right="12"/>
              <w:spacing w:after="0"/>
              <w:rPr>
                <w:sz w:val="20"/>
                <w:szCs w:val="20"/>
                <w:color w:val="auto"/>
              </w:rPr>
            </w:pPr>
            <w:r>
              <w:rPr>
                <w:rFonts w:ascii="Arial" w:cs="Arial" w:eastAsia="Arial" w:hAnsi="Arial"/>
                <w:sz w:val="13"/>
                <w:szCs w:val="13"/>
                <w:color w:val="auto"/>
              </w:rPr>
              <w:t>385,491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389,048</w:t>
            </w:r>
          </w:p>
        </w:tc>
        <w:tc>
          <w:tcPr>
            <w:tcW w:w="0" w:type="dxa"/>
            <w:vAlign w:val="bottom"/>
          </w:tcPr>
          <w:p>
            <w:pPr>
              <w:spacing w:after="0"/>
              <w:rPr>
                <w:sz w:val="1"/>
                <w:szCs w:val="1"/>
                <w:color w:val="auto"/>
              </w:rPr>
            </w:pP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3"/>
                <w:szCs w:val="13"/>
                <w:color w:val="auto"/>
              </w:rPr>
              <w:t>7,804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7,804</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(344,711)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(344,711)</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(8,034)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(8,034)</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(5,007)</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2,634,223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306,828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306,854</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366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19,502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2,104</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110,395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15,018</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(41,105)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(4,900)</w:t>
            </w:r>
          </w:p>
        </w:tc>
        <w:tc>
          <w:tcPr>
            <w:tcW w:w="0" w:type="dxa"/>
            <w:vAlign w:val="bottom"/>
          </w:tcPr>
          <w:p>
            <w:pPr>
              <w:spacing w:after="0"/>
              <w:rPr>
                <w:sz w:val="1"/>
                <w:szCs w:val="1"/>
                <w:color w:val="auto"/>
              </w:rPr>
            </w:pPr>
          </w:p>
        </w:tc>
      </w:tr>
      <w:tr>
        <w:trPr>
          <w:trHeight w:val="189"/>
        </w:trPr>
        <w:tc>
          <w:tcPr>
            <w:tcW w:w="580" w:type="dxa"/>
            <w:vAlign w:val="bottom"/>
          </w:tcPr>
          <w:p>
            <w:pPr>
              <w:jc w:val="right"/>
              <w:spacing w:after="0"/>
              <w:rPr>
                <w:sz w:val="20"/>
                <w:szCs w:val="20"/>
                <w:color w:val="auto"/>
              </w:rPr>
            </w:pPr>
            <w:r>
              <w:rPr>
                <w:rFonts w:ascii="Arial" w:cs="Arial" w:eastAsia="Arial" w:hAnsi="Arial"/>
                <w:sz w:val="13"/>
                <w:szCs w:val="13"/>
                <w:color w:val="auto"/>
              </w:rPr>
              <w:t>(7,018)</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6"/>
                <w:szCs w:val="16"/>
                <w:color w:val="auto"/>
              </w:rPr>
            </w:pP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1,675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14,598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972</w:t>
            </w:r>
          </w:p>
        </w:tc>
        <w:tc>
          <w:tcPr>
            <w:tcW w:w="0" w:type="dxa"/>
            <w:vAlign w:val="bottom"/>
          </w:tcPr>
          <w:p>
            <w:pPr>
              <w:spacing w:after="0"/>
              <w:rPr>
                <w:sz w:val="1"/>
                <w:szCs w:val="1"/>
                <w:color w:val="auto"/>
              </w:rPr>
            </w:pPr>
          </w:p>
        </w:tc>
      </w:tr>
      <w:tr>
        <w:trPr>
          <w:trHeight w:val="196"/>
        </w:trPr>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12,382</w:t>
            </w:r>
          </w:p>
        </w:tc>
        <w:tc>
          <w:tcPr>
            <w:tcW w:w="0" w:type="dxa"/>
            <w:vAlign w:val="bottom"/>
          </w:tcPr>
          <w:p>
            <w:pPr>
              <w:spacing w:after="0"/>
              <w:rPr>
                <w:sz w:val="1"/>
                <w:szCs w:val="1"/>
                <w:color w:val="auto"/>
              </w:rPr>
            </w:pPr>
          </w:p>
        </w:tc>
      </w:tr>
      <w:tr>
        <w:trPr>
          <w:trHeight w:val="183"/>
        </w:trPr>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3"/>
                <w:szCs w:val="13"/>
                <w:color w:val="auto"/>
              </w:rPr>
              <w:t>398,878</w:t>
            </w: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$ 159,822</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3"/>
                <w:szCs w:val="13"/>
                <w:color w:val="auto"/>
                <w:w w:val="95"/>
              </w:rPr>
              <w:t>81,342,959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3,821,801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(1,034,186)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3"/>
                <w:szCs w:val="13"/>
                <w:color w:val="auto"/>
              </w:rPr>
              <w:t>5,757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80,003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3,034,015</w:t>
            </w:r>
          </w:p>
        </w:tc>
        <w:tc>
          <w:tcPr>
            <w:tcW w:w="0" w:type="dxa"/>
            <w:vAlign w:val="bottom"/>
          </w:tcPr>
          <w:p>
            <w:pPr>
              <w:spacing w:after="0"/>
              <w:rPr>
                <w:sz w:val="1"/>
                <w:szCs w:val="1"/>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-6539865</wp:posOffset>
            </wp:positionV>
            <wp:extent cx="7071995"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2">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-6299835</wp:posOffset>
            </wp:positionV>
            <wp:extent cx="707199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-5802630</wp:posOffset>
            </wp:positionV>
            <wp:extent cx="7071995"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-5562600</wp:posOffset>
            </wp:positionV>
            <wp:extent cx="707199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-5236845</wp:posOffset>
            </wp:positionV>
            <wp:extent cx="7071995"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-4996815</wp:posOffset>
            </wp:positionV>
            <wp:extent cx="707199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-4756785</wp:posOffset>
            </wp:positionV>
            <wp:extent cx="707199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-4431030</wp:posOffset>
            </wp:positionV>
            <wp:extent cx="707199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-4182745</wp:posOffset>
            </wp:positionV>
            <wp:extent cx="707199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-3685540</wp:posOffset>
            </wp:positionV>
            <wp:extent cx="707199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-3445510</wp:posOffset>
            </wp:positionV>
            <wp:extent cx="707199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-3119755</wp:posOffset>
            </wp:positionV>
            <wp:extent cx="707199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-2879725</wp:posOffset>
            </wp:positionV>
            <wp:extent cx="707199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-2639695</wp:posOffset>
            </wp:positionV>
            <wp:extent cx="707199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-2313940</wp:posOffset>
            </wp:positionV>
            <wp:extent cx="707199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-1979295</wp:posOffset>
            </wp:positionV>
            <wp:extent cx="7071995"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-1567815</wp:posOffset>
            </wp:positionV>
            <wp:extent cx="707199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-1242695</wp:posOffset>
            </wp:positionV>
            <wp:extent cx="7071995"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-1002665</wp:posOffset>
            </wp:positionV>
            <wp:extent cx="707199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-762000</wp:posOffset>
            </wp:positionV>
            <wp:extent cx="7071995"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-521970</wp:posOffset>
            </wp:positionV>
            <wp:extent cx="707199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-281940</wp:posOffset>
            </wp:positionV>
            <wp:extent cx="7071995"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3500" w:space="40"/>
            <w:col w:w="7660"/>
          </w:cols>
          <w:pgMar w:left="320" w:top="126" w:right="3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statements.</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jc w:val="center"/>
              <w:ind w:left="551"/>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Pr>
          <w:p>
            <w:pPr>
              <w:spacing w:after="0"/>
              <w:rPr>
                <w:sz w:val="16"/>
                <w:szCs w:val="16"/>
                <w:color w:val="auto"/>
              </w:rPr>
            </w:pPr>
          </w:p>
        </w:tc>
      </w:tr>
      <w:tr>
        <w:trPr>
          <w:trHeight w:val="26"/>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2020</w:t>
            </w:r>
          </w:p>
        </w:tc>
      </w:tr>
      <w:tr>
        <w:trPr>
          <w:trHeight w:val="186"/>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6"/>
        </w:trPr>
        <w:tc>
          <w:tcPr>
            <w:tcW w:w="7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255,027</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Impairment charge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57,218</w:t>
            </w:r>
          </w:p>
        </w:tc>
      </w:tr>
      <w:tr>
        <w:trPr>
          <w:trHeight w:val="230"/>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Gain on deconsolidation of VIE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(98,117)</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Early extinguishment of debt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rPr>
              <w:t>(Income) loss from partnerships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8,062</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Straight-line rent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11,924</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7660" w:type="dxa"/>
            <w:vAlign w:val="bottom"/>
          </w:tcPr>
          <w:p>
            <w:pPr>
              <w:ind w:left="3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decrease in accounts receivable,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(3,260)</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r>
      <w:tr>
        <w:trPr>
          <w:trHeight w:val="230"/>
        </w:trPr>
        <w:tc>
          <w:tcPr>
            <w:tcW w:w="76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Increase (decrease) in security deposits and other liabilities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r>
      <w:tr>
        <w:trPr>
          <w:trHeight w:val="223"/>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369,929</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real estate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(433,872)</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 other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(68,064)</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(12,924)</w:t>
            </w:r>
          </w:p>
        </w:tc>
      </w:tr>
      <w:tr>
        <w:trPr>
          <w:trHeight w:val="229"/>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183,461</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Change in cash from deconsolidation of VIE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partnerships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Distribution from partnerships in excess of earnings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29"/>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Leasing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r>
      <w:tr>
        <w:trPr>
          <w:trHeight w:val="230"/>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(Issuance) repayment of mortgage and other notes receivable,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w:t>
            </w:r>
          </w:p>
        </w:tc>
      </w:tr>
      <w:tr>
        <w:trPr>
          <w:trHeight w:val="223"/>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(368,383)</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to amend revolving credit facility</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1,094,283</w:t>
            </w:r>
          </w:p>
        </w:tc>
      </w:tr>
      <w:tr>
        <w:trPr>
          <w:trHeight w:val="229"/>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(510,360)</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Issuance of notes payable, net of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298,568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398,722</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mortgages, finance leases, and notes payable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(70,237)</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Issuance of common shares, net of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99,177</w:t>
            </w:r>
          </w:p>
        </w:tc>
      </w:tr>
      <w:tr>
        <w:trPr>
          <w:trHeight w:val="229"/>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(324,596)</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Shares withheld for employee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(20,563)</w:t>
            </w:r>
          </w:p>
        </w:tc>
      </w:tr>
      <w:tr>
        <w:trPr>
          <w:trHeight w:val="223"/>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661,736</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663,282</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153,614</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6"/>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186"/>
        </w:trPr>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(In thousands, except unit data)</w:t>
            </w:r>
          </w:p>
        </w:tc>
      </w:tr>
      <w:tr>
        <w:trPr>
          <w:trHeight w:val="246"/>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$1,997,583 and $2,207,648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9,441,945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8,814,791</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Construction-in-progress (including $8,477 and $18,752 of consolidated variable interest entities,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662,554</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607,271</w:t>
            </w:r>
          </w:p>
        </w:tc>
      </w:tr>
      <w:tr>
        <w:trPr>
          <w:trHeight w:val="223"/>
        </w:trPr>
        <w:tc>
          <w:tcPr>
            <w:tcW w:w="8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10,104,499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9,422,062</w:t>
            </w: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$362,921 and $389,950 of consolidated variable</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(2,715,817)</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(2,531,095)</w:t>
            </w: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Net real estate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7,388,682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6,890,967</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162,132</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169,007</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notes receivable,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145,205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13,027</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assets,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90,743</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Finance lease right of use assets,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49,832</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267,406</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237,069</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8,233,991</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7,622,320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CAPITAL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Mortgages payable, net (including $191,827 and $335,301 of consolidated variable interest entities,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339,993</w:t>
            </w: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Notes payable,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601,077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301,466</w:t>
            </w: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Senior notes and debentures,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3,406,088</w:t>
            </w: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190,340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235,168</w:t>
            </w: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86,538</w:t>
            </w: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Security deposits payable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25,331</w:t>
            </w: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Finance lease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72,032</w:t>
            </w: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237,699</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206,187</w:t>
            </w: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5,021,606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4,745,464</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178,370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213,708</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Partner capital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Preferred units, 398,878 and 405,896 units issued and outstanding, respectively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154,788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154,963</w:t>
            </w: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units, 81,342,959 and 78,603,305 units issued and outstanding, respectively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2,427,686</w:t>
            </w: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partner capital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2,954,012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2,580,602</w:t>
            </w: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Noncontrolling interests in consolidated partnerships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82,546</w:t>
            </w: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capital</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2,663,148</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LIABILITIES AND CAPITAL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8,233,991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7,622,320</w:t>
            </w:r>
          </w:p>
        </w:tc>
      </w:tr>
      <w:tr>
        <w:trPr>
          <w:trHeight w:val="21"/>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OP LP</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6"/>
          </w:tcPr>
          <w:p>
            <w:pPr>
              <w:jc w:val="center"/>
              <w:ind w:left="47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92"/>
              </w:rPr>
              <w:t>(In thousands, except per unit data)</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832,171</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951,224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835,494</w:t>
            </w: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170,920</w:t>
            </w: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Real estate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119,242</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302,409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279,976</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255,027</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646,449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586,869</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Gain on deconsolidation of VIE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Other interest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(136,289)</w:t>
            </w: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partnerships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135,888</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261,498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131,706</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units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INCOME AVAILABLE FOR COMMON UNIT 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253,456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123,664</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UNIT, BASIC</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Net income available for common unit 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units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UNIT,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unit 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units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80,508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77,368</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395,661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135,888</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 change in value of interest rate swaps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272,998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130,586</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PARTNERSHIP</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265,095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Federal Realty OP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Capital</w:t>
      </w:r>
    </w:p>
    <w:p>
      <w:pPr>
        <w:spacing w:after="0" w:line="119" w:lineRule="exact"/>
        <w:rPr>
          <w:sz w:val="20"/>
          <w:szCs w:val="20"/>
          <w:color w:val="auto"/>
        </w:rPr>
      </w:pPr>
    </w:p>
    <w:tbl>
      <w:tblPr>
        <w:tblLayout w:type="fixed"/>
        <w:tblInd w:w="470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Noncontrolling</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Other</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Total Partner</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Interests in</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Preferred Units   Common Units</w:t>
            </w: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100" w:type="dxa"/>
            <w:vAlign w:val="bottom"/>
            <w:gridSpan w:val="2"/>
            <w:vMerge w:val="continue"/>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Consolidated</w:t>
            </w:r>
          </w:p>
        </w:tc>
        <w:tc>
          <w:tcPr>
            <w:tcW w:w="10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Total Capital</w:t>
            </w:r>
          </w:p>
        </w:tc>
        <w:tc>
          <w:tcPr>
            <w:tcW w:w="0" w:type="dxa"/>
            <w:vAlign w:val="bottom"/>
          </w:tcPr>
          <w:p>
            <w:pPr>
              <w:spacing w:after="0"/>
              <w:rPr>
                <w:sz w:val="1"/>
                <w:szCs w:val="1"/>
                <w:color w:val="auto"/>
              </w:rPr>
            </w:pPr>
          </w:p>
        </w:tc>
      </w:tr>
      <w:tr>
        <w:trPr>
          <w:trHeight w:val="181"/>
        </w:trPr>
        <w:tc>
          <w:tcPr>
            <w:tcW w:w="2200" w:type="dxa"/>
            <w:vAlign w:val="bottom"/>
            <w:gridSpan w:val="4"/>
            <w:vMerge w:val="continue"/>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Income (Loss)</w:t>
            </w: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Partnerships</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BALANCE AT DECEMBER 31, 2019</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154,963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January 1, 2020 adoption of new accounting standard</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Net income, excluding $2,228 attributable to redeemable noncontrolling interests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8,042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rPr>
              <w:t>Other comprehensive loss - change in fair value of interest rate swaps, excluding</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$471 attributable to redeemable noncontrolling interests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common unit holders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preferred unit holders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(8,042)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noncontrolling interests in consolidated partnerships,</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excluding $1,197 attributable to redeemable noncontrolling interests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w w:val="95"/>
              </w:rPr>
              <w:t>Common units issued as a result of common stock issued by Parent Company, net of</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issuance costs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Common units issued under dividend reinvestment plan</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Share-based compensation expense, net of forfeitures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Common units withheld for employee taxes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Conversion and redemption of downREIT OP units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rPr>
              <w:t>Contributions from noncontrolling interests, excluding $19,335 attributable to</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redeemable noncontrolling interests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Purchase of noncontrolling interest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3"/>
                <w:szCs w:val="13"/>
                <w:color w:val="auto"/>
              </w:rPr>
              <w:t>Adjustment to redeemable noncontrolling interests</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20"/>
                <w:szCs w:val="20"/>
                <w:color w:val="auto"/>
              </w:rPr>
            </w:pPr>
            <w:r>
              <w:rPr>
                <w:rFonts w:ascii="Arial" w:cs="Arial" w:eastAsia="Arial" w:hAnsi="Arial"/>
                <w:sz w:val="13"/>
                <w:szCs w:val="13"/>
                <w:color w:val="auto"/>
              </w:rPr>
              <w:t>BALANCE AT DECEMBER 31, 2020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154,963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Net income, excluding $4,296 attributable to redeemable noncontrolling interests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8,042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w w:val="96"/>
              </w:rPr>
              <w:t>Other comprehensive income - change in fair value of interest rate swaps, excluding</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$320 attributable to redeemable noncontrolling interest</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common unit holders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preferred unit holders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(8,042)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noncontrolling interests in consolidated partnerships,</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excluding $5,268 attributable to redeemable noncontrolling interests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w w:val="95"/>
              </w:rPr>
              <w:t>Common units issued as a result of common stock issued by Parent Company, net of</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issuance costs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Common units issued under dividend reinvestment plan</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Share-based compensation expense, net of forfeitures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Common units withheld for employee taxes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Conversion of downREIT OP units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rPr>
              <w:t>Contributions from noncontrolling interests, excluding $74,530 attributable to</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redeemable noncontrolling interests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3"/>
                <w:szCs w:val="13"/>
                <w:color w:val="auto"/>
              </w:rPr>
              <w:t>Adjustment to redeemable noncontrolling interests</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20"/>
                <w:szCs w:val="20"/>
                <w:color w:val="auto"/>
              </w:rPr>
            </w:pPr>
            <w:r>
              <w:rPr>
                <w:rFonts w:ascii="Arial" w:cs="Arial" w:eastAsia="Arial" w:hAnsi="Arial"/>
                <w:sz w:val="13"/>
                <w:szCs w:val="13"/>
                <w:color w:val="auto"/>
              </w:rPr>
              <w:t>BALANCE AT DECEMBER 31, 2021</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154,963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Net income, excluding $6,613 attributable to redeemable noncontrolling interests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8,034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w w:val="96"/>
              </w:rPr>
              <w:t>Other comprehensive income - change in fair value of interest rate swaps, excluding</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$765 attributable to redeemable noncontrolling interest</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common unit holders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preferred unit holders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(8,034)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rPr>
              <w:t>Distributions declared to noncontrolling interests in consolidated partnerships,</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excluding $8,090 attributable to redeemable noncontrolling interests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20"/>
                <w:szCs w:val="20"/>
                <w:color w:val="auto"/>
              </w:rPr>
            </w:pPr>
            <w:r>
              <w:rPr>
                <w:rFonts w:ascii="Arial" w:cs="Arial" w:eastAsia="Arial" w:hAnsi="Arial"/>
                <w:sz w:val="13"/>
                <w:szCs w:val="13"/>
                <w:color w:val="auto"/>
                <w:w w:val="95"/>
              </w:rPr>
              <w:t>Common units issued as a result of common stock issued by Parent Company, net of</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20"/>
                <w:szCs w:val="20"/>
                <w:color w:val="auto"/>
              </w:rPr>
            </w:pPr>
            <w:r>
              <w:rPr>
                <w:rFonts w:ascii="Arial" w:cs="Arial" w:eastAsia="Arial" w:hAnsi="Arial"/>
                <w:sz w:val="13"/>
                <w:szCs w:val="13"/>
                <w:color w:val="auto"/>
              </w:rPr>
              <w:t>issuance costs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Common units issued under dividend reinvestment plan</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Share-based compensation expense, net of forfeitures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Common units withheld for employee taxes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Conversion of preferred units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Conversion and redemption of downREIT OP units</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3"/>
                <w:szCs w:val="13"/>
                <w:color w:val="auto"/>
              </w:rPr>
              <w:t>Deconsolidation of VIE</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3"/>
                <w:szCs w:val="13"/>
                <w:color w:val="auto"/>
              </w:rPr>
              <w:t>Adjustment to redeemable noncontrolling interests</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20"/>
                <w:szCs w:val="20"/>
                <w:color w:val="auto"/>
              </w:rPr>
            </w:pPr>
            <w:r>
              <w:rPr>
                <w:rFonts w:ascii="Arial" w:cs="Arial" w:eastAsia="Arial" w:hAnsi="Arial"/>
                <w:sz w:val="13"/>
                <w:szCs w:val="13"/>
                <w:color w:val="auto"/>
              </w:rPr>
              <w:t>BALANCE AT DECEMBER 31, 2022</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154,788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-5999480</wp:posOffset>
            </wp:positionV>
            <wp:extent cx="71323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-5673725</wp:posOffset>
            </wp:positionV>
            <wp:extent cx="71323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-5433695</wp:posOffset>
            </wp:positionV>
            <wp:extent cx="713232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-5022215</wp:posOffset>
            </wp:positionV>
            <wp:extent cx="713232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-4782185</wp:posOffset>
            </wp:positionV>
            <wp:extent cx="713232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-4542155</wp:posOffset>
            </wp:positionV>
            <wp:extent cx="713232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-4216400</wp:posOffset>
            </wp:positionV>
            <wp:extent cx="7132320"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-3642360</wp:posOffset>
            </wp:positionV>
            <wp:extent cx="713232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-3402330</wp:posOffset>
            </wp:positionV>
            <wp:extent cx="713232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-1936115</wp:posOffset>
            </wp:positionV>
            <wp:extent cx="713232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71323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-1284605</wp:posOffset>
            </wp:positionV>
            <wp:extent cx="713232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713232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jc w:val="right"/>
              <w:ind w:right="73"/>
              <w:spacing w:after="0"/>
              <w:rPr>
                <w:sz w:val="20"/>
                <w:szCs w:val="20"/>
                <w:color w:val="auto"/>
              </w:rPr>
            </w:pPr>
            <w:r>
              <w:rPr>
                <w:rFonts w:ascii="Arial" w:cs="Arial" w:eastAsia="Arial" w:hAnsi="Arial"/>
                <w:sz w:val="13"/>
                <w:szCs w:val="13"/>
                <w:color w:val="auto"/>
                <w:w w:val="89"/>
              </w:rPr>
              <w:t>2,381,191</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2,535,341</w:t>
            </w:r>
          </w:p>
        </w:tc>
        <w:tc>
          <w:tcPr>
            <w:tcW w:w="80" w:type="dxa"/>
            <w:vAlign w:val="bottom"/>
          </w:tcPr>
          <w:p>
            <w:pPr>
              <w:spacing w:after="0"/>
              <w:rPr>
                <w:sz w:val="14"/>
                <w:szCs w:val="14"/>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100,791</w:t>
            </w:r>
          </w:p>
        </w:tc>
        <w:tc>
          <w:tcPr>
            <w:tcW w:w="8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2,636,132</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rPr>
              <w:t>(510)</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(510)</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123,664</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131,706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133,660</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(4,831)</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w w:val="96"/>
              </w:rPr>
              <w:t>(320,302)</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(320,302)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(320,302)</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(8,042)</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(8,874)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(8,874)</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98,839</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98,839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98,839</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2,072</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2,072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2,072</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13,243</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13,243</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rPr>
              <w:t>(4,052)</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(4,052)</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rPr>
              <w:t>(30)</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(3,320)</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rPr>
              <w:t>(1,210)</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(7,321)</w:t>
            </w:r>
          </w:p>
        </w:tc>
      </w:tr>
      <w:tr>
        <w:trPr>
          <w:trHeight w:val="196"/>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21,933</w:t>
            </w:r>
          </w:p>
        </w:tc>
        <w:tc>
          <w:tcPr>
            <w:tcW w:w="3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21,933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21,933</w:t>
            </w:r>
          </w:p>
        </w:tc>
      </w:tr>
      <w:tr>
        <w:trPr>
          <w:trHeight w:val="175"/>
        </w:trPr>
        <w:tc>
          <w:tcPr>
            <w:tcW w:w="680" w:type="dxa"/>
            <w:vAlign w:val="bottom"/>
          </w:tcPr>
          <w:p>
            <w:pPr>
              <w:jc w:val="right"/>
              <w:ind w:right="73"/>
              <w:spacing w:after="0"/>
              <w:rPr>
                <w:sz w:val="20"/>
                <w:szCs w:val="20"/>
                <w:color w:val="auto"/>
              </w:rPr>
            </w:pPr>
            <w:r>
              <w:rPr>
                <w:rFonts w:ascii="Arial" w:cs="Arial" w:eastAsia="Arial" w:hAnsi="Arial"/>
                <w:sz w:val="13"/>
                <w:szCs w:val="13"/>
                <w:color w:val="auto"/>
                <w:w w:val="89"/>
              </w:rPr>
              <w:t>2,314,838</w:t>
            </w:r>
          </w:p>
        </w:tc>
        <w:tc>
          <w:tcPr>
            <w:tcW w:w="3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(5,644)</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2,464,157</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84,590</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2,548,747</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253,456</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261,498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264,785</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3,597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3,597</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w w:val="96"/>
              </w:rPr>
              <w:t>(332,116)</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(332,116)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(332,116)</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(8,042)</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(4,341)</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172,753</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172,753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172,753</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1,955</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1,955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1,955</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14,434</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14,434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14,434</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rPr>
              <w:t>(2,998)</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(2,998)</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7,474</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6,583</w:t>
            </w:r>
          </w:p>
        </w:tc>
      </w:tr>
      <w:tr>
        <w:trPr>
          <w:trHeight w:val="196"/>
        </w:trPr>
        <w:tc>
          <w:tcPr>
            <w:tcW w:w="680" w:type="dxa"/>
            <w:vAlign w:val="bottom"/>
          </w:tcPr>
          <w:p>
            <w:pPr>
              <w:jc w:val="right"/>
              <w:ind w:right="53"/>
              <w:spacing w:after="0"/>
              <w:rPr>
                <w:sz w:val="20"/>
                <w:szCs w:val="20"/>
                <w:color w:val="auto"/>
              </w:rPr>
            </w:pPr>
            <w:r>
              <w:rPr>
                <w:rFonts w:ascii="Arial" w:cs="Arial" w:eastAsia="Arial" w:hAnsi="Arial"/>
                <w:sz w:val="13"/>
                <w:szCs w:val="13"/>
                <w:color w:val="auto"/>
              </w:rPr>
              <w:t>(2,110)</w:t>
            </w:r>
          </w:p>
        </w:tc>
        <w:tc>
          <w:tcPr>
            <w:tcW w:w="3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(2,110)</w:t>
            </w:r>
          </w:p>
        </w:tc>
      </w:tr>
      <w:tr>
        <w:trPr>
          <w:trHeight w:val="175"/>
        </w:trPr>
        <w:tc>
          <w:tcPr>
            <w:tcW w:w="680" w:type="dxa"/>
            <w:vAlign w:val="bottom"/>
          </w:tcPr>
          <w:p>
            <w:pPr>
              <w:jc w:val="right"/>
              <w:ind w:right="73"/>
              <w:spacing w:after="0"/>
              <w:rPr>
                <w:sz w:val="20"/>
                <w:szCs w:val="20"/>
                <w:color w:val="auto"/>
              </w:rPr>
            </w:pPr>
            <w:r>
              <w:rPr>
                <w:rFonts w:ascii="Arial" w:cs="Arial" w:eastAsia="Arial" w:hAnsi="Arial"/>
                <w:sz w:val="13"/>
                <w:szCs w:val="13"/>
                <w:color w:val="auto"/>
                <w:w w:val="89"/>
              </w:rPr>
              <w:t>2,427,686</w:t>
            </w:r>
          </w:p>
        </w:tc>
        <w:tc>
          <w:tcPr>
            <w:tcW w:w="3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(2,047)</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2,580,602</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82,546</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2,663,148</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377,457</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385,491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389,048</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7,804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7,804</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w w:val="96"/>
              </w:rPr>
              <w:t>(344,711)</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(344,711)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(344,711)</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(8,034)</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(5,007)</w:t>
            </w:r>
          </w:p>
        </w:tc>
      </w:tr>
      <w:tr>
        <w:trPr>
          <w:trHeight w:val="324"/>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306,854</w:t>
            </w:r>
          </w:p>
        </w:tc>
        <w:tc>
          <w:tcPr>
            <w:tcW w:w="3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306,854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306,854</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35</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2,104</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2,104</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15,018</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15,018</w:t>
            </w:r>
          </w:p>
        </w:tc>
      </w:tr>
      <w:tr>
        <w:trPr>
          <w:trHeight w:val="189"/>
        </w:trPr>
        <w:tc>
          <w:tcPr>
            <w:tcW w:w="680" w:type="dxa"/>
            <w:vAlign w:val="bottom"/>
          </w:tcPr>
          <w:p>
            <w:pPr>
              <w:jc w:val="right"/>
              <w:ind w:right="53"/>
              <w:spacing w:after="0"/>
              <w:rPr>
                <w:sz w:val="20"/>
                <w:szCs w:val="20"/>
                <w:color w:val="auto"/>
              </w:rPr>
            </w:pPr>
            <w:r>
              <w:rPr>
                <w:rFonts w:ascii="Arial" w:cs="Arial" w:eastAsia="Arial" w:hAnsi="Arial"/>
                <w:sz w:val="13"/>
                <w:szCs w:val="13"/>
                <w:color w:val="auto"/>
              </w:rPr>
              <w:t>(4,900)</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(4,900)</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175</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1,367</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1,367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(698)</w:t>
            </w:r>
          </w:p>
        </w:tc>
      </w:tr>
      <w:tr>
        <w:trPr>
          <w:trHeight w:val="189"/>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w:t>
            </w:r>
          </w:p>
        </w:tc>
      </w:tr>
      <w:tr>
        <w:trPr>
          <w:trHeight w:val="196"/>
        </w:trPr>
        <w:tc>
          <w:tcPr>
            <w:tcW w:w="680" w:type="dxa"/>
            <w:vAlign w:val="bottom"/>
          </w:tcPr>
          <w:p>
            <w:pPr>
              <w:jc w:val="right"/>
              <w:ind w:right="73"/>
              <w:spacing w:after="0"/>
              <w:rPr>
                <w:sz w:val="20"/>
                <w:szCs w:val="20"/>
                <w:color w:val="auto"/>
              </w:rPr>
            </w:pPr>
            <w:r>
              <w:rPr>
                <w:rFonts w:ascii="Arial" w:cs="Arial" w:eastAsia="Arial" w:hAnsi="Arial"/>
                <w:sz w:val="13"/>
                <w:szCs w:val="13"/>
                <w:color w:val="auto"/>
              </w:rPr>
              <w:t>12,382</w:t>
            </w:r>
          </w:p>
        </w:tc>
        <w:tc>
          <w:tcPr>
            <w:tcW w:w="3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12,382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12,382</w:t>
            </w:r>
          </w:p>
        </w:tc>
      </w:tr>
      <w:tr>
        <w:trPr>
          <w:trHeight w:val="175"/>
        </w:trPr>
        <w:tc>
          <w:tcPr>
            <w:tcW w:w="680" w:type="dxa"/>
            <w:vAlign w:val="bottom"/>
          </w:tcPr>
          <w:p>
            <w:pPr>
              <w:jc w:val="right"/>
              <w:ind w:right="73"/>
              <w:spacing w:after="0"/>
              <w:rPr>
                <w:sz w:val="20"/>
                <w:szCs w:val="20"/>
                <w:color w:val="auto"/>
              </w:rPr>
            </w:pPr>
            <w:r>
              <w:rPr>
                <w:rFonts w:ascii="Arial" w:cs="Arial" w:eastAsia="Arial" w:hAnsi="Arial"/>
                <w:sz w:val="13"/>
                <w:szCs w:val="13"/>
                <w:color w:val="auto"/>
                <w:w w:val="89"/>
              </w:rPr>
              <w:t>2,793,467</w:t>
            </w:r>
          </w:p>
        </w:tc>
        <w:tc>
          <w:tcPr>
            <w:tcW w:w="340" w:type="dxa"/>
            <w:vAlign w:val="bottom"/>
            <w:tcBorders>
              <w:top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5,757</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2,954,012</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80,003</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3,034,015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-118745</wp:posOffset>
            </wp:positionV>
            <wp:extent cx="6426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-4096385</wp:posOffset>
            </wp:positionV>
            <wp:extent cx="6426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880" w:space="340"/>
            <w:col w:w="5020"/>
          </w:cols>
          <w:pgMar w:left="320" w:top="126"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statements.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jc w:val="center"/>
              <w:ind w:left="551"/>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Pr>
          <w:p>
            <w:pPr>
              <w:spacing w:after="0"/>
              <w:rPr>
                <w:sz w:val="16"/>
                <w:szCs w:val="16"/>
                <w:color w:val="auto"/>
              </w:rPr>
            </w:pPr>
          </w:p>
        </w:tc>
      </w:tr>
      <w:tr>
        <w:trPr>
          <w:trHeight w:val="26"/>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2020</w:t>
            </w:r>
          </w:p>
        </w:tc>
      </w:tr>
      <w:tr>
        <w:trPr>
          <w:trHeight w:val="194"/>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395,661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135,888</w:t>
            </w:r>
          </w:p>
        </w:tc>
      </w:tr>
      <w:tr>
        <w:trPr>
          <w:trHeight w:val="229"/>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279,976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255,027</w:t>
            </w:r>
          </w:p>
        </w:tc>
      </w:tr>
      <w:tr>
        <w:trPr>
          <w:trHeight w:val="230"/>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Impairment charge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Gain on deconsolidation of VIE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(98,117)</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11,179</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loss from partnerships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rPr>
              <w:t>Straight-line rent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(4,492)</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(Increase) decrease in accounts receivable,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(6,032)</w:t>
            </w:r>
          </w:p>
        </w:tc>
      </w:tr>
      <w:tr>
        <w:trPr>
          <w:trHeight w:val="230"/>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5,621</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(decrease) in security deposits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3"/>
        </w:trPr>
        <w:tc>
          <w:tcPr>
            <w:tcW w:w="766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471,352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369,929</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Acquisition of real estate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(9,589)</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(433,872)</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Capital expenditures - 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(107,655)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(68,064)</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w:t>
            </w:r>
          </w:p>
        </w:tc>
      </w:tr>
      <w:tr>
        <w:trPr>
          <w:trHeight w:val="229"/>
        </w:trPr>
        <w:tc>
          <w:tcPr>
            <w:tcW w:w="7660" w:type="dxa"/>
            <w:vAlign w:val="bottom"/>
          </w:tcPr>
          <w:p>
            <w:pPr>
              <w:ind w:left="34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133,717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183,461</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cash from deconsolidation of VIE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(3,348)</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from partnerships in excess of earnings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r>
      <w:tr>
        <w:trPr>
          <w:trHeight w:val="229"/>
        </w:trPr>
        <w:tc>
          <w:tcPr>
            <w:tcW w:w="7660" w:type="dxa"/>
            <w:vAlign w:val="bottom"/>
          </w:tcPr>
          <w:p>
            <w:pPr>
              <w:ind w:left="340"/>
              <w:spacing w:after="0"/>
              <w:rPr>
                <w:sz w:val="20"/>
                <w:szCs w:val="20"/>
                <w:color w:val="auto"/>
              </w:rPr>
            </w:pPr>
            <w:r>
              <w:rPr>
                <w:rFonts w:ascii="Arial" w:cs="Arial" w:eastAsia="Arial" w:hAnsi="Arial"/>
                <w:sz w:val="18"/>
                <w:szCs w:val="18"/>
                <w:color w:val="auto"/>
              </w:rPr>
              <w:t>Leasing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(15,080)</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repayment of mortgage and other notes receivable,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r>
      <w:tr>
        <w:trPr>
          <w:trHeight w:val="223"/>
        </w:trPr>
        <w:tc>
          <w:tcPr>
            <w:tcW w:w="76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(785,998)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(368,383)</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Costs to amend revolving credit facility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1,094,283</w:t>
            </w:r>
          </w:p>
        </w:tc>
      </w:tr>
      <w:tr>
        <w:trPr>
          <w:trHeight w:val="229"/>
        </w:trPr>
        <w:tc>
          <w:tcPr>
            <w:tcW w:w="7660" w:type="dxa"/>
            <w:vAlign w:val="bottom"/>
          </w:tcPr>
          <w:p>
            <w:pPr>
              <w:ind w:left="34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(510,360)</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notes payable, net of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398,722</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Repayment of mortgages, finance leases, and notes payable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(70,237)</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units, net of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99,177</w:t>
            </w:r>
          </w:p>
        </w:tc>
      </w:tr>
      <w:tr>
        <w:trPr>
          <w:trHeight w:val="229"/>
        </w:trPr>
        <w:tc>
          <w:tcPr>
            <w:tcW w:w="7660" w:type="dxa"/>
            <w:vAlign w:val="bottom"/>
          </w:tcPr>
          <w:p>
            <w:pPr>
              <w:ind w:left="340"/>
              <w:spacing w:after="0"/>
              <w:rPr>
                <w:sz w:val="20"/>
                <w:szCs w:val="20"/>
                <w:color w:val="auto"/>
              </w:rPr>
            </w:pPr>
            <w:r>
              <w:rPr>
                <w:rFonts w:ascii="Arial" w:cs="Arial" w:eastAsia="Arial" w:hAnsi="Arial"/>
                <w:sz w:val="18"/>
                <w:szCs w:val="18"/>
                <w:color w:val="auto"/>
              </w:rPr>
              <w:t>Dividends paid to common and preferred unit holders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(324,596)</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withheld for employee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(20,563)</w:t>
            </w:r>
          </w:p>
        </w:tc>
      </w:tr>
      <w:tr>
        <w:trPr>
          <w:trHeight w:val="223"/>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661,736</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663,282</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816,896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OP LP</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 2021 and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Federal Realty Investment Trust (the “Parent Company” and "Trust") is an equity real estate investment trust (“REIT”). Federal Realty OP LP (the "Operating Partnership") is the entity through which the Parent Company conducts substantially all of its operating and owns all of its assets. The Parent Company owns 100% of the limited liability company interests of, is sole member of, and exercises control over Federal Realty GP LLC (the "General Partner"), which in turn, is the sole general partner of the Operating Partnership. The Parent Company specializes in the ownership, management, and redevelopment of retail and mixed-use properties through the Operating Partnership. Our properties are located primarily in communities where we believe retail demand exceeds supply, in strategically selected metropolitan markets in the Mid-Atlantic and Northeast regions of the United States, California, and South Florida. As of December 31, 2022, we owned or had a majority interest in community and neighborhood shopping centers and mixed-use properties which are operated as 103 predominantly retail real estate projects.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 and General Economic Conditions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Given the ongoing workforce shortages, global supply chain bottlenecks and shortages, higher levels of inflation, and rising interest rates, we continue to monitor and address risks related to the global COVID-19 pandemic and the state of the economy. The extent of the future effects of COVID-19 and potentially worsening economic conditions on our business, results of operations, cash flows, and growth prospects is highly uncertain and will ultimately depend on future developments, none of which can be predicted with any certainty.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2022, we completed a reorganization into an umbrella partnership real estate investment trust, or "UPREIT." For additional information on our UPREIT reorganization, please see our Current Reports on Form 8-K filed with the SEC on January 3, 2022 and January 5, 2022, as well our 2021 Annual Report on Form 10-K filed on February 10, 2022.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 Certain 2021, 2020, and 2019 amounts have been reclassified to conform to current period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discussed in the Explanatory Note, we have combined the Annual Reports on Form 10-K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the primary beneficiary of a variable interest entity (“VIE”). The Parent Company's consolidated financial statements include the accounts of the Operating Partnership and its subsidiaries as the Parent, and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estimates are prepared using management’s best judgment, after considering past, current and expected events and economic conditions. Actual results could differ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(unrelated to the COVID-19 pandemic)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December 31, 2022, we executed rent deferral agreements related to the COVID-19 pandemic representing approximately $48 million of rent. We have subsequently collected approximately $35 million of those amounts previously deferred. As of December 31, 2022, we have entered into rent abatement agreements related to the COVID-19 pandemic totaling $4 million, $26 million, and $48 million of rents due in 2022, 2021, and 2020 respectively.</w:t>
      </w:r>
    </w:p>
    <w:p>
      <w:pPr>
        <w:spacing w:after="0" w:line="13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spacing w:after="0" w:line="12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collection of rents has continued to improve from the initial impacts of COVID-19, including collecting rents related to prior periods. As a result, our collectibility related adjustments for the year ended December 31, 2022 resulted in an increase to rental income of $4.1 million, as compared to a</w:t>
      </w:r>
    </w:p>
    <w:p>
      <w:pPr>
        <w:ind w:right="60"/>
        <w:spacing w:after="0" w:line="252" w:lineRule="auto"/>
        <w:rPr>
          <w:sz w:val="20"/>
          <w:szCs w:val="20"/>
          <w:color w:val="auto"/>
        </w:rPr>
      </w:pPr>
      <w:r>
        <w:rPr>
          <w:rFonts w:ascii="Arial" w:cs="Arial" w:eastAsia="Arial" w:hAnsi="Arial"/>
          <w:sz w:val="18"/>
          <w:szCs w:val="18"/>
          <w:color w:val="auto"/>
        </w:rPr>
        <w:t>$24.0 million and $106.6 million decrease to rental income during the years ended December 31, 2021 and 2020, respectively, which reflected lower levels of cash collections and elevated levels of rent abatements and disputes directly related to COVID-19. This includes changes in our collectibility assessments from probable to not probable, disputed rents, and any rent abatements directly related to COVID-19. As of December 31, 2022 and 2021, the revenue from approximately 31% and 34% of our tenants (based on total commercial leases), respectively, is being recognized on a cash basis. As of December 31, 2022 and 2021, our straight-line rent receivables balance was $126.6 million and $110.7 million, respectively, and is included in "accounts and notes receivable, net" on our consolidated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real estate are recognized upon the transfer of control, which usually occurs when the real estate is legally sold. 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08"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2022, 2021 and 2020, real estate depreciation expense was $265.7 million, $245.1 million and $227.9 million, respectively, including amounts from real estate sold.</w:t>
      </w:r>
    </w:p>
    <w:p>
      <w:pPr>
        <w:spacing w:after="0" w:line="1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current assets acquired and current liabilities assumed,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1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Impairment</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2022, we had $113.2 million in excess of the FDIC insured limit.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 See the "Leases" section in this note for further discussion regarding the change in accounting for lease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December 31, 2022, we have two interest rate swap agreements that effectively fix the interest rate on a mortgage payable associated with our Hoboken property at 3.67%. Both swaps were designated and qualify for cash flow hedge accounting. As of December 31, 2022, our Assembly Row hotel joint venture is a party to two interest rate swap agreements that effectively fix the interest rate on the joint venture's mortgage debt at 5.206%. Both swaps were designated and qualify as cash flow hedges. Hedge ineffectiveness has not impacted earnings in 2022, 2021 and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Mortgage notes receivable are recorded at cost, net of any valuation adjustments. Effective January 1, 2020, (upon the adoption of ASU 2016-13, "Financial Instruments - Credit Losses," as amended and interpreted), we account for mortgage notes receivable using the "expected credit loss" model, and accordingly impairment losses are estimated and recorded for the entire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life of the loan. Prior to the implementation of ASC 326, we recognized impairment losses as incurred.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 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spacing w:after="0" w:line="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December 31, 2022, we had three mortgage notes receivable with an aggregate carrying amount, net of valuation adjustments of $9.5 million, and a weighted average interest rate of 10.9%.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10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for further discussion regarding our share based compensation plans and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equity method investments in the Assembly Row hotel joint venture, the La Alameda shopping center, the Chandler Festival and Chandler Gateway shopping centers, and our mortgage notes receivable are considered variable interests in a VIE (see Note 3 to the consolidated financial statements for additional information on the Chandler Festival and Chandler Gateway shopping centers). As we do not control the activities that most significantly impact the economic performance of our equity method joint ventures or the borrower entities related to our mortgage notes receivable, we are not the primary beneficiary and do not consolidate. As of December 31, 2022 and 2021, our investment in the equity method joint ventures and maximum exposure to loss was $34.0 million and $8.9 million, respectively. As of December 31, 2022 and 2021, our investment in mortgage notes receivable and maximum exposure to loss was $9.5 million for both periods. We also own a 77.7% tenancy in common ("TIC") interest in Escondido Promenade which is recorded as an equity method investment and included in investments in partnerships" on our December 31, 2022 consolidated balance sheets. Our TIC interest in Escondido Promenade is not considered a variable interest in a variable interest entity. See Note 3 to the consolidated financial statements for additional information.</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we have 19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$1.6 billion and $1.8 billion as of December 31, 2022 and 2021, respectively, and mortgages related to VIEs included in our consolidated balance sheets were approximately $191.8 million and $335.3 million, as of December 31, 2022 and 2021,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0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6"/>
              </w:rPr>
              <w:t>Year Ended</w:t>
            </w:r>
          </w:p>
        </w:tc>
        <w:tc>
          <w:tcPr>
            <w:tcW w:w="820" w:type="dxa"/>
            <w:vAlign w:val="bottom"/>
          </w:tcPr>
          <w:p>
            <w:pPr>
              <w:spacing w:after="0"/>
              <w:rPr>
                <w:sz w:val="16"/>
                <w:szCs w:val="16"/>
                <w:color w:val="auto"/>
              </w:rPr>
            </w:pPr>
          </w:p>
        </w:tc>
      </w:tr>
      <w:tr>
        <w:trPr>
          <w:trHeight w:val="203"/>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7"/>
                <w:szCs w:val="17"/>
                <w:color w:val="auto"/>
              </w:rPr>
            </w:pPr>
          </w:p>
        </w:tc>
      </w:tr>
      <w:tr>
        <w:trPr>
          <w:trHeight w:val="26"/>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8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182"/>
        </w:trPr>
        <w:tc>
          <w:tcPr>
            <w:tcW w:w="8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center"/>
              <w:ind w:left="457"/>
              <w:spacing w:after="0"/>
              <w:rPr>
                <w:sz w:val="20"/>
                <w:szCs w:val="20"/>
                <w:color w:val="auto"/>
              </w:rPr>
            </w:pPr>
            <w:r>
              <w:rPr>
                <w:rFonts w:ascii="Arial" w:cs="Arial" w:eastAsia="Arial" w:hAnsi="Arial"/>
                <w:sz w:val="14"/>
                <w:szCs w:val="14"/>
                <w:color w:val="auto"/>
                <w:w w:val="91"/>
              </w:rPr>
              <w:t>(In thousands)</w:t>
            </w:r>
          </w:p>
        </w:tc>
        <w:tc>
          <w:tcPr>
            <w:tcW w:w="820" w:type="dxa"/>
            <w:vAlign w:val="bottom"/>
          </w:tcPr>
          <w:p>
            <w:pPr>
              <w:spacing w:after="0"/>
              <w:rPr>
                <w:sz w:val="15"/>
                <w:szCs w:val="15"/>
                <w:color w:val="auto"/>
              </w:rPr>
            </w:pPr>
          </w:p>
        </w:tc>
      </w:tr>
      <w:tr>
        <w:trPr>
          <w:trHeight w:val="20"/>
        </w:trPr>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137,720</w:t>
            </w: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4,296</w:t>
            </w:r>
          </w:p>
        </w:tc>
      </w:tr>
      <w:tr>
        <w:trPr>
          <w:trHeight w:val="229"/>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74,530</w:t>
            </w: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Other comprehensive income - change in value of interest rate swaps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&amp; redemptions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29"/>
        </w:trPr>
        <w:tc>
          <w:tcPr>
            <w:tcW w:w="8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redemption value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July 13, 2022, we acquired the 21.8% redeemable noncontrolling interest in the partnership that owns our Plaza El Segundo shopping center for $23.6 million, bringing our ownership interest to 100%.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ground leases at 11 properties which are accounted for as operating leases. The operating lease right of use ("ROU") assets and related liabilities are shown separately on the face of our consolidated balance sheet and reflect the present value of the minimum lease payments. A key input in the calculation is the discount rate. As the rate implied in the lease agreements is not readily determinable, we utilize our incremental borrowing rate that corresponds to the remaining term of the lease, our credit spread, and an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do not record an ROU asset or lease liability for leases with terms of less than 12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2018. As of December 31, 2022 and 2021, we had no material unrecognized tax benefits. While we currently have no material unrecognized tax benefits, as a policy, we recognize penalties and interest accrued related to unrecognized tax benefits as income tax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and mortgage interest income, less rental expenses and real estate taxes. 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Equity Sales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at-the-market (“ATM”) equity program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method to determine the dilution, if any, from the forward sales contracts during the period of time prior to settlement. See Note 8 to the consolidated financial statements for details of our forward sales transactions.</w:t>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ectPr>
          <w:pgSz w:w="11900" w:h="16838" w:orient="portrait"/>
          <w:cols w:equalWidth="0" w:num="1">
            <w:col w:w="11040"/>
          </w:cols>
          <w:pgMar w:left="320" w:top="126" w:right="5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654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Adopted on January 1, 2022:</w:t>
      </w:r>
    </w:p>
    <w:p>
      <w:pPr>
        <w:spacing w:after="0" w:line="86" w:lineRule="exact"/>
        <w:rPr>
          <w:sz w:val="20"/>
          <w:szCs w:val="20"/>
          <w:color w:val="auto"/>
        </w:rPr>
      </w:pPr>
    </w:p>
    <w:p>
      <w:pPr>
        <w:ind w:left="20"/>
        <w:spacing w:after="0" w:line="218" w:lineRule="auto"/>
        <w:rPr>
          <w:sz w:val="20"/>
          <w:szCs w:val="20"/>
          <w:color w:val="auto"/>
        </w:rPr>
      </w:pPr>
      <w:r>
        <w:rPr>
          <w:rFonts w:ascii="Arial" w:cs="Arial" w:eastAsia="Arial" w:hAnsi="Arial"/>
          <w:sz w:val="16"/>
          <w:szCs w:val="16"/>
          <w:color w:val="auto"/>
        </w:rPr>
        <w:t xml:space="preserve">ASU 2020-06, August 2020, </w:t>
      </w:r>
      <w:r>
        <w:rPr>
          <w:rFonts w:ascii="Arial" w:cs="Arial" w:eastAsia="Arial" w:hAnsi="Arial"/>
          <w:sz w:val="16"/>
          <w:szCs w:val="16"/>
          <w:i w:val="1"/>
          <w:iCs w:val="1"/>
          <w:color w:val="auto"/>
        </w:rPr>
        <w:t>Debt -</w:t>
      </w:r>
      <w:r>
        <w:rPr>
          <w:rFonts w:ascii="Arial" w:cs="Arial" w:eastAsia="Arial" w:hAnsi="Arial"/>
          <w:sz w:val="16"/>
          <w:szCs w:val="16"/>
          <w:color w:val="auto"/>
        </w:rPr>
        <w:t xml:space="preserve"> </w:t>
      </w:r>
      <w:r>
        <w:rPr>
          <w:rFonts w:ascii="Arial" w:cs="Arial" w:eastAsia="Arial" w:hAnsi="Arial"/>
          <w:sz w:val="16"/>
          <w:szCs w:val="16"/>
          <w:i w:val="1"/>
          <w:iCs w:val="1"/>
          <w:color w:val="auto"/>
        </w:rPr>
        <w:t>Debt with Conversion and Other Options (Subtopic 470-20) and Derivatives and Hedging - Contracts in Entity's Own Equity (Subtopic 815-40): Accounting for Convertible Instruments and Contracts in an Entity's Own Equity</w:t>
      </w:r>
    </w:p>
    <w:p>
      <w:pPr>
        <w:spacing w:after="0" w:line="229" w:lineRule="exact"/>
        <w:rPr>
          <w:sz w:val="20"/>
          <w:szCs w:val="20"/>
          <w:color w:val="auto"/>
        </w:rPr>
      </w:pPr>
    </w:p>
    <w:p>
      <w:pPr>
        <w:jc w:val="both"/>
        <w:ind w:left="20" w:right="260"/>
        <w:spacing w:after="0" w:line="248" w:lineRule="auto"/>
        <w:rPr>
          <w:sz w:val="20"/>
          <w:szCs w:val="20"/>
          <w:color w:val="auto"/>
        </w:rPr>
      </w:pPr>
      <w:r>
        <w:rPr>
          <w:rFonts w:ascii="Arial" w:cs="Arial" w:eastAsia="Arial" w:hAnsi="Arial"/>
          <w:sz w:val="15"/>
          <w:szCs w:val="15"/>
          <w:color w:val="auto"/>
        </w:rPr>
        <w:t xml:space="preserve">ASU 2021-05, July 2021, </w:t>
      </w:r>
      <w:r>
        <w:rPr>
          <w:rFonts w:ascii="Arial" w:cs="Arial" w:eastAsia="Arial" w:hAnsi="Arial"/>
          <w:sz w:val="15"/>
          <w:szCs w:val="15"/>
          <w:i w:val="1"/>
          <w:iCs w:val="1"/>
          <w:color w:val="auto"/>
        </w:rPr>
        <w:t>Lessors -</w:t>
      </w:r>
      <w:r>
        <w:rPr>
          <w:rFonts w:ascii="Arial" w:cs="Arial" w:eastAsia="Arial" w:hAnsi="Arial"/>
          <w:sz w:val="15"/>
          <w:szCs w:val="15"/>
          <w:color w:val="auto"/>
        </w:rPr>
        <w:t xml:space="preserve"> </w:t>
      </w:r>
      <w:r>
        <w:rPr>
          <w:rFonts w:ascii="Arial" w:cs="Arial" w:eastAsia="Arial" w:hAnsi="Arial"/>
          <w:sz w:val="15"/>
          <w:szCs w:val="15"/>
          <w:i w:val="1"/>
          <w:iCs w:val="1"/>
          <w:color w:val="auto"/>
        </w:rPr>
        <w:t>Certain Leases with Variable Lease Payments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Issued in 2022:</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ASU 2022-03, June 2022, </w:t>
      </w:r>
      <w:r>
        <w:rPr>
          <w:rFonts w:ascii="Arial" w:cs="Arial" w:eastAsia="Arial" w:hAnsi="Arial"/>
          <w:sz w:val="15"/>
          <w:szCs w:val="15"/>
          <w:i w:val="1"/>
          <w:iCs w:val="1"/>
          <w:color w:val="auto"/>
        </w:rPr>
        <w:t>Fair Value</w:t>
      </w:r>
    </w:p>
    <w:p>
      <w:pPr>
        <w:spacing w:after="0" w:line="17" w:lineRule="exact"/>
        <w:rPr>
          <w:sz w:val="20"/>
          <w:szCs w:val="20"/>
          <w:color w:val="auto"/>
        </w:rPr>
      </w:pPr>
    </w:p>
    <w:p>
      <w:pPr>
        <w:jc w:val="both"/>
        <w:ind w:left="20" w:right="260"/>
        <w:spacing w:after="0" w:line="234" w:lineRule="auto"/>
        <w:rPr>
          <w:sz w:val="20"/>
          <w:szCs w:val="20"/>
          <w:color w:val="auto"/>
        </w:rPr>
      </w:pPr>
      <w:r>
        <w:rPr>
          <w:rFonts w:ascii="Arial" w:cs="Arial" w:eastAsia="Arial" w:hAnsi="Arial"/>
          <w:sz w:val="15"/>
          <w:szCs w:val="15"/>
          <w:i w:val="1"/>
          <w:iCs w:val="1"/>
          <w:color w:val="auto"/>
        </w:rPr>
        <w:t>Measurement of Equity Securities Subject to Contractual Sale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Restrictions (Topic 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Issued in 2020:</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Reference Rate Reform (Topic 848)</w:t>
      </w:r>
    </w:p>
    <w:p>
      <w:pPr>
        <w:ind w:left="20"/>
        <w:spacing w:after="0"/>
        <w:rPr>
          <w:sz w:val="20"/>
          <w:szCs w:val="20"/>
          <w:color w:val="auto"/>
        </w:rPr>
      </w:pPr>
      <w:r>
        <w:rPr>
          <w:rFonts w:ascii="Arial" w:cs="Arial" w:eastAsia="Arial" w:hAnsi="Arial"/>
          <w:sz w:val="16"/>
          <w:szCs w:val="16"/>
          <w:color w:val="auto"/>
        </w:rPr>
        <w:t>and related update:</w:t>
      </w:r>
    </w:p>
    <w:p>
      <w:pPr>
        <w:spacing w:after="0" w:line="207" w:lineRule="exact"/>
        <w:rPr>
          <w:sz w:val="20"/>
          <w:szCs w:val="20"/>
          <w:color w:val="auto"/>
        </w:rPr>
      </w:pPr>
    </w:p>
    <w:p>
      <w:pPr>
        <w:ind w:left="140" w:right="640" w:hanging="8"/>
        <w:spacing w:after="0" w:line="230" w:lineRule="auto"/>
        <w:rPr>
          <w:sz w:val="20"/>
          <w:szCs w:val="20"/>
          <w:color w:val="auto"/>
        </w:rPr>
      </w:pPr>
      <w:r>
        <w:rPr>
          <w:rFonts w:ascii="Arial" w:cs="Arial" w:eastAsia="Arial" w:hAnsi="Arial"/>
          <w:sz w:val="16"/>
          <w:szCs w:val="16"/>
          <w:color w:val="auto"/>
        </w:rPr>
        <w:t xml:space="preserve">ASU 2020-04, March 2020, </w:t>
      </w:r>
      <w:r>
        <w:rPr>
          <w:rFonts w:ascii="Arial" w:cs="Arial" w:eastAsia="Arial" w:hAnsi="Arial"/>
          <w:sz w:val="16"/>
          <w:szCs w:val="16"/>
          <w:i w:val="1"/>
          <w:iCs w:val="1"/>
          <w:color w:val="auto"/>
        </w:rPr>
        <w:t>Reference Rate Reform (Topic 848)</w:t>
      </w:r>
    </w:p>
    <w:p>
      <w:pPr>
        <w:spacing w:after="0" w:line="119" w:lineRule="exact"/>
        <w:rPr>
          <w:sz w:val="20"/>
          <w:szCs w:val="20"/>
          <w:color w:val="auto"/>
        </w:rPr>
      </w:pPr>
    </w:p>
    <w:p>
      <w:pPr>
        <w:ind w:left="140" w:right="620" w:hanging="8"/>
        <w:spacing w:after="0" w:line="230" w:lineRule="auto"/>
        <w:rPr>
          <w:sz w:val="20"/>
          <w:szCs w:val="20"/>
          <w:color w:val="auto"/>
        </w:rPr>
      </w:pPr>
      <w:r>
        <w:rPr>
          <w:rFonts w:ascii="Arial" w:cs="Arial" w:eastAsia="Arial" w:hAnsi="Arial"/>
          <w:sz w:val="16"/>
          <w:szCs w:val="16"/>
          <w:color w:val="auto"/>
        </w:rPr>
        <w:t>ASU 2022-06</w:t>
      </w:r>
      <w:r>
        <w:rPr>
          <w:rFonts w:ascii="Arial" w:cs="Arial" w:eastAsia="Arial" w:hAnsi="Arial"/>
          <w:sz w:val="16"/>
          <w:szCs w:val="16"/>
          <w:i w:val="1"/>
          <w:iCs w:val="1"/>
          <w:color w:val="auto"/>
        </w:rPr>
        <w:t>,</w:t>
      </w:r>
      <w:r>
        <w:rPr>
          <w:rFonts w:ascii="Arial" w:cs="Arial" w:eastAsia="Arial" w:hAnsi="Arial"/>
          <w:sz w:val="16"/>
          <w:szCs w:val="16"/>
          <w:color w:val="auto"/>
        </w:rPr>
        <w:t xml:space="preserve"> December 2022, </w:t>
      </w:r>
      <w:r>
        <w:rPr>
          <w:rFonts w:ascii="Arial" w:cs="Arial" w:eastAsia="Arial" w:hAnsi="Arial"/>
          <w:sz w:val="16"/>
          <w:szCs w:val="16"/>
          <w:i w:val="1"/>
          <w:iCs w:val="1"/>
          <w:color w:val="auto"/>
        </w:rPr>
        <w:t>Deferral of the Sunset</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20320</wp:posOffset>
            </wp:positionV>
            <wp:extent cx="28975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00"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This ASU simplifies the accounting for convertible instruments by removing the requirements to separately present certain conversion features in equity, simplifying the settlement assessment that entities are required to perform to determine whether a contract qualifies for equity classification, and generally requiring the use of the if-converted method for all convertible instruments in the diluted EPS calculation and include the effect of potential share settlement (if the effect is more dilutive). The guidance is effective for annual period beginning after December 15, 2021, and interim periods therein.</w:t>
      </w:r>
    </w:p>
    <w:p>
      <w:pPr>
        <w:spacing w:after="0" w:line="63"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This ASU amends the lessor lease classification in ASC 842 for leases that include variable lease payments that are not based on an index or rate. Under the amended guidance, lessors will classify a lease with variable payments that do not depend on an index or rate as an operating lease if the lease would have been classified as a sales-type lease or a direct financing lease under the previous ASU 842 classification criteria, and sales-type or direct financing lease classification would result in a Day 1 loss.</w:t>
      </w:r>
    </w:p>
    <w:p>
      <w:pPr>
        <w:spacing w:after="0" w:line="118" w:lineRule="exact"/>
        <w:rPr>
          <w:sz w:val="20"/>
          <w:szCs w:val="20"/>
          <w:color w:val="auto"/>
        </w:rPr>
      </w:pPr>
    </w:p>
    <w:p>
      <w:pPr>
        <w:ind w:right="600"/>
        <w:spacing w:after="0"/>
        <w:rPr>
          <w:sz w:val="20"/>
          <w:szCs w:val="20"/>
          <w:color w:val="auto"/>
        </w:rPr>
      </w:pPr>
      <w:r>
        <w:rPr>
          <w:rFonts w:ascii="Arial" w:cs="Arial" w:eastAsia="Arial" w:hAnsi="Arial"/>
          <w:sz w:val="16"/>
          <w:szCs w:val="16"/>
          <w:color w:val="auto"/>
        </w:rPr>
        <w:t>This guidance is effective for annual periods beginning after December 15, 2021, and interim periods therein.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This ASU clarifies that contractual sale restrictions are not</w:t>
      </w:r>
    </w:p>
    <w:p>
      <w:pPr>
        <w:ind w:right="100"/>
        <w:spacing w:after="0" w:line="234" w:lineRule="auto"/>
        <w:rPr>
          <w:sz w:val="20"/>
          <w:szCs w:val="20"/>
          <w:color w:val="auto"/>
        </w:rPr>
      </w:pPr>
      <w:r>
        <w:rPr>
          <w:rFonts w:ascii="Arial" w:cs="Arial" w:eastAsia="Arial" w:hAnsi="Arial"/>
          <w:sz w:val="15"/>
          <w:szCs w:val="15"/>
          <w:color w:val="auto"/>
        </w:rPr>
        <w:t>considered in measuring the fair value of equity securities, and requires specific disclosures for all entities with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subject to a contractual sale restriction including (1) the fair value</w:t>
      </w:r>
    </w:p>
    <w:p>
      <w:pPr>
        <w:spacing w:after="0" w:line="3" w:lineRule="exact"/>
        <w:rPr>
          <w:sz w:val="20"/>
          <w:szCs w:val="20"/>
          <w:color w:val="auto"/>
        </w:rPr>
      </w:pPr>
    </w:p>
    <w:p>
      <w:pPr>
        <w:ind w:right="160"/>
        <w:spacing w:after="0" w:line="234" w:lineRule="auto"/>
        <w:rPr>
          <w:sz w:val="20"/>
          <w:szCs w:val="20"/>
          <w:color w:val="auto"/>
        </w:rPr>
      </w:pPr>
      <w:r>
        <w:rPr>
          <w:rFonts w:ascii="Arial" w:cs="Arial" w:eastAsia="Arial" w:hAnsi="Arial"/>
          <w:sz w:val="15"/>
          <w:szCs w:val="15"/>
          <w:color w:val="auto"/>
        </w:rPr>
        <w:t>of such equity securities reflected in the balance sheet, (2) the nature and remaining duration of the corresponding restrictions,</w:t>
      </w:r>
    </w:p>
    <w:p>
      <w:pPr>
        <w:spacing w:after="0" w:line="216" w:lineRule="auto"/>
        <w:rPr>
          <w:sz w:val="20"/>
          <w:szCs w:val="20"/>
          <w:color w:val="auto"/>
        </w:rPr>
      </w:pPr>
      <w:r>
        <w:rPr>
          <w:rFonts w:ascii="Arial" w:cs="Arial" w:eastAsia="Arial" w:hAnsi="Arial"/>
          <w:sz w:val="17"/>
          <w:szCs w:val="17"/>
          <w:color w:val="auto"/>
        </w:rPr>
        <w:t>and (3) any circumstances that could cause a lapse in the</w:t>
      </w:r>
    </w:p>
    <w:p>
      <w:pPr>
        <w:spacing w:after="0" w:line="1" w:lineRule="exact"/>
        <w:rPr>
          <w:sz w:val="20"/>
          <w:szCs w:val="20"/>
          <w:color w:val="auto"/>
        </w:rPr>
      </w:pPr>
    </w:p>
    <w:p>
      <w:pPr>
        <w:ind w:right="460"/>
        <w:spacing w:after="0" w:line="266" w:lineRule="auto"/>
        <w:rPr>
          <w:sz w:val="20"/>
          <w:szCs w:val="20"/>
          <w:color w:val="auto"/>
        </w:rPr>
      </w:pPr>
      <w:r>
        <w:rPr>
          <w:rFonts w:ascii="Arial" w:cs="Arial" w:eastAsia="Arial" w:hAnsi="Arial"/>
          <w:sz w:val="15"/>
          <w:szCs w:val="15"/>
          <w:color w:val="auto"/>
        </w:rPr>
        <w:t>restrictions. In addition, the ASU prohibits an entity from recognizing a contractual sale as a separate unit of account.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This guidance is effective in fiscal years beginning after</w:t>
      </w:r>
    </w:p>
    <w:p>
      <w:pPr>
        <w:ind w:right="20"/>
        <w:spacing w:after="0" w:line="223" w:lineRule="auto"/>
        <w:rPr>
          <w:sz w:val="20"/>
          <w:szCs w:val="20"/>
          <w:color w:val="auto"/>
        </w:rPr>
      </w:pPr>
      <w:r>
        <w:rPr>
          <w:rFonts w:ascii="Arial" w:cs="Arial" w:eastAsia="Arial" w:hAnsi="Arial"/>
          <w:sz w:val="17"/>
          <w:szCs w:val="17"/>
          <w:color w:val="auto"/>
        </w:rPr>
        <w:t>December 15, 2023, and interim periods within those fiscal years, with early adoption permitted.</w:t>
      </w:r>
    </w:p>
    <w:p>
      <w:pPr>
        <w:spacing w:after="0" w:line="292"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w:t>
      </w:r>
    </w:p>
    <w:p>
      <w:pPr>
        <w:spacing w:after="0" w:line="122"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ASU 2022-06 extended the period for which this guidance can be immediately applied through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380"/>
        <w:spacing w:after="0" w:line="245" w:lineRule="auto"/>
        <w:rPr>
          <w:sz w:val="20"/>
          <w:szCs w:val="20"/>
          <w:color w:val="auto"/>
        </w:rPr>
      </w:pPr>
      <w:r>
        <w:rPr>
          <w:rFonts w:ascii="Arial" w:cs="Arial" w:eastAsia="Arial" w:hAnsi="Arial"/>
          <w:sz w:val="16"/>
          <w:szCs w:val="16"/>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wp:posOffset>
            </wp:positionV>
            <wp:extent cx="2442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70"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adoption of this standard did not have an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adoption of this standard did not have an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assessing the impact of this ASU on OP units issued as consideration in future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We expect to apply some of the practical expedients, as we are in the process of transitioning the $55.1 million mortgage loan on Hoboken and the $38.2 million mortgage loan related to the unconsolidated Assembly Row hotel (of which our share is $19.1 million) from LIBOR to alternative interest rates. We do not expect a significant impact to our financial results, financial position, or cash flows from this transition.</w:t>
      </w:r>
    </w:p>
    <w:p>
      <w:pPr>
        <w:spacing w:after="0" w:line="1002" w:lineRule="exact"/>
        <w:rPr>
          <w:sz w:val="20"/>
          <w:szCs w:val="20"/>
          <w:color w:val="auto"/>
        </w:rPr>
      </w:pPr>
    </w:p>
    <w:p>
      <w:pPr>
        <w:sectPr>
          <w:pgSz w:w="11900" w:h="16838" w:orient="portrait"/>
          <w:cols w:equalWidth="0" w:num="3">
            <w:col w:w="2600" w:space="140"/>
            <w:col w:w="4520" w:space="160"/>
            <w:col w:w="3620"/>
          </w:cols>
          <w:pgMar w:left="320" w:top="126"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6" w:right="5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4"/>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Total interest costs incurred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155,659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150,324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159,718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capitalized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0" w:type="dxa"/>
            <w:vAlign w:val="bottom"/>
          </w:tcPr>
          <w:p>
            <w:pPr>
              <w:spacing w:after="0"/>
              <w:rPr>
                <w:sz w:val="1"/>
                <w:szCs w:val="1"/>
                <w:color w:val="auto"/>
              </w:rPr>
            </w:pPr>
          </w:p>
        </w:tc>
      </w:tr>
      <w:tr>
        <w:trPr>
          <w:trHeight w:val="223"/>
        </w:trPr>
        <w:tc>
          <w:tcPr>
            <w:tcW w:w="702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136,289</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130,912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3"/>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tcBorders>
              <w:top w:val="single" w:sz="8" w:color="CCEEFF"/>
            </w:tcBorders>
            <w:vMerge w:val="continue"/>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18,920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DownREIT operating partnership units redeemed for common shares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7,545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w w:val="93"/>
              </w:rPr>
              <w:t>5.417% Series 1 Cumulative Convertible Preferred Shares redeemed for common shares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0" w:right="540" w:hanging="252"/>
        <w:spacing w:after="0" w:line="277" w:lineRule="auto"/>
        <w:tabs>
          <w:tab w:leader="none" w:pos="2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our Annual Report on Form 10-K for the year ended December 31, 2020 for additional disclosures relating to the mortgages entered into and assumed as a result of the Hoboken acquisition.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3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85,558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162,132</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Property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Gross Leasable Area</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3"/>
        </w:trPr>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Acquired</w:t>
            </w:r>
          </w:p>
        </w:tc>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City/State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(GLA)</w:t>
            </w: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Purchase Price</w:t>
            </w:r>
          </w:p>
        </w:tc>
        <w:tc>
          <w:tcPr>
            <w:tcW w:w="380" w:type="dxa"/>
            <w:vAlign w:val="bottom"/>
          </w:tcPr>
          <w:p>
            <w:pPr>
              <w:spacing w:after="0"/>
              <w:rPr>
                <w:sz w:val="21"/>
                <w:szCs w:val="21"/>
                <w:color w:val="auto"/>
              </w:rPr>
            </w:pPr>
          </w:p>
        </w:tc>
      </w:tr>
      <w:tr>
        <w:trPr>
          <w:trHeight w:val="207"/>
        </w:trPr>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r>
      <w:tr>
        <w:trPr>
          <w:trHeight w:val="178"/>
        </w:trPr>
        <w:tc>
          <w:tcPr>
            <w:tcW w:w="19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April 20, 2022 &amp;</w:t>
            </w:r>
          </w:p>
        </w:tc>
        <w:tc>
          <w:tcPr>
            <w:tcW w:w="30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Towne Center</w:t>
            </w:r>
          </w:p>
        </w:tc>
        <w:tc>
          <w:tcPr>
            <w:tcW w:w="23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Virginia</w:t>
            </w:r>
          </w:p>
        </w:tc>
        <w:tc>
          <w:tcPr>
            <w:tcW w:w="192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200.0</w:t>
            </w:r>
          </w:p>
        </w:tc>
        <w:tc>
          <w:tcPr>
            <w:tcW w:w="380" w:type="dxa"/>
            <w:vAlign w:val="bottom"/>
            <w:shd w:val="clear" w:color="auto" w:fill="CCEEFF"/>
          </w:tcPr>
          <w:p>
            <w:pPr>
              <w:jc w:val="right"/>
              <w:ind w:right="70"/>
              <w:spacing w:after="0" w:line="178" w:lineRule="exact"/>
              <w:rPr>
                <w:sz w:val="20"/>
                <w:szCs w:val="20"/>
                <w:color w:val="auto"/>
              </w:rPr>
            </w:pPr>
            <w:r>
              <w:rPr>
                <w:rFonts w:ascii="Arial" w:cs="Arial" w:eastAsia="Arial" w:hAnsi="Arial"/>
                <w:sz w:val="18"/>
                <w:szCs w:val="18"/>
                <w:color w:val="auto"/>
                <w:w w:val="90"/>
              </w:rPr>
              <w:t>(1)</w:t>
            </w:r>
          </w:p>
        </w:tc>
      </w:tr>
      <w:tr>
        <w:trPr>
          <w:trHeight w:val="24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July 18, 2022</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Hilton Village (office building)</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920" w:type="dxa"/>
            <w:vAlign w:val="bottom"/>
          </w:tcPr>
          <w:p>
            <w:pPr>
              <w:jc w:val="right"/>
              <w:spacing w:after="0"/>
              <w:rPr>
                <w:sz w:val="20"/>
                <w:szCs w:val="20"/>
                <w:color w:val="auto"/>
              </w:rPr>
            </w:pPr>
            <w:r>
              <w:rPr>
                <w:rFonts w:ascii="Arial" w:cs="Arial" w:eastAsia="Arial" w:hAnsi="Arial"/>
                <w:sz w:val="18"/>
                <w:szCs w:val="18"/>
                <w:color w:val="auto"/>
              </w:rPr>
              <w:t>212,000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Shops at Pembroke Gardens</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Pembroke Pines, Florida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(3)</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November 18, 2022</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Hoboken (301 Washington St.)</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(4)</w:t>
            </w:r>
          </w:p>
        </w:tc>
      </w:tr>
    </w:tbl>
    <w:p>
      <w:pPr>
        <w:spacing w:after="0" w:line="160" w:lineRule="exact"/>
        <w:rPr>
          <w:sz w:val="20"/>
          <w:szCs w:val="20"/>
          <w:color w:val="auto"/>
        </w:rPr>
      </w:pPr>
    </w:p>
    <w:p>
      <w:pPr>
        <w:ind w:left="340" w:right="640" w:hanging="332"/>
        <w:spacing w:after="0" w:line="258" w:lineRule="auto"/>
        <w:tabs>
          <w:tab w:leader="none" w:pos="3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$11.3 million and $0.3 million of net assets were allocated to other assets for "acquired lease costs" and "above market leases," respectively, and $20.2 million of net assets acquired were allocated to other liabilities for "below market leases."</w:t>
      </w:r>
    </w:p>
    <w:p>
      <w:pPr>
        <w:spacing w:after="0" w:line="1" w:lineRule="exact"/>
        <w:rPr>
          <w:rFonts w:ascii="Arial" w:cs="Arial" w:eastAsia="Arial" w:hAnsi="Arial"/>
          <w:sz w:val="18"/>
          <w:szCs w:val="18"/>
          <w:color w:val="auto"/>
        </w:rPr>
      </w:pPr>
    </w:p>
    <w:p>
      <w:pPr>
        <w:ind w:left="340" w:right="220" w:hanging="332"/>
        <w:spacing w:after="0" w:line="273" w:lineRule="auto"/>
        <w:tabs>
          <w:tab w:leader="none" w:pos="33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right="560" w:hanging="332"/>
        <w:spacing w:after="0" w:line="281" w:lineRule="auto"/>
        <w:tabs>
          <w:tab w:leader="none" w:pos="334"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$16.3 million and $1.6 million of net assets acquired were allocated to other assets for "acquired lease costs" and "above market leases," respectively, and $18.4 million of net assets acquired were allocated to other liabilities for "below market leases."</w:t>
      </w:r>
    </w:p>
    <w:p>
      <w:pPr>
        <w:spacing w:after="0" w:line="1" w:lineRule="exact"/>
        <w:rPr>
          <w:rFonts w:ascii="Arial" w:cs="Arial" w:eastAsia="Arial" w:hAnsi="Arial"/>
          <w:sz w:val="17"/>
          <w:szCs w:val="17"/>
          <w:color w:val="auto"/>
        </w:rPr>
      </w:pPr>
    </w:p>
    <w:p>
      <w:pPr>
        <w:ind w:left="340" w:right="940" w:hanging="332"/>
        <w:spacing w:after="0" w:line="277" w:lineRule="auto"/>
        <w:tabs>
          <w:tab w:leader="none" w:pos="3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property, that we own a 90% ownership interest in, was acquired through our Hoboken joint venture, and is in the beginning stages of redevelopment.</w:t>
      </w:r>
    </w:p>
    <w:p>
      <w:pPr>
        <w:spacing w:after="0" w:line="2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October 6, 2022, we acquired a 47.5% net interest in an unconsolidated joint venture that owns two shopping centers for a combined price of $58.9 million. On the date of acquisition, the properties had combined mortgage debt of $76.1 million, of which, our share is approximately $36.2 million. Approximately $8.0 million and $2.0 million of net assets acquired were allocated to other assets for "acquired lease costs" and "above market leases," respectively, and $17.1 million of net assets acquired were allocated to other liabilities for "below market leases." Additional information on the properties is listed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Gross Leasable Area</w:t>
            </w:r>
          </w:p>
        </w:tc>
        <w:tc>
          <w:tcPr>
            <w:tcW w:w="240" w:type="dxa"/>
            <w:vAlign w:val="bottom"/>
          </w:tcPr>
          <w:p>
            <w:pPr>
              <w:spacing w:after="0"/>
              <w:rPr>
                <w:sz w:val="17"/>
                <w:szCs w:val="17"/>
                <w:color w:val="auto"/>
              </w:rPr>
            </w:pPr>
          </w:p>
        </w:tc>
        <w:tc>
          <w:tcPr>
            <w:tcW w:w="172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Purchase Price</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City/State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(GLA)</w:t>
            </w:r>
          </w:p>
        </w:tc>
        <w:tc>
          <w:tcPr>
            <w:tcW w:w="240" w:type="dxa"/>
            <w:vAlign w:val="bottom"/>
          </w:tcPr>
          <w:p>
            <w:pPr>
              <w:spacing w:after="0"/>
              <w:rPr>
                <w:sz w:val="21"/>
                <w:szCs w:val="21"/>
                <w:color w:val="auto"/>
              </w:rPr>
            </w:pPr>
          </w:p>
        </w:tc>
        <w:tc>
          <w:tcPr>
            <w:tcW w:w="1720" w:type="dxa"/>
            <w:vAlign w:val="bottom"/>
          </w:tcPr>
          <w:p>
            <w:pPr>
              <w:jc w:val="right"/>
              <w:ind w:right="472"/>
              <w:spacing w:after="0"/>
              <w:rPr>
                <w:sz w:val="20"/>
                <w:szCs w:val="20"/>
                <w:color w:val="auto"/>
              </w:rPr>
            </w:pPr>
            <w:r>
              <w:rPr>
                <w:rFonts w:ascii="Arial" w:cs="Arial" w:eastAsia="Arial" w:hAnsi="Arial"/>
                <w:sz w:val="18"/>
                <w:szCs w:val="18"/>
                <w:b w:val="1"/>
                <w:bCs w:val="1"/>
                <w:color w:val="auto"/>
              </w:rPr>
              <w:t>(our share)</w:t>
            </w:r>
          </w:p>
        </w:tc>
      </w:tr>
      <w:tr>
        <w:trPr>
          <w:trHeight w:val="207"/>
        </w:trPr>
        <w:tc>
          <w:tcPr>
            <w:tcW w:w="3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Chandler Festival</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Chandler, Arizona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Chandler Gateway</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Chandler, Arizona</w:t>
            </w:r>
          </w:p>
        </w:tc>
        <w:tc>
          <w:tcPr>
            <w:tcW w:w="1940" w:type="dxa"/>
            <w:vAlign w:val="bottom"/>
          </w:tcPr>
          <w:p>
            <w:pPr>
              <w:jc w:val="right"/>
              <w:spacing w:after="0"/>
              <w:rPr>
                <w:sz w:val="20"/>
                <w:szCs w:val="20"/>
                <w:color w:val="auto"/>
              </w:rPr>
            </w:pPr>
            <w:r>
              <w:rPr>
                <w:rFonts w:ascii="Arial" w:cs="Arial" w:eastAsia="Arial" w:hAnsi="Arial"/>
                <w:sz w:val="18"/>
                <w:szCs w:val="18"/>
                <w:color w:val="auto"/>
              </w:rPr>
              <w:t>262,000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Property Dispositions</w:t>
      </w:r>
    </w:p>
    <w:p>
      <w:pPr>
        <w:spacing w:after="0" w:line="10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year ended December 31, 2022, we sold two residential properties (one included an adjacent retail pad), one retail property, one parcel of land, and one portion of a property for sales prices totaling $136.2 million, resulting in net gains totaling approximately $84.1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w:t>
      </w:r>
    </w:p>
    <w:p>
      <w:pPr>
        <w:spacing w:after="0" w:line="10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The transaction is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December 31, 2022. As a part of this transaction, we made a $3.5 million loan to our co-owner, which is included in "accounts and notes receivable, net" on our consolidated balance sheet at December 31, 2022. In addition, we entered into a purchase option agreement to acquire the TIC interest from our co-owner, which was secured through an option payment of $1.5 million, and allows us to exercise our option at any time between February 1, 2023 and March 15,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Property Acquisitions</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this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Gross Leasable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43"/>
        </w:trPr>
        <w:tc>
          <w:tcPr>
            <w:tcW w:w="1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Acquired</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City/State</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Area (GLA)</w:t>
            </w: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Ownership %</w:t>
            </w:r>
          </w:p>
        </w:tc>
        <w:tc>
          <w:tcPr>
            <w:tcW w:w="14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b w:val="1"/>
                <w:bCs w:val="1"/>
                <w:color w:val="auto"/>
                <w:w w:val="89"/>
              </w:rPr>
              <w:t>Gross Value</w:t>
            </w:r>
          </w:p>
        </w:tc>
        <w:tc>
          <w:tcPr>
            <w:tcW w:w="380" w:type="dxa"/>
            <w:vAlign w:val="bottom"/>
          </w:tcPr>
          <w:p>
            <w:pPr>
              <w:spacing w:after="0"/>
              <w:rPr>
                <w:sz w:val="21"/>
                <w:szCs w:val="21"/>
                <w:color w:val="auto"/>
              </w:rPr>
            </w:pPr>
          </w:p>
        </w:tc>
      </w:tr>
      <w:tr>
        <w:trPr>
          <w:trHeight w:val="207"/>
        </w:trPr>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r>
      <w:tr>
        <w:trPr>
          <w:trHeight w:val="232"/>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Chesterbrook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McLean,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Grossmont Center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La Mesa, California</w:t>
            </w:r>
          </w:p>
        </w:tc>
        <w:tc>
          <w:tcPr>
            <w:tcW w:w="1440" w:type="dxa"/>
            <w:vAlign w:val="bottom"/>
          </w:tcPr>
          <w:p>
            <w:pPr>
              <w:jc w:val="right"/>
              <w:spacing w:after="0"/>
              <w:rPr>
                <w:sz w:val="20"/>
                <w:szCs w:val="20"/>
                <w:color w:val="auto"/>
              </w:rPr>
            </w:pPr>
            <w:r>
              <w:rPr>
                <w:rFonts w:ascii="Arial" w:cs="Arial" w:eastAsia="Arial" w:hAnsi="Arial"/>
                <w:sz w:val="18"/>
                <w:szCs w:val="18"/>
                <w:color w:val="auto"/>
              </w:rPr>
              <w:t>933,000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Camelback Colonnade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Hilton Village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440" w:type="dxa"/>
            <w:vAlign w:val="bottom"/>
          </w:tcPr>
          <w:p>
            <w:pPr>
              <w:jc w:val="right"/>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(5)</w:t>
            </w: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Twinbrooke Shopping Centre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(6)</w:t>
            </w:r>
          </w:p>
        </w:tc>
      </w:tr>
    </w:tbl>
    <w:p>
      <w:pPr>
        <w:spacing w:after="0" w:line="67" w:lineRule="exact"/>
        <w:rPr>
          <w:sz w:val="20"/>
          <w:szCs w:val="20"/>
          <w:color w:val="auto"/>
        </w:rPr>
      </w:pPr>
    </w:p>
    <w:p>
      <w:pPr>
        <w:ind w:left="340" w:right="220" w:hanging="332"/>
        <w:spacing w:after="0" w:line="258"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1" w:lineRule="exact"/>
        <w:rPr>
          <w:rFonts w:ascii="Arial" w:cs="Arial" w:eastAsia="Arial" w:hAnsi="Arial"/>
          <w:sz w:val="18"/>
          <w:szCs w:val="18"/>
          <w:color w:val="auto"/>
        </w:rPr>
      </w:pPr>
    </w:p>
    <w:p>
      <w:pPr>
        <w:ind w:left="340" w:right="60" w:hanging="332"/>
        <w:spacing w:after="0" w:line="257"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spacing w:after="0" w:line="1" w:lineRule="exact"/>
        <w:rPr>
          <w:rFonts w:ascii="Arial" w:cs="Arial" w:eastAsia="Arial" w:hAnsi="Arial"/>
          <w:sz w:val="18"/>
          <w:szCs w:val="18"/>
          <w:color w:val="auto"/>
        </w:rPr>
      </w:pPr>
    </w:p>
    <w:p>
      <w:pPr>
        <w:ind w:left="340" w:right="560" w:hanging="332"/>
        <w:spacing w:after="0" w:line="274" w:lineRule="auto"/>
        <w:tabs>
          <w:tab w:leader="none" w:pos="334"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ind w:left="340" w:right="200" w:hanging="332"/>
        <w:spacing w:after="0" w:line="258"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$11.6 million of net assets acquired were allocated to other assets for "acquired lease costs" and $28.3 million were allocated to other liabilities for "below market leases."</w:t>
      </w:r>
    </w:p>
    <w:p>
      <w:pPr>
        <w:ind w:left="340" w:right="40" w:hanging="332"/>
        <w:spacing w:after="0" w:line="258"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 for "acquired lease costs" and "above market leases," respectively, and $3.6 million were allocated to other liabilities for "below market leases."</w:t>
      </w:r>
    </w:p>
    <w:p>
      <w:pPr>
        <w:ind w:left="340" w:right="60" w:hanging="332"/>
        <w:spacing w:after="0" w:line="277"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$1.2 million and $0.3 million of net assets acquired were allocated to other assets for "acquired lease costs" and "above market leases," respectively, and $2.7 million of net assets acquired were allocated to other liabilities for "below market leases."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Property Dispositions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year ended December 31, 2021, we sold two properties and a portion of three properties for a total sales price of $141.6 million, which resulted in a net gain of $88.3 million.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4—ACQUIRED LEASES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Acquired lease assets comprise of above market leases where we are the lessor and below market leases where we are the lessee. Acquired lease liabilities comprise of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2022</w:t>
            </w:r>
          </w:p>
        </w:tc>
        <w:tc>
          <w:tcPr>
            <w:tcW w:w="520" w:type="dxa"/>
            <w:vAlign w:val="bottom"/>
          </w:tcPr>
          <w:p>
            <w:pPr>
              <w:spacing w:after="0"/>
              <w:rPr>
                <w:sz w:val="16"/>
                <w:szCs w:val="16"/>
                <w:color w:val="auto"/>
              </w:rPr>
            </w:pPr>
          </w:p>
        </w:tc>
        <w:tc>
          <w:tcPr>
            <w:tcW w:w="282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36"/>
              <w:spacing w:after="0" w:line="13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95"/>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Amortization</w:t>
            </w:r>
          </w:p>
        </w:tc>
        <w:tc>
          <w:tcPr>
            <w:tcW w:w="5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market leases, lessor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Below market leases, lessee</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market leases, lessor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Above market leases, lessee</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2"/>
          </w:tcPr>
          <w:p>
            <w:pPr>
              <w:ind w:left="660"/>
              <w:spacing w:after="0"/>
              <w:rPr>
                <w:sz w:val="20"/>
                <w:szCs w:val="20"/>
                <w:color w:val="auto"/>
              </w:rPr>
            </w:pPr>
            <w:r>
              <w:rPr>
                <w:rFonts w:ascii="Arial" w:cs="Arial" w:eastAsia="Arial" w:hAnsi="Arial"/>
                <w:sz w:val="18"/>
                <w:szCs w:val="18"/>
                <w:color w:val="auto"/>
              </w:rPr>
              <w:t>F-26</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
        </w:trPr>
        <w:tc>
          <w:tcPr>
            <w:tcW w:w="5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5480" w:type="dxa"/>
            <w:vAlign w:val="bottom"/>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r>
      <w:tr>
        <w:trPr>
          <w:trHeight w:val="194"/>
        </w:trPr>
        <w:tc>
          <w:tcPr>
            <w:tcW w:w="5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above market leases, lessor</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below market leases, lessor</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8,406</w:t>
            </w:r>
          </w:p>
        </w:tc>
      </w:tr>
      <w:tr>
        <w:trPr>
          <w:trHeight w:val="24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in rental income</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below market leases, lessee</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above market leases, lessee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r>
      <w:tr>
        <w:trPr>
          <w:trHeight w:val="24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in rental expense</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remaining weighted average amortization period for our acquired lease assets and acquired lease liabilities: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4"/>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market leases, lessor</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years</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Below market leases, lessee</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36.6 years</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market leases, lessor</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 years</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Above market leases, lessee</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19.1 years</w:t>
            </w:r>
          </w:p>
        </w:tc>
      </w:tr>
      <w:tr>
        <w:trPr>
          <w:trHeight w:val="377"/>
        </w:trPr>
        <w:tc>
          <w:tcPr>
            <w:tcW w:w="9340" w:type="dxa"/>
            <w:vAlign w:val="bottom"/>
            <w:gridSpan w:val="4"/>
          </w:tcPr>
          <w:p>
            <w:pPr>
              <w:spacing w:after="0"/>
              <w:rPr>
                <w:sz w:val="20"/>
                <w:szCs w:val="20"/>
                <w:color w:val="auto"/>
              </w:rPr>
            </w:pPr>
            <w:r>
              <w:rPr>
                <w:rFonts w:ascii="Arial" w:cs="Arial" w:eastAsia="Arial" w:hAnsi="Arial"/>
                <w:sz w:val="18"/>
                <w:szCs w:val="18"/>
                <w:color w:val="auto"/>
                <w:w w:val="90"/>
              </w:rPr>
              <w:t>The amortization for acquired leases during the next five years and thereafter, assuming no early lease terminations, is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7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Acquired Lease Assets</w:t>
            </w:r>
          </w:p>
        </w:tc>
        <w:tc>
          <w:tcPr>
            <w:tcW w:w="60" w:type="dxa"/>
            <w:vAlign w:val="bottom"/>
          </w:tcPr>
          <w:p>
            <w:pPr>
              <w:spacing w:after="0"/>
              <w:rPr>
                <w:sz w:val="24"/>
                <w:szCs w:val="2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Acquired Lease Liabilities</w:t>
            </w:r>
          </w:p>
        </w:tc>
      </w:tr>
      <w:tr>
        <w:trPr>
          <w:trHeight w:val="25"/>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gridSpan w:val="6"/>
          </w:tcPr>
          <w:p>
            <w:pPr>
              <w:spacing w:after="0"/>
              <w:rPr>
                <w:sz w:val="2"/>
                <w:szCs w:val="2"/>
                <w:color w:val="auto"/>
              </w:rPr>
            </w:pPr>
          </w:p>
        </w:tc>
      </w:tr>
      <w:tr>
        <w:trPr>
          <w:trHeight w:val="188"/>
        </w:trPr>
        <w:tc>
          <w:tcPr>
            <w:tcW w:w="7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gridSpan w:val="5"/>
          </w:tcPr>
          <w:p>
            <w:pPr>
              <w:jc w:val="right"/>
              <w:ind w:right="1312"/>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r>
      <w:tr>
        <w:trPr>
          <w:trHeight w:val="238"/>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3,869</w:t>
            </w:r>
          </w:p>
        </w:tc>
        <w:tc>
          <w:tcPr>
            <w:tcW w:w="60" w:type="dxa"/>
            <w:vAlign w:val="bottom"/>
          </w:tcPr>
          <w:p>
            <w:pPr>
              <w:spacing w:after="0"/>
              <w:rPr>
                <w:sz w:val="19"/>
                <w:szCs w:val="19"/>
                <w:color w:val="auto"/>
              </w:rPr>
            </w:pPr>
          </w:p>
        </w:tc>
        <w:tc>
          <w:tcPr>
            <w:tcW w:w="2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15,555</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2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11,507</w:t>
            </w:r>
          </w:p>
        </w:tc>
        <w:tc>
          <w:tcPr>
            <w:tcW w:w="20" w:type="dxa"/>
            <w:vAlign w:val="bottom"/>
          </w:tcPr>
          <w:p>
            <w:pPr>
              <w:spacing w:after="0"/>
              <w:rPr>
                <w:sz w:val="19"/>
                <w:szCs w:val="19"/>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2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10,601</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120,098</w:t>
            </w:r>
          </w:p>
        </w:tc>
        <w:tc>
          <w:tcPr>
            <w:tcW w:w="20" w:type="dxa"/>
            <w:vAlign w:val="bottom"/>
          </w:tcPr>
          <w:p>
            <w:pPr>
              <w:spacing w:after="0"/>
              <w:rPr>
                <w:sz w:val="19"/>
                <w:szCs w:val="19"/>
                <w:color w:val="auto"/>
              </w:rPr>
            </w:pPr>
          </w:p>
        </w:tc>
      </w:tr>
      <w:tr>
        <w:trPr>
          <w:trHeight w:val="223"/>
        </w:trPr>
        <w:tc>
          <w:tcPr>
            <w:tcW w:w="7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183,840</w:t>
            </w:r>
          </w:p>
        </w:tc>
        <w:tc>
          <w:tcPr>
            <w:tcW w:w="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2022 and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Principal Balance as of December 31,</w:t>
            </w: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60" w:type="dxa"/>
            <w:vAlign w:val="bottom"/>
          </w:tcPr>
          <w:p>
            <w:pPr>
              <w:jc w:val="right"/>
              <w:ind w:right="40"/>
              <w:spacing w:after="0"/>
              <w:rPr>
                <w:sz w:val="20"/>
                <w:szCs w:val="20"/>
                <w:color w:val="auto"/>
              </w:rPr>
            </w:pPr>
            <w:r>
              <w:rPr>
                <w:rFonts w:ascii="Arial" w:cs="Arial" w:eastAsia="Arial" w:hAnsi="Arial"/>
                <w:sz w:val="14"/>
                <w:szCs w:val="14"/>
                <w:b w:val="1"/>
                <w:bCs w:val="1"/>
                <w:color w:val="auto"/>
              </w:rPr>
              <w:t>Stated Maturity Date as of</w:t>
            </w:r>
          </w:p>
        </w:tc>
        <w:tc>
          <w:tcPr>
            <w:tcW w:w="0" w:type="dxa"/>
            <w:vAlign w:val="bottom"/>
          </w:tcPr>
          <w:p>
            <w:pPr>
              <w:spacing w:after="0"/>
              <w:rPr>
                <w:sz w:val="1"/>
                <w:szCs w:val="1"/>
                <w:color w:val="auto"/>
              </w:rPr>
            </w:pPr>
          </w:p>
        </w:tc>
      </w:tr>
      <w:tr>
        <w:trPr>
          <w:trHeight w:val="26"/>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18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0"/>
        </w:trPr>
        <w:tc>
          <w:tcPr>
            <w:tcW w:w="5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gridSpan w:val="4"/>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Azalea</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Plaza El Segundo</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3.83 %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Brook 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4.65 %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Hoboken (24 Buildings) (1)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+ 1.95%</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Various Hoboken (14 Buildings)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31,817</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Various (2)</w:t>
            </w:r>
          </w:p>
        </w:tc>
        <w:tc>
          <w:tcPr>
            <w:tcW w:w="1860" w:type="dxa"/>
            <w:vAlign w:val="bottom"/>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Hoboken (1 Building)</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16,234</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3"/>
        </w:trPr>
        <w:tc>
          <w:tcPr>
            <w:tcW w:w="5120" w:type="dxa"/>
            <w:vAlign w:val="bottom"/>
            <w:tcBorders>
              <w:top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322,317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341,579</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Net unamortized debt issuance costs and premium</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mortgages payable, net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320,615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339,993</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Notes payable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Term Loan (3)(5)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SOFR + 0.85%</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16, 2024</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Revolving credit facility (3)(4)(5)</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SOFR + 0.775%</w:t>
            </w:r>
          </w:p>
        </w:tc>
        <w:tc>
          <w:tcPr>
            <w:tcW w:w="1860" w:type="dxa"/>
            <w:vAlign w:val="bottom"/>
          </w:tcPr>
          <w:p>
            <w:pPr>
              <w:jc w:val="right"/>
              <w:spacing w:after="0"/>
              <w:rPr>
                <w:sz w:val="20"/>
                <w:szCs w:val="20"/>
                <w:color w:val="auto"/>
              </w:rPr>
            </w:pPr>
            <w:r>
              <w:rPr>
                <w:rFonts w:ascii="Arial" w:cs="Arial" w:eastAsia="Arial" w:hAnsi="Arial"/>
                <w:sz w:val="16"/>
                <w:szCs w:val="16"/>
                <w:color w:val="auto"/>
              </w:rPr>
              <w:t>April 5, 2027</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 (6)</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 2059</w:t>
            </w:r>
          </w:p>
        </w:tc>
        <w:tc>
          <w:tcPr>
            <w:tcW w:w="0" w:type="dxa"/>
            <w:vAlign w:val="bottom"/>
          </w:tcPr>
          <w:p>
            <w:pPr>
              <w:spacing w:after="0"/>
              <w:rPr>
                <w:sz w:val="1"/>
                <w:szCs w:val="1"/>
                <w:color w:val="auto"/>
              </w:rPr>
            </w:pPr>
          </w:p>
        </w:tc>
      </w:tr>
      <w:tr>
        <w:trPr>
          <w:trHeight w:val="207"/>
        </w:trPr>
        <w:tc>
          <w:tcPr>
            <w:tcW w:w="51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602,957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302,635</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notes payable, net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301,466</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2.75%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1.25%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3.25%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3.20%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3.50%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4.50%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3.625 %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07"/>
        </w:trPr>
        <w:tc>
          <w:tcPr>
            <w:tcW w:w="51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3,419,200</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debt issuance costs and premium</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senior notes and debentures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3,407,701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3,406,088</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4,329,393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4,047,547</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5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the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00" w:hanging="652"/>
        <w:spacing w:after="0" w:line="277"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revolving credit facility SOFR loans bear interest at Daily Simple SOFR or Term SOFR as defined in the credit agreement and our term loan bears interest at Term SOFR, plus 0.10%, plus a spread, based on our current credit rating.</w:t>
      </w:r>
    </w:p>
    <w:p>
      <w:pPr>
        <w:spacing w:after="0" w:line="8" w:lineRule="exact"/>
        <w:rPr>
          <w:rFonts w:ascii="Arial" w:cs="Arial" w:eastAsia="Arial" w:hAnsi="Arial"/>
          <w:sz w:val="18"/>
          <w:szCs w:val="18"/>
          <w:color w:val="auto"/>
        </w:rPr>
      </w:pPr>
    </w:p>
    <w:p>
      <w:pPr>
        <w:ind w:left="660" w:right="160" w:hanging="652"/>
        <w:spacing w:after="0" w:line="277"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year ended December 31, 2022 was $330.0 million and the weighted average interest rate on borrowings under our revolving credit facility, before amortization of debt fees, was 3.2%.</w:t>
      </w:r>
    </w:p>
    <w:p>
      <w:pPr>
        <w:spacing w:after="0" w:line="8" w:lineRule="exact"/>
        <w:rPr>
          <w:rFonts w:ascii="Arial" w:cs="Arial" w:eastAsia="Arial" w:hAnsi="Arial"/>
          <w:sz w:val="18"/>
          <w:szCs w:val="18"/>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Operating Partnership is the obligor under our revolving credit facility, term loan, and senior notes and debentures.</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interest rates on these notes payable range from 3.00% to 11.31%.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On June 29, 2022, we repaid the $16.1 million mortgage loan on one of the buildings at our Hoboken property, at par.</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October 5, 2022, we amended our revolving credit facility, increasing the borrowing capacity from $1.0 billion to $1.25 billion, extending the maturity date to April 5, 2027, plus two six-month extension options, transitioning the interest rate provisions from LIBOR to the secured overnight financing rate ("SOFR"), and adjusting the spread for SOFR based loans. Our SOFR based loans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w:t>
      </w:r>
    </w:p>
    <w:p>
      <w:pPr>
        <w:spacing w:after="0" w:line="12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2022, 2021 and 2020, the maximum amount of borrowings outstanding under our revolving credit facility was $330.0 million, $150.0 million and $990.0 million, respectively. The weighted average amount of borrowings outstanding was $80.3 million, $19.6 million and $138.5 million, respectively, and the weighted average interest rate, before amortization of debt fees, was 3.2%, 0.9% and 1.5%, respectively. The revolving credit facility requires an annual facility fee which is $1.9 million under the amended credit agreement. At December 31, 2022 and December 31, 2021, our revolving credit facility had no balance outstanding.</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5, 2022, we also amended our unsecured term loan and borrowed an additional $300.0 million, bringing the total outstanding to $600.0 million. The term loan amendment also transitioned the interest rate provisions from LIBOR to SOFR. This SOFR based loan bears interest at Term SOFR as defined in the agreement, plus 0.10%, plus a 85 basis point spread, based on our current credit rating. The net proceeds from the term loan after underwriting fees and other costs were $298.5 million, and were used to repay the $267.0 million outstanding balance on the revolving credit facility and for general corporate purposes.</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December 31, 2022, we were in compliance with all default related debt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2022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Mortgages</w:t>
            </w:r>
          </w:p>
        </w:tc>
        <w:tc>
          <w:tcPr>
            <w:tcW w:w="28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Notes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Senior Notes and</w:t>
            </w:r>
          </w:p>
        </w:tc>
        <w:tc>
          <w:tcPr>
            <w:tcW w:w="260" w:type="dxa"/>
            <w:vAlign w:val="bottom"/>
          </w:tcPr>
          <w:p>
            <w:pPr>
              <w:spacing w:after="0"/>
              <w:rPr>
                <w:sz w:val="14"/>
                <w:szCs w:val="14"/>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r>
      <w:tr>
        <w:trPr>
          <w:trHeight w:val="196"/>
        </w:trPr>
        <w:tc>
          <w:tcPr>
            <w:tcW w:w="3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980"/>
              <w:spacing w:after="0"/>
              <w:rPr>
                <w:sz w:val="20"/>
                <w:szCs w:val="20"/>
                <w:color w:val="auto"/>
              </w:rPr>
            </w:pPr>
            <w:r>
              <w:rPr>
                <w:rFonts w:ascii="Arial" w:cs="Arial" w:eastAsia="Arial" w:hAnsi="Arial"/>
                <w:sz w:val="14"/>
                <w:szCs w:val="14"/>
                <w:b w:val="1"/>
                <w:bCs w:val="1"/>
                <w:color w:val="auto"/>
                <w:w w:val="94"/>
              </w:rPr>
              <w:t>Payable</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Payable</w:t>
            </w: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Debentures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Principal</w:t>
            </w:r>
          </w:p>
        </w:tc>
        <w:tc>
          <w:tcPr>
            <w:tcW w:w="520" w:type="dxa"/>
            <w:vAlign w:val="bottom"/>
          </w:tcPr>
          <w:p>
            <w:pPr>
              <w:spacing w:after="0"/>
              <w:rPr>
                <w:sz w:val="17"/>
                <w:szCs w:val="17"/>
                <w:color w:val="auto"/>
              </w:rPr>
            </w:pPr>
          </w:p>
        </w:tc>
      </w:tr>
      <w:tr>
        <w:trPr>
          <w:trHeight w:val="194"/>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8"/>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3,138</w:t>
            </w:r>
          </w:p>
        </w:tc>
        <w:tc>
          <w:tcPr>
            <w:tcW w:w="7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278,893</w:t>
            </w:r>
          </w:p>
        </w:tc>
        <w:tc>
          <w:tcPr>
            <w:tcW w:w="520" w:type="dxa"/>
            <w:vAlign w:val="bottom"/>
          </w:tcPr>
          <w:p>
            <w:pPr>
              <w:spacing w:after="0"/>
              <w:rPr>
                <w:sz w:val="19"/>
                <w:szCs w:val="19"/>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600,671</w:t>
            </w:r>
          </w:p>
        </w:tc>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0"/>
              </w:rPr>
              <w:t>(1)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1,203,970</w:t>
            </w:r>
          </w:p>
        </w:tc>
        <w:tc>
          <w:tcPr>
            <w:tcW w:w="520" w:type="dxa"/>
            <w:vAlign w:val="bottom"/>
            <w:shd w:val="clear" w:color="auto" w:fill="CCEEFF"/>
          </w:tcPr>
          <w:p>
            <w:pPr>
              <w:spacing w:after="0"/>
              <w:rPr>
                <w:sz w:val="19"/>
                <w:szCs w:val="19"/>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47,630</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48,048</w:t>
            </w:r>
          </w:p>
        </w:tc>
        <w:tc>
          <w:tcPr>
            <w:tcW w:w="520" w:type="dxa"/>
            <w:vAlign w:val="bottom"/>
          </w:tcPr>
          <w:p>
            <w:pPr>
              <w:spacing w:after="0"/>
              <w:rPr>
                <w:sz w:val="19"/>
                <w:szCs w:val="19"/>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26,240</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455,516</w:t>
            </w:r>
          </w:p>
        </w:tc>
        <w:tc>
          <w:tcPr>
            <w:tcW w:w="520" w:type="dxa"/>
            <w:vAlign w:val="bottom"/>
            <w:shd w:val="clear" w:color="auto" w:fill="CCEEFF"/>
          </w:tcPr>
          <w:p>
            <w:pPr>
              <w:spacing w:after="0"/>
              <w:rPr>
                <w:sz w:val="19"/>
                <w:szCs w:val="19"/>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178,278</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693,315</w:t>
            </w:r>
          </w:p>
        </w:tc>
        <w:tc>
          <w:tcPr>
            <w:tcW w:w="520" w:type="dxa"/>
            <w:vAlign w:val="bottom"/>
          </w:tcPr>
          <w:p>
            <w:pPr>
              <w:spacing w:after="0"/>
              <w:rPr>
                <w:sz w:val="19"/>
                <w:szCs w:val="19"/>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63,732</w:t>
            </w:r>
          </w:p>
        </w:tc>
        <w:tc>
          <w:tcPr>
            <w:tcW w:w="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1,664,732</w:t>
            </w:r>
          </w:p>
        </w:tc>
        <w:tc>
          <w:tcPr>
            <w:tcW w:w="52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322,317</w:t>
            </w: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602,957</w:t>
            </w:r>
          </w:p>
        </w:tc>
        <w:tc>
          <w:tcPr>
            <w:tcW w:w="7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3,419,200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4,344,474</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$600.0 million term loan matures on April 16, 2024 plus two one-year extensions, at our option.</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$1.25 billion revolving credit facility matures on April 5, 2027 plus two six-month extensions, at our option. As of December 31, 2022, there was no balance outstanding under this credit facility.</w:t>
      </w:r>
    </w:p>
    <w:p>
      <w:pPr>
        <w:ind w:left="660" w:right="580" w:hanging="328"/>
        <w:spacing w:after="0" w:line="260" w:lineRule="auto"/>
        <w:tabs>
          <w:tab w:leader="none" w:pos="6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debt issuance costs and premium/discount on mortgage loans, notes payable, and senior notes as of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1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89" w:lineRule="exact"/>
        <w:rPr>
          <w:sz w:val="20"/>
          <w:szCs w:val="20"/>
          <w:color w:val="auto"/>
        </w:rPr>
      </w:pPr>
    </w:p>
    <w:p>
      <w:pPr>
        <w:ind w:left="620" w:hanging="594"/>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71" w:lineRule="exact"/>
        <w:rPr>
          <w:rFonts w:ascii="Arial" w:cs="Arial" w:eastAsia="Arial" w:hAnsi="Arial"/>
          <w:sz w:val="18"/>
          <w:szCs w:val="18"/>
          <w:color w:val="auto"/>
        </w:rPr>
      </w:pPr>
    </w:p>
    <w:p>
      <w:pPr>
        <w:ind w:left="620" w:hanging="594"/>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right="2940" w:hanging="594"/>
        <w:spacing w:after="0" w:line="235"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08"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41"/>
              <w:spacing w:after="0" w:line="160"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60"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 and notes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921,692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641,459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655,864</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3,407,701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3,048,456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3,406,088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3,649,776</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2022, we have two interest rate swap agreements with notional amounts of $55.1 million that are measured at fair value on a recurring basis. The interest rate swap agreements fix the interest rate on $55.1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2022 was an asset of $6.1 million and is included in "prepaid expenses and other assets" on our consolidated balance sheet. During 2022, the value of our interest rate swaps increased $7.7 million (including less than $0.1 million reclassified from other comprehensive income as an increase to interest expense). A summary of our financial assets (liabilities) that are measured at fair value on a recurring basis, by level within the fair value hierarchy is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December 31, 2022</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2021</w:t>
            </w:r>
          </w:p>
        </w:tc>
        <w:tc>
          <w:tcPr>
            <w:tcW w:w="820" w:type="dxa"/>
            <w:vAlign w:val="bottom"/>
          </w:tcPr>
          <w:p>
            <w:pPr>
              <w:spacing w:after="0"/>
              <w:rPr>
                <w:sz w:val="16"/>
                <w:szCs w:val="16"/>
                <w:color w:val="auto"/>
              </w:rPr>
            </w:pPr>
          </w:p>
        </w:tc>
      </w:tr>
      <w:tr>
        <w:trPr>
          <w:trHeight w:val="25"/>
        </w:trPr>
        <w:tc>
          <w:tcPr>
            <w:tcW w:w="27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194"/>
        </w:trPr>
        <w:tc>
          <w:tcPr>
            <w:tcW w:w="2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6,144</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6,144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bl>
    <w:p>
      <w:pPr>
        <w:spacing w:after="0" w:line="17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One of our equity method investees has two interest rate swaps which qualify as cash flow hedges. At December 31, 2022 and December 31, 2021, our share of the change in fair value of the related swaps included in "accumulated other comprehensive income (loss)" was an increase of $0.9 million and $0.7 million,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self-insured for general liability costs up to predetermined retained amounts per claim, and we believe that we maintain adequate accruals to cover our retained liability. We currently do not maintain third party stop-loss insurance policies to cover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3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December 31, 2022 and 2021, our reserves for general liability costs were $3.3 million and $5.2 million, respectively, and are included in “accounts payable and accrued expenses” in our consolidated balance sheets. Any potential losses which exceed our estimates would result in a decrease in our net income. During 2022 and 2021, we made payments from these reserves of $2.3 million and $1.5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July 13, 2022, we acquired the 21.8% redeemable noncontrolling interest in the partnership that owns our Plaza El Segundo shopping center for $23.6 million, bringing our ownership interest to 100%.</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11, 2019, we received proceeds related to the sale under the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During 2022, we recorded a net reduction to our liability for condemnation and transaction costs to reflect the impact of a recent tenant settlement agreement and our current estimate of remaining costs. As a result, for the year ended December 31, 2022, we have recognized a gain of $9.3 million, which is included in our consolidated statements of operations. Additionally, during 2022, we incurred $18.0 million of payments to tenants, and consequently, at December 31, 2022, we have a liability of $5.0 million to reflect our estimate of the remaining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had letters of credit outstanding of approximately $6.7 million.</w:t>
      </w:r>
    </w:p>
    <w:p>
      <w:pPr>
        <w:spacing w:after="0" w:line="17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of December 31, 2022 in connection with capital improvement, development, and redevelopment projects, we have contractual obligations of approximately $262.1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operating lease agreements on several shopping centers and one office lease requiring minimum annual payments as follows,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r>
      <w:tr>
        <w:trPr>
          <w:trHeight w:val="25"/>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5,775</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5,815</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5,037</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198,973</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227,000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(149,257)</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77,743</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properties under finance leases as of December 31, 2022, are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59,713</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68,676</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future minimum finance lease payments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131,276</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(63,616)</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67,660</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During 2022, we exercised our option to purchase the fee interest, which is expected to close in the second half of 2023.</w:t>
      </w:r>
    </w:p>
    <w:p>
      <w:pPr>
        <w:spacing w:after="0" w:line="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2022, our estimated maximum liability upon exercise of the put option would range from approximately $62 million to $65 million.</w:t>
      </w:r>
    </w:p>
    <w:p>
      <w:pPr>
        <w:spacing w:after="0" w:line="5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master lease for Melville Mall, as amended on October 14, 2021, includes a fixed price put option at any time prior to June 30, 2025, requiring us to purchase Melville Mall for approximately $3.6 million. Additionally, we have the right to purchase Melville Mall in 2026 for approximately $3.6 million. The consideration is net of a contract amendment fee to be paid by the landlord.</w:t>
      </w:r>
    </w:p>
    <w:p>
      <w:pPr>
        <w:spacing w:after="0" w:line="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2022, our estimated maximum liability upon exercise of the put option would range from $6 million to $7 million.</w:t>
      </w:r>
    </w:p>
    <w:p>
      <w:pPr>
        <w:spacing w:after="0" w:line="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September 18, 2023, the other member in Hoboken has the right to require us to purchase all of its 10.0% ownership interest at the interest's then-current fair market value. Based on management's current estimate of fair market value as of December 31, 2022, our estimated maximum liability upon exercise of the put option would range from $8 million to $9 million.</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2022, our estimated maximum liability upon exercise of the put option would range from $4 million to $5 million.</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2022, our estimated maximum liability upon exercise of the put option would range from $1 million and $2 million.</w:t>
      </w:r>
    </w:p>
    <w:p>
      <w:pPr>
        <w:spacing w:after="0" w:line="4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Effective June 1, 2029, the other member in Grossmont Center has the right to require us to purchase all of its 40.0% ownership interest at the interest's then-current fair market value. Based on management's current estimate of fair value as of December 31, 2022, our estimated maximum liability upon exercise of the put option would range from $68 million to $73 million.</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644,554 downREIT operating partnership units are outstanding which have a total fair value of $65.1 million, based on our closing stock price on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2022, 2021 and 2020, 19,502 shares, 19,758 shares, and 24,491 shares, respectively, were issued under the Plan.</w:t>
      </w:r>
    </w:p>
    <w:p>
      <w:pPr>
        <w:spacing w:after="0" w:line="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2022, 2021, and 2020, we had 6,000,000 Depositary Shares outstanding, each representing 1/1000th interest of 5.0% Series C Cumulative Redeemable Preferred Share, par value $0.01 per share ("Series C Preferred Shares"), at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liquidation preference of $25.00 per depositary share (or $25,000 per Series C Preferred share). The Series C Preferred Shares accrue dividends at a rate of 5.0% of the $25,000 liquidation preference per year and are redeemable at our option. Additionally, they are not convertible and holders of these shares generally have no voting rights, unless we fail to pay dividends for six or more quarters.</w:t>
      </w:r>
    </w:p>
    <w:p>
      <w:pPr>
        <w:spacing w:after="0" w:line="10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As of December 31, 2022, we had 392,878 shares of 5.417% Series 1 Cumulative Convertible Preferred Shares (“Series 1 Preferred Shares”) outstanding that have a liquidation preference of $25 per share and par value $0.01 per share, and 399,896 shares at December 31, 2021 and 2020. The Series 1 Preferred Shares accrue dividends at a rate of 5.417% per year and are convertible at any time by the holders to our common shares at a conversion rate of $104.69 per share. On June 15, 2022, one of our Series 1 Preferred shareholders converted 7,018 preferred shares to 1,675 common shares. The Series 1 Preferred Shares are also convertible under certain circumstances at our election. The holders of the Series 1 Preferred Shares have no voting rights.</w:t>
      </w:r>
    </w:p>
    <w:p>
      <w:pPr>
        <w:spacing w:after="0" w:line="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14, 2022, we replaced our existing at-the-market (“ATM”) equity program with a new ATM equity program in which we may from time to time offer and sell common shares having an aggregate offering price of up to $500.0 million. Our ATM equity program also allows shares to be sold through forward sales contracts. We intend to use the net proceeds from ATM equity program issuances to fund potential acquisition opportunities, fund our development and redevelopment pipeline, repay indebtedness and/or for general corporate purposes.</w:t>
      </w:r>
    </w:p>
    <w:p>
      <w:pPr>
        <w:spacing w:after="0" w:line="6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For the year ended December 31, 2022, we issued 430,473 common shares at a weighted average price per share of $111.49 for net cash proceeds of $47.4 million including paying $0.5 million in commissions and $0.1 million in additional offering expenses related to the sales of these common shares. For the year ended December 31, 2021, we issued 847,471 common shares at a weighted average price per share of $104.19 for net cash proceeds of $87.0 million and paid $0.9 million in commissions and $0.4 million in additional offering expenses related to the sales of these common shares. As of December 31, 2022, we have the remaining capacity to issue up to $452.0 million in common shares under our ATM equity program.</w:t>
      </w:r>
    </w:p>
    <w:p>
      <w:pPr>
        <w:spacing w:after="0" w:line="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2021, we entered into forward sales contracts for 2,999,955 common shares under our ATM equity program at a weighted average offering price of $120.22. During 2021, we settled a portion of these forward sales agreements by issuing 796,300 common shares for net proceeds of $85.7 million and during 2022, we settled the remaining forward sales contracts by issuing 2,203,655 common shares for net proceeds of $259.4 million. We have no outstanding forward sales agreements as of December 31, 2022.</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9—DIVIDENDS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7"/>
                <w:szCs w:val="17"/>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bl>
    <w:p>
      <w:pPr>
        <w:spacing w:after="0" w:line="40" w:lineRule="exact"/>
        <w:rPr>
          <w:sz w:val="20"/>
          <w:szCs w:val="20"/>
          <w:color w:val="auto"/>
        </w:rPr>
      </w:pPr>
    </w:p>
    <w:p>
      <w:pPr>
        <w:ind w:left="280" w:hanging="254"/>
        <w:spacing w:after="0"/>
        <w:tabs>
          <w:tab w:leader="none" w:pos="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 represents dividends per depositary share, each representing 1/1000th of a share.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income tax status of dividends per share paid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3.518</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gain</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0.772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Return of capital</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0.758</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4.290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1.110</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Capital gain</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0.244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5.0% Series C Cumulative Redeemable Preferred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Capital gain</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0.225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3, 2022, the Trustees declared a quarterly cash dividend of $1.08 per common share, payable January 17, 2023 to common shareholders of record on January 3,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9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At December 31, 2022, our 103 predominantly retail shopping center and mixed-use properties are located in 12 states and the District of Columbia. There are approximately 3,300 commercial leases and 3,000 residential leases. Our commercial tenants range from sole proprietorships to national retailers and corporations. At December 31, 2022, no one tenant or corporate group of tenants accounted for more than 2.8% of annualized base rent.</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2022, future minimum rentals from noncancelable commercial operating leases (excluding both tenant reimbursements of operating expenses and percentage rent based on tenants' sales)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r>
      <w:tr>
        <w:trPr>
          <w:trHeight w:val="25"/>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701,133</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649,472</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564,446</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490,884</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416,736</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1,644,716</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4,467,387</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7"/>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 COST:</w:t>
            </w: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Finance lease cost: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5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1,284</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1,284</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5,828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5,826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5,687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5,946</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353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13,441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13,045</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13,409</w:t>
            </w:r>
          </w:p>
        </w:tc>
        <w:tc>
          <w:tcPr>
            <w:tcW w:w="4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5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5,723</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5,736</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5,644</w:t>
            </w:r>
          </w:p>
        </w:tc>
        <w:tc>
          <w:tcPr>
            <w:tcW w:w="52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5,288</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5,498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7"/>
            <w:shd w:val="clear" w:color="auto" w:fill="CCEEFF"/>
          </w:tcPr>
          <w:p>
            <w:pPr>
              <w:ind w:left="3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shd w:val="clear" w:color="auto" w:fill="CCEEFF"/>
          </w:tcPr>
          <w:p>
            <w:pPr>
              <w:spacing w:after="0"/>
              <w:rPr>
                <w:sz w:val="17"/>
                <w:szCs w:val="17"/>
                <w:color w:val="auto"/>
              </w:rPr>
            </w:pPr>
          </w:p>
        </w:tc>
        <w:tc>
          <w:tcPr>
            <w:tcW w:w="40" w:type="dxa"/>
            <w:vAlign w:val="bottom"/>
            <w:tcBorders>
              <w:left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term - finance leases</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7"/>
              </w:rPr>
              <w:t>13.9 years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16.3 years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Weighted-average remaining term - operating leases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6"/>
          </w:tcPr>
          <w:p>
            <w:pPr>
              <w:ind w:left="20"/>
              <w:spacing w:after="0"/>
              <w:rPr>
                <w:sz w:val="20"/>
                <w:szCs w:val="20"/>
                <w:color w:val="auto"/>
              </w:rPr>
            </w:pPr>
            <w:r>
              <w:rPr>
                <w:rFonts w:ascii="Arial" w:cs="Arial" w:eastAsia="Arial" w:hAnsi="Arial"/>
                <w:sz w:val="18"/>
                <w:szCs w:val="18"/>
                <w:color w:val="auto"/>
              </w:rPr>
              <w:t>53.3 years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w w:val="87"/>
              </w:rPr>
              <w:t>52.8 years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6,476</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10,341</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NOTE 11—COMPONENTS OF RENTAL EXPENSES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60" w:type="dxa"/>
            <w:vAlign w:val="bottom"/>
            <w:gridSpan w:val="2"/>
          </w:tcPr>
          <w:p>
            <w:pPr>
              <w:spacing w:after="0"/>
              <w:rPr>
                <w:sz w:val="20"/>
                <w:szCs w:val="20"/>
                <w:color w:val="auto"/>
              </w:rPr>
            </w:pPr>
            <w:r>
              <w:rPr>
                <w:rFonts w:ascii="Arial" w:cs="Arial" w:eastAsia="Arial" w:hAnsi="Arial"/>
                <w:sz w:val="18"/>
                <w:szCs w:val="18"/>
                <w:color w:val="auto"/>
              </w:rPr>
              <w:t>The principal components of rental expenses are as follows: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left="2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Repairs and maintenance</w:t>
            </w: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90,343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78,028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Utilities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34,226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27,808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fees and costs</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24,919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Payroll</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19,693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18,341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14,406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Marketing</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Ground rent</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w:t>
            </w:r>
          </w:p>
        </w:tc>
        <w:tc>
          <w:tcPr>
            <w:tcW w:w="8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27,994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0"/>
              </w:rPr>
              <w:t>22,567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rental expenses</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228,958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198,121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12—SHARE-BASED COMPENSATION PLANS</w:t>
            </w: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1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60" w:type="dxa"/>
            <w:vAlign w:val="bottom"/>
            <w:gridSpan w:val="4"/>
          </w:tcPr>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gridSpan w:val="12"/>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61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Grants of common shares, restricted stock units, and options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15,018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w w:val="98"/>
              </w:rPr>
              <w:t>14,434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4"/>
              </w:rPr>
              <w:t>(1,314)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w w:val="91"/>
              </w:rPr>
              <w:t>(1,425)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87"/>
              </w:rPr>
              <w:t>13,704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4"/>
            <w:shd w:val="clear" w:color="auto" w:fill="CCEEFF"/>
          </w:tcPr>
          <w:p>
            <w:pPr>
              <w:ind w:left="400"/>
              <w:spacing w:after="0"/>
              <w:rPr>
                <w:sz w:val="20"/>
                <w:szCs w:val="20"/>
                <w:color w:val="auto"/>
              </w:rPr>
            </w:pPr>
            <w:r>
              <w:rPr>
                <w:rFonts w:ascii="Arial" w:cs="Arial" w:eastAsia="Arial" w:hAnsi="Arial"/>
                <w:sz w:val="18"/>
                <w:szCs w:val="18"/>
                <w:color w:val="auto"/>
                <w:w w:val="98"/>
              </w:rPr>
              <w:t>13,009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As of December 31, 2022, we have grants outstanding under two share-based compensation plans. In May 2020, our shareholders approved the 2020 Performance Incentive Plan ("the 2020 Plan"), which authorized the grant of share options, 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spacing w:after="0" w:line="10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2022 and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assumptions used to value options granted in 2021:</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Year Ended December</w:t>
            </w:r>
          </w:p>
        </w:tc>
      </w:tr>
      <w:tr>
        <w:trPr>
          <w:trHeight w:val="192"/>
        </w:trPr>
        <w:tc>
          <w:tcPr>
            <w:tcW w:w="9740" w:type="dxa"/>
            <w:vAlign w:val="bottom"/>
          </w:tcPr>
          <w:p>
            <w:pPr>
              <w:spacing w:after="0"/>
              <w:rPr>
                <w:sz w:val="16"/>
                <w:szCs w:val="16"/>
                <w:color w:val="auto"/>
              </w:rPr>
            </w:pPr>
          </w:p>
        </w:tc>
        <w:tc>
          <w:tcPr>
            <w:tcW w:w="14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31,</w:t>
            </w:r>
          </w:p>
        </w:tc>
      </w:tr>
      <w:tr>
        <w:trPr>
          <w:trHeight w:val="196"/>
        </w:trPr>
        <w:tc>
          <w:tcPr>
            <w:tcW w:w="97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0.9 %</w:t>
            </w:r>
          </w:p>
        </w:tc>
      </w:tr>
    </w:tbl>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weighted-average grant-date fair value of options granted in 2021 was $16.40 per share. The following table provides a summary of option activity for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4"/>
                <w:szCs w:val="14"/>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6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640" w:type="dxa"/>
            <w:vAlign w:val="bottom"/>
            <w:gridSpan w:val="2"/>
          </w:tcPr>
          <w:p>
            <w:pPr>
              <w:ind w:left="560"/>
              <w:spacing w:after="0" w:line="139" w:lineRule="exact"/>
              <w:rPr>
                <w:sz w:val="20"/>
                <w:szCs w:val="20"/>
                <w:color w:val="auto"/>
              </w:rPr>
            </w:pPr>
            <w:r>
              <w:rPr>
                <w:rFonts w:ascii="Arial" w:cs="Arial" w:eastAsia="Arial" w:hAnsi="Arial"/>
                <w:sz w:val="14"/>
                <w:szCs w:val="14"/>
                <w:b w:val="1"/>
                <w:bCs w:val="1"/>
                <w:color w:val="auto"/>
              </w:rPr>
              <w:t>Under</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2"/>
                <w:szCs w:val="12"/>
                <w:color w:val="auto"/>
              </w:rPr>
            </w:pPr>
          </w:p>
        </w:tc>
        <w:tc>
          <w:tcPr>
            <w:tcW w:w="1600" w:type="dxa"/>
            <w:vAlign w:val="bottom"/>
            <w:gridSpan w:val="3"/>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119"/>
              <w:spacing w:after="0" w:line="13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1640" w:type="dxa"/>
            <w:vAlign w:val="bottom"/>
            <w:gridSpan w:val="2"/>
          </w:tcPr>
          <w:p>
            <w:pPr>
              <w:ind w:left="540"/>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6"/>
                <w:szCs w:val="16"/>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Contractual Term</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95.77</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360" w:type="dxa"/>
            <w:vAlign w:val="bottom"/>
            <w:gridSpan w:val="3"/>
          </w:tcPr>
          <w:p>
            <w:pPr>
              <w:spacing w:after="0"/>
              <w:rPr>
                <w:sz w:val="20"/>
                <w:szCs w:val="20"/>
                <w:color w:val="auto"/>
              </w:rPr>
            </w:pPr>
            <w:r>
              <w:rPr>
                <w:rFonts w:ascii="Arial" w:cs="Arial" w:eastAsia="Arial" w:hAnsi="Arial"/>
                <w:sz w:val="18"/>
                <w:szCs w:val="18"/>
                <w:color w:val="auto"/>
              </w:rPr>
              <w:t>The following table provides a summary of restricted share activity for 2022:</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Weighted-Average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39"/>
              <w:spacing w:after="0" w:line="144" w:lineRule="exact"/>
              <w:rPr>
                <w:sz w:val="20"/>
                <w:szCs w:val="20"/>
                <w:color w:val="auto"/>
              </w:rPr>
            </w:pPr>
            <w:r>
              <w:rPr>
                <w:rFonts w:ascii="Arial" w:cs="Arial" w:eastAsia="Arial" w:hAnsi="Arial"/>
                <w:sz w:val="14"/>
                <w:szCs w:val="14"/>
                <w:b w:val="1"/>
                <w:bCs w:val="1"/>
                <w:color w:val="auto"/>
                <w:w w:val="98"/>
              </w:rPr>
              <w:t>Grant-Date 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5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116,266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(119,646)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(5,871)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279,745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weighted-average grant-date fair value of stock awarded in 2022, 2021 and 2020 was $125.34, $97.46 and $124.55, respectively. The total vesting-date fair value of shares vested during the year ended December 31, 2022, 2021 and 2020, was $14.3 million, $11.0 million and $12.4 million, respectively.</w:t>
      </w:r>
    </w:p>
    <w:p>
      <w:pPr>
        <w:spacing w:after="0" w:line="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February 10, 2021, 10,441 restricted stock units were awarded to an officer that vest at the end of four years. The final awards earned are based on meeting certain market based performance criteria, and may vary from 0% to 200% of the original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award. The weighted-average grant-date fair value of the restricted stock units awarded in 2021 was $97.01. The following table provides a summary of restricted stock unit activity for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9"/>
        </w:trPr>
        <w:tc>
          <w:tcPr>
            <w:tcW w:w="8040" w:type="dxa"/>
            <w:vAlign w:val="bottom"/>
          </w:tcPr>
          <w:p>
            <w:pPr>
              <w:spacing w:after="0"/>
              <w:rPr>
                <w:sz w:val="12"/>
                <w:szCs w:val="12"/>
                <w:color w:val="auto"/>
              </w:rPr>
            </w:pPr>
          </w:p>
        </w:tc>
        <w:tc>
          <w:tcPr>
            <w:tcW w:w="15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7"/>
              <w:spacing w:after="0" w:line="13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
        </w:trPr>
        <w:tc>
          <w:tcPr>
            <w:tcW w:w="80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2022, there was $19.2 million of total unrecognized compensation cost related to unvested share-based compensation arrangements (i.e. options and unvested shares) granted under our plans. This cost is expected to be recognized over the next 4.5 years with a weighted-average period of 2.1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2022, common shares were awarded under various compensation plans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ind w:left="96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spacing w:after="0"/>
              <w:rPr>
                <w:sz w:val="16"/>
                <w:szCs w:val="16"/>
                <w:color w:val="auto"/>
              </w:rPr>
            </w:pPr>
          </w:p>
        </w:tc>
        <w:tc>
          <w:tcPr>
            <w:tcW w:w="2300" w:type="dxa"/>
            <w:vAlign w:val="bottom"/>
            <w:gridSpan w:val="2"/>
          </w:tcPr>
          <w:p>
            <w:pPr>
              <w:ind w:left="360"/>
              <w:spacing w:after="0"/>
              <w:rPr>
                <w:sz w:val="20"/>
                <w:szCs w:val="20"/>
                <w:color w:val="auto"/>
              </w:rPr>
            </w:pPr>
            <w:r>
              <w:rPr>
                <w:rFonts w:ascii="Arial" w:cs="Arial" w:eastAsia="Arial" w:hAnsi="Arial"/>
                <w:sz w:val="14"/>
                <w:szCs w:val="14"/>
                <w:b w:val="1"/>
                <w:bCs w:val="1"/>
                <w:color w:val="auto"/>
              </w:rPr>
              <w:t>Award</w:t>
            </w:r>
          </w:p>
        </w:tc>
        <w:tc>
          <w:tcPr>
            <w:tcW w:w="2380" w:type="dxa"/>
            <w:vAlign w:val="bottom"/>
            <w:gridSpan w:val="2"/>
          </w:tcPr>
          <w:p>
            <w:pPr>
              <w:ind w:left="740"/>
              <w:spacing w:after="0"/>
              <w:rPr>
                <w:sz w:val="20"/>
                <w:szCs w:val="20"/>
                <w:color w:val="auto"/>
              </w:rPr>
            </w:pPr>
            <w:r>
              <w:rPr>
                <w:rFonts w:ascii="Arial" w:cs="Arial" w:eastAsia="Arial" w:hAnsi="Arial"/>
                <w:sz w:val="14"/>
                <w:szCs w:val="14"/>
                <w:b w:val="1"/>
                <w:bCs w:val="1"/>
                <w:color w:val="auto"/>
              </w:rPr>
              <w:t>Vesting Term</w:t>
            </w:r>
          </w:p>
        </w:tc>
        <w:tc>
          <w:tcPr>
            <w:tcW w:w="3120" w:type="dxa"/>
            <w:vAlign w:val="bottom"/>
          </w:tcPr>
          <w:p>
            <w:pPr>
              <w:ind w:left="1200"/>
              <w:spacing w:after="0"/>
              <w:rPr>
                <w:sz w:val="20"/>
                <w:szCs w:val="20"/>
                <w:color w:val="auto"/>
              </w:rPr>
            </w:pPr>
            <w:r>
              <w:rPr>
                <w:rFonts w:ascii="Arial" w:cs="Arial" w:eastAsia="Arial" w:hAnsi="Arial"/>
                <w:sz w:val="14"/>
                <w:szCs w:val="14"/>
                <w:b w:val="1"/>
                <w:bCs w:val="1"/>
                <w:color w:val="auto"/>
              </w:rPr>
              <w:t>Beneficiary</w:t>
            </w:r>
          </w:p>
        </w:tc>
      </w:tr>
      <w:tr>
        <w:trPr>
          <w:trHeight w:val="26"/>
        </w:trPr>
        <w:tc>
          <w:tcPr>
            <w:tcW w:w="2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February 7, 2023</w:t>
            </w:r>
          </w:p>
        </w:tc>
        <w:tc>
          <w:tcPr>
            <w:tcW w:w="1080" w:type="dxa"/>
            <w:vAlign w:val="bottom"/>
          </w:tcPr>
          <w:p>
            <w:pPr>
              <w:jc w:val="right"/>
              <w:spacing w:after="0"/>
              <w:rPr>
                <w:sz w:val="20"/>
                <w:szCs w:val="20"/>
                <w:color w:val="auto"/>
              </w:rPr>
            </w:pPr>
            <w:r>
              <w:rPr>
                <w:rFonts w:ascii="Arial" w:cs="Arial" w:eastAsia="Arial" w:hAnsi="Arial"/>
                <w:sz w:val="18"/>
                <w:szCs w:val="18"/>
                <w:color w:val="auto"/>
              </w:rPr>
              <w:t>135,314</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Restricted Shares</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3-5 years</w:t>
            </w:r>
          </w:p>
        </w:tc>
        <w:tc>
          <w:tcPr>
            <w:tcW w:w="312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13—SAVINGS AND RETIREMENT PLANS</w:t>
      </w:r>
    </w:p>
    <w:p>
      <w:pPr>
        <w:spacing w:after="0" w:line="94"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$20,500 for 2022, and 19,500 for 2021 and 2020.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2022, 2021 and 2020 was approximately $869,000, $816,000 and $813,000, respectively.</w:t>
      </w:r>
    </w:p>
    <w:p>
      <w:pPr>
        <w:spacing w:after="0" w:line="1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2022 and 2021, we are liable to participants for approximately $18.0 million and $21.0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 AND UNIT</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2022 and 2021 we had 0.3 million weighted average unvested shares and units outstanding, and for 2020 we had 0.2 million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exercise of 682 stock options in 2020,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conversions of downREIT operating partnership units for 2021 and 2020,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and 5.417% Series 1 Cumulative Convertible Preferred Shares and units for 2022, 2021, and 2020,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issuance of $1.8 million shares and units issuable under forward sales agreements in 2021.</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10,441 unvested restricted stock units are excluded from the diluted EPS and EPU calculations as the market based performance criteria in the award has not yet been achieved.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Realty Investment Trust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473"/>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7"/>
          </w:tcPr>
          <w:p>
            <w:pPr>
              <w:jc w:val="center"/>
              <w:ind w:right="191"/>
              <w:spacing w:after="0"/>
              <w:rPr>
                <w:sz w:val="20"/>
                <w:szCs w:val="20"/>
                <w:color w:val="auto"/>
              </w:rPr>
            </w:pPr>
            <w:r>
              <w:rPr>
                <w:rFonts w:ascii="Arial" w:cs="Arial" w:eastAsia="Arial" w:hAnsi="Arial"/>
                <w:sz w:val="14"/>
                <w:szCs w:val="14"/>
                <w:b w:val="1"/>
                <w:bCs w:val="1"/>
                <w:color w:val="auto"/>
                <w:w w:val="91"/>
              </w:rPr>
              <w:t>(In thousands, except per share data)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2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Less: Preferred share dividends</w:t>
            </w: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Less: Income from operations attributable to noncontrolling interests</w:t>
            </w:r>
          </w:p>
        </w:tc>
        <w:tc>
          <w:tcPr>
            <w:tcW w:w="2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Earnings allocated to unvested shares</w:t>
            </w:r>
          </w:p>
        </w:tc>
        <w:tc>
          <w:tcPr>
            <w:tcW w:w="2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 basic</w:t>
            </w:r>
          </w:p>
        </w:tc>
        <w:tc>
          <w:tcPr>
            <w:tcW w:w="2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w w:val="99"/>
              </w:rPr>
              <w:t>Add: Income attributable to downREIT operating partnership units</w:t>
            </w: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 diluted</w:t>
            </w:r>
          </w:p>
        </w:tc>
        <w:tc>
          <w:tcPr>
            <w:tcW w:w="24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2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2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Open forward contracts for share issuances</w:t>
            </w:r>
          </w:p>
        </w:tc>
        <w:tc>
          <w:tcPr>
            <w:tcW w:w="2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DownREIT operating partnership units</w:t>
            </w: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24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2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DILUTED</w:t>
            </w:r>
          </w:p>
        </w:tc>
        <w:tc>
          <w:tcPr>
            <w:tcW w:w="2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5220" w:type="dxa"/>
            <w:vAlign w:val="bottom"/>
          </w:tcPr>
          <w:p>
            <w:pPr>
              <w:spacing w:after="0"/>
              <w:rPr>
                <w:sz w:val="24"/>
                <w:szCs w:val="24"/>
                <w:color w:val="auto"/>
              </w:rPr>
            </w:pPr>
          </w:p>
        </w:tc>
        <w:tc>
          <w:tcPr>
            <w:tcW w:w="2720" w:type="dxa"/>
            <w:vAlign w:val="bottom"/>
            <w:gridSpan w:val="2"/>
          </w:tcPr>
          <w:p>
            <w:pPr>
              <w:jc w:val="right"/>
              <w:ind w:right="205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Realty OP LP Trust Earnings per Unit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473"/>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7"/>
          </w:tcPr>
          <w:p>
            <w:pPr>
              <w:jc w:val="center"/>
              <w:ind w:right="191"/>
              <w:spacing w:after="0"/>
              <w:rPr>
                <w:sz w:val="20"/>
                <w:szCs w:val="20"/>
                <w:color w:val="auto"/>
              </w:rPr>
            </w:pPr>
            <w:r>
              <w:rPr>
                <w:rFonts w:ascii="Arial" w:cs="Arial" w:eastAsia="Arial" w:hAnsi="Arial"/>
                <w:sz w:val="14"/>
                <w:szCs w:val="14"/>
                <w:b w:val="1"/>
                <w:bCs w:val="1"/>
                <w:color w:val="auto"/>
                <w:w w:val="93"/>
              </w:rPr>
              <w:t>(In thousands, except per unit data)</w:t>
            </w:r>
          </w:p>
        </w:tc>
        <w:tc>
          <w:tcPr>
            <w:tcW w:w="0" w:type="dxa"/>
            <w:vAlign w:val="bottom"/>
          </w:tcPr>
          <w:p>
            <w:pPr>
              <w:spacing w:after="0"/>
              <w:rPr>
                <w:sz w:val="1"/>
                <w:szCs w:val="1"/>
                <w:color w:val="auto"/>
              </w:rPr>
            </w:pPr>
          </w:p>
        </w:tc>
      </w:tr>
      <w:tr>
        <w:trPr>
          <w:trHeight w:val="246"/>
        </w:trPr>
        <w:tc>
          <w:tcPr>
            <w:tcW w:w="76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Less: Preferred unit distributions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Earnings allocated to unvested units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unit holders, 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122,672</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Add: Income attributable to downREIT operating partnership units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unit holders, diluted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unit issuances relating to open common forward contracts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DownREIT operating partnership units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UNIT, 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Net income available for common unit 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UNIT, DILUTED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Net income available for common unit 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w:t>
      </w:r>
    </w:p>
    <w:p>
      <w:pPr>
        <w:spacing w:after="0" w:line="10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January 31, 2023, we acquired the 180,000 square foot portion of Huntington Square shopping center that was not previously owned, as well as the fee interest in the land underneath the portion of the shopping center which we control under a long-term ground lease for $35.5 million.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2022</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22"/>
        </w:trPr>
        <w:tc>
          <w:tcPr>
            <w:tcW w:w="1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460" w:type="dxa"/>
            <w:vAlign w:val="bottom"/>
            <w:gridSpan w:val="6"/>
          </w:tcPr>
          <w:p>
            <w:pPr>
              <w:jc w:val="center"/>
              <w:spacing w:after="0"/>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in latest</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ind w:right="3"/>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Land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140" w:type="dxa"/>
            <w:vAlign w:val="bottom"/>
          </w:tcPr>
          <w:p>
            <w:pPr>
              <w:spacing w:after="0"/>
              <w:rPr>
                <w:sz w:val="11"/>
                <w:szCs w:val="11"/>
                <w:color w:val="auto"/>
              </w:rPr>
            </w:pPr>
          </w:p>
        </w:tc>
        <w:tc>
          <w:tcPr>
            <w:tcW w:w="580" w:type="dxa"/>
            <w:vAlign w:val="bottom"/>
            <w:vMerge w:val="restart"/>
          </w:tcPr>
          <w:p>
            <w:pPr>
              <w:jc w:val="right"/>
              <w:ind w:right="151"/>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8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Improvements</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82"/>
        </w:trPr>
        <w:tc>
          <w:tcPr>
            <w:tcW w:w="1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29TH PLACE (Virginia)</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   10,211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4"/>
                <w:szCs w:val="14"/>
                <w:color w:val="auto"/>
                <w:w w:val="93"/>
              </w:rPr>
              <w:t>$18,863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11,627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   10,195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4"/>
                <w:szCs w:val="14"/>
                <w:color w:val="auto"/>
                <w:w w:val="93"/>
              </w:rPr>
              <w:t>$30,506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4"/>
                <w:szCs w:val="14"/>
                <w:color w:val="auto"/>
              </w:rPr>
              <w:t>$   16,582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1975 - 2001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5/30/2007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ANDORRA (Pennsylvania)</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2,432</w:t>
            </w:r>
          </w:p>
        </w:tc>
        <w:tc>
          <w:tcPr>
            <w:tcW w:w="8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Arial" w:cs="Arial" w:eastAsia="Arial" w:hAnsi="Arial"/>
                <w:sz w:val="14"/>
                <w:szCs w:val="14"/>
                <w:color w:val="auto"/>
              </w:rPr>
              <w:t>12,346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18,628</w:t>
            </w:r>
          </w:p>
        </w:tc>
        <w:tc>
          <w:tcPr>
            <w:tcW w:w="8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2,432</w:t>
            </w:r>
          </w:p>
        </w:tc>
        <w:tc>
          <w:tcPr>
            <w:tcW w:w="80" w:type="dxa"/>
            <w:vAlign w:val="bottom"/>
          </w:tcPr>
          <w:p>
            <w:pPr>
              <w:spacing w:after="0"/>
              <w:rPr>
                <w:sz w:val="15"/>
                <w:szCs w:val="15"/>
                <w:color w:val="auto"/>
              </w:rPr>
            </w:pPr>
          </w:p>
        </w:tc>
        <w:tc>
          <w:tcPr>
            <w:tcW w:w="820" w:type="dxa"/>
            <w:vAlign w:val="bottom"/>
          </w:tcPr>
          <w:p>
            <w:pPr>
              <w:jc w:val="right"/>
              <w:ind w:right="22"/>
              <w:spacing w:after="0"/>
              <w:rPr>
                <w:sz w:val="20"/>
                <w:szCs w:val="20"/>
                <w:color w:val="auto"/>
              </w:rPr>
            </w:pPr>
            <w:r>
              <w:rPr>
                <w:rFonts w:ascii="Arial" w:cs="Arial" w:eastAsia="Arial" w:hAnsi="Arial"/>
                <w:sz w:val="14"/>
                <w:szCs w:val="14"/>
                <w:color w:val="auto"/>
              </w:rPr>
              <w:t>30,974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33,406</w:t>
            </w:r>
          </w:p>
        </w:tc>
        <w:tc>
          <w:tcPr>
            <w:tcW w:w="860" w:type="dxa"/>
            <w:vAlign w:val="bottom"/>
            <w:gridSpan w:val="2"/>
          </w:tcPr>
          <w:p>
            <w:pPr>
              <w:jc w:val="right"/>
              <w:ind w:right="17"/>
              <w:spacing w:after="0"/>
              <w:rPr>
                <w:sz w:val="20"/>
                <w:szCs w:val="20"/>
                <w:color w:val="auto"/>
              </w:rPr>
            </w:pPr>
            <w:r>
              <w:rPr>
                <w:rFonts w:ascii="Arial" w:cs="Arial" w:eastAsia="Arial" w:hAnsi="Arial"/>
                <w:sz w:val="14"/>
                <w:szCs w:val="14"/>
                <w:color w:val="auto"/>
              </w:rPr>
              <w:t>22,902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1/12/1988</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20"/>
          </w:cols>
          <w:pgMar w:left="320" w:top="126" w:right="359" w:bottom="1440" w:gutter="0" w:footer="0" w:header="0"/>
        </w:sectPr>
      </w:pPr>
    </w:p>
    <w:p>
      <w:pPr>
        <w:ind w:left="60"/>
        <w:spacing w:after="0"/>
        <w:rPr>
          <w:sz w:val="20"/>
          <w:szCs w:val="20"/>
          <w:color w:val="auto"/>
        </w:rPr>
      </w:pPr>
      <w:r>
        <w:rPr>
          <w:rFonts w:ascii="Arial" w:cs="Arial" w:eastAsia="Arial" w:hAnsi="Arial"/>
          <w:sz w:val="14"/>
          <w:szCs w:val="14"/>
          <w:color w:val="auto"/>
        </w:rPr>
        <w:t>ASSEMBLY</w:t>
      </w:r>
    </w:p>
    <w:p>
      <w:pPr>
        <w:ind w:left="60"/>
        <w:spacing w:after="0" w:line="211" w:lineRule="auto"/>
        <w:rPr>
          <w:sz w:val="20"/>
          <w:szCs w:val="20"/>
          <w:color w:val="auto"/>
        </w:rPr>
      </w:pPr>
      <w:r>
        <w:rPr>
          <w:rFonts w:ascii="Arial" w:cs="Arial" w:eastAsia="Arial" w:hAnsi="Arial"/>
          <w:sz w:val="14"/>
          <w:szCs w:val="14"/>
          <w:color w:val="auto"/>
        </w:rPr>
        <w:t>ROW/ASSEMBLY SQUARE MARKETPLACE</w:t>
      </w:r>
    </w:p>
    <w:p>
      <w:pPr>
        <w:ind w:left="60"/>
        <w:spacing w:after="0"/>
        <w:rPr>
          <w:sz w:val="20"/>
          <w:szCs w:val="20"/>
          <w:color w:val="auto"/>
        </w:rPr>
      </w:pPr>
      <w:r>
        <w:rPr>
          <w:rFonts w:ascii="Arial" w:cs="Arial" w:eastAsia="Arial" w:hAnsi="Arial"/>
          <w:sz w:val="14"/>
          <w:szCs w:val="14"/>
          <w:color w:val="auto"/>
        </w:rPr>
        <w:t>(Massachusetts)</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AZALEA (California)</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BALA CYNWYD</w:t>
      </w:r>
    </w:p>
    <w:p>
      <w:pPr>
        <w:ind w:left="60"/>
        <w:spacing w:after="0"/>
        <w:rPr>
          <w:sz w:val="20"/>
          <w:szCs w:val="20"/>
          <w:color w:val="auto"/>
        </w:rPr>
      </w:pPr>
      <w:r>
        <w:rPr>
          <w:rFonts w:ascii="Arial" w:cs="Arial" w:eastAsia="Arial" w:hAnsi="Arial"/>
          <w:sz w:val="14"/>
          <w:szCs w:val="14"/>
          <w:color w:val="auto"/>
        </w:rPr>
        <w:t>(Pennsylvania)</w:t>
      </w:r>
    </w:p>
    <w:p>
      <w:pPr>
        <w:spacing w:after="0" w:line="165" w:lineRule="exact"/>
        <w:rPr>
          <w:sz w:val="20"/>
          <w:szCs w:val="20"/>
          <w:color w:val="auto"/>
        </w:rPr>
      </w:pPr>
    </w:p>
    <w:p>
      <w:pPr>
        <w:ind w:left="60" w:right="480"/>
        <w:spacing w:after="0" w:line="251" w:lineRule="auto"/>
        <w:rPr>
          <w:sz w:val="20"/>
          <w:szCs w:val="20"/>
          <w:color w:val="auto"/>
        </w:rPr>
      </w:pPr>
      <w:r>
        <w:rPr>
          <w:rFonts w:ascii="Arial" w:cs="Arial" w:eastAsia="Arial" w:hAnsi="Arial"/>
          <w:sz w:val="14"/>
          <w:szCs w:val="14"/>
          <w:color w:val="auto"/>
        </w:rPr>
        <w:t>BARCROFT PLAZA (Virginia)</w:t>
      </w:r>
    </w:p>
    <w:p>
      <w:pPr>
        <w:spacing w:after="0" w:line="1" w:lineRule="exact"/>
        <w:rPr>
          <w:sz w:val="20"/>
          <w:szCs w:val="20"/>
          <w:color w:val="auto"/>
        </w:rPr>
      </w:pPr>
    </w:p>
    <w:p>
      <w:pPr>
        <w:ind w:left="60" w:right="520"/>
        <w:spacing w:after="0" w:line="251" w:lineRule="auto"/>
        <w:rPr>
          <w:sz w:val="20"/>
          <w:szCs w:val="20"/>
          <w:color w:val="auto"/>
        </w:rPr>
      </w:pPr>
      <w:r>
        <w:rPr>
          <w:rFonts w:ascii="Arial" w:cs="Arial" w:eastAsia="Arial" w:hAnsi="Arial"/>
          <w:sz w:val="14"/>
          <w:szCs w:val="14"/>
          <w:color w:val="auto"/>
        </w:rPr>
        <w:t>BARRACKS ROAD (Virginia)</w:t>
      </w:r>
    </w:p>
    <w:p>
      <w:pPr>
        <w:ind w:left="60"/>
        <w:spacing w:after="0"/>
        <w:rPr>
          <w:sz w:val="20"/>
          <w:szCs w:val="20"/>
          <w:color w:val="auto"/>
        </w:rPr>
      </w:pPr>
      <w:r>
        <w:rPr>
          <w:rFonts w:ascii="Arial" w:cs="Arial" w:eastAsia="Arial" w:hAnsi="Arial"/>
          <w:sz w:val="14"/>
          <w:szCs w:val="14"/>
          <w:color w:val="auto"/>
        </w:rPr>
        <w:t>BELL GARDENS</w:t>
      </w:r>
    </w:p>
    <w:p>
      <w:pPr>
        <w:ind w:left="60"/>
        <w:spacing w:after="0"/>
        <w:rPr>
          <w:sz w:val="20"/>
          <w:szCs w:val="20"/>
          <w:color w:val="auto"/>
        </w:rPr>
      </w:pPr>
      <w:r>
        <w:rPr>
          <w:rFonts w:ascii="Arial" w:cs="Arial" w:eastAsia="Arial" w:hAnsi="Arial"/>
          <w:sz w:val="14"/>
          <w:szCs w:val="14"/>
          <w:color w:val="auto"/>
        </w:rPr>
        <w:t>(California)</w:t>
      </w: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4"/>
          <w:szCs w:val="14"/>
          <w:color w:val="auto"/>
        </w:rPr>
        <w:t>BETHESDA ROW</w:t>
      </w:r>
    </w:p>
    <w:p>
      <w:pPr>
        <w:ind w:left="60"/>
        <w:spacing w:after="0"/>
        <w:rPr>
          <w:sz w:val="20"/>
          <w:szCs w:val="20"/>
          <w:color w:val="auto"/>
        </w:rPr>
      </w:pPr>
      <w:r>
        <w:rPr>
          <w:rFonts w:ascii="Arial" w:cs="Arial" w:eastAsia="Arial" w:hAnsi="Arial"/>
          <w:sz w:val="14"/>
          <w:szCs w:val="14"/>
          <w:color w:val="auto"/>
        </w:rPr>
        <w:t>(Maryland)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BIRCH &amp; BROAD (Virginia)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3"/>
          <w:szCs w:val="13"/>
          <w:color w:val="auto"/>
        </w:rPr>
        <w:t>BRICK PLAZA (New Jersey)</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BRISTOL PLAZA</w:t>
      </w:r>
    </w:p>
    <w:p>
      <w:pPr>
        <w:ind w:left="60"/>
        <w:spacing w:after="0"/>
        <w:rPr>
          <w:sz w:val="20"/>
          <w:szCs w:val="20"/>
          <w:color w:val="auto"/>
        </w:rPr>
      </w:pPr>
      <w:r>
        <w:rPr>
          <w:rFonts w:ascii="Arial" w:cs="Arial" w:eastAsia="Arial" w:hAnsi="Arial"/>
          <w:sz w:val="14"/>
          <w:szCs w:val="14"/>
          <w:color w:val="auto"/>
        </w:rPr>
        <w:t>(Connecticut)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BROOK 35 (New Jersey)</w:t>
      </w:r>
    </w:p>
    <w:p>
      <w:pPr>
        <w:spacing w:after="0" w:line="42" w:lineRule="exact"/>
        <w:rPr>
          <w:sz w:val="20"/>
          <w:szCs w:val="20"/>
          <w:color w:val="auto"/>
        </w:rPr>
      </w:pPr>
    </w:p>
    <w:p>
      <w:pPr>
        <w:ind w:left="60" w:right="260"/>
        <w:spacing w:after="0" w:line="270" w:lineRule="auto"/>
        <w:rPr>
          <w:sz w:val="20"/>
          <w:szCs w:val="20"/>
          <w:color w:val="auto"/>
        </w:rPr>
      </w:pPr>
      <w:r>
        <w:rPr>
          <w:rFonts w:ascii="Arial" w:cs="Arial" w:eastAsia="Arial" w:hAnsi="Arial"/>
          <w:sz w:val="13"/>
          <w:szCs w:val="13"/>
          <w:color w:val="auto"/>
        </w:rPr>
        <w:t>CAMELBACK COLONNADE (Arizona)</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CAMPUS PLAZA</w:t>
      </w:r>
    </w:p>
    <w:p>
      <w:pPr>
        <w:ind w:left="60"/>
        <w:spacing w:after="0"/>
        <w:rPr>
          <w:sz w:val="20"/>
          <w:szCs w:val="20"/>
          <w:color w:val="auto"/>
        </w:rPr>
      </w:pPr>
      <w:r>
        <w:rPr>
          <w:rFonts w:ascii="Arial" w:cs="Arial" w:eastAsia="Arial" w:hAnsi="Arial"/>
          <w:sz w:val="14"/>
          <w:szCs w:val="14"/>
          <w:color w:val="auto"/>
        </w:rPr>
        <w:t>(Massachusetts)</w:t>
      </w:r>
    </w:p>
    <w:p>
      <w:pPr>
        <w:spacing w:after="0" w:line="165" w:lineRule="exact"/>
        <w:rPr>
          <w:sz w:val="20"/>
          <w:szCs w:val="20"/>
          <w:color w:val="auto"/>
        </w:rPr>
      </w:pPr>
    </w:p>
    <w:p>
      <w:pPr>
        <w:ind w:left="60" w:right="320"/>
        <w:spacing w:after="0" w:line="270" w:lineRule="auto"/>
        <w:rPr>
          <w:sz w:val="20"/>
          <w:szCs w:val="20"/>
          <w:color w:val="auto"/>
        </w:rPr>
      </w:pPr>
      <w:r>
        <w:rPr>
          <w:rFonts w:ascii="Arial" w:cs="Arial" w:eastAsia="Arial" w:hAnsi="Arial"/>
          <w:sz w:val="13"/>
          <w:szCs w:val="13"/>
          <w:color w:val="auto"/>
        </w:rPr>
        <w:t>CHELSEA COMMONS (Massachusetts)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CHESTERBROOK (Virginia)</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93,252</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34,196</w:t>
            </w: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991,368</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69,421</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1,049,395</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1,118,816</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137,485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2005, 2012-</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2005-2013</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2022</w:t>
            </w:r>
          </w:p>
        </w:tc>
        <w:tc>
          <w:tcPr>
            <w:tcW w:w="9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39,850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40,219</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67,117</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1,918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40,219</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69,035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109,254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13,549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2014</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8/2/2017</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8"/>
        </w:trPr>
        <w:tc>
          <w:tcPr>
            <w:tcW w:w="62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3,565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14,466</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54,758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2,683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70,106</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72,789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31,192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1955/2020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9/22/1993</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1963, 1972,</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ind w:right="8"/>
              <w:spacing w:after="0" w:line="141" w:lineRule="exact"/>
              <w:rPr>
                <w:sz w:val="20"/>
                <w:szCs w:val="20"/>
                <w:color w:val="auto"/>
              </w:rPr>
            </w:pPr>
            <w:r>
              <w:rPr>
                <w:rFonts w:ascii="Arial" w:cs="Arial" w:eastAsia="Arial" w:hAnsi="Arial"/>
                <w:sz w:val="14"/>
                <w:szCs w:val="14"/>
                <w:color w:val="auto"/>
              </w:rPr>
              <w:t>1990, &amp;</w:t>
            </w:r>
          </w:p>
        </w:tc>
        <w:tc>
          <w:tcPr>
            <w:tcW w:w="940" w:type="dxa"/>
            <w:vAlign w:val="bottom"/>
          </w:tcPr>
          <w:p>
            <w:pPr>
              <w:jc w:val="right"/>
              <w:ind w:right="128"/>
              <w:spacing w:after="0" w:line="141" w:lineRule="exact"/>
              <w:rPr>
                <w:sz w:val="20"/>
                <w:szCs w:val="20"/>
                <w:color w:val="auto"/>
              </w:rPr>
            </w:pPr>
            <w:r>
              <w:rPr>
                <w:rFonts w:ascii="Arial" w:cs="Arial" w:eastAsia="Arial" w:hAnsi="Arial"/>
                <w:sz w:val="14"/>
                <w:szCs w:val="14"/>
                <w:color w:val="auto"/>
              </w:rPr>
              <w:t>1/13/16 &amp;</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12,617</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29,603</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8,338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12,617</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37,941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50,558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8,656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11/7/16</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4,363</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16,459</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52,498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4,363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68,957</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73,320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51,953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1958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12/31/1985</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148"/>
              <w:spacing w:after="0"/>
              <w:rPr>
                <w:sz w:val="20"/>
                <w:szCs w:val="20"/>
                <w:color w:val="auto"/>
              </w:rPr>
            </w:pPr>
            <w:r>
              <w:rPr>
                <w:rFonts w:ascii="Arial" w:cs="Arial" w:eastAsia="Arial" w:hAnsi="Arial"/>
                <w:sz w:val="14"/>
                <w:szCs w:val="14"/>
                <w:color w:val="auto"/>
                <w:w w:val="88"/>
              </w:rPr>
              <w:t>11,629</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24,406</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85,947</w:t>
            </w: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8,090</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24,406</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94,037</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118,443</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22,722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1990, 2003,</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8/2/17 &amp;</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2006</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11/29/18</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12/31/93,</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right"/>
              <w:ind w:right="128"/>
              <w:spacing w:after="0" w:line="141" w:lineRule="exact"/>
              <w:rPr>
                <w:sz w:val="20"/>
                <w:szCs w:val="20"/>
                <w:color w:val="auto"/>
              </w:rPr>
            </w:pPr>
            <w:r>
              <w:rPr>
                <w:rFonts w:ascii="Arial" w:cs="Arial" w:eastAsia="Arial" w:hAnsi="Arial"/>
                <w:sz w:val="14"/>
                <w:szCs w:val="14"/>
                <w:color w:val="auto"/>
              </w:rPr>
              <w:t>6/2/97,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right"/>
              <w:ind w:right="128"/>
              <w:spacing w:after="0" w:line="143" w:lineRule="exact"/>
              <w:rPr>
                <w:sz w:val="20"/>
                <w:szCs w:val="20"/>
                <w:color w:val="auto"/>
              </w:rPr>
            </w:pPr>
            <w:r>
              <w:rPr>
                <w:rFonts w:ascii="Arial" w:cs="Arial" w:eastAsia="Arial" w:hAnsi="Arial"/>
                <w:sz w:val="14"/>
                <w:szCs w:val="14"/>
                <w:color w:val="auto"/>
              </w:rPr>
              <w:t>1/20/06,</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9/25/08,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46,579</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35,406</w:t>
            </w: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174,823</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44,437</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212,371</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256,808</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104,068</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1945-2008</w:t>
            </w:r>
          </w:p>
        </w:tc>
        <w:tc>
          <w:tcPr>
            <w:tcW w:w="940" w:type="dxa"/>
            <w:vAlign w:val="bottom"/>
          </w:tcPr>
          <w:p>
            <w:pPr>
              <w:jc w:val="right"/>
              <w:ind w:right="128"/>
              <w:spacing w:after="0" w:line="141" w:lineRule="exact"/>
              <w:rPr>
                <w:sz w:val="20"/>
                <w:szCs w:val="20"/>
                <w:color w:val="auto"/>
              </w:rPr>
            </w:pPr>
            <w:r>
              <w:rPr>
                <w:rFonts w:ascii="Arial" w:cs="Arial" w:eastAsia="Arial" w:hAnsi="Arial"/>
                <w:sz w:val="14"/>
                <w:szCs w:val="14"/>
                <w:color w:val="auto"/>
              </w:rPr>
              <w:t>9/30/08, &amp;</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12/27/10</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1,798</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1,270</w:t>
            </w: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22,674</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1,819</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23,923</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25,742</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10,663</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1960/1962</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9/30/67 &amp;</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10/05/72</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24,715</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82,169</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4,385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102,499</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106,884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64,220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1958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12/28/1989</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8"/>
        </w:trPr>
        <w:tc>
          <w:tcPr>
            <w:tcW w:w="62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3,856</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15,959</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16,487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3,856</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32,446</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36,302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21,938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1959</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9/22/1995</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11,366</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7,128</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38,355</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5,614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7,128</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43,969</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51,097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12,751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1986/2004</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1/1/2014</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8"/>
        </w:trPr>
        <w:tc>
          <w:tcPr>
            <w:tcW w:w="62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52,658</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126,646</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734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52,658</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127,380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180,038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7,204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1977/2019</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6/14/2021</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8"/>
        </w:trPr>
        <w:tc>
          <w:tcPr>
            <w:tcW w:w="62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16,710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13,412</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737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16,710</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14,149</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30,859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3,810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1970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1/13/2016</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8/25/06,</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ind w:right="8"/>
              <w:spacing w:after="0" w:line="141" w:lineRule="exact"/>
              <w:rPr>
                <w:sz w:val="20"/>
                <w:szCs w:val="20"/>
                <w:color w:val="auto"/>
              </w:rPr>
            </w:pPr>
            <w:r>
              <w:rPr>
                <w:rFonts w:ascii="Arial" w:cs="Arial" w:eastAsia="Arial" w:hAnsi="Arial"/>
                <w:sz w:val="14"/>
                <w:szCs w:val="14"/>
                <w:color w:val="auto"/>
              </w:rPr>
              <w:t>1962/1969/</w:t>
            </w:r>
          </w:p>
        </w:tc>
        <w:tc>
          <w:tcPr>
            <w:tcW w:w="940" w:type="dxa"/>
            <w:vAlign w:val="bottom"/>
          </w:tcPr>
          <w:p>
            <w:pPr>
              <w:jc w:val="right"/>
              <w:ind w:right="128"/>
              <w:spacing w:after="0" w:line="141" w:lineRule="exact"/>
              <w:rPr>
                <w:sz w:val="20"/>
                <w:szCs w:val="20"/>
                <w:color w:val="auto"/>
              </w:rPr>
            </w:pPr>
            <w:r>
              <w:rPr>
                <w:rFonts w:ascii="Arial" w:cs="Arial" w:eastAsia="Arial" w:hAnsi="Arial"/>
                <w:sz w:val="14"/>
                <w:szCs w:val="14"/>
                <w:color w:val="auto"/>
              </w:rPr>
              <w:t>1/30/07, &amp;</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4,304</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8,689</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19,466</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3,125</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8,669</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22,611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31,280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10,254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7/16/08</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13,042</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24,725</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3,172</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13,042</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27,897</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40,939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1,486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1967/1991</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4/30/21</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-3600450</wp:posOffset>
            </wp:positionV>
            <wp:extent cx="7089140" cy="4032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7089140" cy="403225"/>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-3068955</wp:posOffset>
            </wp:positionV>
            <wp:extent cx="7089140" cy="214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-2546350</wp:posOffset>
            </wp:positionV>
            <wp:extent cx="708914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-2117725</wp:posOffset>
            </wp:positionV>
            <wp:extent cx="7089140" cy="5829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7089140" cy="58293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-1320165</wp:posOffset>
            </wp:positionV>
            <wp:extent cx="708914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-977265</wp:posOffset>
            </wp:positionV>
            <wp:extent cx="708914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-634365</wp:posOffset>
            </wp:positionV>
            <wp:extent cx="708914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-111760</wp:posOffset>
            </wp:positionV>
            <wp:extent cx="7089140"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08914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80"/>
            <w:col w:w="8940"/>
          </w:cols>
          <w:pgMar w:left="320" w:top="126" w:right="35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2022</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7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22"/>
        </w:trPr>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00" w:type="dxa"/>
            <w:vAlign w:val="bottom"/>
            <w:gridSpan w:val="5"/>
          </w:tcPr>
          <w:p>
            <w:pPr>
              <w:jc w:val="right"/>
              <w:ind w:right="229"/>
              <w:spacing w:after="0"/>
              <w:rPr>
                <w:sz w:val="20"/>
                <w:szCs w:val="20"/>
                <w:color w:val="auto"/>
              </w:rPr>
            </w:pPr>
            <w:r>
              <w:rPr>
                <w:rFonts w:ascii="Arial" w:cs="Arial" w:eastAsia="Arial" w:hAnsi="Arial"/>
                <w:sz w:val="13"/>
                <w:szCs w:val="13"/>
                <w:b w:val="1"/>
                <w:bCs w:val="1"/>
                <w:color w:val="auto"/>
              </w:rPr>
              <w:t>Gross amount at which carried at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88"/>
              </w:rPr>
              <w:t>close of period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in latest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10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66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84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42"/>
        </w:trPr>
        <w:tc>
          <w:tcPr>
            <w:tcW w:w="1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5/4/15,</w:t>
            </w: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7/1/15,</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12/16/15,</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1990/1994,</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7/26/16,</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gridSpan w:val="2"/>
            <w:vMerge w:val="restart"/>
          </w:tcPr>
          <w:p>
            <w:pPr>
              <w:ind w:left="20"/>
              <w:spacing w:after="0"/>
              <w:rPr>
                <w:sz w:val="20"/>
                <w:szCs w:val="20"/>
                <w:color w:val="auto"/>
              </w:rPr>
            </w:pPr>
            <w:r>
              <w:rPr>
                <w:rFonts w:ascii="Arial" w:cs="Arial" w:eastAsia="Arial" w:hAnsi="Arial"/>
                <w:sz w:val="14"/>
                <w:szCs w:val="14"/>
                <w:color w:val="auto"/>
              </w:rPr>
              <w:t>COCOWALK (Florida)</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32,513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71,536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96,837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48,944</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151,942</w:t>
            </w:r>
          </w:p>
        </w:tc>
        <w:tc>
          <w:tcPr>
            <w:tcW w:w="8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200,886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21,876</w:t>
            </w:r>
          </w:p>
        </w:tc>
        <w:tc>
          <w:tcPr>
            <w:tcW w:w="8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1922-1973,</w:t>
            </w: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6/30/17, &amp;</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2018-2021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8/10/17</w:t>
            </w: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COLORADO BLVD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2,415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7,535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11,499</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13,914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10,052</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1905-1988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8/14/98</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CONGRESSIONAL</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2,793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7,424</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99,671</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2,793</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107,095</w:t>
            </w:r>
          </w:p>
        </w:tc>
        <w:tc>
          <w:tcPr>
            <w:tcW w:w="8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109,888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67,014</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w w:val="92"/>
              </w:rPr>
              <w:t>1965/2003/2016</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4/1/1965</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PLAZA (Maryland)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COURTHOUSE CENTER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3,585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5,454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7,204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12/17/1997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CROSSROADS (Illinois)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4,635</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11,611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19,957</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4,635</w:t>
            </w:r>
          </w:p>
        </w:tc>
        <w:tc>
          <w:tcPr>
            <w:tcW w:w="920" w:type="dxa"/>
            <w:vAlign w:val="bottom"/>
            <w:gridSpan w:val="2"/>
          </w:tcPr>
          <w:p>
            <w:pPr>
              <w:jc w:val="right"/>
              <w:ind w:right="17"/>
              <w:spacing w:after="0"/>
              <w:rPr>
                <w:sz w:val="20"/>
                <w:szCs w:val="20"/>
                <w:color w:val="auto"/>
              </w:rPr>
            </w:pPr>
            <w:r>
              <w:rPr>
                <w:rFonts w:ascii="Arial" w:cs="Arial" w:eastAsia="Arial" w:hAnsi="Arial"/>
                <w:sz w:val="14"/>
                <w:szCs w:val="14"/>
                <w:color w:val="auto"/>
              </w:rPr>
              <w:t>31,568</w:t>
            </w:r>
          </w:p>
        </w:tc>
        <w:tc>
          <w:tcPr>
            <w:tcW w:w="8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36,203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23,145</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7/19/1993</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CROW CANYON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27,245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54,575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27,245</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63,838</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91,083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32,610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4"/>
                <w:szCs w:val="14"/>
                <w:color w:val="auto"/>
              </w:rPr>
              <w:t>Late 1970's/</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12/29/05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COMMONS (California)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1998/2006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2/28/07</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DARIEN COMMONS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30,368</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19,523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90,301</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30,368</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109,824</w:t>
            </w:r>
          </w:p>
        </w:tc>
        <w:tc>
          <w:tcPr>
            <w:tcW w:w="8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140,192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4,526</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1920-2009</w:t>
            </w: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4/3/13 &amp;</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(Connecticut)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7/20/18</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12/14/16,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DEDHAM PLAZA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1/29/19, &amp;</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16,354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19,609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16,354</w:t>
            </w: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33,022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49,376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20,497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3"/>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5/30/08,</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DEL MAR VILLAGE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1982/1994/</w:t>
            </w: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7/11/08, &amp;</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15,624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41,712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17,861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15,587</w:t>
            </w:r>
          </w:p>
        </w:tc>
        <w:tc>
          <w:tcPr>
            <w:tcW w:w="920" w:type="dxa"/>
            <w:vAlign w:val="bottom"/>
            <w:gridSpan w:val="2"/>
          </w:tcPr>
          <w:p>
            <w:pPr>
              <w:jc w:val="right"/>
              <w:ind w:right="17"/>
              <w:spacing w:after="0"/>
              <w:rPr>
                <w:sz w:val="20"/>
                <w:szCs w:val="20"/>
                <w:color w:val="auto"/>
              </w:rPr>
            </w:pPr>
            <w:r>
              <w:rPr>
                <w:rFonts w:ascii="Arial" w:cs="Arial" w:eastAsia="Arial" w:hAnsi="Arial"/>
                <w:sz w:val="14"/>
                <w:szCs w:val="14"/>
                <w:color w:val="auto"/>
              </w:rPr>
              <w:t>59,610</w:t>
            </w:r>
          </w:p>
        </w:tc>
        <w:tc>
          <w:tcPr>
            <w:tcW w:w="80" w:type="dxa"/>
            <w:vAlign w:val="bottom"/>
          </w:tcPr>
          <w:p>
            <w:pPr>
              <w:spacing w:after="0"/>
              <w:rPr>
                <w:sz w:val="17"/>
                <w:szCs w:val="17"/>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75,197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30,199</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10/14/14</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EAST BAY BRIDGE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29,069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138,035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12,534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29,069</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150,569</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179,638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51,835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1994-2001,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12/21/2012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2011/2012</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ELLISBURG (New Jersey)</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4,028</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11,309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22,022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4,013</w:t>
            </w:r>
          </w:p>
        </w:tc>
        <w:tc>
          <w:tcPr>
            <w:tcW w:w="920" w:type="dxa"/>
            <w:vAlign w:val="bottom"/>
            <w:gridSpan w:val="2"/>
          </w:tcPr>
          <w:p>
            <w:pPr>
              <w:jc w:val="right"/>
              <w:ind w:right="17"/>
              <w:spacing w:after="0"/>
              <w:rPr>
                <w:sz w:val="20"/>
                <w:szCs w:val="20"/>
                <w:color w:val="auto"/>
              </w:rPr>
            </w:pPr>
            <w:r>
              <w:rPr>
                <w:rFonts w:ascii="Arial" w:cs="Arial" w:eastAsia="Arial" w:hAnsi="Arial"/>
                <w:sz w:val="14"/>
                <w:szCs w:val="14"/>
                <w:color w:val="auto"/>
              </w:rPr>
              <w:t>33,346</w:t>
            </w:r>
          </w:p>
        </w:tc>
        <w:tc>
          <w:tcPr>
            <w:tcW w:w="8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37,359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23,410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10/16/1992</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FAIRFAX JUNCTION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16,768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23,825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3,547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16,768</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27,372</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44,140</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1981/1986/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2/8/19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1/10/20</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FEDERAL PLAZA</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10,216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17,895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45,511</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10,216</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63,406</w:t>
            </w:r>
          </w:p>
        </w:tc>
        <w:tc>
          <w:tcPr>
            <w:tcW w:w="8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73,622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52,462</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1970</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6/29/1989</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FINLEY SQUARE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9,252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9,544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23,530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9,252</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33,074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42,326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25,593</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4/27/1995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FLOURTOWN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1,345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3,943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13,018</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1,507</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16,799</w:t>
            </w:r>
          </w:p>
        </w:tc>
        <w:tc>
          <w:tcPr>
            <w:tcW w:w="8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18,306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8,227</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1957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4/25/1980</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FOURTH STREET</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13,978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9,909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3,932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13,978</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13,841</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27,819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3,518</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1948,1975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5/19/2017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FREEDOM PLAZA</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3,255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40,841</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44,096</w:t>
            </w:r>
          </w:p>
        </w:tc>
        <w:tc>
          <w:tcPr>
            <w:tcW w:w="8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44,096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2,965</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2018-2020</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6/15/2018</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FRESH MEADOWS (New</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24,625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25,255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44,707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24,633</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69,954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94,587</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50,551</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1946-1949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12/5/1997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2022</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2"/>
        </w:trPr>
        <w:tc>
          <w:tcPr>
            <w:tcW w:w="1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4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tcPr>
          <w:p>
            <w:pPr>
              <w:jc w:val="right"/>
              <w:ind w:right="149"/>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in latest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20" w:type="dxa"/>
            <w:vAlign w:val="bottom"/>
            <w:vMerge w:val="restart"/>
          </w:tcPr>
          <w:p>
            <w:pPr>
              <w:jc w:val="right"/>
              <w:ind w:right="16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84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Construction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line="143" w:lineRule="exact"/>
              <w:rPr>
                <w:sz w:val="20"/>
                <w:szCs w:val="20"/>
                <w:color w:val="auto"/>
              </w:rPr>
            </w:pPr>
            <w:r>
              <w:rPr>
                <w:rFonts w:ascii="Arial" w:cs="Arial" w:eastAsia="Arial" w:hAnsi="Arial"/>
                <w:sz w:val="14"/>
                <w:szCs w:val="14"/>
                <w:color w:val="auto"/>
              </w:rPr>
              <w:t>FRIENDSHIP CENTER</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12,696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20,803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4,062</w:t>
            </w:r>
          </w:p>
        </w:tc>
        <w:tc>
          <w:tcPr>
            <w:tcW w:w="8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12,696</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24,865</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37,561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15,023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9/21/2001</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(District of Columbia)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GAITHERSBURG SQUARE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7,701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26,088</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5,973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33,087</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39,060</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20,489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GARDEN MARKET (Illinois)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2,677</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7,859</w:t>
            </w:r>
          </w:p>
        </w:tc>
        <w:tc>
          <w:tcPr>
            <w:tcW w:w="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2,677</w:t>
            </w:r>
          </w:p>
        </w:tc>
        <w:tc>
          <w:tcPr>
            <w:tcW w:w="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12,688</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15,365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10,066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7/28/1994</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GEORGETOWNE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SHOPPING CENTER (New</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9"/>
              </w:rPr>
              <w:t>1969/2006/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32,202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32,202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53,316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85,518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11/15/19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GOVERNOR PLAZA</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4,905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26,671</w:t>
            </w:r>
          </w:p>
        </w:tc>
        <w:tc>
          <w:tcPr>
            <w:tcW w:w="8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31,576</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33,644</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22,416</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10/1/1985</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GRAHAM PARK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642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16,943</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653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24,561</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25,214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18,777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7/21/1983</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GRATIOT PLAZA</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1,601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18,580</w:t>
            </w:r>
          </w:p>
        </w:tc>
        <w:tc>
          <w:tcPr>
            <w:tcW w:w="8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20,181</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20,706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18,518</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1964</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3/29/1973</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(Michigan)</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GREENLAWN PLAZA (New</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10,590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20,869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10,743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22,926</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33,669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1975/2004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GREENWICH AVENUE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7,484</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5,445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10,819</w:t>
            </w:r>
          </w:p>
        </w:tc>
        <w:tc>
          <w:tcPr>
            <w:tcW w:w="8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7,484</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16,264</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23,748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6,767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1968</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4/12/1995</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(Connecticut)</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1961, 1963,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GROSSMONT CENTER</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8"/>
              </w:rPr>
              <w:t>1982-1983,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125,434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125,434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51,002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176,436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6/1/2021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HASTINGS RANCH PLAZA</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2,257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22,393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2,257</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23,460</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25,717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4,626</w:t>
            </w: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w w:val="94"/>
              </w:rPr>
              <w:t>1958, 1984,</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2/1/2017</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2006, 2007</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HAUPPAUGE (New York)</w:t>
            </w: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8,791</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15,262</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11,611</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8,519</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27,145</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35,664</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15,449</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8/6/1998</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HILTON VILLAGE (Arizona)</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85,431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218</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85,649</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85,649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2,881</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1982/1989</w:t>
            </w: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6/14/21 &amp;</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7/18/22</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9/18/19,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11/26/19,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12/19/19,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HOBOKEN (New Jersey)</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85,684</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56,866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167,835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2,805</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56,868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170,638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227,506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16,501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1887-2006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2/12/20,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11/18/22</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HOLLYWOOD BLVD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8,300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16,920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36,670</w:t>
            </w:r>
          </w:p>
        </w:tc>
        <w:tc>
          <w:tcPr>
            <w:tcW w:w="8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8,370</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53,520</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61,890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22,892</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1929/1991</w:t>
            </w: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3/22/99 &amp;</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6/18/99</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12/12/88,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HUNTINGTON (New York)</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12,194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16,008</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51,607</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12,294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67,515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79,809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17,994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7"/>
              </w:rPr>
              <w:t>10/26/07,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CCEEFF"/>
            </w:tcBorders>
            <w:gridSpan w:val="2"/>
            <w:vMerge w:val="continue"/>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11/24/15</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HUNTINGTON SQUARE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10,075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3,851</w:t>
            </w:r>
          </w:p>
        </w:tc>
        <w:tc>
          <w:tcPr>
            <w:tcW w:w="8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13,420</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13,926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5,782</w:t>
            </w: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w w:val="98"/>
              </w:rPr>
              <w:t>1980/2004-</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8/16/2010</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IDYLWOOD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4,308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4,308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13,818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18,126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10,783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4/15/1994</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KINGS COURT (California)</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10,714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11,631</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11,631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10,939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8/24/1998</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2022</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2"/>
        </w:trPr>
        <w:tc>
          <w:tcPr>
            <w:tcW w:w="1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tcPr>
          <w:p>
            <w:pPr>
              <w:jc w:val="right"/>
              <w:ind w:right="169"/>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in latest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1"/>
                <w:szCs w:val="11"/>
                <w:color w:val="auto"/>
              </w:rPr>
            </w:pPr>
          </w:p>
        </w:tc>
        <w:tc>
          <w:tcPr>
            <w:tcW w:w="78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1"/>
                <w:szCs w:val="11"/>
                <w:color w:val="auto"/>
              </w:rPr>
            </w:pPr>
          </w:p>
        </w:tc>
        <w:tc>
          <w:tcPr>
            <w:tcW w:w="820" w:type="dxa"/>
            <w:vAlign w:val="bottom"/>
          </w:tcPr>
          <w:p>
            <w:pPr>
              <w:jc w:val="right"/>
              <w:ind w:right="9"/>
              <w:spacing w:after="0" w:line="135" w:lineRule="exact"/>
              <w:rPr>
                <w:sz w:val="20"/>
                <w:szCs w:val="20"/>
                <w:color w:val="auto"/>
              </w:rPr>
            </w:pPr>
            <w:r>
              <w:rPr>
                <w:rFonts w:ascii="Arial" w:cs="Arial" w:eastAsia="Arial" w:hAnsi="Arial"/>
                <w:sz w:val="13"/>
                <w:szCs w:val="13"/>
                <w:b w:val="1"/>
                <w:bCs w:val="1"/>
                <w:color w:val="auto"/>
                <w:w w:val="91"/>
              </w:rPr>
              <w:t>Building and</w:t>
            </w: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2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84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Improvements</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Construction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KINGSTOWNE TOWNE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72,234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137,466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72,234</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137,600</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209,834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2,827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1996/2001/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4/20/22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CENTER (Virginia)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7/27/22</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LANCASTER (Pennsylvania)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2,103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6,621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8,292</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8,724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6,460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4/24/1980</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LANGHORNE SQUARE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2,974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21,044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24,018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24,738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18,544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1/31/1985</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LAUREL (Maryland)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7,458</w:t>
            </w:r>
          </w:p>
        </w:tc>
        <w:tc>
          <w:tcPr>
            <w:tcW w:w="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22,525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31,484</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7,551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53,916</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61,467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44,562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8/15/1986</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LAWRENCE PARK</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6,150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8,491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55,608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61,769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26,059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7/23/1980</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&amp; 4/3/17</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LINDEN SQUARE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79,382</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19,247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59,103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79,346</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78,386</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157,732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33,750</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1960-2008</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8/24/2006</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MELVILLE MALL (New</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32,882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36,431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35,622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69,313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104,935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25,179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10/16/2006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MERCER MALL (New</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5,917</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18,358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51,788</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5,868</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70,195</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76,063</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40,726</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1975</w:t>
            </w: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10/14/03 &amp;</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Jersey)</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1/31/17</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1960s,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MONTROSE CROSSING</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w w:val="90"/>
              </w:rPr>
              <w:t>1970s, 1996</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12/27/11 &amp;</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48,624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91,819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31,945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123,764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172,388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44,035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&amp; 2011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MOUNT VERNON/SOUTH</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3/31/03,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VALLEY/7770 RICHMOND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w w:val="99"/>
              </w:rPr>
              <w:t>1966/1972/</w:t>
            </w: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3/21/03, &amp;</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HWY. (Virginia)</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15,769</w:t>
            </w:r>
          </w:p>
        </w:tc>
        <w:tc>
          <w:tcPr>
            <w:tcW w:w="8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33,501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45,682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15,851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79,101</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94,952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47,780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1987/2001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1/27/06</w:t>
            </w: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NORTH DARTMOUTH</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9,366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9,366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9,369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NORTHEAST (Pennsylvania)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938</w:t>
            </w:r>
          </w:p>
        </w:tc>
        <w:tc>
          <w:tcPr>
            <w:tcW w:w="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8,779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25,542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34,320</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35,259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22,611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8/30/1983</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OLD KEENE MILL (Virginia)</w:t>
            </w: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638</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998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12,045</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13,043</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13,681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7,309</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6/15/1976</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OLD TOWN CENTER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3,420</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2,765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35,035</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3,420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37,800</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41,220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25,856</w:t>
            </w: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w w:val="93"/>
              </w:rPr>
              <w:t>1962, 1997-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10/22/1997</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OLIVO AT MISSION HILLS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15,048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46,732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20,903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15,048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67,635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82,683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8,590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2017-2018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PAN AM (Virginia)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8,694</w:t>
            </w:r>
          </w:p>
        </w:tc>
        <w:tc>
          <w:tcPr>
            <w:tcW w:w="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12,929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10,055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8,695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22,983</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31,678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18,204</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2/5/1993</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PERRING PLAZA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2,800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6,461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26,183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32,644</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35,444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5/18/82,</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w w:val="93"/>
              </w:rPr>
              <w:t>1963, 2012-</w:t>
            </w: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w w:val="97"/>
              </w:rPr>
              <w:t>10/26/07, &amp;</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PIKE &amp; ROSE (Maryland)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31,471</w:t>
            </w:r>
          </w:p>
        </w:tc>
        <w:tc>
          <w:tcPr>
            <w:tcW w:w="8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10,335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761,536</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33,716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769,626</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803,342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103,351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7/31/12</w:t>
            </w: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PIKE 7 PLAZA (Virginia)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14,970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22,799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14,342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14,914</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37,197</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52,111</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21,950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3/31/97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2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7/8/15</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PLAZA DEL MERCADO</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10,305</w:t>
            </w:r>
          </w:p>
        </w:tc>
        <w:tc>
          <w:tcPr>
            <w:tcW w:w="8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21,553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15,022</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10,305</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36,575</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46,880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10,092</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1969</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2022</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2"/>
        </w:trPr>
        <w:tc>
          <w:tcPr>
            <w:tcW w:w="1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tcPr>
          <w:p>
            <w:pPr>
              <w:jc w:val="right"/>
              <w:ind w:right="149"/>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gridSpan w:val="2"/>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in latest</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8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w w:val="90"/>
              </w:rPr>
              <w:t>Encumbrance</w:t>
            </w:r>
          </w:p>
        </w:tc>
        <w:tc>
          <w:tcPr>
            <w:tcW w:w="80" w:type="dxa"/>
            <w:vAlign w:val="bottom"/>
            <w:vMerge w:val="restart"/>
          </w:tcPr>
          <w:p>
            <w:pPr>
              <w:spacing w:after="0"/>
              <w:rPr>
                <w:sz w:val="11"/>
                <w:szCs w:val="11"/>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84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Construction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PLAZA DEL SOL</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12,331</w:t>
            </w:r>
          </w:p>
        </w:tc>
        <w:tc>
          <w:tcPr>
            <w:tcW w:w="8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5,605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12,350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17,955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12/30/11,</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6/14/13,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PLAZA EL SEGUNDO/THE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2006/2007/</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7/26/13, &amp;</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POINT (California)</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124,614</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62,127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153,556</w:t>
            </w:r>
          </w:p>
        </w:tc>
        <w:tc>
          <w:tcPr>
            <w:tcW w:w="840" w:type="dxa"/>
            <w:vAlign w:val="bottom"/>
            <w:gridSpan w:val="2"/>
          </w:tcPr>
          <w:p>
            <w:pPr>
              <w:jc w:val="right"/>
              <w:ind w:right="19"/>
              <w:spacing w:after="0"/>
              <w:rPr>
                <w:sz w:val="20"/>
                <w:szCs w:val="20"/>
                <w:color w:val="auto"/>
              </w:rPr>
            </w:pPr>
            <w:r>
              <w:rPr>
                <w:rFonts w:ascii="Arial" w:cs="Arial" w:eastAsia="Arial" w:hAnsi="Arial"/>
                <w:sz w:val="14"/>
                <w:szCs w:val="14"/>
                <w:color w:val="auto"/>
              </w:rPr>
              <w:t>88,748</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64,463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239,968</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304,431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74,977</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12/27/13</w:t>
            </w: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QUEEN ANNE PLAZA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8,457</w:t>
            </w:r>
          </w:p>
        </w:tc>
        <w:tc>
          <w:tcPr>
            <w:tcW w:w="8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7,542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3,319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15,999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19,318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11,884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12/23/1994</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QUINCE ORCHARD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3,197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7,949</w:t>
            </w:r>
          </w:p>
        </w:tc>
        <w:tc>
          <w:tcPr>
            <w:tcW w:w="840" w:type="dxa"/>
            <w:vAlign w:val="bottom"/>
            <w:gridSpan w:val="2"/>
            <w:vMerge w:val="restart"/>
          </w:tcPr>
          <w:p>
            <w:pPr>
              <w:jc w:val="right"/>
              <w:ind w:right="19"/>
              <w:spacing w:after="0"/>
              <w:rPr>
                <w:sz w:val="20"/>
                <w:szCs w:val="20"/>
                <w:color w:val="auto"/>
              </w:rPr>
            </w:pPr>
            <w:r>
              <w:rPr>
                <w:rFonts w:ascii="Arial" w:cs="Arial" w:eastAsia="Arial" w:hAnsi="Arial"/>
                <w:sz w:val="14"/>
                <w:szCs w:val="14"/>
                <w:color w:val="auto"/>
              </w:rPr>
              <w:t>29,436</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2,928</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37,654</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40,582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26,197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1975</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4/22/1993</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RIVERPOINT CENTER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104,572</w:t>
            </w:r>
          </w:p>
        </w:tc>
        <w:tc>
          <w:tcPr>
            <w:tcW w:w="8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2,173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15,422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106,745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122,167</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19,616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1989, 2012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3/31/2017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w w:val="93"/>
              </w:rPr>
              <w:t>1958, 1964-</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w w:val="93"/>
              </w:rPr>
              <w:t>1965, 1974-</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SAN ANTONIO CENTER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3"/>
              </w:rPr>
              <w:t>1975, 1995-</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1/9/2015,</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18,462</w:t>
            </w:r>
          </w:p>
        </w:tc>
        <w:tc>
          <w:tcPr>
            <w:tcW w:w="840" w:type="dxa"/>
            <w:vAlign w:val="bottom"/>
            <w:gridSpan w:val="2"/>
          </w:tcPr>
          <w:p>
            <w:pPr>
              <w:jc w:val="right"/>
              <w:ind w:right="19"/>
              <w:spacing w:after="0"/>
              <w:rPr>
                <w:sz w:val="20"/>
                <w:szCs w:val="20"/>
                <w:color w:val="auto"/>
              </w:rPr>
            </w:pPr>
            <w:r>
              <w:rPr>
                <w:rFonts w:ascii="Arial" w:cs="Arial" w:eastAsia="Arial" w:hAnsi="Arial"/>
                <w:sz w:val="14"/>
                <w:szCs w:val="14"/>
                <w:color w:val="auto"/>
              </w:rPr>
              <w:t>5,887</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26,400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24,349</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50,749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6,144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1997</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9/13/19</w:t>
            </w: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1999-2006,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7/13/12,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2009, 2011,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9/6/12,</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2014, 2016-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4/30/13 &amp;</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SANTANA ROW (California)</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7,502</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1,205,916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57,592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1,222,508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1,280,100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295,689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9/23/13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3"/>
        </w:trPr>
        <w:tc>
          <w:tcPr>
            <w:tcW w:w="1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SYLMAR TOWNE CENTER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24,637</w:t>
            </w:r>
          </w:p>
        </w:tc>
        <w:tc>
          <w:tcPr>
            <w:tcW w:w="840" w:type="dxa"/>
            <w:vAlign w:val="bottom"/>
            <w:gridSpan w:val="2"/>
            <w:vMerge w:val="restart"/>
          </w:tcPr>
          <w:p>
            <w:pPr>
              <w:jc w:val="right"/>
              <w:ind w:right="19"/>
              <w:spacing w:after="0"/>
              <w:rPr>
                <w:sz w:val="20"/>
                <w:szCs w:val="20"/>
                <w:color w:val="auto"/>
              </w:rPr>
            </w:pPr>
            <w:r>
              <w:rPr>
                <w:rFonts w:ascii="Arial" w:cs="Arial" w:eastAsia="Arial" w:hAnsi="Arial"/>
                <w:sz w:val="14"/>
                <w:szCs w:val="14"/>
                <w:color w:val="auto"/>
              </w:rPr>
              <w:t>3,160</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27,797</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46,319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4,791</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AVENUE AT WHITE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20,682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72,432</w:t>
            </w:r>
          </w:p>
        </w:tc>
        <w:tc>
          <w:tcPr>
            <w:tcW w:w="8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34,072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20,685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106,501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127,186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49,604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MARSH (Maryland)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THE GROVE AT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0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SHREWSBURY (New</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w w:val="99"/>
              </w:rPr>
              <w:t>1988/1993/</w:t>
            </w: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1/1/2014 &amp;</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Jersey)</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43,168</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18,016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103,115</w:t>
            </w:r>
          </w:p>
        </w:tc>
        <w:tc>
          <w:tcPr>
            <w:tcW w:w="840" w:type="dxa"/>
            <w:vAlign w:val="bottom"/>
            <w:gridSpan w:val="2"/>
          </w:tcPr>
          <w:p>
            <w:pPr>
              <w:jc w:val="right"/>
              <w:ind w:right="19"/>
              <w:spacing w:after="0"/>
              <w:rPr>
                <w:sz w:val="20"/>
                <w:szCs w:val="20"/>
                <w:color w:val="auto"/>
              </w:rPr>
            </w:pPr>
            <w:r>
              <w:rPr>
                <w:rFonts w:ascii="Arial" w:cs="Arial" w:eastAsia="Arial" w:hAnsi="Arial"/>
                <w:sz w:val="14"/>
                <w:szCs w:val="14"/>
                <w:color w:val="auto"/>
              </w:rPr>
              <w:t>9,200</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18,021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112,310</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130,331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31,948</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10/6/14</w:t>
            </w: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SHOPPES AT</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0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NOTTINGHAM SQUARE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12,849</w:t>
            </w:r>
          </w:p>
        </w:tc>
        <w:tc>
          <w:tcPr>
            <w:tcW w:w="8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2,208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4,441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15,057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19,498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7,448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2005 - 2006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THE SHOPS AT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0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PEMBROKE GARDENS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39,506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141,356</w:t>
            </w:r>
          </w:p>
        </w:tc>
        <w:tc>
          <w:tcPr>
            <w:tcW w:w="840" w:type="dxa"/>
            <w:vAlign w:val="bottom"/>
            <w:gridSpan w:val="2"/>
            <w:vMerge w:val="restart"/>
          </w:tcPr>
          <w:p>
            <w:pPr>
              <w:jc w:val="right"/>
              <w:ind w:right="19"/>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39,506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141,452</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180,958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2,489</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7/27/2022</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0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THIRD STREET</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22,645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12,709</w:t>
            </w:r>
          </w:p>
        </w:tc>
        <w:tc>
          <w:tcPr>
            <w:tcW w:w="8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53,725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25,125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63,954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89,079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38,262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1888-2000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1996-2000</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PROMENADE (California)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TOWER SHOPPNG</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7,170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10,518</w:t>
            </w:r>
          </w:p>
        </w:tc>
        <w:tc>
          <w:tcPr>
            <w:tcW w:w="840" w:type="dxa"/>
            <w:vAlign w:val="bottom"/>
            <w:gridSpan w:val="2"/>
            <w:vMerge w:val="restart"/>
          </w:tcPr>
          <w:p>
            <w:pPr>
              <w:jc w:val="right"/>
              <w:ind w:right="19"/>
              <w:spacing w:after="0"/>
              <w:rPr>
                <w:sz w:val="20"/>
                <w:szCs w:val="20"/>
                <w:color w:val="auto"/>
              </w:rPr>
            </w:pPr>
            <w:r>
              <w:rPr>
                <w:rFonts w:ascii="Arial" w:cs="Arial" w:eastAsia="Arial" w:hAnsi="Arial"/>
                <w:sz w:val="14"/>
                <w:szCs w:val="14"/>
                <w:color w:val="auto"/>
              </w:rPr>
              <w:t>5,434</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7,280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15,842</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23,122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11,161</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1953-1960</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8/24/1998</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CENTER (Virginia)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TOWER SHOPS (Florida)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29,940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43,390</w:t>
            </w:r>
          </w:p>
        </w:tc>
        <w:tc>
          <w:tcPr>
            <w:tcW w:w="8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29,095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29,962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72,463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102,425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28,776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1989, 2017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1/19/11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4"/>
        </w:trPr>
        <w:tc>
          <w:tcPr>
            <w:tcW w:w="190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6/13/14</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TOWN CENTER OF NEW</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12,285</w:t>
            </w:r>
          </w:p>
        </w:tc>
        <w:tc>
          <w:tcPr>
            <w:tcW w:w="840" w:type="dxa"/>
            <w:vAlign w:val="bottom"/>
            <w:gridSpan w:val="2"/>
            <w:vMerge w:val="restart"/>
          </w:tcPr>
          <w:p>
            <w:pPr>
              <w:jc w:val="right"/>
              <w:ind w:right="19"/>
              <w:spacing w:after="0"/>
              <w:rPr>
                <w:sz w:val="20"/>
                <w:szCs w:val="20"/>
                <w:color w:val="auto"/>
              </w:rPr>
            </w:pPr>
            <w:r>
              <w:rPr>
                <w:rFonts w:ascii="Arial" w:cs="Arial" w:eastAsia="Arial" w:hAnsi="Arial"/>
                <w:sz w:val="14"/>
                <w:szCs w:val="14"/>
                <w:color w:val="auto"/>
              </w:rPr>
              <w:t>4,219</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1,827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15,959</w:t>
            </w:r>
          </w:p>
        </w:tc>
        <w:tc>
          <w:tcPr>
            <w:tcW w:w="8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17,786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7,643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1969</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6/29/2006</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8"/>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BRITAIN (Pennsylvania)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TROY HILLS (New Jersey)</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5,193</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33,191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5,865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41,510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25,966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2022</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0801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0801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TWINBROOKE</w:t>
      </w:r>
    </w:p>
    <w:p>
      <w:pPr>
        <w:ind w:left="60" w:right="360"/>
        <w:spacing w:after="0" w:line="227" w:lineRule="auto"/>
        <w:rPr>
          <w:sz w:val="20"/>
          <w:szCs w:val="20"/>
          <w:color w:val="auto"/>
        </w:rPr>
      </w:pPr>
      <w:r>
        <w:rPr>
          <w:rFonts w:ascii="Arial" w:cs="Arial" w:eastAsia="Arial" w:hAnsi="Arial"/>
          <w:sz w:val="14"/>
          <w:szCs w:val="14"/>
          <w:color w:val="auto"/>
        </w:rPr>
        <w:t>SHOPPING CENTRE (Virginia)</w:t>
      </w:r>
    </w:p>
    <w:p>
      <w:pPr>
        <w:spacing w:after="0" w:line="21" w:lineRule="exact"/>
        <w:rPr>
          <w:sz w:val="20"/>
          <w:szCs w:val="20"/>
          <w:color w:val="auto"/>
        </w:rPr>
      </w:pPr>
    </w:p>
    <w:p>
      <w:pPr>
        <w:ind w:left="60" w:right="460"/>
        <w:spacing w:after="0" w:line="270" w:lineRule="auto"/>
        <w:rPr>
          <w:sz w:val="20"/>
          <w:szCs w:val="20"/>
          <w:color w:val="auto"/>
        </w:rPr>
      </w:pPr>
      <w:r>
        <w:rPr>
          <w:rFonts w:ascii="Arial" w:cs="Arial" w:eastAsia="Arial" w:hAnsi="Arial"/>
          <w:sz w:val="13"/>
          <w:szCs w:val="13"/>
          <w:color w:val="auto"/>
        </w:rPr>
        <w:t>TYSON'S STATION (Virginia)</w:t>
      </w:r>
    </w:p>
    <w:p>
      <w:pPr>
        <w:spacing w:after="0" w:line="1" w:lineRule="exact"/>
        <w:rPr>
          <w:sz w:val="20"/>
          <w:szCs w:val="20"/>
          <w:color w:val="auto"/>
        </w:rPr>
      </w:pPr>
    </w:p>
    <w:p>
      <w:pPr>
        <w:ind w:left="60" w:right="100"/>
        <w:spacing w:after="0" w:line="251" w:lineRule="auto"/>
        <w:rPr>
          <w:sz w:val="20"/>
          <w:szCs w:val="20"/>
          <w:color w:val="auto"/>
        </w:rPr>
      </w:pPr>
      <w:r>
        <w:rPr>
          <w:rFonts w:ascii="Arial" w:cs="Arial" w:eastAsia="Arial" w:hAnsi="Arial"/>
          <w:sz w:val="14"/>
          <w:szCs w:val="14"/>
          <w:color w:val="auto"/>
        </w:rPr>
        <w:t>VILLAGE AT SHIRLINGTON (Virginia)</w:t>
      </w:r>
    </w:p>
    <w:p>
      <w:pPr>
        <w:spacing w:after="0" w:line="1" w:lineRule="exact"/>
        <w:rPr>
          <w:sz w:val="20"/>
          <w:szCs w:val="20"/>
          <w:color w:val="auto"/>
        </w:rPr>
      </w:pPr>
    </w:p>
    <w:p>
      <w:pPr>
        <w:ind w:left="60" w:right="300"/>
        <w:spacing w:after="0" w:line="251" w:lineRule="auto"/>
        <w:rPr>
          <w:sz w:val="20"/>
          <w:szCs w:val="20"/>
          <w:color w:val="auto"/>
        </w:rPr>
      </w:pPr>
      <w:r>
        <w:rPr>
          <w:rFonts w:ascii="Arial" w:cs="Arial" w:eastAsia="Arial" w:hAnsi="Arial"/>
          <w:sz w:val="14"/>
          <w:szCs w:val="14"/>
          <w:color w:val="auto"/>
        </w:rPr>
        <w:t>WESTGATE CENTER (California)</w:t>
      </w:r>
    </w:p>
    <w:p>
      <w:pPr>
        <w:ind w:left="60"/>
        <w:spacing w:after="0"/>
        <w:rPr>
          <w:sz w:val="20"/>
          <w:szCs w:val="20"/>
          <w:color w:val="auto"/>
        </w:rPr>
      </w:pPr>
      <w:r>
        <w:rPr>
          <w:rFonts w:ascii="Arial" w:cs="Arial" w:eastAsia="Arial" w:hAnsi="Arial"/>
          <w:sz w:val="14"/>
          <w:szCs w:val="14"/>
          <w:color w:val="auto"/>
        </w:rPr>
        <w:t>WESTPOST (FORMERLY</w:t>
      </w:r>
    </w:p>
    <w:p>
      <w:pPr>
        <w:ind w:left="60" w:right="80"/>
        <w:spacing w:after="0" w:line="250" w:lineRule="auto"/>
        <w:rPr>
          <w:sz w:val="20"/>
          <w:szCs w:val="20"/>
          <w:color w:val="auto"/>
        </w:rPr>
      </w:pPr>
      <w:r>
        <w:rPr>
          <w:rFonts w:ascii="Arial" w:cs="Arial" w:eastAsia="Arial" w:hAnsi="Arial"/>
          <w:sz w:val="13"/>
          <w:szCs w:val="13"/>
          <w:color w:val="auto"/>
        </w:rPr>
        <w:t>KNOWN AS PENTAGON ROW) (Virginia)</w:t>
      </w:r>
    </w:p>
    <w:p>
      <w:pPr>
        <w:spacing w:after="0" w:line="14" w:lineRule="exact"/>
        <w:rPr>
          <w:sz w:val="20"/>
          <w:szCs w:val="20"/>
          <w:color w:val="auto"/>
        </w:rPr>
      </w:pPr>
    </w:p>
    <w:p>
      <w:pPr>
        <w:ind w:left="60" w:right="140"/>
        <w:spacing w:after="0" w:line="251" w:lineRule="auto"/>
        <w:rPr>
          <w:sz w:val="20"/>
          <w:szCs w:val="20"/>
          <w:color w:val="auto"/>
        </w:rPr>
      </w:pPr>
      <w:r>
        <w:rPr>
          <w:rFonts w:ascii="Arial" w:cs="Arial" w:eastAsia="Arial" w:hAnsi="Arial"/>
          <w:sz w:val="14"/>
          <w:szCs w:val="14"/>
          <w:color w:val="auto"/>
        </w:rPr>
        <w:t>WHITE MARSH PLAZA (Maryland)</w:t>
      </w:r>
    </w:p>
    <w:p>
      <w:pPr>
        <w:spacing w:after="0" w:line="1" w:lineRule="exact"/>
        <w:rPr>
          <w:sz w:val="20"/>
          <w:szCs w:val="20"/>
          <w:color w:val="auto"/>
        </w:rPr>
      </w:pPr>
    </w:p>
    <w:p>
      <w:pPr>
        <w:ind w:left="60" w:right="140"/>
        <w:spacing w:after="0" w:line="251" w:lineRule="auto"/>
        <w:rPr>
          <w:sz w:val="20"/>
          <w:szCs w:val="20"/>
          <w:color w:val="auto"/>
        </w:rPr>
      </w:pPr>
      <w:r>
        <w:rPr>
          <w:rFonts w:ascii="Arial" w:cs="Arial" w:eastAsia="Arial" w:hAnsi="Arial"/>
          <w:sz w:val="14"/>
          <w:szCs w:val="14"/>
          <w:color w:val="auto"/>
        </w:rPr>
        <w:t>WHITE MARSH OTHER (Maryland)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WILDWOOD (Maryland)</w:t>
      </w:r>
    </w:p>
    <w:p>
      <w:pPr>
        <w:spacing w:after="0" w:line="42" w:lineRule="exact"/>
        <w:rPr>
          <w:sz w:val="20"/>
          <w:szCs w:val="20"/>
          <w:color w:val="auto"/>
        </w:rPr>
      </w:pPr>
    </w:p>
    <w:p>
      <w:pPr>
        <w:ind w:left="60" w:right="520"/>
        <w:spacing w:after="0" w:line="251" w:lineRule="auto"/>
        <w:rPr>
          <w:sz w:val="20"/>
          <w:szCs w:val="20"/>
          <w:color w:val="auto"/>
        </w:rPr>
      </w:pPr>
      <w:r>
        <w:rPr>
          <w:rFonts w:ascii="Arial" w:cs="Arial" w:eastAsia="Arial" w:hAnsi="Arial"/>
          <w:sz w:val="14"/>
          <w:szCs w:val="14"/>
          <w:color w:val="auto"/>
        </w:rPr>
        <w:t>WILLOW GROVE (Pennsylvania)</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WILLOW LAWN (Virginia)</w:t>
      </w:r>
    </w:p>
    <w:p>
      <w:pPr>
        <w:spacing w:after="0" w:line="42" w:lineRule="exact"/>
        <w:rPr>
          <w:sz w:val="20"/>
          <w:szCs w:val="20"/>
          <w:color w:val="auto"/>
        </w:rPr>
      </w:pPr>
    </w:p>
    <w:p>
      <w:pPr>
        <w:ind w:left="60" w:right="680"/>
        <w:spacing w:after="0" w:line="253" w:lineRule="auto"/>
        <w:rPr>
          <w:sz w:val="20"/>
          <w:szCs w:val="20"/>
          <w:color w:val="auto"/>
        </w:rPr>
      </w:pPr>
      <w:r>
        <w:rPr>
          <w:rFonts w:ascii="Arial" w:cs="Arial" w:eastAsia="Arial" w:hAnsi="Arial"/>
          <w:sz w:val="14"/>
          <w:szCs w:val="14"/>
          <w:color w:val="auto"/>
        </w:rPr>
        <w:t>WYNNEWOOD (Pennsylvania)</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TOTALS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3"/>
                <w:szCs w:val="13"/>
                <w:b w:val="1"/>
                <w:bCs w:val="1"/>
                <w:color w:val="auto"/>
                <w:w w:val="99"/>
              </w:rPr>
              <w:t>COLUMN F</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22"/>
        </w:trPr>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2"/>
              </w:rPr>
              <w:t>Cost</w:t>
            </w:r>
          </w:p>
        </w:tc>
        <w:tc>
          <w:tcPr>
            <w:tcW w:w="2640" w:type="dxa"/>
            <w:vAlign w:val="bottom"/>
            <w:gridSpan w:val="6"/>
          </w:tcPr>
          <w:p>
            <w:pPr>
              <w:ind w:left="380"/>
              <w:spacing w:after="0"/>
              <w:rPr>
                <w:sz w:val="20"/>
                <w:szCs w:val="20"/>
                <w:color w:val="auto"/>
              </w:rPr>
            </w:pPr>
            <w:r>
              <w:rPr>
                <w:rFonts w:ascii="Arial" w:cs="Arial" w:eastAsia="Arial" w:hAnsi="Arial"/>
                <w:sz w:val="13"/>
                <w:szCs w:val="13"/>
                <w:b w:val="1"/>
                <w:bCs w:val="1"/>
                <w:color w:val="auto"/>
              </w:rPr>
              <w:t>Gross amount at which carried at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4"/>
          </w:tcPr>
          <w:p>
            <w:pPr>
              <w:ind w:left="22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84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0"/>
              </w:rPr>
              <w:t>close of period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in latest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Depreciation</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1"/>
                <w:szCs w:val="11"/>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Building and</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Building and</w:t>
            </w:r>
          </w:p>
        </w:tc>
        <w:tc>
          <w:tcPr>
            <w:tcW w:w="82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80" w:type="dxa"/>
            <w:vAlign w:val="bottom"/>
            <w:vMerge w:val="restart"/>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Construction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460"/>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16,484</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18,898</w:t>
            </w:r>
          </w:p>
        </w:tc>
        <w:tc>
          <w:tcPr>
            <w:tcW w:w="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16,484</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19,232</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35,716</w:t>
            </w:r>
          </w:p>
        </w:tc>
        <w:tc>
          <w:tcPr>
            <w:tcW w:w="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1,043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1977</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9/2/2021</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5,615</w:t>
            </w: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5,963</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6,456</w:t>
            </w:r>
          </w:p>
        </w:tc>
        <w:tc>
          <w:tcPr>
            <w:tcW w:w="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4,133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1954</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1/17/1978</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9,761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14,808</w:t>
            </w:r>
          </w:p>
        </w:tc>
        <w:tc>
          <w:tcPr>
            <w:tcW w:w="80" w:type="dxa"/>
            <w:vAlign w:val="bottom"/>
          </w:tcPr>
          <w:p>
            <w:pPr>
              <w:spacing w:after="0"/>
              <w:rPr>
                <w:sz w:val="14"/>
                <w:szCs w:val="14"/>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44,879</w:t>
            </w:r>
          </w:p>
        </w:tc>
        <w:tc>
          <w:tcPr>
            <w:tcW w:w="8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5,949</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63,499</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69,448</w:t>
            </w:r>
          </w:p>
        </w:tc>
        <w:tc>
          <w:tcPr>
            <w:tcW w:w="80" w:type="dxa"/>
            <w:vAlign w:val="bottom"/>
          </w:tcPr>
          <w:p>
            <w:pPr>
              <w:spacing w:after="0"/>
              <w:rPr>
                <w:sz w:val="14"/>
                <w:szCs w:val="1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35,458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1940, 2006-</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12/21/1995</w:t>
            </w:r>
          </w:p>
        </w:tc>
        <w:tc>
          <w:tcPr>
            <w:tcW w:w="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6,319</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107,284</w:t>
            </w:r>
          </w:p>
        </w:tc>
        <w:tc>
          <w:tcPr>
            <w:tcW w:w="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43,641</w:t>
            </w: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6,319</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150,925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157,244</w:t>
            </w:r>
          </w:p>
        </w:tc>
        <w:tc>
          <w:tcPr>
            <w:tcW w:w="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77,351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1960-1966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3/31/2004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31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2,955</w:t>
            </w:r>
          </w:p>
        </w:tc>
        <w:tc>
          <w:tcPr>
            <w:tcW w:w="80" w:type="dxa"/>
            <w:vAlign w:val="bottom"/>
          </w:tcPr>
          <w:p>
            <w:pPr>
              <w:spacing w:after="0"/>
              <w:rPr>
                <w:sz w:val="24"/>
                <w:szCs w:val="24"/>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111,100</w:t>
            </w:r>
          </w:p>
        </w:tc>
        <w:tc>
          <w:tcPr>
            <w:tcW w:w="80" w:type="dxa"/>
            <w:vAlign w:val="bottom"/>
          </w:tcPr>
          <w:p>
            <w:pPr>
              <w:spacing w:after="0"/>
              <w:rPr>
                <w:sz w:val="24"/>
                <w:szCs w:val="2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114,055</w:t>
            </w:r>
          </w:p>
        </w:tc>
        <w:tc>
          <w:tcPr>
            <w:tcW w:w="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114,055</w:t>
            </w:r>
          </w:p>
        </w:tc>
        <w:tc>
          <w:tcPr>
            <w:tcW w:w="80" w:type="dxa"/>
            <w:vAlign w:val="bottom"/>
          </w:tcPr>
          <w:p>
            <w:pPr>
              <w:spacing w:after="0"/>
              <w:rPr>
                <w:sz w:val="24"/>
                <w:szCs w:val="2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61,422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1999 - 2002</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1998 &amp;</w:t>
            </w:r>
          </w:p>
        </w:tc>
        <w:tc>
          <w:tcPr>
            <w:tcW w:w="8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11/22/10</w:t>
            </w: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3,478</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21,413</w:t>
            </w:r>
          </w:p>
        </w:tc>
        <w:tc>
          <w:tcPr>
            <w:tcW w:w="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2,113</w:t>
            </w: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3,514</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23,490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27,004</w:t>
            </w:r>
          </w:p>
        </w:tc>
        <w:tc>
          <w:tcPr>
            <w:tcW w:w="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11,813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1987</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27,720</w:t>
            </w:r>
          </w:p>
        </w:tc>
        <w:tc>
          <w:tcPr>
            <w:tcW w:w="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27,750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27,915</w:t>
            </w:r>
          </w:p>
        </w:tc>
        <w:tc>
          <w:tcPr>
            <w:tcW w:w="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1985</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9,111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1,061</w:t>
            </w:r>
          </w:p>
        </w:tc>
        <w:tc>
          <w:tcPr>
            <w:tcW w:w="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17,774</w:t>
            </w:r>
          </w:p>
        </w:tc>
        <w:tc>
          <w:tcPr>
            <w:tcW w:w="8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9,111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18,835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27,946</w:t>
            </w:r>
          </w:p>
        </w:tc>
        <w:tc>
          <w:tcPr>
            <w:tcW w:w="8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10,965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5/5/1969</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1,499</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6,643</w:t>
            </w:r>
          </w:p>
        </w:tc>
        <w:tc>
          <w:tcPr>
            <w:tcW w:w="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29,039</w:t>
            </w: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1,499</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35,682</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37,181</w:t>
            </w:r>
          </w:p>
        </w:tc>
        <w:tc>
          <w:tcPr>
            <w:tcW w:w="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23,076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11/20/1984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3,192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7,723</w:t>
            </w:r>
          </w:p>
        </w:tc>
        <w:tc>
          <w:tcPr>
            <w:tcW w:w="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95,106</w:t>
            </w:r>
          </w:p>
        </w:tc>
        <w:tc>
          <w:tcPr>
            <w:tcW w:w="8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7,790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98,231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106,021</w:t>
            </w:r>
          </w:p>
        </w:tc>
        <w:tc>
          <w:tcPr>
            <w:tcW w:w="8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70,589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1957</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12/5/1983</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8,055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13,759</w:t>
            </w:r>
          </w:p>
        </w:tc>
        <w:tc>
          <w:tcPr>
            <w:tcW w:w="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22,003</w:t>
            </w: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8,055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35,762</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43,817</w:t>
            </w:r>
          </w:p>
        </w:tc>
        <w:tc>
          <w:tcPr>
            <w:tcW w:w="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28,189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1948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10/29/1996</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20"/>
                <w:szCs w:val="20"/>
                <w:color w:val="auto"/>
              </w:rPr>
            </w:pPr>
            <w:r>
              <w:rPr>
                <w:rFonts w:ascii="Arial" w:cs="Arial" w:eastAsia="Arial" w:hAnsi="Arial"/>
                <w:sz w:val="14"/>
                <w:szCs w:val="14"/>
                <w:color w:val="auto"/>
              </w:rPr>
              <w:t>$   320,615</w:t>
            </w:r>
          </w:p>
        </w:tc>
        <w:tc>
          <w:tcPr>
            <w:tcW w:w="8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w w:val="91"/>
              </w:rPr>
              <w:t>$ 1,682,853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5"/>
              </w:rPr>
              <w:t>$  3,022,488</w:t>
            </w:r>
          </w:p>
        </w:tc>
        <w:tc>
          <w:tcPr>
            <w:tcW w:w="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w w:val="89"/>
              </w:rPr>
              <w:t>$ 5,399,158</w:t>
            </w:r>
          </w:p>
        </w:tc>
        <w:tc>
          <w:tcPr>
            <w:tcW w:w="8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w w:val="89"/>
              </w:rPr>
              <w:t>$ 1,678,321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5"/>
              </w:rPr>
              <w:t>$  8,426,178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0"/>
              </w:rPr>
              <w:t>$ 10,104,499</w:t>
            </w:r>
          </w:p>
        </w:tc>
        <w:tc>
          <w:tcPr>
            <w:tcW w:w="8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w w:val="91"/>
              </w:rPr>
              <w:t>$ 2,715,817</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-2228215</wp:posOffset>
            </wp:positionV>
            <wp:extent cx="7089140"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-1799590</wp:posOffset>
            </wp:positionV>
            <wp:extent cx="708914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-1276985</wp:posOffset>
            </wp:positionV>
            <wp:extent cx="708914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-848360</wp:posOffset>
            </wp:positionV>
            <wp:extent cx="708914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-505460</wp:posOffset>
            </wp:positionV>
            <wp:extent cx="708914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-162560</wp:posOffset>
            </wp:positionV>
            <wp:extent cx="708914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120"/>
            <w:col w:w="9380"/>
          </w:cols>
          <w:pgMar w:left="320" w:top="126" w:right="359" w:bottom="1440" w:gutter="0" w:footer="0" w:header="0"/>
          <w:type w:val="continuous"/>
        </w:sectPr>
      </w:pPr>
    </w:p>
    <w:p>
      <w:pPr>
        <w:spacing w:after="0" w:line="123" w:lineRule="exact"/>
        <w:rPr>
          <w:sz w:val="20"/>
          <w:szCs w:val="20"/>
          <w:color w:val="auto"/>
        </w:rPr>
      </w:pPr>
    </w:p>
    <w:p>
      <w:pPr>
        <w:ind w:left="5460" w:right="1660" w:hanging="5128"/>
        <w:spacing w:after="0" w:line="919" w:lineRule="auto"/>
        <w:tabs>
          <w:tab w:leader="none" w:pos="6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Depreciation of building and improvements is calculated based on useful lives ranging from the life of the lease to 50 years. 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Total Cost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8,298,132</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39,440</w:t>
            </w: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Improvements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473,679</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9880" w:type="dxa"/>
            <w:vAlign w:val="bottom"/>
          </w:tcPr>
          <w:p>
            <w:pPr>
              <w:ind w:left="420"/>
              <w:spacing w:after="0"/>
              <w:rPr>
                <w:sz w:val="20"/>
                <w:szCs w:val="20"/>
                <w:color w:val="auto"/>
              </w:rPr>
            </w:pPr>
            <w:r>
              <w:rPr>
                <w:rFonts w:ascii="Arial" w:cs="Arial" w:eastAsia="Arial" w:hAnsi="Arial"/>
                <w:sz w:val="18"/>
                <w:szCs w:val="18"/>
                <w:color w:val="auto"/>
              </w:rPr>
              <w:t>Impairment of property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(68,484)</w:t>
            </w:r>
          </w:p>
        </w:tc>
      </w:tr>
      <w:tr>
        <w:trPr>
          <w:trHeight w:val="229"/>
        </w:trPr>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and retirements of property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(159,897)</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8,582,870</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9880" w:type="dxa"/>
            <w:vAlign w:val="bottom"/>
          </w:tcPr>
          <w:p>
            <w:pPr>
              <w:ind w:left="4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519,350</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Improvements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424,521</w:t>
            </w:r>
          </w:p>
        </w:tc>
      </w:tr>
      <w:tr>
        <w:trPr>
          <w:trHeight w:val="229"/>
        </w:trPr>
        <w:tc>
          <w:tcPr>
            <w:tcW w:w="9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Deduction during period—dispositions and retirements of property</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(104,679)</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9,422,062</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445,319</w:t>
            </w: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Improvements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399,623</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 during period—dispositions and retirements of property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9880" w:type="dxa"/>
            <w:vAlign w:val="bottom"/>
          </w:tcPr>
          <w:p>
            <w:pPr>
              <w:ind w:left="420"/>
              <w:spacing w:after="0"/>
              <w:rPr>
                <w:sz w:val="20"/>
                <w:szCs w:val="20"/>
                <w:color w:val="auto"/>
              </w:rPr>
            </w:pPr>
            <w:r>
              <w:rPr>
                <w:rFonts w:ascii="Arial" w:cs="Arial" w:eastAsia="Arial" w:hAnsi="Arial"/>
                <w:sz w:val="18"/>
                <w:szCs w:val="18"/>
                <w:color w:val="auto"/>
              </w:rPr>
              <w:t>Dispositions and retirements of property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(107,682)</w:t>
            </w:r>
          </w:p>
        </w:tc>
      </w:tr>
      <w:tr>
        <w:trPr>
          <w:trHeight w:val="229"/>
        </w:trPr>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Deconsolidation of VIE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(54,823)</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2022 (1)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10,104,499</w:t>
            </w:r>
          </w:p>
        </w:tc>
      </w:tr>
      <w:tr>
        <w:trPr>
          <w:trHeight w:val="21"/>
        </w:trPr>
        <w:tc>
          <w:tcPr>
            <w:tcW w:w="9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 For Federal tax purposes, the aggregate cost basis is approximately $9.0 billion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Accumulated Depreciation and Amortization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2,215,413</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229,199</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880" w:type="dxa"/>
            <w:vAlign w:val="bottom"/>
          </w:tcPr>
          <w:p>
            <w:pPr>
              <w:ind w:left="420"/>
              <w:spacing w:after="0"/>
              <w:rPr>
                <w:sz w:val="20"/>
                <w:szCs w:val="20"/>
                <w:color w:val="auto"/>
              </w:rPr>
            </w:pPr>
            <w:r>
              <w:rPr>
                <w:rFonts w:ascii="Arial" w:cs="Arial" w:eastAsia="Arial" w:hAnsi="Arial"/>
                <w:sz w:val="18"/>
                <w:szCs w:val="18"/>
                <w:color w:val="auto"/>
              </w:rPr>
              <w:t>Impairment of property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(11,631)</w:t>
            </w:r>
          </w:p>
        </w:tc>
      </w:tr>
      <w:tr>
        <w:trPr>
          <w:trHeight w:val="229"/>
        </w:trPr>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and retirements of property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(75,289)</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2,357,692</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246,338</w:t>
            </w:r>
          </w:p>
        </w:tc>
      </w:tr>
      <w:tr>
        <w:trPr>
          <w:trHeight w:val="229"/>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Deductions during period -dispositions and retirements of property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(72,935)</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2,531,095</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266,877</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Dispositions and retirements of property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(59,066)</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Deconsolidation of VIE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(23,089)</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2,715,817</w:t>
            </w:r>
          </w:p>
        </w:tc>
      </w:tr>
      <w:tr>
        <w:trPr>
          <w:trHeight w:val="21"/>
        </w:trPr>
        <w:tc>
          <w:tcPr>
            <w:tcW w:w="9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 Ended December 31, 2022</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Column A</w:t>
            </w: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Column B</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Column C</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Column D</w:t>
            </w:r>
          </w:p>
        </w:tc>
        <w:tc>
          <w:tcPr>
            <w:tcW w:w="18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16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Column F</w:t>
            </w:r>
          </w:p>
        </w:tc>
        <w:tc>
          <w:tcPr>
            <w:tcW w:w="14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G</w:t>
            </w:r>
          </w:p>
        </w:tc>
        <w:tc>
          <w:tcPr>
            <w:tcW w:w="140" w:type="dxa"/>
            <w:vAlign w:val="bottom"/>
          </w:tcPr>
          <w:p>
            <w:pPr>
              <w:spacing w:after="0"/>
              <w:rPr>
                <w:sz w:val="16"/>
                <w:szCs w:val="16"/>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Column H</w:t>
            </w:r>
          </w:p>
        </w:tc>
        <w:tc>
          <w:tcPr>
            <w:tcW w:w="0" w:type="dxa"/>
            <w:vAlign w:val="bottom"/>
          </w:tcPr>
          <w:p>
            <w:pPr>
              <w:spacing w:after="0"/>
              <w:rPr>
                <w:sz w:val="1"/>
                <w:szCs w:val="1"/>
                <w:color w:val="auto"/>
              </w:rPr>
            </w:pPr>
          </w:p>
        </w:tc>
      </w:tr>
      <w:tr>
        <w:trPr>
          <w:trHeight w:val="26"/>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3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of Loans</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Periodic Payment</w:t>
            </w:r>
          </w:p>
        </w:tc>
        <w:tc>
          <w:tcPr>
            <w:tcW w:w="180" w:type="dxa"/>
            <w:vAlign w:val="bottom"/>
          </w:tcPr>
          <w:p>
            <w:pPr>
              <w:spacing w:after="0"/>
              <w:rPr>
                <w:sz w:val="12"/>
                <w:szCs w:val="12"/>
                <w:color w:val="auto"/>
              </w:rPr>
            </w:pPr>
          </w:p>
        </w:tc>
        <w:tc>
          <w:tcPr>
            <w:tcW w:w="660" w:type="dxa"/>
            <w:vAlign w:val="bottom"/>
            <w:gridSpan w:val="2"/>
            <w:vMerge w:val="restart"/>
          </w:tcPr>
          <w:p>
            <w:pPr>
              <w:jc w:val="center"/>
              <w:ind w:left="103"/>
              <w:spacing w:after="0"/>
              <w:rPr>
                <w:sz w:val="20"/>
                <w:szCs w:val="20"/>
                <w:color w:val="auto"/>
              </w:rPr>
            </w:pPr>
            <w:r>
              <w:rPr>
                <w:rFonts w:ascii="Arial" w:cs="Arial" w:eastAsia="Arial" w:hAnsi="Arial"/>
                <w:sz w:val="14"/>
                <w:szCs w:val="14"/>
                <w:b w:val="1"/>
                <w:bCs w:val="1"/>
                <w:color w:val="auto"/>
                <w:w w:val="97"/>
              </w:rPr>
              <w:t>Prior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Face Amount</w:t>
            </w: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48"/>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Lien</w:t>
            </w:r>
          </w:p>
        </w:tc>
        <w:tc>
          <w:tcPr>
            <w:tcW w:w="100" w:type="dxa"/>
            <w:vAlign w:val="bottom"/>
            <w:vMerge w:val="restart"/>
          </w:tcPr>
          <w:p>
            <w:pPr>
              <w:spacing w:after="0"/>
              <w:rPr>
                <w:sz w:val="12"/>
                <w:szCs w:val="12"/>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vMerge w:val="restart"/>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left="123"/>
              <w:spacing w:after="0"/>
              <w:rPr>
                <w:sz w:val="20"/>
                <w:szCs w:val="20"/>
                <w:color w:val="auto"/>
              </w:rPr>
            </w:pPr>
            <w:r>
              <w:rPr>
                <w:rFonts w:ascii="Arial" w:cs="Arial" w:eastAsia="Arial" w:hAnsi="Arial"/>
                <w:sz w:val="14"/>
                <w:szCs w:val="14"/>
                <w:b w:val="1"/>
                <w:bCs w:val="1"/>
                <w:color w:val="auto"/>
                <w:w w:val="92"/>
              </w:rPr>
              <w:t>Liens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of Mortgages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of Mortgages(1)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or Interest</w:t>
            </w: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w w:val="96"/>
              </w:rPr>
              <w:t>Second mortgage on a</w:t>
            </w:r>
          </w:p>
        </w:tc>
        <w:tc>
          <w:tcPr>
            <w:tcW w:w="11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February 2026</w:t>
            </w:r>
          </w:p>
        </w:tc>
        <w:tc>
          <w:tcPr>
            <w:tcW w:w="15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Interest only</w:t>
            </w:r>
          </w:p>
        </w:tc>
        <w:tc>
          <w:tcPr>
            <w:tcW w:w="1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58,750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59"/>
              <w:spacing w:after="0" w:line="175" w:lineRule="exact"/>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5,075</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4,956</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4"/>
              <w:spacing w:after="0" w:line="17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60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retail shopping center</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monthly;</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in Rockville, MD</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balloon payment due</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6"/>
              </w:rPr>
              <w:t>Second mortgage on a</w:t>
            </w:r>
          </w:p>
        </w:tc>
        <w:tc>
          <w:tcPr>
            <w:tcW w:w="1120" w:type="dxa"/>
            <w:vAlign w:val="bottom"/>
          </w:tcPr>
          <w:p>
            <w:pPr>
              <w:ind w:left="20"/>
              <w:spacing w:after="0" w:line="175" w:lineRule="exact"/>
              <w:rPr>
                <w:sz w:val="20"/>
                <w:szCs w:val="20"/>
                <w:color w:val="auto"/>
              </w:rPr>
            </w:pPr>
            <w:r>
              <w:rPr>
                <w:rFonts w:ascii="Arial" w:cs="Arial" w:eastAsia="Arial" w:hAnsi="Arial"/>
                <w:sz w:val="16"/>
                <w:szCs w:val="16"/>
                <w:color w:val="auto"/>
              </w:rPr>
              <w:t>10.75%</w:t>
            </w:r>
          </w:p>
        </w:tc>
        <w:tc>
          <w:tcPr>
            <w:tcW w:w="100" w:type="dxa"/>
            <w:vAlign w:val="bottom"/>
          </w:tcPr>
          <w:p>
            <w:pPr>
              <w:spacing w:after="0"/>
              <w:rPr>
                <w:sz w:val="15"/>
                <w:szCs w:val="15"/>
                <w:color w:val="auto"/>
              </w:rPr>
            </w:pPr>
          </w:p>
        </w:tc>
        <w:tc>
          <w:tcPr>
            <w:tcW w:w="13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February 2026</w:t>
            </w:r>
          </w:p>
        </w:tc>
        <w:tc>
          <w:tcPr>
            <w:tcW w:w="1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Interest only</w:t>
            </w:r>
          </w:p>
        </w:tc>
        <w:tc>
          <w:tcPr>
            <w:tcW w:w="18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58,750</w:t>
            </w:r>
          </w:p>
        </w:tc>
        <w:tc>
          <w:tcPr>
            <w:tcW w:w="80" w:type="dxa"/>
            <w:vAlign w:val="bottom"/>
          </w:tcPr>
          <w:p>
            <w:pPr>
              <w:spacing w:after="0"/>
              <w:rPr>
                <w:sz w:val="15"/>
                <w:szCs w:val="15"/>
                <w:color w:val="auto"/>
              </w:rPr>
            </w:pPr>
          </w:p>
        </w:tc>
        <w:tc>
          <w:tcPr>
            <w:tcW w:w="3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4,500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Arial" w:cs="Arial" w:eastAsia="Arial" w:hAnsi="Arial"/>
                <w:sz w:val="16"/>
                <w:szCs w:val="16"/>
                <w:color w:val="auto"/>
              </w:rPr>
              <w:t>4,500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60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retail shopping center</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monthly;</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 Rockville, MD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balloon payment due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Second mortgage on a</w:t>
            </w:r>
          </w:p>
        </w:tc>
        <w:tc>
          <w:tcPr>
            <w:tcW w:w="1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October 2031</w:t>
            </w:r>
          </w:p>
        </w:tc>
        <w:tc>
          <w:tcPr>
            <w:tcW w:w="15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Principal and interest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4,990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9"/>
              <w:spacing w:after="0" w:line="169" w:lineRule="exact"/>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600</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70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retail shopping center</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monthly; balloon</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in Baltimore, MD</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payment due at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maturity</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63,740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10,175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9,456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340" w:right="500" w:hanging="332"/>
        <w:spacing w:after="0" w:line="25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amounts are net of any expected losses in accordance with ASU 2016-13. See note 2 to the consolidated financial statements. For Federal tax purposes, the aggregate tax basis is approximately $10.1 million as of December 31, 2022.</w:t>
      </w:r>
    </w:p>
    <w:p>
      <w:pPr>
        <w:ind w:left="340" w:right="60" w:hanging="332"/>
        <w:spacing w:after="0" w:line="24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These mortgages are both subordinate to a first mortgage of $58.8 million in total. We do not hold the first mortgage loan on this property. Accordingly, the amount of the prior lien at December 31, 2022 is estimated.</w:t>
      </w:r>
    </w:p>
    <w:p>
      <w:pPr>
        <w:spacing w:after="0" w:line="1" w:lineRule="exact"/>
        <w:rPr>
          <w:rFonts w:ascii="Arial" w:cs="Arial" w:eastAsia="Arial" w:hAnsi="Arial"/>
          <w:sz w:val="16"/>
          <w:szCs w:val="16"/>
          <w:color w:val="auto"/>
        </w:rPr>
      </w:pPr>
    </w:p>
    <w:p>
      <w:pPr>
        <w:ind w:left="340" w:right="180" w:hanging="332"/>
        <w:spacing w:after="0" w:line="270"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mortgage is subordinate to a first mortgage of $5.0 million. We do not hold the first mortgage loan on this property. Accordingly, the amount of the prior lien at December 31, 2022 is estimated.</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MORTGAGE LOANS ON REAL ESTATE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Carrying Amount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30,429</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January 1, 2020 adoption of new accounting standard - See Note 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9880" w:type="dxa"/>
            <w:vAlign w:val="bottom"/>
          </w:tcPr>
          <w:p>
            <w:pPr>
              <w:ind w:left="460"/>
              <w:spacing w:after="0"/>
              <w:rPr>
                <w:sz w:val="20"/>
                <w:szCs w:val="20"/>
                <w:color w:val="auto"/>
              </w:rPr>
            </w:pPr>
            <w:r>
              <w:rPr>
                <w:rFonts w:ascii="Arial" w:cs="Arial" w:eastAsia="Arial" w:hAnsi="Arial"/>
                <w:sz w:val="18"/>
                <w:szCs w:val="18"/>
                <w:color w:val="auto"/>
              </w:rPr>
              <w:t>Acquisition of loan, net of valuation adjustments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9,560</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Issuance of loans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39,892</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Issuance of loans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Collection and satisfaction of loans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(30,339)</w:t>
            </w:r>
          </w:p>
        </w:tc>
      </w:tr>
      <w:tr>
        <w:trPr>
          <w:trHeight w:val="230"/>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Valuation adjustments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9,543</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Valuation adjustments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Collection and satisfaction of loans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w:t>
            </w: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20"/>
          </w:cols>
          <w:pgMar w:left="320" w:top="126" w:right="3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SUBSIDIARIES OF FEDERAL REALTY INVESTMENT TRUST AND FEDERAL REALTY OP LP</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5420" w:type="dxa"/>
            <w:vAlign w:val="bottom"/>
          </w:tcPr>
          <w:p>
            <w:pPr>
              <w:ind w:left="2520"/>
              <w:spacing w:after="0"/>
              <w:rPr>
                <w:sz w:val="20"/>
                <w:szCs w:val="20"/>
                <w:color w:val="auto"/>
              </w:rPr>
            </w:pPr>
            <w:r>
              <w:rPr>
                <w:rFonts w:ascii="Arial" w:cs="Arial" w:eastAsia="Arial" w:hAnsi="Arial"/>
                <w:sz w:val="18"/>
                <w:szCs w:val="18"/>
                <w:color w:val="auto"/>
              </w:rPr>
              <w:t>STATE OF INCORPORATION OR</w:t>
            </w:r>
          </w:p>
        </w:tc>
      </w:tr>
      <w:tr>
        <w:trPr>
          <w:trHeight w:val="24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OF SUBSIDIARY</w:t>
            </w:r>
          </w:p>
        </w:tc>
        <w:tc>
          <w:tcPr>
            <w:tcW w:w="5420" w:type="dxa"/>
            <w:vAlign w:val="bottom"/>
            <w:tcBorders>
              <w:bottom w:val="single" w:sz="8" w:color="auto"/>
            </w:tcBorders>
          </w:tcPr>
          <w:p>
            <w:pPr>
              <w:ind w:left="3140"/>
              <w:spacing w:after="0"/>
              <w:rPr>
                <w:sz w:val="20"/>
                <w:szCs w:val="20"/>
                <w:color w:val="auto"/>
              </w:rPr>
            </w:pPr>
            <w:r>
              <w:rPr>
                <w:rFonts w:ascii="Arial" w:cs="Arial" w:eastAsia="Arial" w:hAnsi="Arial"/>
                <w:sz w:val="18"/>
                <w:szCs w:val="18"/>
                <w:color w:val="auto"/>
              </w:rPr>
              <w:t>ORGANIZATION</w:t>
            </w:r>
          </w:p>
        </w:tc>
      </w:tr>
      <w:tr>
        <w:trPr>
          <w:trHeight w:val="443"/>
        </w:trPr>
        <w:tc>
          <w:tcPr>
            <w:tcW w:w="5760" w:type="dxa"/>
            <w:vAlign w:val="bottom"/>
          </w:tcPr>
          <w:p>
            <w:pPr>
              <w:spacing w:after="0"/>
              <w:rPr>
                <w:sz w:val="20"/>
                <w:szCs w:val="20"/>
                <w:color w:val="auto"/>
              </w:rPr>
            </w:pPr>
            <w:r>
              <w:rPr>
                <w:rFonts w:ascii="Arial" w:cs="Arial" w:eastAsia="Arial" w:hAnsi="Arial"/>
                <w:sz w:val="20"/>
                <w:szCs w:val="20"/>
                <w:color w:val="auto"/>
              </w:rPr>
              <w:t>Federal Realty GP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Associates Limited Partnership</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Andorra Associates</w:t>
            </w:r>
          </w:p>
        </w:tc>
        <w:tc>
          <w:tcPr>
            <w:tcW w:w="5420" w:type="dxa"/>
            <w:vAlign w:val="bottom"/>
          </w:tcPr>
          <w:p>
            <w:pPr>
              <w:ind w:left="2220"/>
              <w:spacing w:after="0"/>
              <w:rPr>
                <w:sz w:val="20"/>
                <w:szCs w:val="20"/>
                <w:color w:val="auto"/>
              </w:rPr>
            </w:pPr>
            <w:r>
              <w:rPr>
                <w:rFonts w:ascii="Arial" w:cs="Arial" w:eastAsia="Arial" w:hAnsi="Arial"/>
                <w:sz w:val="20"/>
                <w:szCs w:val="20"/>
                <w:color w:val="auto"/>
              </w:rPr>
              <w:t>Pennsylvania</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Governor Plaza Associates</w:t>
            </w:r>
          </w:p>
        </w:tc>
        <w:tc>
          <w:tcPr>
            <w:tcW w:w="5420" w:type="dxa"/>
            <w:vAlign w:val="bottom"/>
          </w:tcPr>
          <w:p>
            <w:pPr>
              <w:ind w:left="2220"/>
              <w:spacing w:after="0"/>
              <w:rPr>
                <w:sz w:val="20"/>
                <w:szCs w:val="20"/>
                <w:color w:val="auto"/>
              </w:rPr>
            </w:pPr>
            <w:r>
              <w:rPr>
                <w:rFonts w:ascii="Arial" w:cs="Arial" w:eastAsia="Arial" w:hAnsi="Arial"/>
                <w:sz w:val="20"/>
                <w:szCs w:val="20"/>
                <w:color w:val="auto"/>
              </w:rPr>
              <w:t>Pennsylvania</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Shopping Center Associates</w:t>
            </w:r>
          </w:p>
        </w:tc>
        <w:tc>
          <w:tcPr>
            <w:tcW w:w="5420" w:type="dxa"/>
            <w:vAlign w:val="bottom"/>
          </w:tcPr>
          <w:p>
            <w:pPr>
              <w:ind w:left="2220"/>
              <w:spacing w:after="0"/>
              <w:rPr>
                <w:sz w:val="20"/>
                <w:szCs w:val="20"/>
                <w:color w:val="auto"/>
              </w:rPr>
            </w:pPr>
            <w:r>
              <w:rPr>
                <w:rFonts w:ascii="Arial" w:cs="Arial" w:eastAsia="Arial" w:hAnsi="Arial"/>
                <w:sz w:val="20"/>
                <w:szCs w:val="20"/>
                <w:color w:val="auto"/>
              </w:rPr>
              <w:t>Pennsylvania</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Berman Enterprises II Limited Partnership</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FRIT Escondido Promenade,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California</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FRIT Leasing &amp; Development Services,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Congressional Plaza Associates,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Pike 7 Limited Partnership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Federal Realty Partners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Federal Realty Partners,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East Bay Bridge,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East Bay Bridge Retail,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Federal Realty Management Services,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FRIT Solar,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Santana Row ROF,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Mercer Mall,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Westgate Mall,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Assembly Square,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Crow Canyon,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Linden Square,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Chelsea Commons Member,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Chelsea Commons I,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White Marsh,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Byron Station,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Byron Station Limited Partnership, LLLP</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NVI-Avenue,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Shoppers World,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FRIT Florida,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Rollingwood,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Montrose Crossing,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FRIT CA Operations, Inc.</w:t>
            </w:r>
          </w:p>
        </w:tc>
        <w:tc>
          <w:tcPr>
            <w:tcW w:w="5420" w:type="dxa"/>
            <w:vAlign w:val="bottom"/>
          </w:tcPr>
          <w:p>
            <w:pPr>
              <w:ind w:left="2220"/>
              <w:spacing w:after="0"/>
              <w:rPr>
                <w:sz w:val="20"/>
                <w:szCs w:val="20"/>
                <w:color w:val="auto"/>
              </w:rPr>
            </w:pPr>
            <w:r>
              <w:rPr>
                <w:rFonts w:ascii="Arial" w:cs="Arial" w:eastAsia="Arial" w:hAnsi="Arial"/>
                <w:sz w:val="20"/>
                <w:szCs w:val="20"/>
                <w:color w:val="auto"/>
              </w:rPr>
              <w:t>California</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FR Huntington Square,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Darien,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Georgetowne,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Hastings Ranch,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FR Riverpoint,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Street Retail,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SRI/CM 4th Street JV,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SRI Old Town,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California</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Street Retail West I,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Street Retail West II,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Street Retail West 3,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Street Retail West 4,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Street Retail West 6,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Street Retail West 7,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r>
        <w:trPr>
          <w:trHeight w:val="256"/>
        </w:trPr>
        <w:tc>
          <w:tcPr>
            <w:tcW w:w="5760" w:type="dxa"/>
            <w:vAlign w:val="bottom"/>
          </w:tcPr>
          <w:p>
            <w:pPr>
              <w:spacing w:after="0"/>
              <w:rPr>
                <w:sz w:val="20"/>
                <w:szCs w:val="20"/>
                <w:color w:val="auto"/>
              </w:rPr>
            </w:pPr>
            <w:r>
              <w:rPr>
                <w:rFonts w:ascii="Arial" w:cs="Arial" w:eastAsia="Arial" w:hAnsi="Arial"/>
                <w:sz w:val="20"/>
                <w:szCs w:val="20"/>
                <w:color w:val="auto"/>
              </w:rPr>
              <w:t>Street Retail West 10,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00"/>
          </w:cols>
          <w:pgMar w:left="360" w:top="105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FRIT San Jose Town and Country Village, LLC</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 Grove Fee Owner,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Limited Partnership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Sea Girt Limited Partnership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508 Broad,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Hotel,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Assembly Hotel Operator,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3112 Commodore Plaza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3131 Commodore Plaza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3406 Main Highway,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3419 Main Highway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GP,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Limited Partnership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GP,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LP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GP,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LP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Primestor/FRIT JV,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Azalea Joint Venture,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Alameda,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Bell Gardens,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El Monte,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El Portal,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Los Jardines,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Mission Hills,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SCP,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Sylmar,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TRS JV,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Plaza Pacoima,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Prime/FRIT Olivo Land,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Primestor/FRIT Jordan Downs JV,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Primestor Jordan Downs,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California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260" w:space="720"/>
            <w:col w:w="2119"/>
          </w:cols>
          <w:pgMar w:left="360" w:top="1027" w:right="1440"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Primestor Development Investment, LLC</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RevUp,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Fairfax Junction.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 UNLMTD JV,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Properties I,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Properties II,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214 Washington,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301 Washington,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302 Washington,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600 Washington,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210 14</w:t>
      </w:r>
      <w:r>
        <w:rPr>
          <w:rFonts w:ascii="Arial" w:cs="Arial" w:eastAsia="Arial" w:hAnsi="Arial"/>
          <w:sz w:val="12"/>
          <w:szCs w:val="12"/>
          <w:color w:val="auto"/>
        </w:rPr>
        <w:t>th</w:t>
      </w:r>
      <w:r>
        <w:rPr>
          <w:rFonts w:ascii="Arial" w:cs="Arial" w:eastAsia="Arial" w:hAnsi="Arial"/>
          <w:sz w:val="20"/>
          <w:szCs w:val="20"/>
          <w:color w:val="auto"/>
        </w:rPr>
        <w:t>,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158 14</w:t>
      </w:r>
      <w:r>
        <w:rPr>
          <w:rFonts w:ascii="Arial" w:cs="Arial" w:eastAsia="Arial" w:hAnsi="Arial"/>
          <w:sz w:val="12"/>
          <w:szCs w:val="12"/>
          <w:color w:val="auto"/>
        </w:rPr>
        <w:t>th</w:t>
      </w:r>
      <w:r>
        <w:rPr>
          <w:rFonts w:ascii="Arial" w:cs="Arial" w:eastAsia="Arial" w:hAnsi="Arial"/>
          <w:sz w:val="20"/>
          <w:szCs w:val="20"/>
          <w:color w:val="auto"/>
        </w:rPr>
        <w:t>,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SRI-WSA 1426 Willow,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Chesterbrook JV,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Grossmont,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Hilton Village,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Camelback Colonnade,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Scottsdale Forum,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Pembroke Gardens,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Chandler Festival,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SanTan Festival,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Chandler Festival SPE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 Chandler Gateway,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Chandler Gateway Partners,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Chandler Gateway SPE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Arizona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Arizona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260" w:space="720"/>
            <w:col w:w="2119"/>
          </w:cols>
          <w:pgMar w:left="360" w:top="1027"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issued our reports dated February 8, 2023, with respect to the consolidated financial statements, schedules, and internal control over financial reporting included in the Annual Report of Federal Realty Investment Trust and Federal Realty OP LP on Form 10-K for the year ended December 31, 2022. We consent to the incorporation by reference of said reports in the Registration Statements of Federal Realty Investment Trust and Federal Realty OP LP on Form S-3 (File No. 333-261971, File No. 333-262016, and File No. 333-262024) and on Form S-8 (File No. 333-239351 and File No. 333-147081).</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2023</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780" w:hanging="327"/>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780" w:hanging="327"/>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OP LP;</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OP LP;</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2022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445"/>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2022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OP LP (the “Company”), has executed this certification in connection with the filing with the Securities and Exchange Commission of the Company’s Annual Report on Form 10-K for the period ended December 31, 2022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286" w:lineRule="auto"/>
        <w:rPr>
          <w:sz w:val="20"/>
          <w:szCs w:val="20"/>
          <w:color w:val="auto"/>
        </w:rPr>
      </w:pPr>
      <w:r>
        <w:rPr>
          <w:rFonts w:ascii="Arial" w:cs="Arial" w:eastAsia="Arial" w:hAnsi="Arial"/>
          <w:sz w:val="17"/>
          <w:szCs w:val="17"/>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Annual Report on Form 10-K for the period ended December 31, 2022 (the “Report”). The undersigned hereby certifies, to the best of his knowledge, that:</w:t>
      </w:r>
    </w:p>
    <w:p>
      <w:pPr>
        <w:spacing w:after="0" w:line="57" w:lineRule="exact"/>
        <w:rPr>
          <w:sz w:val="20"/>
          <w:szCs w:val="20"/>
          <w:color w:val="auto"/>
        </w:rPr>
      </w:pPr>
    </w:p>
    <w:p>
      <w:pPr>
        <w:ind w:left="1300" w:hanging="887"/>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lvl w:ilvl="1">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6"/>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lowerLetter"/>
      <w:start w:val="2"/>
    </w:lvl>
  </w:abstractNum>
  <w:abstractNum w:abstractNumId="47">
    <w:nsid w:val="61574095"/>
    <w:multiLevelType w:val="hybridMultilevel"/>
    <w:lvl w:ilvl="0">
      <w:lvlJc w:val="left"/>
      <w:lvlText w:val="%1"/>
      <w:numFmt w:val="decimal"/>
      <w:start w:val="10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lvl w:ilvl="1">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decimal"/>
      <w:start w:val="3"/>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decimal"/>
      <w:start w:val="3"/>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lowerLetter"/>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9"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17" Type="http://schemas.openxmlformats.org/officeDocument/2006/relationships/image" Target="media/image62.png"/><Relationship Id="rId120" Type="http://schemas.openxmlformats.org/officeDocument/2006/relationships/image" Target="media/image63.png"/><Relationship Id="rId121" Type="http://schemas.openxmlformats.org/officeDocument/2006/relationships/image" Target="media/image64.png"/><Relationship Id="rId122" Type="http://schemas.openxmlformats.org/officeDocument/2006/relationships/image" Target="media/image65.png"/><Relationship Id="rId123" Type="http://schemas.openxmlformats.org/officeDocument/2006/relationships/image" Target="media/image66.png"/><Relationship Id="rId124" Type="http://schemas.openxmlformats.org/officeDocument/2006/relationships/image" Target="media/image67.png"/><Relationship Id="rId125" Type="http://schemas.openxmlformats.org/officeDocument/2006/relationships/image" Target="media/image68.png"/><Relationship Id="rId126" Type="http://schemas.openxmlformats.org/officeDocument/2006/relationships/image" Target="media/image69.png"/><Relationship Id="rId127" Type="http://schemas.openxmlformats.org/officeDocument/2006/relationships/image" Target="media/image70.png"/><Relationship Id="rId128" Type="http://schemas.openxmlformats.org/officeDocument/2006/relationships/image" Target="media/image71.png"/><Relationship Id="rId129" Type="http://schemas.openxmlformats.org/officeDocument/2006/relationships/image" Target="media/image72.png"/><Relationship Id="rId130" Type="http://schemas.openxmlformats.org/officeDocument/2006/relationships/image" Target="media/image73.png"/><Relationship Id="rId131" Type="http://schemas.openxmlformats.org/officeDocument/2006/relationships/image" Target="media/image74.png"/><Relationship Id="rId132"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65" Type="http://schemas.openxmlformats.org/officeDocument/2006/relationships/hyperlink" Target="https://www.sec.gov/Archives/edgar/data/34903/000003490321000080/frt-12022021exhibit21.htm" TargetMode="External"/><Relationship Id="rId66" Type="http://schemas.openxmlformats.org/officeDocument/2006/relationships/hyperlink" Target="https://www.sec.gov/Archives/edgar/data/34903/000003490322000023/frt-12312021xex31.htm" TargetMode="External"/><Relationship Id="rId67" Type="http://schemas.openxmlformats.org/officeDocument/2006/relationships/hyperlink" Target="https://www.sec.gov/Archives/edgar/data/0000034903/000119312522000302/d231372dex33.htm" TargetMode="External"/><Relationship Id="rId68" Type="http://schemas.openxmlformats.org/officeDocument/2006/relationships/hyperlink" Target="https://www.sec.gov/Archives/edgar/data/0000034903/000119312522000302/d231372dex34.htm" TargetMode="External"/><Relationship Id="rId69" Type="http://schemas.openxmlformats.org/officeDocument/2006/relationships/hyperlink" Target="https://www.sec.gov/Archives/edgar/data/34903/000119312522002748/d275243dex31.htm" TargetMode="External"/><Relationship Id="rId70" Type="http://schemas.openxmlformats.org/officeDocument/2006/relationships/hyperlink" Target="https://www.sec.gov/Archives/edgar/data/34903/000119312522002748/d275243dex32.htm" TargetMode="External"/><Relationship Id="rId71" Type="http://schemas.openxmlformats.org/officeDocument/2006/relationships/hyperlink" Target="http://www.sec.gov/Archives/edgar/data/34903/000095010900001048/0000950109-00-001048.txt" TargetMode="External"/><Relationship Id="rId72" Type="http://schemas.openxmlformats.org/officeDocument/2006/relationships/hyperlink" Target="http://www.sec.gov/Archives/edgar/data/34903/0000950109-98-004542.txt" TargetMode="External"/><Relationship Id="rId73" Type="http://schemas.openxmlformats.org/officeDocument/2006/relationships/hyperlink" Target="https://www.sec.gov/Archives/edgar/data/34903/000119312522002748/d275243dex41.htm" TargetMode="External"/><Relationship Id="rId74" Type="http://schemas.openxmlformats.org/officeDocument/2006/relationships/hyperlink" Target="https://www.sec.gov/Archives/edgar/data/34903/000119312522002748/d275243dex42.htm" TargetMode="External"/><Relationship Id="rId75" Type="http://schemas.openxmlformats.org/officeDocument/2006/relationships/hyperlink" Target="http://www.sec.gov/Archives/edgar/data/34903/000119312517299279/d453589dex41.htm" TargetMode="External"/><Relationship Id="rId76" Type="http://schemas.openxmlformats.org/officeDocument/2006/relationships/hyperlink" Target="http://www.sec.gov/Archives/edgar/data/34903/000119312517299279/d453589dex43.htm" TargetMode="External"/><Relationship Id="rId77" Type="http://schemas.openxmlformats.org/officeDocument/2006/relationships/hyperlink" Target="https://www.sec.gov/Archives/edgar/data/34903/000003490320000008/frt-12312019xex48.htm" TargetMode="External"/><Relationship Id="rId78" Type="http://schemas.openxmlformats.org/officeDocument/2006/relationships/hyperlink" Target="http://www.sec.gov/Archives/edgar/data/34903/0000928385-99-001432.txt" TargetMode="External"/><Relationship Id="rId80" Type="http://schemas.openxmlformats.org/officeDocument/2006/relationships/hyperlink" Target="http://www.sec.gov/Archives/edgar/data/34903/000119312505043736/dex1012.htm" TargetMode="External"/><Relationship Id="rId81" Type="http://schemas.openxmlformats.org/officeDocument/2006/relationships/hyperlink" Target="http://www.sec.gov/Archives/edgar/data/34903/000119312505043736/dex1026.htm" TargetMode="External"/><Relationship Id="rId82" Type="http://schemas.openxmlformats.org/officeDocument/2006/relationships/hyperlink" Target="http://www.sec.gov/Archives/edgar/data/34903/000119312505151516/dex1026.htm" TargetMode="External"/><Relationship Id="rId83" Type="http://schemas.openxmlformats.org/officeDocument/2006/relationships/hyperlink" Target="http://www.sec.gov/Archives/edgar/data/34903/000119312505043736/dex1027.htm" TargetMode="External"/><Relationship Id="rId84" Type="http://schemas.openxmlformats.org/officeDocument/2006/relationships/hyperlink" Target="http://www.sec.gov/Archives/edgar/data/34903/000119312511036800/dex1035.htm" TargetMode="External"/><Relationship Id="rId85" Type="http://schemas.openxmlformats.org/officeDocument/2006/relationships/hyperlink" Target="http://www.sec.gov/Archives/edgar/data/34903/000119312509038641/dex1026.htm" TargetMode="External"/><Relationship Id="rId86" Type="http://schemas.openxmlformats.org/officeDocument/2006/relationships/hyperlink" Target="http://www.sec.gov/Archives/edgar/data/34903/000119312509038641/dex1027.htm" TargetMode="External"/><Relationship Id="rId87" Type="http://schemas.openxmlformats.org/officeDocument/2006/relationships/hyperlink" Target="https://www.sec.gov/Archives/edgar/data/34903/000119312509038641/dex1028.htm" TargetMode="External"/><Relationship Id="rId88" Type="http://schemas.openxmlformats.org/officeDocument/2006/relationships/hyperlink" Target="https://www.sec.gov/Archives/edgar/data/34903/000119312509038641/dex1030.htm" TargetMode="External"/><Relationship Id="rId89" Type="http://schemas.openxmlformats.org/officeDocument/2006/relationships/hyperlink" Target="https://www.sec.gov/Archives/edgar/data/34903/000119312510065274/ddef14a.htm#toc85041_80" TargetMode="External"/><Relationship Id="rId90" Type="http://schemas.openxmlformats.org/officeDocument/2006/relationships/hyperlink" Target="http://www.sec.gov/Archives/edgar/data/34903/000119312510065274/ddef14a.htm#toc85041_80" TargetMode="External"/><Relationship Id="rId91" Type="http://schemas.openxmlformats.org/officeDocument/2006/relationships/hyperlink" Target="http://www.sec.gov/Archives/edgar/data/34903/000119312511036800/dex1034.htm" TargetMode="External"/><Relationship Id="rId92" Type="http://schemas.openxmlformats.org/officeDocument/2006/relationships/hyperlink" Target="http://www.sec.gov/Archives/edgar/data/34903/000119312511036800/dex1038.htm" TargetMode="External"/><Relationship Id="rId93" Type="http://schemas.openxmlformats.org/officeDocument/2006/relationships/hyperlink" Target="http://www.sec.gov/Archives/edgar/data/34903/000119312511036800/dex1039.htm" TargetMode="External"/><Relationship Id="rId94" Type="http://schemas.openxmlformats.org/officeDocument/2006/relationships/hyperlink" Target="http://www.sec.gov/Archives/edgar/data/34903/000119312511036800/dex1040.htm" TargetMode="External"/><Relationship Id="rId95" Type="http://schemas.openxmlformats.org/officeDocument/2006/relationships/hyperlink" Target="http://www.sec.gov/Archives/edgar/data/34903/000003490313000006/frt-12312012xex1035.htm" TargetMode="External"/><Relationship Id="rId96" Type="http://schemas.openxmlformats.org/officeDocument/2006/relationships/hyperlink" Target="https://www.sec.gov/Archives/edgar/data/34903/000003490313000006/frt-12312012xex1036.htm" TargetMode="External"/><Relationship Id="rId97" Type="http://schemas.openxmlformats.org/officeDocument/2006/relationships/hyperlink" Target="https://www.sec.gov/Archives/edgar/data/34903/000003490313000006/frt-12312012xex1037.htm" TargetMode="External"/><Relationship Id="rId101" Type="http://schemas.openxmlformats.org/officeDocument/2006/relationships/hyperlink" Target="http://www.sec.gov/Archives/edgar/data/34903/000003490316000072/frt-09302016xex1036.htm" TargetMode="External"/><Relationship Id="rId102" Type="http://schemas.openxmlformats.org/officeDocument/2006/relationships/hyperlink" Target="https://www.sec.gov/Archives/edgar/data/0000034903/000119312519205407/d783287dex101.htm" TargetMode="External"/><Relationship Id="rId103" Type="http://schemas.openxmlformats.org/officeDocument/2006/relationships/hyperlink" Target="https://www.sec.gov/Archives/edgar/data/34903/000119312520080068/d861275ddef14a.htm#tx861275_56" TargetMode="External"/><Relationship Id="rId104" Type="http://schemas.openxmlformats.org/officeDocument/2006/relationships/hyperlink" Target="https://www.sec.gov/Archives/edgar/data/34903/000119312520134999/d877466dex101.htm" TargetMode="External"/><Relationship Id="rId105" Type="http://schemas.openxmlformats.org/officeDocument/2006/relationships/hyperlink" Target="https://www.sec.gov/Archives/edgar/data/34903/000119312520134999/d877466dex102.htm" TargetMode="External"/><Relationship Id="rId106" Type="http://schemas.openxmlformats.org/officeDocument/2006/relationships/hyperlink" Target="https://www.sec.gov/Archives/edgar/data/34903/000003490321000020/frt-12312020xex1033.htm" TargetMode="External"/><Relationship Id="rId107" Type="http://schemas.openxmlformats.org/officeDocument/2006/relationships/hyperlink" Target="https://www.sec.gov/Archives/edgar/data/0000034903/000003490321000020/frt-12312020xex1034.htm" TargetMode="External"/><Relationship Id="rId108" Type="http://schemas.openxmlformats.org/officeDocument/2006/relationships/hyperlink" Target="https://www.sec.gov/Archives/edgar/data/0000034903/000003490321000020/frt-12312020xex1035.htm" TargetMode="External"/><Relationship Id="rId109" Type="http://schemas.openxmlformats.org/officeDocument/2006/relationships/hyperlink" Target="https://www.sec.gov/Archives/edgar/data/0000034903/000003490321000020/frt-12312020xex1036.htm" TargetMode="External"/><Relationship Id="rId110" Type="http://schemas.openxmlformats.org/officeDocument/2006/relationships/hyperlink" Target="https://www.sec.gov/Archives/edgar/data/0000034903/000003490321000020/frt-12312020xex1037.htm" TargetMode="External"/><Relationship Id="rId111" Type="http://schemas.openxmlformats.org/officeDocument/2006/relationships/hyperlink" Target="https://www.sec.gov/Archives/edgar/data/34903/000003490321000032/exhibit101.htm" TargetMode="External"/><Relationship Id="rId112" Type="http://schemas.openxmlformats.org/officeDocument/2006/relationships/hyperlink" Target="https://www.sec.gov/Archives/edgar/data/34903/000003490321000032/exhibit102.htm" TargetMode="External"/><Relationship Id="rId113" Type="http://schemas.openxmlformats.org/officeDocument/2006/relationships/hyperlink" Target="https://www.sec.gov/Archives/edgar/data/0000034903/000119312521121313/d126788dex101.htm" TargetMode="External"/><Relationship Id="rId114" Type="http://schemas.openxmlformats.org/officeDocument/2006/relationships/hyperlink" Target="https://www.sec.gov/Archives/edgar/data/0000034903/000119312522000302/d231372dex101.htm" TargetMode="External"/><Relationship Id="rId115" Type="http://schemas.openxmlformats.org/officeDocument/2006/relationships/hyperlink" Target="https://www.sec.gov/Archives/edgar/data/34903/000119312522000302/d231372dex102.htm" TargetMode="External"/><Relationship Id="rId116" Type="http://schemas.openxmlformats.org/officeDocument/2006/relationships/hyperlink" Target="https://www.sec.gov/Archives/edgar/data/34903/000119312522000302/d231372dex103.htm" TargetMode="External"/><Relationship Id="rId118" Type="http://schemas.openxmlformats.org/officeDocument/2006/relationships/hyperlink" Target="https://www.sec.gov/Archives/edgar/data/34903/000119312522260296/d371166dex101.htm" TargetMode="External"/><Relationship Id="rId119" Type="http://schemas.openxmlformats.org/officeDocument/2006/relationships/hyperlink" Target="https://www.sec.gov/Archives/edgar/data/34903/000119312522260296/d37116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2023-02-08T15:27:35Z</dcterms:created>
  <dcterms:modified xsi:type="dcterms:W3CDTF">2023-02-08T15:27:35Z</dcterms:modified>
</cp:coreProperties>
</file>