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41275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-232410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3"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June 30, 2012</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57"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9" w:lineRule="exact"/>
        <w:rPr>
          <w:sz w:val="24"/>
          <w:szCs w:val="24"/>
          <w:color w:val="auto"/>
        </w:rPr>
      </w:pPr>
    </w:p>
    <w:p>
      <w:pPr>
        <w:ind w:left="3680"/>
        <w:spacing w:after="0"/>
        <w:tabs>
          <w:tab w:leader="none" w:pos="692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Commission file number: 1-07533</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7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48" w:lineRule="exact"/>
        <w:rPr>
          <w:sz w:val="24"/>
          <w:szCs w:val="24"/>
          <w:color w:val="auto"/>
        </w:rPr>
      </w:pPr>
    </w:p>
    <w:tbl>
      <w:tblPr>
        <w:tblLayout w:type="fixed"/>
        <w:tblInd w:w="620" w:type="dxa"/>
        <w:tblCellMar>
          <w:top w:w="0" w:type="dxa"/>
          <w:left w:w="0" w:type="dxa"/>
          <w:bottom w:w="0" w:type="dxa"/>
          <w:right w:w="0" w:type="dxa"/>
        </w:tblCellMar>
      </w:tblPr>
      <w:tr>
        <w:trPr>
          <w:trHeight w:val="256"/>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5"/>
              </w:rPr>
              <w:t>Maryland</w:t>
            </w:r>
          </w:p>
        </w:tc>
        <w:tc>
          <w:tcPr>
            <w:tcW w:w="2340" w:type="dxa"/>
            <w:vAlign w:val="bottom"/>
          </w:tcPr>
          <w:p>
            <w:pPr>
              <w:jc w:val="right"/>
              <w:ind w:right="610"/>
              <w:spacing w:after="0"/>
              <w:rPr>
                <w:sz w:val="20"/>
                <w:szCs w:val="20"/>
                <w:color w:val="auto"/>
              </w:rPr>
            </w:pPr>
            <w:r>
              <w:rPr>
                <w:rFonts w:ascii="Arial" w:cs="Arial" w:eastAsia="Arial" w:hAnsi="Arial"/>
                <w:sz w:val="20"/>
                <w:szCs w:val="20"/>
                <w:b w:val="1"/>
                <w:bCs w:val="1"/>
                <w:color w:val="auto"/>
              </w:rPr>
              <w:t>52-0782497</w:t>
            </w:r>
          </w:p>
        </w:tc>
      </w:tr>
      <w:tr>
        <w:trPr>
          <w:trHeight w:val="247"/>
        </w:trPr>
        <w:tc>
          <w:tcPr>
            <w:tcW w:w="6780" w:type="dxa"/>
            <w:vAlign w:val="bottom"/>
          </w:tcPr>
          <w:p>
            <w:pPr>
              <w:jc w:val="center"/>
              <w:ind w:right="2653"/>
              <w:spacing w:after="0"/>
              <w:rPr>
                <w:sz w:val="20"/>
                <w:szCs w:val="20"/>
                <w:color w:val="auto"/>
              </w:rPr>
            </w:pPr>
            <w:r>
              <w:rPr>
                <w:rFonts w:ascii="Arial" w:cs="Arial" w:eastAsia="Arial" w:hAnsi="Arial"/>
                <w:sz w:val="16"/>
                <w:szCs w:val="16"/>
                <w:b w:val="1"/>
                <w:bCs w:val="1"/>
                <w:color w:val="auto"/>
                <w:w w:val="93"/>
              </w:rPr>
              <w:t>(State of Organization)</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523"/>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0"/>
              </w:rPr>
              <w:t>1626 East Jefferson Street, Rockville, Maryland</w:t>
            </w:r>
          </w:p>
        </w:tc>
        <w:tc>
          <w:tcPr>
            <w:tcW w:w="2340" w:type="dxa"/>
            <w:vAlign w:val="bottom"/>
          </w:tcPr>
          <w:p>
            <w:pPr>
              <w:jc w:val="right"/>
              <w:ind w:right="830"/>
              <w:spacing w:after="0"/>
              <w:rPr>
                <w:sz w:val="20"/>
                <w:szCs w:val="20"/>
                <w:color w:val="auto"/>
              </w:rPr>
            </w:pPr>
            <w:r>
              <w:rPr>
                <w:rFonts w:ascii="Arial" w:cs="Arial" w:eastAsia="Arial" w:hAnsi="Arial"/>
                <w:sz w:val="20"/>
                <w:szCs w:val="20"/>
                <w:b w:val="1"/>
                <w:bCs w:val="1"/>
                <w:color w:val="auto"/>
              </w:rPr>
              <w:t>20852</w:t>
            </w:r>
          </w:p>
        </w:tc>
      </w:tr>
      <w:tr>
        <w:trPr>
          <w:trHeight w:val="247"/>
        </w:trPr>
        <w:tc>
          <w:tcPr>
            <w:tcW w:w="6780" w:type="dxa"/>
            <w:vAlign w:val="bottom"/>
          </w:tcPr>
          <w:p>
            <w:pPr>
              <w:jc w:val="center"/>
              <w:ind w:right="2673"/>
              <w:spacing w:after="0"/>
              <w:rPr>
                <w:sz w:val="20"/>
                <w:szCs w:val="20"/>
                <w:color w:val="auto"/>
              </w:rPr>
            </w:pPr>
            <w:r>
              <w:rPr>
                <w:rFonts w:ascii="Arial" w:cs="Arial" w:eastAsia="Arial" w:hAnsi="Arial"/>
                <w:sz w:val="16"/>
                <w:szCs w:val="16"/>
                <w:b w:val="1"/>
                <w:bCs w:val="1"/>
                <w:color w:val="auto"/>
                <w:w w:val="91"/>
              </w:rPr>
              <w:t>(Address of Principal Executive Offices)</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(Zip Code)</w:t>
            </w:r>
          </w:p>
        </w:tc>
      </w:tr>
      <w:tr>
        <w:trPr>
          <w:trHeight w:val="330"/>
        </w:trPr>
        <w:tc>
          <w:tcPr>
            <w:tcW w:w="6780" w:type="dxa"/>
            <w:vAlign w:val="bottom"/>
          </w:tcPr>
          <w:p>
            <w:pPr>
              <w:jc w:val="right"/>
              <w:ind w:right="1033"/>
              <w:spacing w:after="0"/>
              <w:rPr>
                <w:sz w:val="20"/>
                <w:szCs w:val="20"/>
                <w:color w:val="auto"/>
              </w:rPr>
            </w:pPr>
            <w:r>
              <w:rPr>
                <w:rFonts w:ascii="Arial" w:cs="Arial" w:eastAsia="Arial" w:hAnsi="Arial"/>
                <w:sz w:val="18"/>
                <w:szCs w:val="18"/>
                <w:b w:val="1"/>
                <w:bCs w:val="1"/>
                <w:color w:val="auto"/>
              </w:rPr>
              <w:t>(301) 998-8100</w:t>
            </w:r>
          </w:p>
        </w:tc>
        <w:tc>
          <w:tcPr>
            <w:tcW w:w="2340" w:type="dxa"/>
            <w:vAlign w:val="bottom"/>
          </w:tcPr>
          <w:p>
            <w:pPr>
              <w:spacing w:after="0"/>
              <w:rPr>
                <w:sz w:val="24"/>
                <w:szCs w:val="24"/>
                <w:color w:val="auto"/>
              </w:rPr>
            </w:pPr>
          </w:p>
        </w:tc>
      </w:tr>
      <w:tr>
        <w:trPr>
          <w:trHeight w:val="204"/>
        </w:trPr>
        <w:tc>
          <w:tcPr>
            <w:tcW w:w="6780" w:type="dxa"/>
            <w:vAlign w:val="bottom"/>
          </w:tcPr>
          <w:p>
            <w:pPr>
              <w:jc w:val="center"/>
              <w:ind w:left="3273"/>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2340" w:type="dxa"/>
            <w:vAlign w:val="bottom"/>
          </w:tcPr>
          <w:p>
            <w:pPr>
              <w:spacing w:after="0"/>
              <w:rPr>
                <w:sz w:val="17"/>
                <w:szCs w:val="17"/>
                <w:color w:val="auto"/>
              </w:rPr>
            </w:pPr>
          </w:p>
        </w:tc>
      </w:tr>
    </w:tbl>
    <w:p>
      <w:pPr>
        <w:spacing w:after="0" w:line="14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ind w:right="38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sectPr>
      </w:pPr>
    </w:p>
    <w:p>
      <w:pPr>
        <w:spacing w:after="0" w:line="7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740" w:space="70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97" w:lineRule="exact"/>
        <w:rPr>
          <w:sz w:val="24"/>
          <w:szCs w:val="24"/>
          <w:color w:val="auto"/>
        </w:rPr>
      </w:pPr>
    </w:p>
    <w:p>
      <w:pPr>
        <w:sectPr>
          <w:pgSz w:w="11900" w:h="16838" w:orient="portrait"/>
          <w:cols w:equalWidth="0" w:num="4">
            <w:col w:w="1720" w:space="72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8" w:lineRule="exact"/>
        <w:rPr>
          <w:sz w:val="24"/>
          <w:szCs w:val="24"/>
          <w:color w:val="auto"/>
        </w:rPr>
      </w:pPr>
    </w:p>
    <w:p>
      <w:pPr>
        <w:sectPr>
          <w:pgSz w:w="11900" w:h="16838" w:orient="portrait"/>
          <w:cols w:equalWidth="0" w:num="3">
            <w:col w:w="8240" w:space="240"/>
            <w:col w:w="500" w:space="180"/>
            <w:col w:w="2260"/>
          </w:cols>
          <w:pgMar w:left="240" w:top="23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Registrant’s common shares outstanding on July 30, 2012 was 64,111,975.</w:t>
      </w:r>
    </w:p>
    <w:p>
      <w:pPr>
        <w:sectPr>
          <w:pgSz w:w="11900" w:h="16838" w:orient="portrait"/>
          <w:cols w:equalWidth="0" w:num="1">
            <w:col w:w="11420"/>
          </w:cols>
          <w:pgMar w:left="240" w:top="2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8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122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jc w:val="center"/>
              <w:ind w:right="47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60" w:type="dxa"/>
            <w:vAlign w:val="bottom"/>
          </w:tcPr>
          <w:p>
            <w:pPr>
              <w:jc w:val="center"/>
              <w:ind w:right="47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60" w:type="dxa"/>
            <w:vAlign w:val="bottom"/>
          </w:tcPr>
          <w:p>
            <w:pPr>
              <w:jc w:val="center"/>
              <w:ind w:right="450"/>
              <w:spacing w:after="0"/>
              <w:rPr>
                <w:sz w:val="20"/>
                <w:szCs w:val="20"/>
                <w:color w:val="auto"/>
              </w:rPr>
            </w:pPr>
            <w:r>
              <w:rPr>
                <w:rFonts w:ascii="Arial" w:cs="Arial" w:eastAsia="Arial" w:hAnsi="Arial"/>
                <w:sz w:val="18"/>
                <w:szCs w:val="18"/>
                <w:b w:val="1"/>
                <w:bCs w:val="1"/>
                <w:color w:val="auto"/>
                <w:w w:val="96"/>
              </w:rPr>
              <w:t>QUARTER ENDED JUNE 30, 2012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jc w:val="center"/>
              <w:ind w:right="45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10120" w:type="dxa"/>
            <w:vAlign w:val="bottom"/>
            <w:gridSpan w:val="3"/>
          </w:tcPr>
          <w:p>
            <w:pPr>
              <w:ind w:left="1120"/>
              <w:spacing w:after="0"/>
              <w:rPr>
                <w:sz w:val="20"/>
                <w:szCs w:val="20"/>
                <w:color w:val="auto"/>
              </w:rPr>
            </w:pPr>
            <w:r>
              <w:rPr>
                <w:rFonts w:ascii="Arial" w:cs="Arial" w:eastAsia="Arial" w:hAnsi="Arial"/>
                <w:sz w:val="18"/>
                <w:szCs w:val="18"/>
                <w:color w:val="auto"/>
              </w:rPr>
              <w:t>PART I. FINANCIAL INFORMATION</w:t>
            </w: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1.</w:t>
            </w:r>
          </w:p>
        </w:tc>
        <w:tc>
          <w:tcPr>
            <w:tcW w:w="8260" w:type="dxa"/>
            <w:vAlign w:val="bottom"/>
          </w:tcPr>
          <w:p>
            <w:pPr>
              <w:ind w:left="8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60" w:type="dxa"/>
            <w:vAlign w:val="bottom"/>
          </w:tcPr>
          <w:p>
            <w:pPr>
              <w:ind w:left="80"/>
              <w:spacing w:after="0"/>
              <w:rPr>
                <w:sz w:val="20"/>
                <w:szCs w:val="20"/>
                <w:color w:val="auto"/>
              </w:rPr>
            </w:pPr>
            <w:r>
              <w:rPr>
                <w:rFonts w:ascii="Arial" w:cs="Arial" w:eastAsia="Arial" w:hAnsi="Arial"/>
                <w:sz w:val="18"/>
                <w:szCs w:val="18"/>
                <w:color w:val="auto"/>
              </w:rPr>
              <w:t>Consolidated Balance Sheets as of June 30, 2012 (unaudited) and December 31, 2011</w:t>
            </w:r>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76"/>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ind w:left="80"/>
              <w:spacing w:after="0"/>
              <w:rPr>
                <w:sz w:val="20"/>
                <w:szCs w:val="20"/>
                <w:color w:val="auto"/>
              </w:rPr>
            </w:pPr>
            <w:r>
              <w:rPr>
                <w:rFonts w:ascii="Arial" w:cs="Arial" w:eastAsia="Arial" w:hAnsi="Arial"/>
                <w:sz w:val="18"/>
                <w:szCs w:val="18"/>
                <w:color w:val="auto"/>
                <w:w w:val="97"/>
              </w:rPr>
              <w:t>Consolidated Statements of Comprehensive Income (unaudited) for the three and six months ended June</w:t>
            </w: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190"/>
        </w:trPr>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60" w:type="dxa"/>
            <w:vAlign w:val="bottom"/>
          </w:tcPr>
          <w:p>
            <w:pPr>
              <w:ind w:left="80"/>
              <w:spacing w:after="0" w:line="190" w:lineRule="exact"/>
              <w:rPr>
                <w:sz w:val="20"/>
                <w:szCs w:val="20"/>
                <w:color w:val="auto"/>
              </w:rPr>
            </w:pPr>
            <w:r>
              <w:rPr>
                <w:rFonts w:ascii="Arial" w:cs="Arial" w:eastAsia="Arial" w:hAnsi="Arial"/>
                <w:sz w:val="18"/>
                <w:szCs w:val="18"/>
                <w:color w:val="auto"/>
              </w:rPr>
              <w:t>30, 2012 and 2011</w:t>
            </w:r>
          </w:p>
        </w:tc>
        <w:tc>
          <w:tcPr>
            <w:tcW w:w="80" w:type="dxa"/>
            <w:vAlign w:val="bottom"/>
          </w:tcPr>
          <w:p>
            <w:pPr>
              <w:spacing w:after="0"/>
              <w:rPr>
                <w:sz w:val="16"/>
                <w:szCs w:val="16"/>
                <w:color w:val="auto"/>
              </w:rPr>
            </w:pPr>
          </w:p>
        </w:tc>
        <w:tc>
          <w:tcPr>
            <w:tcW w:w="100" w:type="dxa"/>
            <w:vAlign w:val="bottom"/>
            <w:tcBorders>
              <w:bottom w:val="single" w:sz="8" w:color="0000FF"/>
            </w:tcBorders>
          </w:tcPr>
          <w:p>
            <w:pPr>
              <w:jc w:val="right"/>
              <w:spacing w:after="0" w:line="190"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r>
      <w:tr>
        <w:trPr>
          <w:trHeight w:val="250"/>
        </w:trPr>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60" w:type="dxa"/>
            <w:vAlign w:val="bottom"/>
          </w:tcPr>
          <w:p>
            <w:pPr>
              <w:ind w:left="80"/>
              <w:spacing w:after="0"/>
              <w:rPr>
                <w:sz w:val="20"/>
                <w:szCs w:val="20"/>
                <w:color w:val="auto"/>
              </w:rPr>
            </w:pPr>
            <w:r>
              <w:rPr>
                <w:rFonts w:ascii="Arial" w:cs="Arial" w:eastAsia="Arial" w:hAnsi="Arial"/>
                <w:sz w:val="18"/>
                <w:szCs w:val="18"/>
                <w:color w:val="auto"/>
              </w:rPr>
              <w:t>Consolidated Statement of Shareholders' Equity (unaudited) for the six months ended June 30, 2012</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r>
      <w:tr>
        <w:trPr>
          <w:trHeight w:val="250"/>
        </w:trPr>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60" w:type="dxa"/>
            <w:vAlign w:val="bottom"/>
          </w:tcPr>
          <w:p>
            <w:pPr>
              <w:ind w:left="80"/>
              <w:spacing w:after="0"/>
              <w:rPr>
                <w:sz w:val="20"/>
                <w:szCs w:val="20"/>
                <w:color w:val="auto"/>
              </w:rPr>
            </w:pPr>
            <w:r>
              <w:rPr>
                <w:rFonts w:ascii="Arial" w:cs="Arial" w:eastAsia="Arial" w:hAnsi="Arial"/>
                <w:sz w:val="18"/>
                <w:szCs w:val="18"/>
                <w:color w:val="auto"/>
                <w:w w:val="99"/>
              </w:rPr>
              <w:t>Consolidated Statements of Cash Flows (unaudited) for the six months ended June 30, 2012 and 2011</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r>
      <w:tr>
        <w:trPr>
          <w:trHeight w:val="250"/>
        </w:trPr>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60" w:type="dxa"/>
            <w:vAlign w:val="bottom"/>
          </w:tcPr>
          <w:p>
            <w:pPr>
              <w:ind w:left="8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2.</w:t>
            </w:r>
          </w:p>
        </w:tc>
        <w:tc>
          <w:tcPr>
            <w:tcW w:w="8260" w:type="dxa"/>
            <w:vAlign w:val="bottom"/>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15</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3.</w:t>
            </w:r>
          </w:p>
        </w:tc>
        <w:tc>
          <w:tcPr>
            <w:tcW w:w="8260" w:type="dxa"/>
            <w:vAlign w:val="bottom"/>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30</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4.</w:t>
            </w:r>
          </w:p>
        </w:tc>
        <w:tc>
          <w:tcPr>
            <w:tcW w:w="8260" w:type="dxa"/>
            <w:vAlign w:val="bottom"/>
          </w:tcPr>
          <w:p>
            <w:pPr>
              <w:ind w:left="8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r>
      <w:tr>
        <w:trPr>
          <w:trHeight w:val="574"/>
        </w:trPr>
        <w:tc>
          <w:tcPr>
            <w:tcW w:w="10120" w:type="dxa"/>
            <w:vAlign w:val="bottom"/>
            <w:gridSpan w:val="3"/>
          </w:tcPr>
          <w:p>
            <w:pPr>
              <w:ind w:left="1120"/>
              <w:spacing w:after="0"/>
              <w:rPr>
                <w:sz w:val="20"/>
                <w:szCs w:val="20"/>
                <w:color w:val="auto"/>
              </w:rPr>
            </w:pPr>
            <w:r>
              <w:rPr>
                <w:rFonts w:ascii="Arial" w:cs="Arial" w:eastAsia="Arial" w:hAnsi="Arial"/>
                <w:sz w:val="18"/>
                <w:szCs w:val="18"/>
                <w:color w:val="auto"/>
              </w:rPr>
              <w:t>PART II. 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1.</w:t>
            </w:r>
          </w:p>
        </w:tc>
        <w:tc>
          <w:tcPr>
            <w:tcW w:w="826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1A.</w:t>
            </w:r>
          </w:p>
        </w:tc>
        <w:tc>
          <w:tcPr>
            <w:tcW w:w="8260" w:type="dxa"/>
            <w:vAlign w:val="bottom"/>
          </w:tcPr>
          <w:p>
            <w:pPr>
              <w:ind w:left="8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2.</w:t>
            </w:r>
          </w:p>
        </w:tc>
        <w:tc>
          <w:tcPr>
            <w:tcW w:w="8260" w:type="dxa"/>
            <w:vAlign w:val="bottom"/>
          </w:tcPr>
          <w:p>
            <w:pPr>
              <w:ind w:left="8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3.</w:t>
            </w:r>
          </w:p>
        </w:tc>
        <w:tc>
          <w:tcPr>
            <w:tcW w:w="8260" w:type="dxa"/>
            <w:vAlign w:val="bottom"/>
          </w:tcPr>
          <w:p>
            <w:pPr>
              <w:ind w:left="8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4.</w:t>
            </w:r>
          </w:p>
        </w:tc>
        <w:tc>
          <w:tcPr>
            <w:tcW w:w="8260" w:type="dxa"/>
            <w:vAlign w:val="bottom"/>
          </w:tcPr>
          <w:p>
            <w:pPr>
              <w:ind w:left="8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5.</w:t>
            </w:r>
          </w:p>
        </w:tc>
        <w:tc>
          <w:tcPr>
            <w:tcW w:w="8260" w:type="dxa"/>
            <w:vAlign w:val="bottom"/>
          </w:tcPr>
          <w:p>
            <w:pPr>
              <w:ind w:left="8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6.</w:t>
            </w:r>
          </w:p>
        </w:tc>
        <w:tc>
          <w:tcPr>
            <w:tcW w:w="8260" w:type="dxa"/>
            <w:vAlign w:val="bottom"/>
          </w:tcPr>
          <w:p>
            <w:pPr>
              <w:ind w:left="8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r>
      <w:tr>
        <w:trPr>
          <w:trHeight w:val="574"/>
        </w:trPr>
        <w:tc>
          <w:tcPr>
            <w:tcW w:w="10120" w:type="dxa"/>
            <w:vAlign w:val="bottom"/>
            <w:gridSpan w:val="3"/>
          </w:tcPr>
          <w:p>
            <w:pPr>
              <w:ind w:left="112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939"/>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jc w:val="center"/>
              <w:ind w:right="47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300"/>
          </w:cols>
          <w:pgMar w:left="240" w:top="118" w:right="13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balance sheet as of December 31, 2011,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and six months ended June 30, 2012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6"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9"/>
              </w:rPr>
              <w:t>(In thousands, except share data)</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9"/>
              </w:rPr>
              <w:t>Operating (including $263,631 and $263,570 of consolidated variable interest entities, respectively)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4,264,527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4,232,608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211,725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193,836</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4,476,252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4,426,444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5"/>
              </w:rPr>
              <w:t>Less accumulated depreciation and amortization (including $8,497 and $4,991 of consolidated variable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entities,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(1,169,278)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(1,127,588)</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3,306,974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3,298,856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67,806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76,601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75,921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34,055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34,352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114,302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121,492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Debt issuance costs, net of accumulated amortization of $10,574 and $9,098, respectively</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10,336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11,816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3,680,929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3,666,210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rPr>
              <w:t>Mortgages payable (including $206,506 and $207,683 of consolidated variable interest entities,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733,997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747,523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63,093</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300,089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295,159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1,004,532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1,004,635</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110,786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104,660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44,229</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12,745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12,221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68,761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2,332,613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2,340,281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81,858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85,325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0"/>
              </w:rPr>
              <w:t>Common shares of beneficial interest, $.01 par, 100,000,000 shares authorized, 64,099,840 and 63,544,150</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1,810,359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1,764,940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(568,541)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(555,541)</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1,242,081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1,216,092</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24,377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24,512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1,266,458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1,240,604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3,680,929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3,666,210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060" w:type="dxa"/>
            <w:vAlign w:val="bottom"/>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141,796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282,457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267,438</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8,840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147,560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136,280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293,849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273,929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26,906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53,016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54,535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30,954</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6,395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14,143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12,446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62,287</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85,781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78,946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171,523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160,222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122,326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113,707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(48,949)</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real estate partnerships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33,893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65,858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65,856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Discontinued operations - income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 - gain on deconsolidation of VIE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Discontinued operations - gain on sale of real estate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Results from discontinued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36,471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65,858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68,855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 in real estate partnership</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36,471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77,718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68,855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32,603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34,757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75,589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65,943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shares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32,468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34,622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75,318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65,672</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Gain on sale of real estate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 basic</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63,700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62,214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63,556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61,844</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DILUTED</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Gain on sale of real estate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63,880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62,391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63,732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62,012</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0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(Note 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25,803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36,471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71,283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68,855</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0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ATTRIBUTABLE TO THE TRUST (Note 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24,810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34,757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69,154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65,943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90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6" w:right="239" w:bottom="908"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Six Months Ended June 30, 2012</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w w:val="99"/>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560" w:type="dxa"/>
            <w:vAlign w:val="bottom"/>
            <w:gridSpan w:val="4"/>
            <w:vMerge w:val="restart"/>
          </w:tcPr>
          <w:p>
            <w:pPr>
              <w:jc w:val="right"/>
              <w:ind w:right="179"/>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560" w:type="dxa"/>
            <w:vAlign w:val="bottom"/>
            <w:gridSpan w:val="4"/>
            <w:vMerge w:val="restart"/>
          </w:tcPr>
          <w:p>
            <w:pPr>
              <w:jc w:val="right"/>
              <w:ind w:right="139"/>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0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7"/>
          </w:tcPr>
          <w:p>
            <w:pPr>
              <w:spacing w:after="0"/>
              <w:rPr>
                <w:sz w:val="20"/>
                <w:szCs w:val="20"/>
                <w:color w:val="auto"/>
              </w:rPr>
            </w:pPr>
            <w:r>
              <w:rPr>
                <w:rFonts w:ascii="Arial" w:cs="Arial" w:eastAsia="Arial" w:hAnsi="Arial"/>
                <w:sz w:val="14"/>
                <w:szCs w:val="14"/>
                <w:b w:val="1"/>
                <w:bCs w:val="1"/>
                <w:color w:val="auto"/>
                <w:w w:val="96"/>
              </w:rPr>
              <w:t>(In thousands, except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2011</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63,544,150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$1,764,940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(555,541)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24,512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$ 1,240,604</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5"/>
              </w:rPr>
              <w:t>Net income, excluding $1,224 attributable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to redeemable noncontrolling 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75,589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76,494</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(6,435)</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Dividends declared to common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(88,318)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(88,318)</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to preferred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Distributions declared to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shares issued</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382,194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37,052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37,056</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43,870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2,390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Shares issued under dividend reinvestment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12,319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1,129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1,129</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w w:val="95"/>
              </w:rPr>
              <w:t>Share-based compensation expense, net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117,307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5,170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5,171</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Conversion and redemption of OP units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Contributions from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30, 2012</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64,099,840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$1,810,359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(568,541)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24,377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$ 1,266,458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68,855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 including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62,632</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Gain on sale of real estate in real estate partnership</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Gain on deconsolidation of VIE</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(increase) in 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Decrease in prepaid expenses and other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5,170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10,579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(decrease) in accounts payable and 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(16,868)</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Increase (decrease) in security deposits and other liabilities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118,698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(35,971)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sale of real estate</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1,497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511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mortgage and other notes receivable,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8,712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(76,760)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borrowings under revolving credit facility,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112,000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Purchase and retirement of senior notes/debentures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mortgages, capital leases and notes payable,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mortgages, capital leases and notes payable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(13,270)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(86,021)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96,787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(88,205)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(83,098)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(61,579)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(37,887)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67,806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15,797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82,774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19,848</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6"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2012</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and California. As of June 30, 2012, we owned or had a majority interest in community and neighborhood shopping centers and mixed-use properties which are operated as 87 predominantly retail real estate projects.</w:t>
      </w:r>
    </w:p>
    <w:p>
      <w:pPr>
        <w:spacing w:after="0" w:line="10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2011 amounts have been reclassified to conform to current period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7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ASU 2011-05 eliminates the option to present components of other comprehensive income as part of the statement of shareholders’ equity and requires the presentation of components of net income and components of other comprehensive income either in a single continuous statement of comprehensive income or in two separate but consecutive statements. In December 2011, the FASB deferred the requirement to present reclassification adjustments for each component of accumulated other comprehensive income in both net income and other comprehensive income on the face of the financial statements. We adopted the standards effective January 1, 2012 and modified the presentation in our consolidated financial statements accordingly. Other comprehensive loss in our financial statements relates to the change in valuation on our interest rate swap agreements as further discussed in Note 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23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64"/>
        </w:trPr>
        <w:tc>
          <w:tcPr>
            <w:tcW w:w="56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36,471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77,718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68,855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25,803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36,471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71,283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68,855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(2,912)</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24,810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34,757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69,154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65,943</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Recently Adopted Accounting Pronouncements</w:t>
      </w:r>
    </w:p>
    <w:p>
      <w:pPr>
        <w:spacing w:after="0" w:line="9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May 2011, the Financial Accounting Standards Board (“FASB”) issued Accounting Standards Update (“ASU”) 2011-04, “Fair Value Measurement (Topic 820): Amendments to Achieve Common Fair Value Measurement and Disclosure Requirements in U.S. GAAP and IFRSs.” The pronouncement was issued to provide a uniform framework for fair value measurements and related disclosures between U.S. GAAP and International Financial Reporting Standards (“IFRS”). ASU 2011-04 changes certain fair value measurement principles and enhances the disclosure requirements particularly for level 3 fair value measurements. We adopted the standard effective January 1, 2012 and it did not have a significant impact to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Total interest costs incurred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62,515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52,585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capitalized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57,526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48,949</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interest, net of amounts capitalized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58,132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50,197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income taxes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NON-CASH INVESTING AND FINANCING TRANSACTIONS: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Mortgage loan assumed with acquisition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42,938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Deconsolidation of VIE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18,311</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2012, we finalized the purchase price allocations for our December 2011 acquisitions of controlling interests in Montrose Crossing and Plaza El Segundo. The purchase price for Montrose Crossing was $141.5 million and our 89.9% ownership interest was $127.2 million which was funded with cash and our pro-rata share of $80.0 million of new mortgage debt. Approximately $2.9 million and $3.8 million of net assets acquired were allocated to other assets for "above market leases" and other liabilities for "below market leases", respectively. The purchase price for Plaza El Segundo was $192.7 million and our 48.2% ownership interest was funded with $8.5 million of cash and the assumption of our pro-rata share of the existing $175.0 million mortgage debt. Approximately $7.5 million and $2.3 million of net assets acquired were allocated to other assets for "above market leases" and other liabilities for "below market leases", respectively. The balance sheet at December 31, 2011, has been adjusted to reflect the final purchase price allocation for both properties.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 PARTNERSHIPS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Federal/Lion Venture LP</w:t>
      </w:r>
    </w:p>
    <w:p>
      <w:pPr>
        <w:spacing w:after="0" w:line="9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June 30, 2012, the Partnership owned seven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244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4,709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4,676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9,298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9,644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1,228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2,567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3,447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tcBorders>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1,262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share of net income from real estate partnership</w:t>
            </w:r>
          </w:p>
        </w:tc>
        <w:tc>
          <w:tcPr>
            <w:tcW w:w="86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4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176,485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178,693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5,003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6,116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185,989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187,844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Mortgages payable</w:t>
            </w: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57,267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57,376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Partners’ capital</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124,288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125,077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partners’ capital</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185,989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187,844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Our share of unconsolidated debt</w:t>
            </w: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17,180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17,213</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5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investment in real estate partnership</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34,352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Taurus Newbury Street JV II Limited Partnership</w:t>
      </w:r>
    </w:p>
    <w:p>
      <w:pPr>
        <w:spacing w:after="0" w:line="17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On October 31, 2011, our Newbury Street Partnership sold its entire portfolio of three buildings for $44.0 million. As part of the sale, we received $34.6 million of the net proceeds which included the repayment of our $11.8 million loans. Due to the timing of receiving financial information from the general partner, our share of earnings was recorded one quarter in arrears. Therefore, we recognized the gain on sale of $11.9 million in the first quarter 2012. The deferred gain was included in "other liabilities and deferred credits" on the balance sheet at December 31, 2011.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9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During the three and six months ended June 30, 2012, our $400.0 million revolving credit facility had no amounts outstanding. Our revolving credit facility, term loan and certain notes require us to comply with various financial covenants, including the maintenance of minimum shareholders’ equity and debt coverage ratios and a maximum ratio of debt to net worth. As of June 30, 2012, we were in compliance with all loan covenants.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ectPr>
          <w:pgSz w:w="11900" w:h="16838" w:orient="portrait"/>
          <w:cols w:equalWidth="0" w:num="1">
            <w:col w:w="11420"/>
          </w:cols>
          <w:pgMar w:left="240" w:top="126" w:right="2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6"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1,034,086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1,082,723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1,042,682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1,099,273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1,004,532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1,102,285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1,004,635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1,085,309</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June 30, 2012, we have two interest rate swap agreements with a notional amount of $275.0 million that are measured at fair value on a recurring basis. The interest rate swaps agreements fix the variable portion of our $275.0 million term loan at 1.72% from December 1, 2011 through November 1, 2018. We assess effectiveness of our cash flow hedges both at inception and on an ongoing basis. The effective portion of changes in fair value of the interest rate swaps associated with our cash flow hedges is recorded in accumulated other comprehensive income/loss and is subsequently reclassified into interest expense as interest is incurred on the related variable rate debt. Within the next 12 months, we expect to reclassify an estimated $3.9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June 30, 2012, and we do not anticipate it will have a significant effect in the future.</w:t>
      </w:r>
    </w:p>
    <w:p>
      <w:pPr>
        <w:spacing w:after="0" w:line="2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June 30, 2012 was a liability of $10.4 million and is included in "accounts payable and accrued expenses" on our consolidated balance sheet. The change in valuation on our interest rate swaps was $7.8 million and $6.4 million (including $1.0 million and $2.0 million , respectively, reclassified from other comprehensive loss to earnings) for the three and six months ended June 30, 2012 and is included in "accumulated other comprehensive loss". A summary of our financial liabilities that are measured at fair value on a recurring basis, by level within the fair value hierarchy is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June 30, 2012</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 2011</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10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1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40" w:type="dxa"/>
            <w:vAlign w:val="bottom"/>
            <w:gridSpan w:val="4"/>
          </w:tcPr>
          <w:p>
            <w:pPr>
              <w:ind w:left="5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   10,375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  10,375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3,940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3,940</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324,140 operating partnership units are outstanding which have a total fair value of $33.7 million, based on our closing stock price on June 30, 2012.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Six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89"/>
              </w:rPr>
              <w:t>2012</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2011</w:t>
            </w:r>
          </w:p>
        </w:tc>
        <w:tc>
          <w:tcPr>
            <w:tcW w:w="700" w:type="dxa"/>
            <w:vAlign w:val="bottom"/>
            <w:tcBorders>
              <w:bottom w:val="single" w:sz="8" w:color="auto"/>
            </w:tcBorders>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0.677</w:t>
            </w:r>
          </w:p>
        </w:tc>
        <w:tc>
          <w:tcPr>
            <w:tcW w:w="4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0.677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0.677</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0.677</w:t>
            </w:r>
          </w:p>
        </w:tc>
      </w:tr>
    </w:tbl>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May 8, 2012, we replaced our existing at the market (“ATM”) equity program with a new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June 30, 2012, we issued 161,324 common shares at a weighted average price per share of $101.23 for net cash proceeds of $16.0 million and paid $0.2 million in commissions related to the sales of these common shares. For the six months ended June 30, 2012, we issued 382,116 common shares at a weighted average price per share of $98.54 for net cash proceeds of $37.0 million and paid $0.5 million in commissions related to the sales of these common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9—COMPONENTS OF RENTAL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23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8"/>
                <w:szCs w:val="18"/>
                <w:color w:val="auto"/>
              </w:rPr>
              <w:t>Minimum rents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 and commercial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104,455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98,232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207,590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194,968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Residential (1)</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6,941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5,687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13,351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11,212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reimbursement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54,369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Percentage rent</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rental income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141,796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133,000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282,457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267,438</w:t>
            </w:r>
          </w:p>
        </w:tc>
        <w:tc>
          <w:tcPr>
            <w:tcW w:w="0" w:type="dxa"/>
            <w:vAlign w:val="bottom"/>
          </w:tcPr>
          <w:p>
            <w:pPr>
              <w:spacing w:after="0"/>
              <w:rPr>
                <w:sz w:val="1"/>
                <w:szCs w:val="1"/>
                <w:color w:val="auto"/>
              </w:rPr>
            </w:pPr>
          </w:p>
        </w:tc>
      </w:tr>
      <w:tr>
        <w:trPr>
          <w:trHeight w:val="27"/>
        </w:trPr>
        <w:tc>
          <w:tcPr>
            <w:tcW w:w="562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740" w:hanging="652"/>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Residential minimum rents consist of the rental amounts for residential units at Rollingwood Apartments, The Crest at Congressional Plaza Apartments, Santana Row and Bethesda Row.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Minimum rents include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8"/>
                <w:szCs w:val="18"/>
                <w:color w:val="auto"/>
              </w:rPr>
              <w:t>Straight-line rents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1.5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1.3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2.1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above market leases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(0.6)</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below market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1.2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1.0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2.3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10—DISCONTINUED OPERATIONS</w:t>
      </w:r>
    </w:p>
    <w:p>
      <w:pPr>
        <w:spacing w:after="0" w:line="9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Results of properties disposed or held for disposal which meet certain requirements, constitute discontinued operations and as such, the operations of these properties are classified as discontinued operations for all periods presented. A summary of the financial information for the discontinued operations is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Six Months Ended</w:t>
            </w:r>
          </w:p>
        </w:tc>
      </w:tr>
      <w:tr>
        <w:trPr>
          <w:trHeight w:val="192"/>
        </w:trPr>
        <w:tc>
          <w:tcPr>
            <w:tcW w:w="5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92"/>
              </w:rPr>
              <w:t>June 30,</w:t>
            </w:r>
          </w:p>
        </w:tc>
      </w:tr>
      <w:tr>
        <w:trPr>
          <w:trHeight w:val="264"/>
        </w:trPr>
        <w:tc>
          <w:tcPr>
            <w:tcW w:w="5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89"/>
              </w:rPr>
              <w:t>2011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89"/>
              </w:rPr>
              <w:t>2011</w:t>
            </w:r>
          </w:p>
        </w:tc>
      </w:tr>
      <w:tr>
        <w:trPr>
          <w:trHeight w:val="190"/>
        </w:trPr>
        <w:tc>
          <w:tcPr>
            <w:tcW w:w="5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94"/>
              </w:rPr>
              <w:t>(in millions)</w:t>
            </w:r>
          </w:p>
        </w:tc>
        <w:tc>
          <w:tcPr>
            <w:tcW w:w="980" w:type="dxa"/>
            <w:vAlign w:val="bottom"/>
          </w:tcPr>
          <w:p>
            <w:pPr>
              <w:spacing w:after="0"/>
              <w:rPr>
                <w:sz w:val="16"/>
                <w:szCs w:val="16"/>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8"/>
                <w:szCs w:val="18"/>
                <w:color w:val="auto"/>
              </w:rPr>
              <w:t>Revenue from discontinued operations</w:t>
            </w: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2.0</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r>
      <w:tr>
        <w:trPr>
          <w:trHeight w:val="432"/>
        </w:trPr>
        <w:tc>
          <w:tcPr>
            <w:tcW w:w="5620" w:type="dxa"/>
            <w:vAlign w:val="bottom"/>
          </w:tcPr>
          <w:p>
            <w:pPr>
              <w:spacing w:after="0"/>
              <w:rPr>
                <w:sz w:val="20"/>
                <w:szCs w:val="20"/>
                <w:color w:val="auto"/>
              </w:rPr>
            </w:pPr>
            <w:r>
              <w:rPr>
                <w:rFonts w:ascii="Arial" w:cs="Arial" w:eastAsia="Arial" w:hAnsi="Arial"/>
                <w:sz w:val="18"/>
                <w:szCs w:val="18"/>
                <w:b w:val="1"/>
                <w:bCs w:val="1"/>
                <w:color w:val="auto"/>
              </w:rPr>
              <w:t>NOTE 11—SHARE-BASED COMPENSATION PLANS</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6480" w:type="dxa"/>
            <w:vAlign w:val="bottom"/>
            <w:gridSpan w:val="2"/>
          </w:tcPr>
          <w:p>
            <w:pPr>
              <w:spacing w:after="0"/>
              <w:rPr>
                <w:sz w:val="20"/>
                <w:szCs w:val="20"/>
                <w:color w:val="auto"/>
              </w:rPr>
            </w:pPr>
            <w:r>
              <w:rPr>
                <w:rFonts w:ascii="Arial" w:cs="Arial" w:eastAsia="Arial" w:hAnsi="Arial"/>
                <w:sz w:val="18"/>
                <w:szCs w:val="18"/>
                <w:color w:val="auto"/>
                <w:w w:val="92"/>
              </w:rPr>
              <w:t>A summary of share-based compensation expense included in net income is as follows: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55"/>
        </w:trPr>
        <w:tc>
          <w:tcPr>
            <w:tcW w:w="5620" w:type="dxa"/>
            <w:vAlign w:val="bottom"/>
          </w:tcPr>
          <w:p>
            <w:pPr>
              <w:spacing w:after="0"/>
              <w:rPr>
                <w:sz w:val="24"/>
                <w:szCs w:val="24"/>
                <w:color w:val="auto"/>
              </w:rPr>
            </w:pPr>
          </w:p>
        </w:tc>
        <w:tc>
          <w:tcPr>
            <w:tcW w:w="232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0" w:type="dxa"/>
            <w:vAlign w:val="bottom"/>
            <w:gridSpan w:val="4"/>
          </w:tcPr>
          <w:p>
            <w:pPr>
              <w:jc w:val="center"/>
              <w:ind w:right="735"/>
              <w:spacing w:after="0"/>
              <w:rPr>
                <w:sz w:val="20"/>
                <w:szCs w:val="20"/>
                <w:color w:val="auto"/>
              </w:rPr>
            </w:pPr>
            <w:r>
              <w:rPr>
                <w:rFonts w:ascii="Arial" w:cs="Arial" w:eastAsia="Arial" w:hAnsi="Arial"/>
                <w:sz w:val="14"/>
                <w:szCs w:val="14"/>
                <w:b w:val="1"/>
                <w:bCs w:val="1"/>
                <w:color w:val="auto"/>
                <w:w w:val="93"/>
              </w:rPr>
              <w:t>Six Months Ended</w:t>
            </w:r>
          </w:p>
        </w:tc>
      </w:tr>
      <w:tr>
        <w:trPr>
          <w:trHeight w:val="276"/>
        </w:trPr>
        <w:tc>
          <w:tcPr>
            <w:tcW w:w="5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ind w:left="95"/>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89"/>
              </w:rPr>
              <w:t>2012</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89"/>
              </w:rPr>
              <w:t>2011</w:t>
            </w: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incurred</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Grants of common shares</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88"/>
              </w:rPr>
              <w:t>2,216</w:t>
            </w:r>
          </w:p>
        </w:tc>
        <w:tc>
          <w:tcPr>
            <w:tcW w:w="120" w:type="dxa"/>
            <w:vAlign w:val="bottom"/>
          </w:tcPr>
          <w:p>
            <w:pPr>
              <w:spacing w:after="0"/>
              <w:rPr>
                <w:sz w:val="21"/>
                <w:szCs w:val="21"/>
                <w:color w:val="auto"/>
              </w:rPr>
            </w:pP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3"/>
              <w:spacing w:after="0"/>
              <w:rPr>
                <w:sz w:val="20"/>
                <w:szCs w:val="20"/>
                <w:color w:val="auto"/>
              </w:rPr>
            </w:pPr>
            <w:r>
              <w:rPr>
                <w:rFonts w:ascii="Arial" w:cs="Arial" w:eastAsia="Arial" w:hAnsi="Arial"/>
                <w:sz w:val="18"/>
                <w:szCs w:val="18"/>
                <w:color w:val="auto"/>
                <w:w w:val="88"/>
              </w:rPr>
              <w:t>1,651</w:t>
            </w:r>
          </w:p>
        </w:tc>
        <w:tc>
          <w:tcPr>
            <w:tcW w:w="840" w:type="dxa"/>
            <w:vAlign w:val="bottom"/>
          </w:tcPr>
          <w:p>
            <w:pPr>
              <w:ind w:left="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5"/>
              <w:spacing w:after="0"/>
              <w:rPr>
                <w:sz w:val="20"/>
                <w:szCs w:val="20"/>
                <w:color w:val="auto"/>
              </w:rPr>
            </w:pPr>
            <w:r>
              <w:rPr>
                <w:rFonts w:ascii="Arial" w:cs="Arial" w:eastAsia="Arial" w:hAnsi="Arial"/>
                <w:sz w:val="18"/>
                <w:szCs w:val="18"/>
                <w:color w:val="auto"/>
                <w:w w:val="88"/>
              </w:rPr>
              <w:t>4,890</w:t>
            </w:r>
          </w:p>
        </w:tc>
        <w:tc>
          <w:tcPr>
            <w:tcW w:w="12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3,586</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Grants of options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208</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462</w:t>
            </w:r>
          </w:p>
        </w:tc>
      </w:tr>
      <w:tr>
        <w:trPr>
          <w:trHeight w:val="237"/>
        </w:trPr>
        <w:tc>
          <w:tcPr>
            <w:tcW w:w="56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88"/>
              </w:rPr>
              <w:t>2,339</w:t>
            </w: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w w:val="88"/>
              </w:rPr>
              <w:t>1,859</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88"/>
              </w:rPr>
              <w:t>5,171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4,048</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share-based compensation</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(176)</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88"/>
              </w:rPr>
              <w:t>2,116</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w w:val="88"/>
              </w:rPr>
              <w:t>1,683</w:t>
            </w:r>
          </w:p>
        </w:tc>
        <w:tc>
          <w:tcPr>
            <w:tcW w:w="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88"/>
              </w:rPr>
              <w:t>4,718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3,690</w:t>
            </w: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w:t>
      </w:r>
    </w:p>
    <w:p>
      <w:pPr>
        <w:spacing w:after="0" w:line="9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and six months ended June 30, 2012 and 2011, we had 0.3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1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no anti-dilutive stock options for the three and six months ended June 30, 2012. Approximately 0.1 million stock options have been excluded for the three and six months ended June 30, 2011 as they were anti-dilutive.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21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left="472"/>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5"/>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33,596</w:t>
            </w: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33,893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65,858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65,856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Less: Income from continuing operations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(1,504)</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32,260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32,129</w:t>
            </w: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63,042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62,577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Results from discontinued operations attributable to the Trust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2,368</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11,860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34,497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74,902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65,356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62,214</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61,844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177</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63,880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62,391</w:t>
            </w: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63,732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62,012</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0.51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0.04</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0.04</w:t>
            </w:r>
          </w:p>
        </w:tc>
        <w:tc>
          <w:tcPr>
            <w:tcW w:w="3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0.55</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52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continuing operations attributable to the Trust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32,603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32,389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63,729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63,164</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13—SUBSEQUENT EVENTS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On July 16, 2012, we repaid our $175.0 million 6.00% senior notes on the maturity date.</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July 19, 2012, we issued $250.0 million of fixed rate senior notes that mature on August 1, 2022 and bear interest at 3.00%. The net proceeds from this note offering after issuance discounts, underwriting fees and other costs were approximately $244.7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2011 filed with the Securities and Exchange Commission (the “SEC”) on February 16, 2012.</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2011 and under Part II, Item 1A in this Quarterly Report on Form 10-Q, before making any investments in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and California. As of June 30, 2012, we owned or had a majority interest in community and neighborhood shopping centers and mixed-use properties which are operated as 87 predominantly retail real estate projects comprising approximately 19.2 million square feet (excludes unconsolidated joint venture properties). In total, the real estate projects were 94.2% leased and 93.4% occupied at June 30, 2012. A joint venture in which we own a 30% interest owned seven retail real estate projects totaling approximately 1.0 million square feet as of June 30, 2012. In total, the joint venture properties in which we own a 30% interest were 88.2% leased and 87.7% occupied at June 30,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Significant Equity and Debt Transactions</w:t>
      </w:r>
    </w:p>
    <w:p>
      <w:pPr>
        <w:spacing w:after="0" w:line="17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May 8, 2012, we replaced our existing at the market (“ATM”) equity program with a new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June 30, 2012, we issued 161,324 common shares at a weighted average price per share of $101.23 for net cash proceeds of $16.0 million and paid $0.2 million in commissions related to the sales of these common shares. For the six months ended June 30, 2012, we issued 382,116 common shares at a weighted average price per share of $98.54 for net cash proceeds of $37.0 million and paid $0.5 million in commissions related to the sales of these common shares. As of June 30, 2012, we had the capacity to issue up to $283.7 million in common shares under our ATM equity program.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On July 16, 2012, we repaid our $175.0 million 6.00% senior notes on the maturity date.</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July 19, 2012, we issued $250.0 million of fixed rate senior notes that mature on August 1, 2022 and bear interest at 3.00%. The net proceeds from this note offering after issuance discounts, underwriting fees and other costs were approximately $244.7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Purchase Price Allocation of 2011 Property Acquisitions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2012, we finalized the purchase price allocations for our December 2011 acquisitions of controlling interests in Montrose Crossing and Plaza El Segundo. The purchase price for Montrose Crossing was $141.5 million and our 89.9% ownership interest was $127.2 million which was funded with cash and our pro-rata share of $80.0 million of new mortgage debt. Approximately $2.9 million and $3.8 million of net assets acquired were allocated to other assets for "above market leases" and other liabilities for "below market leases", respectively. The purchase price for Plaza El Segundo was $192.7 million and our 48.2% ownership interest was funded with $8.5 million of cash and the assumption of our pro-rata share of the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existing $175.0 million mortgage debt. Approximately $7.5 million and $2.3 million of net assets acquired were allocated to other assets for "above market leases" and other liabilities for "below market leases", respectively. The balance sheet at December 31, 2011, has been adjusted to reflect the final purchase price allocation for both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1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external and internal costs related to both development and redevelopment activities of $42 million and $3 million, respectively, for the six months ended June 30, 2012 and $33 million and $2 million, respectively, for the six months ended June 30, 2011. We capitalized external and internal costs related to other property improvements of $24 million and $1 million, respectively, for the six months ended June 30, 2012 and $20 million and $1 million, respectively, for the six months ended June 30, 2011. We capitalized external and internal costs related to leasing activities of $3 million and $3 million, respectively, for the six months ended June 30, 2012 and $4 million and $2 million, respectively, for the six months ended June 30, 2011. The amount of capitalized internal costs for salaries and related benefits for development and redevelopment activities, other property improvements, and leasing activities were $2 million, $1 million, and $3 million, respectively, for the six months ended June 30, 2012 and $1 million, less than $1 million, and $2 million, respectively, for the six months ended June 30, 2011.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 Transition</w:t>
      </w:r>
    </w:p>
    <w:p>
      <w:pPr>
        <w:spacing w:after="0" w:line="17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July 11, 2012, we announced that James M. Taylor, a senior managing director in the real estate investment banking group of an affiliate of Wells Fargo, will succeed Andrew Blocher as our chief financial officer on August 15, 2012. Mr. Blocher will remain as our chief financial officer through August 14, 2012, and he is expected to remain an employee of the company through February 20, 2013. We believe that the addition of Mr. Taylor to our executive ranks will enhance our ability to source and evaluate corporate business development and strategic opportunities. For more information about Mr. Taylor's appointment and Mr. Blocher's change of job responsibilities, see our Current Report on Form 8-K filed with the SEC on July 11,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our same-center portfolio,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properties are predominately located in densely populated,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2012, we expect to have redevelopment projects stabilizing with projected costs of approximately $55 million.</w:t>
      </w:r>
    </w:p>
    <w:p>
      <w:pPr>
        <w:spacing w:after="0" w:line="13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Additionally, we continue to invest in the development at Assembly Row which is a long-term development project we expect to be involved in over the coming years. The carrying value of the development portion of this project at June 30, 2012 is approximately $158 million. The project currently has zoning entitlements to build 2.3 million square feet of commercial-use buildings, 2,100 residential units, and a 200 room hotel. In December 2011, we entered into agreements with AvalonBay Communities ("AvalonBay") for a portion of the first phase of residential and retail development at Assembly Row which will include 575 residential units (by AvalonBay) and approximately 323,000 square feet of retail space. The Massachusetts Bay Transit Authority (MBTA) will also construct the new orange line T-Stop at the property. Construction commenced during first quarter 2012 and we expect the first phase to be stabilized in 2015. We will also continue our infrastructure work during 2012. We expect to invest between $25 million and $35 million in 2012, net of expected public funding.</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continue our predevelopment work related to the long-term redevelopment of Mid-Pike Plaza in Rockville, Maryland, which will be renamed Pike &amp; Rose, a long-term, multi-phased, mixed-use project. The property currently has zoning entitlements to build 1.7 million square feet of commercial-use buildings and 1,583 residential units. Phase I of Pike &amp; Rose involves demolition of roughly 25% of the existing gross leasable area at Mid-Pike Plaza (which was completed during the second quarter 2012) and construction of 493 residential units, 151,000 square feet of retail space and 79,000 square of office space. Construction of Phase I will commence in the third quarter 2012 with stabilization in 2015/2016. We expect to invest between $45 million and $55 million in 2012.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6"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among other things, market conditions, our evaluation of whether those phases will generate an appropriate financial return and our ability to structure the development of those future phases, through entitlement sales, third party capital investment or otherwise, in a way that should mitigate our risk of those future phases.</w:t>
      </w:r>
    </w:p>
    <w:p>
      <w:pPr>
        <w:spacing w:after="0" w:line="18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have continued to see signs of improvement for many of our tenants as well as increased interest from prospective tenants for our retail spaces. While there can be no assurance that these positive signs will continue, we remain cautiously optimistic regarding the improved trends we have seen over the past two years. While we have seen improvements over much of our portfolio, we continue to see some tenants being negatively impacted by the economic environment and some filing for bankruptcy, though at a lower rate than in previous years. We believe the locations of our centers and diverse tenant base mitigates the negative impact of the economic environment, however, any reduction in our tenants' abilities to pay base rent, percentage rent or other charges, will adversely affect our financial condition and results of operations. We expect to continue to see small changes in occupancy over the short term and expect increases in occupancy and rental rates to be a driver of our same-center growth over the long term as we are able to re-lease vacant spaces. We seek to maintain a mix of strong national, regional, and local retailers. At June 30, 2012, no single tenant accounted for more than 2.5% of annualized base rent.</w:t>
      </w:r>
    </w:p>
    <w:p>
      <w:pPr>
        <w:spacing w:after="0" w:line="1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Generally, our acquisitions do not initially contribute significantly to earnings growth; however,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new or assumed mortgages.</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June 30, 2012, the leasable square feet in our properties was 93.4% occupied and 94.2%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For the second quarter 2012, we signed leases for a total of 369,000 square feet of retail space including 356,000 square feet of comparable space leases (leases for which there was a prior tenant) at an average rental increase of 11% on a cash basis and 21% on a straight-line basis. New leases for comparable spaces were signed for 195,000 square feet at an average rental increase of 15% on a cash basis and 24% on a straight-line basis. Renewals for comparable spaces were signed for 161,000 square feet at an average rental increase of 7% on a cash basis and 18% on a straight-line basis.</w:t>
      </w:r>
    </w:p>
    <w:p>
      <w:pPr>
        <w:spacing w:after="0" w:line="1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For the six months ended June 30, 2012, we signed leases for a total of 948,000 square feet of retail space including 817,000 square feet of comparable space leases (leases for which there was a prior tenant) at an average rental increase of 14% on a cash basis and 23% on a straight-line basis. New leases for comparable spaces were signed for 419,000 square feet at an average rental increase of 23% on a cash basis and 32% on a straight-line basis. Renewals for comparable spaces were signed for 398,000 square feet at an average rental increase of 5% on a cash basis and 14% on a straight-line basis.</w:t>
      </w:r>
    </w:p>
    <w:p>
      <w:pPr>
        <w:spacing w:after="0" w:line="10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some instances, management exercises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leases signed in 2012 generally become effective over the following two years though some may not become effective until 2014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6"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rental income over time.</w:t>
      </w:r>
    </w:p>
    <w:p>
      <w:pPr>
        <w:spacing w:after="0" w:line="17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2012, we expect a similar level of leasing activity compared to prior years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 For the three and six months ended June 30, 2012, all or a portion of 79 and 78 properties, respectively, were considered same-center and for both periods, seven properties were considered redevelopment or expansion. For the six months ended June 30, 2012, three properties were removed from same-center and one property was added to same-center compared to the designations as of December 31, 2011. For the three months ended June 30, 2012, one additional property was moved from acquisitions to same-center designation.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development or expansion.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6" w:right="2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JUNE 30, 2012 AND 2011</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141,796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8,796</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2,332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108.7 %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147,560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136,280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11,280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16,537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990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2,763</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104,117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95,600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8,517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(70,521)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gain on deconsolidation of VIE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32,603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34,757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Total property revenue increased $11.3 million, or 8.3%, to $147.6 million in the three months ended June 30, 2012 compared to $136.3 million in the three months ended June 30, 2011. The percentage occupied at our shopping centers increased to 93.4% at June 30, 2012 compared to 92.7% at June 30, 2011. Changes in the components of property revenue are discussed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120"/>
        <w:spacing w:after="0" w:line="317"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$8.8 million, or 6.6%, to $141.8 million in the three months ended June 30, 2012 compared to $133.0 million in the three months ended June 30, 2011 due primarily to the following:</w:t>
      </w:r>
    </w:p>
    <w:p>
      <w:pPr>
        <w:ind w:left="1700" w:hanging="801"/>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$6.7 million attributable to properties acquired in 2011,</w:t>
      </w:r>
    </w:p>
    <w:p>
      <w:pPr>
        <w:spacing w:after="0" w:line="63" w:lineRule="exact"/>
        <w:rPr>
          <w:rFonts w:ascii="Arial" w:cs="Arial" w:eastAsia="Arial" w:hAnsi="Arial"/>
          <w:sz w:val="18"/>
          <w:szCs w:val="18"/>
          <w:color w:val="auto"/>
        </w:rPr>
      </w:pPr>
    </w:p>
    <w:p>
      <w:pPr>
        <w:ind w:left="1700" w:right="40" w:hanging="801"/>
        <w:spacing w:after="0" w:line="277" w:lineRule="auto"/>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$1.2 million at same-center properties due primarily to increased occupancy and higher rental rates on new and renewal leases, and</w:t>
      </w:r>
    </w:p>
    <w:p>
      <w:pPr>
        <w:spacing w:after="0" w:line="8" w:lineRule="exact"/>
        <w:rPr>
          <w:rFonts w:ascii="Arial" w:cs="Arial" w:eastAsia="Arial" w:hAnsi="Arial"/>
          <w:sz w:val="18"/>
          <w:szCs w:val="18"/>
          <w:color w:val="auto"/>
        </w:rPr>
      </w:pPr>
    </w:p>
    <w:p>
      <w:pPr>
        <w:ind w:left="1700" w:right="80" w:hanging="801"/>
        <w:spacing w:after="0" w:line="264" w:lineRule="auto"/>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$0.7 million at redevelopment properties due primarily to increased occupancy at certain properties mainly our new residential building at Santana Row and higher rental rates on new leases partially offset by lower income from Mid-Pike Plaza as the property is prepared for the development of Pike &amp; Rose.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Other property income increased $2.3 million, or 108.7%, to $4.5 million in the three months ended June 30, 2012 compared to $2.1 million in the three months ended June 30, 2011. Included in other property income are items which, although recurring, tend to fluctuate more than rental income from period to period, such as lease termination fees. This increase is primarily due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lease termination fees at same-center properties.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Total property expenses increased $2.8 million, or 6.8%, to $43.4 million in the three months ended June 30, 2012 compared to $40.7 million in the three months ended June 30, 2011. Changes in the components of property expenses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Rental expenses increased $1.8 million, or 7.1%, to $26.9 million in the three months ended June 30, 2012 compared to $25.1 million in the three months ended June 30, 2011. This increase is primarily due to the following:</w:t>
      </w:r>
    </w:p>
    <w:p>
      <w:pPr>
        <w:spacing w:after="0" w:line="35" w:lineRule="exact"/>
        <w:rPr>
          <w:sz w:val="20"/>
          <w:szCs w:val="20"/>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$0.7 million related to properties acquired in 2011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$0.7 million in repairs and maintenance at same-center and redevelopment properties.</w:t>
      </w:r>
    </w:p>
    <w:p>
      <w:pPr>
        <w:spacing w:after="0" w:line="17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As a result of the changes in rental income, other property income and rental expenses as discussed above, rental expenses as a percentage of rental income plus other property income decreased to 18.4% in the three months ended June 30, 2012 from 18.6% in the three months ended June 30,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Real estate tax expense increased $1.0 million, or 6.4% to $16.5 million in the three months ended June 30, 2012 compared to $15.5 million in the three months ended June 30, 2011 due primarily to $0.8 million from properties acquired in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Property operating income increased $8.5 million, or 8.9%, to $104.1 million in the three months ended June 30, 2012 compared to $95.6 million in the three months ended June 30, 2011. This increase is primarily due to properties acquired in 2011 and growth in earnings at same-center and redevelopment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expense increased $4.8 million, or 20.2%, to $28.7 million in the three months ended June 30, 2012 compared to $23.9 million in the three months ended June 30, 2011. This increase is due primarily to the following:</w:t>
      </w:r>
    </w:p>
    <w:p>
      <w:pPr>
        <w:spacing w:after="0" w:line="8" w:lineRule="exact"/>
        <w:rPr>
          <w:sz w:val="20"/>
          <w:szCs w:val="20"/>
          <w:color w:val="auto"/>
        </w:rPr>
      </w:pPr>
    </w:p>
    <w:p>
      <w:pPr>
        <w:ind w:left="1700" w:right="100" w:hanging="801"/>
        <w:spacing w:after="0" w:line="277"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$3.2 million due to mortgage loans secured by Plaza El Segundo and Montrose Crossing both of which were acquired in 2011,</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$1.7 million due to a higher overall weighted average borrowing rate,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$0.6 million due to higher borrowings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$0.7 million in capitalized interest.</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Gross interest costs were $31.3 million and $25.8 million in the three months ended June 30, 2012 and 2011, respectively. Capitalized interest was $2.5 million and $1.9 million in the three months ended June 30, 2012 and 2011,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General and administrative expense increased $0.7 million, or 11.6%, to $7.1 million in in the three months ended June 30, 2012 from $6.4 million in the three months ended June 30, 2011. This increase is due primarily to higher personnel related costs partially offset by lower acquisition costs resulting from a lower volume of potential acquisitions.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Depreciation and amortization expense increased $3.3 million, or 10.4%, to $35.2 million in the three months ended June 30, 2012 from $31.9 million in the three months ended June 30, 2011. This increase is due primarily to 2011 acquisitions, and capital improvements at redevelopment and same-center properties.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Income from discontinued operations represents the operating income of properties that have been disposed or will be disposed,</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126" w:right="31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29" w:lineRule="exact"/>
        <w:rPr>
          <w:sz w:val="20"/>
          <w:szCs w:val="20"/>
          <w:color w:val="auto"/>
        </w:rPr>
      </w:pPr>
    </w:p>
    <w:p>
      <w:pPr>
        <w:jc w:val="both"/>
        <w:ind w:right="400"/>
        <w:spacing w:after="0" w:line="308" w:lineRule="auto"/>
        <w:rPr>
          <w:sz w:val="20"/>
          <w:szCs w:val="20"/>
          <w:color w:val="auto"/>
        </w:rPr>
      </w:pPr>
      <w:r>
        <w:rPr>
          <w:rFonts w:ascii="Arial" w:cs="Arial" w:eastAsia="Arial" w:hAnsi="Arial"/>
          <w:sz w:val="17"/>
          <w:szCs w:val="17"/>
          <w:color w:val="auto"/>
        </w:rPr>
        <w:t>which is required to be reported separately from results of ongoing operations. The reported operating income of $0.5 million for the three months ended June 30, 2011 primarily represents the operating income for the period during which we owned properties sold/disposed of in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Gain on Deconsolidation of VIE</w:t>
      </w:r>
    </w:p>
    <w:p>
      <w:pPr>
        <w:spacing w:after="0" w:line="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$2.0 million gain on deconsolidation of VIE for the three months ended June 30, 2011 is a result of the refinancing of a mortgage note receivable on a shopping center in Norwalk, Connecticut, resulting in us no longer being the primary beneficiary of the VIE.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SIX MONTHS ENDED JUNE 30, 2012 AND 2011</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282,457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267,438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15,019</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8,840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4,604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108.7 %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293,849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273,929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19,920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32,594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30,954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1,640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208,239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188,440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19,799</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811.4 %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(71,770)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(9,483)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(19,797)</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65,858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65,856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Discontinued operations - gain on deconsolidation of VIE</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11,860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11,860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68,855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75,589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65,943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9,646</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Total property revenue increased $19.9 million, or 7.3%, to $293.8 million in the six months ended June 30, 2012 compared to $273.9 million in the six months ended June 30, 2011. The percentage occupied at our shopping centers increased to 93.4% at June 30, 2012 compared to 92.7% at June 30, 2011. Changes in the components of property revenue are discussed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$15.0 million, or 5.6%, to $282.5 million in the six months ended June 30, 2012 compared to $267.4 million in the six months ended June 30, 2011 due primarily to the following:</w:t>
      </w: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$13.8 million attributable to properties acquired in 2011,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$1.5 million at redevelopment properties due primarily to increased occupancy at certain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2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properties mainly our new residential building at Santana Row and higher rental rates on new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line="342" w:lineRule="auto"/>
        <w:tabs>
          <w:tab w:leader="none" w:pos="1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decrease of $0.9 million at same-center properties due primarily to lower recovery income as a result of lower recoverable expenses (primarily snow removal costs) partially offset by increased occupancy and higher rental rates on new and renewal leases.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property income increased $4.6 million, or 108.7%, to $8.8 million in the six months ended June 30, 2012 compared to $4.2 million in the six months ended June 30, 2011. Included in other property income are items which, although recurring, tend to fluctuate more than rental income from period to period, such as lease termination fees. This increase is primarily due to an increase in lease termination fees at same-center properties.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property expenses increased $0.1 million, or 0.1%, to $85.6 million in the six months ended June 30, 2012 compared to $85.5 million in the six months ended June 30, 2011. Changes in the components of property expenses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decreased $1.5 million, or 2.8%, to $53.0 million in the six months ended June 30, 2012 compared to $54.5 million in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2011. This decrease is primarily due to the following:</w:t>
      </w:r>
    </w:p>
    <w:p>
      <w:pPr>
        <w:spacing w:after="0" w:line="49" w:lineRule="exact"/>
        <w:rPr>
          <w:sz w:val="20"/>
          <w:szCs w:val="20"/>
          <w:color w:val="auto"/>
        </w:rPr>
      </w:pPr>
    </w:p>
    <w:p>
      <w:pPr>
        <w:ind w:left="1700" w:hanging="801"/>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decrease of $3.5 million in repairs and maintenance at same-center properties primarily due to lower snow removal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$1.4 million related to properties acquired in 2011,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$0.6 million in other operating costs due primarily to demolition costs.</w:t>
      </w:r>
    </w:p>
    <w:p>
      <w:pPr>
        <w:spacing w:after="0" w:line="17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As a result of the changes in rental income, other property income and rental expenses as discussed above, rental expenses as a percentage of rental income plus other property income decreased to 18.2% in the six months ended June 30, 2012 from 20.1% in the six months ended June 30,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Real estate tax expense increased $1.6 million, or 5.3% to $32.6 million in the six months ended June 30, 2012 compared to $31.0 million in the six months ended June 30, 2011 due primarily to an increase in taxes of $1.8 million at properties acquired in 2011 partially offset by tax refunds at certain same-center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Property operating income increased $19.8 million, or 10.5%, to $208.2 million in the six months ended June 30, 2012 compared to $188.4 million in the six months ended June 30, 2011. This increase is primarily due to properties acquired in 2011 and growth in earnings at same-center and redevelopment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$8.6 million, or 17.5%, to $57.5 million in the six months ended June 30, 2012 compared to $48.9 million in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2011. This increase is due primarily to the following:</w:t>
      </w:r>
    </w:p>
    <w:p>
      <w:pPr>
        <w:spacing w:after="0" w:line="49" w:lineRule="exact"/>
        <w:rPr>
          <w:sz w:val="20"/>
          <w:szCs w:val="20"/>
          <w:color w:val="auto"/>
        </w:rPr>
      </w:pPr>
    </w:p>
    <w:p>
      <w:pPr>
        <w:ind w:left="1700" w:right="100" w:hanging="801"/>
        <w:spacing w:after="0" w:line="277" w:lineRule="auto"/>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$6.5 million due to mortgage loans secured by Plaza El Segundo and Montrose Crossing both of which were acquired in 2011,</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$2.6 million due to a higher overall weighted average borrowing rate,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$0.8 million due to higher borrowings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$1.4 million in capitalized interest.</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26" w:right="31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Gross interest costs were $62.5 million and $52.6 million in the six months ended June 30, 2012 and 2011, respectively. Capitalized interest was $5.0 million and $3.6 million in the six months ended June 30, 2012 and 2011,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$0.3 million of income from early extinguishment of debt in the six months ended June 30, 2011 is due to the write-off of unamortized debt premium net of a 3.0% prepayment premium and unamortized debt fees related to the payoff of our mortgage loan on Tower Shops prior to its contractual prepayment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General and administrative expense increased $1.7 million, or 13.6%, to $14.1 million in the six months ended June 30, 2012 from $12.4 million in the six months ended June 30, 2011. This increase is due primarily to higher personnel related costs partially offset by lower acquisition costs resulting from a lower volume of potential acquisitions.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Depreciation and amortization expense increased $9.5 million, or 15.2%, to $71.8 million in the six months ended June 30, 2012 from $62.3 million in the six months ended June 30, 2011. This increase is due primarily to 2011 acquisitions, accelerated depreciation due to the change in use of certain redevelopment buildings and capital improvements at same-center and redevelopment properties.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Income</w:t>
      </w:r>
    </w:p>
    <w:p>
      <w:pPr>
        <w:spacing w:after="0" w:line="90"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Income from discontinued operations represents the operating income of properties that have been disposed or will be disposed, which is required to be reported separately from results of ongoing operations. The reported operating income of $0.9 million for the six months ended June 30, 2011 primarily represents the operating income for the period during which we owned properties sold/disposed of in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Gain on Deconsolidation of VIE</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$2.0 million gain on deconsolidation of VIE for the six months ended June 30, 2011 is a result of the refinancing of a mortgage note receivable on a shopping center in Norwalk, Connecticut, resulting in us no longer being the primary beneficiary of the VIE.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in Real Estate Partnership</w:t>
      </w:r>
    </w:p>
    <w:p>
      <w:pPr>
        <w:spacing w:after="0" w:line="9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$11.9 million gain on sale of real estate in real estate partnership in the six months ended June 30, 2012 is due to the sale of our Newbury Street Partnership's entire portfolio of three buildings on October 31, 2011. Due to the timing of receiving financial information from the general partner, our share of earnings was recorded one quarter in arrears. Therefore, we recognized the gain on sale of $11.9 million in the six months ended June 30,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May 2011, the FASB issued Accounting Standards Update (“ASU”) 2011-04, “Fair Value Measurement (Topic 820): Amendments to Achieve Common Fair Value Measurement and Disclosure Requirements in U.S. GAAP and IFRSs.” The pronouncement was issued to provide a uniform framework for fair value measurements and related disclosures between U.S. GAAP and International Financial Reporting Standards (“IFRS”). ASU 2011-04 changes certain fair value measurement principles and enhances the disclosure requirements particularly for level 3 fair value measurements. We adopted the standard effective January 1, 2012 and it did not have a significant impact to our consolidated financial statements.</w:t>
      </w:r>
    </w:p>
    <w:p>
      <w:pPr>
        <w:spacing w:after="0" w:line="11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June 2011, the FASB issued ASU 2011-05, “Comprehensive Income (Topic 220): Presentation of Comprehensive Income.” ASU 2011-05 eliminates the option to present components of other comprehensive income as part of the statement of shareholders’ equity and requires the presentation of components of net income and components of other comprehensive income either in a single continuous statement of comprehensive income or in two separate but consecutive statements. In December 2011, the FASB deferred the requirement to present reclassification adjustments for each component of accumulated other comprehensive income in both net income and other comprehensive income on the face of the financial statements. We adopted the standards effective January 1, 2012 and modified the presentation in our consolidated financial statements accordingly.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6" w:right="27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increased $15.0 million to $82.8 million at June 30, 2012; however, cash and cash equivalents are not the only indicator of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liquidity. We have a $400.0 million unsecured revolving credit facility which matures on July 6, 2015 and had no borrowings during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2012. In addition, we have an option (subject to bank approval) to increase the credit facility through an accordion feature to $800.0 million.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$275.0 million unsecured term loan which matures on November 21, 2018 also has an option (subject to bank approval) to increase the term loan through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accordion feature to $350.0 million. As of June 30, 2012, we had the capacity to issue up to $283.7 million in common shares under our ATM equity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program.</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July 16, 2012, we repaid our $175.0 million 6.00% senior notes and have $10.0 million of debt maturing for the remainder of 2012. On July 19, 2012, we issued $250.0 million of fixed rate senior notes that mature on August 1, 2022 and bear interest at 3.00%. The net proceeds from this note offering after issuance discounts, underwriting fees and other costs were approximately $244.7 million. We currently believe that cash flows from operations, cash on hand, our ATM equity program, our revolving credit facility and our general ability to access the capital markets will be sufficient to finance our operations and fund our debt service requirements (including maturities) and capital expenditures.</w:t>
      </w:r>
    </w:p>
    <w:p>
      <w:pPr>
        <w:spacing w:after="0" w:line="13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overall capital requirements during 2012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incur higher amounts in 2012 compared to those incurred in 2011 related to capital investments for development, redevelopment and existing properties as we progress with our active development pipeline. These amounts will be funded on a short-term basis with cash flow from operations, cash on hand, our revolving credit facility and/or proceeds from shares issued under our ATM equity program, and on a long-term basis, with long-term debt or equity.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2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6"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 June 30,</w:t>
            </w: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196"/>
        </w:trPr>
        <w:tc>
          <w:tcPr>
            <w:tcW w:w="8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149,895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118,698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(73,348)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(76,760)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(61,579)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14,968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4,051</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67,806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15,797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82,774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19,848</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cash provided by operating activities increased $31.2 million to $149.9 million during the six months ended June 30, 2012 from $118.7 million during the six months ended June 30, 2011. The increase was primarily attributable to the payment in 2011 of the $16.2 million final judgment related to a previously disclosed lawsuit and higher net income before certain non-cash items in 2012.</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Net cash used in investing activities decreased $3.4 million to $73.3 million during the six months ended June 30, 2012 from $76.8 million during the six months ended June 30, 2011. The decrease was primarily attributable to:</w:t>
      </w:r>
    </w:p>
    <w:p>
      <w:pPr>
        <w:spacing w:after="0" w:line="8" w:lineRule="exact"/>
        <w:rPr>
          <w:sz w:val="20"/>
          <w:szCs w:val="20"/>
          <w:color w:val="auto"/>
        </w:rPr>
      </w:pPr>
    </w:p>
    <w:p>
      <w:pPr>
        <w:ind w:left="1700" w:hanging="801"/>
        <w:spacing w:after="0"/>
        <w:tabs>
          <w:tab w:leader="none" w:pos="1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$19.2 million decrease in acquisitions of real estate due to the January 2011 Tower Shops acquisition and no acquisitions in 2012, and</w:t>
      </w:r>
    </w:p>
    <w:p>
      <w:pPr>
        <w:spacing w:after="0" w:line="86" w:lineRule="exact"/>
        <w:rPr>
          <w:rFonts w:ascii="Arial" w:cs="Arial" w:eastAsia="Arial" w:hAnsi="Arial"/>
          <w:sz w:val="16"/>
          <w:szCs w:val="16"/>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$6.9 million in contributions to the Newbury Street Partnership in 2011,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$13.1 million increase in capital investments in 2012,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$8.7 million payment received in June 2011 related to the refinancing of a mortgage loan receivable.</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cash used in financing activities increased $23.7 million to $61.6 million during the six months ended June 30, 2012 from $37.9 million during the six months ended June 30, 2011. The increase was primarily attributable to:</w:t>
      </w:r>
    </w:p>
    <w:p>
      <w:pPr>
        <w:spacing w:after="0" w:line="8" w:lineRule="exact"/>
        <w:rPr>
          <w:sz w:val="20"/>
          <w:szCs w:val="20"/>
          <w:color w:val="auto"/>
        </w:rPr>
      </w:pPr>
    </w:p>
    <w:p>
      <w:pPr>
        <w:ind w:left="1700" w:hanging="801"/>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$112.0 million decrease in net borrowings on our revolving credit facility,</w:t>
      </w:r>
    </w:p>
    <w:p>
      <w:pPr>
        <w:spacing w:after="0" w:line="63" w:lineRule="exact"/>
        <w:rPr>
          <w:rFonts w:ascii="Arial" w:cs="Arial" w:eastAsia="Arial" w:hAnsi="Arial"/>
          <w:sz w:val="18"/>
          <w:szCs w:val="18"/>
          <w:color w:val="auto"/>
        </w:rPr>
      </w:pPr>
    </w:p>
    <w:p>
      <w:pPr>
        <w:ind w:left="1700" w:right="200" w:hanging="801"/>
        <w:spacing w:after="0" w:line="317" w:lineRule="auto"/>
        <w:tabs>
          <w:tab w:leader="none" w:pos="1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$56.2 million decrease in net proceeds from the issuance of common shares due primarily to the sale of 1.1 million shares under our ATM equity program in the six months ended June 30, 2011 compared to 0.4 million in the six months ended June 30, 2012, and</w:t>
      </w:r>
    </w:p>
    <w:p>
      <w:pPr>
        <w:ind w:left="1700" w:right="680" w:hanging="801"/>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$5.1 million increase in dividends paid to shareholders due to an increase in the dividend rate and increased number of shares outstanding.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82"/>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$75.0 million repayment of 4.50% senior notes in February 2011,</w:t>
      </w:r>
    </w:p>
    <w:p>
      <w:pPr>
        <w:spacing w:after="0" w:line="63" w:lineRule="exact"/>
        <w:rPr>
          <w:rFonts w:ascii="Arial" w:cs="Arial" w:eastAsia="Arial" w:hAnsi="Arial"/>
          <w:sz w:val="18"/>
          <w:szCs w:val="18"/>
          <w:color w:val="auto"/>
        </w:rPr>
      </w:pPr>
    </w:p>
    <w:p>
      <w:pPr>
        <w:ind w:left="1700" w:right="20" w:hanging="882"/>
        <w:spacing w:after="0" w:line="277"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$72.8 million decrease in repayment of mortgages, capital leases and notes payable due to the payoff of three mortgages totaling $78.4 million in 2011 compared to one mortgage of $6.9 million in 2012, and</w:t>
      </w:r>
    </w:p>
    <w:p>
      <w:pPr>
        <w:spacing w:after="0" w:line="8" w:lineRule="exact"/>
        <w:rPr>
          <w:rFonts w:ascii="Arial" w:cs="Arial" w:eastAsia="Arial" w:hAnsi="Arial"/>
          <w:sz w:val="18"/>
          <w:szCs w:val="18"/>
          <w:color w:val="auto"/>
        </w:rPr>
      </w:pPr>
    </w:p>
    <w:p>
      <w:pPr>
        <w:ind w:left="1700" w:hanging="882"/>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$5.4 million issuance of notes payable in June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June 30, 2012, the Partnership owned seven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June 30, 2012, our investment in the Partnership was $34.1 million and the Partnership had approximately $57.3 million of mortgages payable outstanding.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6"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October 31, 2011, our Newbury Street Partnership sold its entire portfolio of three buildings for $44.0 million. As part of the sale, we received $34.6 million of the net proceeds which included the repayment of our $11.8 million loans. Due to the timing of receiving financial information from the general partner, our share of earnings was recorded one quarter in arrears. Therefore, we recognized the gain on sale of $11.9 million in the first quarter 2012.</w:t>
      </w:r>
    </w:p>
    <w:p>
      <w:pPr>
        <w:spacing w:after="0" w:line="17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240" w:top="126" w:right="51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June 30, 2012:</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8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4"/>
                <w:szCs w:val="14"/>
                <w:color w:val="auto"/>
              </w:rPr>
            </w:pPr>
          </w:p>
        </w:tc>
        <w:tc>
          <w:tcPr>
            <w:tcW w:w="15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1"/>
              </w:rPr>
              <w:t>Principal Balance as of</w:t>
            </w:r>
          </w:p>
        </w:tc>
        <w:tc>
          <w:tcPr>
            <w:tcW w:w="12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4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6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48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Issued</w:t>
            </w:r>
          </w:p>
        </w:tc>
        <w:tc>
          <w:tcPr>
            <w:tcW w:w="120" w:type="dxa"/>
            <w:vAlign w:val="bottom"/>
          </w:tcPr>
          <w:p>
            <w:pPr>
              <w:spacing w:after="0"/>
              <w:rPr>
                <w:sz w:val="16"/>
                <w:szCs w:val="16"/>
                <w:color w:val="auto"/>
              </w:rPr>
            </w:pPr>
          </w:p>
        </w:tc>
        <w:tc>
          <w:tcPr>
            <w:tcW w:w="1560" w:type="dxa"/>
            <w:vAlign w:val="bottom"/>
          </w:tcPr>
          <w:p>
            <w:pPr>
              <w:jc w:val="right"/>
              <w:ind w:right="339"/>
              <w:spacing w:after="0"/>
              <w:rPr>
                <w:sz w:val="20"/>
                <w:szCs w:val="20"/>
                <w:color w:val="auto"/>
              </w:rPr>
            </w:pPr>
            <w:r>
              <w:rPr>
                <w:rFonts w:ascii="Arial" w:cs="Arial" w:eastAsia="Arial" w:hAnsi="Arial"/>
                <w:sz w:val="14"/>
                <w:szCs w:val="14"/>
                <w:b w:val="1"/>
                <w:bCs w:val="1"/>
                <w:color w:val="auto"/>
              </w:rPr>
              <w:t>June 30, 2012</w:t>
            </w:r>
          </w:p>
        </w:tc>
        <w:tc>
          <w:tcPr>
            <w:tcW w:w="12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 2012</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160" w:type="dxa"/>
            <w:vAlign w:val="bottom"/>
            <w:tcBorders>
              <w:top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 (1)</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Bethesda Row</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19,993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2013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Bethesda Row</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3,939</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February 1, 2013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White Marsh Plaza (2)</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9,129</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1, 2013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Crow Canyon</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19,721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11, 2013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Idylwood Plaza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16,910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16,134</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Leesburg Plaza</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29,423</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28,074</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Loehmann’s Plaza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38,047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36,303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Pentagon Row</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54,619</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52,114</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Melville Mall (3)</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21,936</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THE AVENUE at White Marsh</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55,978</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Barracks Road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44,300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38,542</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Hauppauge</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16,700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14,529</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Lawrence Park</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31,400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27,319</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Wildwood</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27,600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24,013</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Wynnewood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32,000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27,841</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Brick Plaza</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33,000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28,401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5, 2017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Rollingwood Apartments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24,050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23,066</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Shoppers’ World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5,366</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Montrose Crossing</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79,440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Mount Vernon (4)</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13,250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15, 2028</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Chelsea</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7,541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724,734</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920"/>
              <w:spacing w:after="0"/>
              <w:rPr>
                <w:sz w:val="20"/>
                <w:szCs w:val="20"/>
                <w:color w:val="auto"/>
              </w:rPr>
            </w:pPr>
            <w:r>
              <w:rPr>
                <w:rFonts w:ascii="Arial" w:cs="Arial" w:eastAsia="Arial" w:hAnsi="Arial"/>
                <w:sz w:val="16"/>
                <w:szCs w:val="16"/>
                <w:color w:val="auto"/>
              </w:rPr>
              <w:t>Net unamortized premium</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9,263</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mortgages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733,997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Notes payable</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Various (5)</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18,574</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15,689</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Various through 2027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Term loan (6)</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LIBOR + 1.45%</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Unsecured variable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Revolving credit facility (7)</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LIBOR + 1.15%</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6,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Escondido (municipal bonds) (8)</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9,400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October 1, 2016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notes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300,089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6.00% notes (9)</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175,000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July 15, 2012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5.40%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135,000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1, 2013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5.95%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5.65%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6.20%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15, 2017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5.90%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7.48% debentures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1,004,200</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premium</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Total senior notes and debentures</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1,004,532</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600"/>
              <w:spacing w:after="0"/>
              <w:rPr>
                <w:sz w:val="20"/>
                <w:szCs w:val="20"/>
                <w:color w:val="auto"/>
              </w:rPr>
            </w:pPr>
            <w:r>
              <w:rPr>
                <w:rFonts w:ascii="Arial" w:cs="Arial" w:eastAsia="Arial" w:hAnsi="Arial"/>
                <w:sz w:val="16"/>
                <w:szCs w:val="16"/>
                <w:color w:val="auto"/>
              </w:rPr>
              <w:t>Various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71,703</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Various</w:t>
            </w:r>
          </w:p>
        </w:tc>
        <w:tc>
          <w:tcPr>
            <w:tcW w:w="2160" w:type="dxa"/>
            <w:vAlign w:val="bottom"/>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2,110,321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6" w:right="239" w:bottom="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019"/>
          </w:cols>
          <w:pgMar w:left="1440" w:top="125" w:right="1440"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63" w:lineRule="exact"/>
        <w:rPr>
          <w:sz w:val="20"/>
          <w:szCs w:val="20"/>
          <w:color w:val="auto"/>
        </w:rPr>
      </w:pPr>
    </w:p>
    <w:p>
      <w:pPr>
        <w:ind w:left="660" w:right="20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Mortgages payable do not include our 30% share ($17.2 million) of the $57.3 million debt of the partnership with a discretionary fund created and advised by ING Clarion Partners.</w:t>
      </w:r>
    </w:p>
    <w:p>
      <w:pPr>
        <w:spacing w:after="0" w:line="8"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interest rate of 6.04% represents the weighted average interest rate for two mortgage loans secured by this property. The loan balance represents an interest only loan of $4.4 million at a stated rate of 6.18% and the remaining balance at a stated rate of 5.96%.</w:t>
      </w:r>
    </w:p>
    <w:p>
      <w:pPr>
        <w:spacing w:after="0" w:line="8" w:lineRule="exact"/>
        <w:rPr>
          <w:rFonts w:ascii="Arial" w:cs="Arial" w:eastAsia="Arial" w:hAnsi="Arial"/>
          <w:sz w:val="18"/>
          <w:szCs w:val="18"/>
          <w:color w:val="auto"/>
        </w:rPr>
      </w:pPr>
    </w:p>
    <w:p>
      <w:pPr>
        <w:ind w:left="660" w:right="4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9" w:lineRule="exact"/>
        <w:rPr>
          <w:rFonts w:ascii="Arial" w:cs="Arial" w:eastAsia="Arial" w:hAnsi="Arial"/>
          <w:sz w:val="18"/>
          <w:szCs w:val="18"/>
          <w:color w:val="auto"/>
        </w:rPr>
      </w:pPr>
    </w:p>
    <w:p>
      <w:pPr>
        <w:ind w:left="660" w:right="30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lender has the option to call the loan on April 15, 2013 or any time thereafter, however, we can prepay the loan at any time after October 14, 2012 at par.</w:t>
      </w:r>
    </w:p>
    <w:p>
      <w:pPr>
        <w:spacing w:after="0" w:line="8" w:lineRule="exact"/>
        <w:rPr>
          <w:rFonts w:ascii="Arial" w:cs="Arial" w:eastAsia="Arial" w:hAnsi="Arial"/>
          <w:sz w:val="18"/>
          <w:szCs w:val="18"/>
          <w:color w:val="auto"/>
        </w:rPr>
      </w:pPr>
    </w:p>
    <w:p>
      <w:pPr>
        <w:ind w:left="660" w:right="68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interest rate of 5.58% represents the weighted average interest rate for ten unsecured fixed rate notes payable. These notes mature from November 1, 2012 to June 27, 2027.</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effectively fix the rate on the term loan at 3.17%.</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amount was drawn under our revolving credit facility during the six months ended June 30, 2012.</w:t>
      </w:r>
    </w:p>
    <w:p>
      <w:pPr>
        <w:spacing w:after="0" w:line="63" w:lineRule="exact"/>
        <w:rPr>
          <w:rFonts w:ascii="Arial" w:cs="Arial" w:eastAsia="Arial" w:hAnsi="Arial"/>
          <w:sz w:val="18"/>
          <w:szCs w:val="18"/>
          <w:color w:val="auto"/>
        </w:rPr>
      </w:pPr>
    </w:p>
    <w:p>
      <w:pPr>
        <w:ind w:left="660" w:right="400" w:hanging="652"/>
        <w:spacing w:after="0" w:line="317"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notes were repaid on their maturity date.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revolving credit facility, term loan and other debt agreements include financial and other covenants that may limit our operating activities in the future. As of June 30, 2012,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June 30, 2012:</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Secured</w:t>
            </w: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185,173</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5,755</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190,941</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135,215</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73,521</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208,758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150,203</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157,838</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308,066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223</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204,936</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205,186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134,646</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2,521</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137,197</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698,829</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280,163</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71,586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1,050,578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1,304,289</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724,734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71,703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2,100,726</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0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the repayment of the outstanding mortgage payable balance on Mount Vernon. The lender has the option to call the loan on April 15, 2013 or any time thereafter, however, we can prepay the loan at any time after October 14, 2012 at par.</w:t>
      </w:r>
    </w:p>
    <w:p>
      <w:pPr>
        <w:spacing w:after="0" w:line="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$400.0 million revolving credit facility matures on July 6, 2015, subject to a one-year extension at our option. As of June 30, 2012, there was $0 drawn under this credit facility.</w:t>
      </w:r>
    </w:p>
    <w:p>
      <w:pPr>
        <w:spacing w:after="0" w:line="8"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senior notes and debentures as of June 30, 2012.</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6" w:right="27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 which is included in accumulated other comprehensive loss on our consolidated balance sheet and our consolidated statement of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November 2011, we entered into two interest rate swap agreements that effectively fixed the rate on the term loan at 3.17%. Both swaps were designated and qualified as cash flow hedges and were recorded at fair value. Hedge ineffectiveness has not impacted earnings as of June 30, 2012, and we do not anticipate it will have a significant effect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10" w:lineRule="exact"/>
        <w:rPr>
          <w:sz w:val="20"/>
          <w:szCs w:val="20"/>
          <w:color w:val="auto"/>
        </w:rPr>
      </w:pPr>
    </w:p>
    <w:p>
      <w:pPr>
        <w:ind w:left="1700" w:right="460" w:hanging="801"/>
        <w:spacing w:after="0" w:line="277"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77,718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68,855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deconsolidation of VIE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31,357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28,463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63,772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56,052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64,395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133,863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125,837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Dividends on preferred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64,273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133,432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125,542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common shares, diluted (1)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64,204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62,752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64,074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62,373</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8"/>
              </w:rPr>
              <w:t>Funds from operations available for common shareholders, per diluted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660" w:right="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June 30, 2012, we were party to two interest rate swap agreements that effectively fixed the rate on the term loan at 3.17%.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6"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majority of our outstanding debt obligations (maturing at various times through 2031 or, with respect to capital lease obligations, through 2106) have fixed interest rates which limit the risk of fluctuating interest rates. However, interest rate fluctuations may affect the fair value of our fixed rate debt instruments. At June 30, 2012, we had $2.1 billion of fixed-rate debt outstanding, including our $275.0 million term loan as the rate is effectively fixed by two interest rate swap agreements, and $71.7 million of capital lease obligations. If market interest rates used to calculate the fair value on our fixed-rate debt instruments at June 30, 2012 had been 1.0% higher, the fair value of those debt instruments on that date would have decreased by approximately $63.8 million. If market interest rates used to calculate the fair value on our fixed-rate debt instruments at June 30, 2012 had been 1.0% lower, the fair value of those debt instruments on that date would have increased by approximately $67.8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variable rate debt. At June 30, 2012, we had $9.4 million of variable rate debt outstanding which consisted of municipal bonds. Our revolving credit facility had no outstanding balance as of June 30, 2012. Based upon this amount of variable rate debt and the specific terms, if market interest rates increased 1.0%, our annual interest expense would increase by approximately $0.1 million, and our net income and cash flows for the year would decrease by approximately $0.1 million. Conversely, if market interest rates decreased 1.0%, our annual interest expense would decrease by less than $0.1 million with a corresponding increase in our net income and cash flows for the year.</w:t>
      </w:r>
    </w:p>
    <w:p>
      <w:pPr>
        <w:spacing w:after="0" w:line="200" w:lineRule="exact"/>
        <w:rPr>
          <w:sz w:val="20"/>
          <w:szCs w:val="20"/>
          <w:color w:val="auto"/>
        </w:rPr>
      </w:pP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June 30, 2012. Based on this evaluation, our management, including our Chief Executive Officer and Chief Financial Officer, concluded that our disclosure controls and procedures were effective as of June 30, 2012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quarterly period covered by this reports that materially affected, or is reasonably likely to materially affect, our internal control over financial reporting.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2011 filed with the SEC on February 16, 2012. These factors include, but are not limited to, the following:</w:t>
      </w:r>
    </w:p>
    <w:p>
      <w:pPr>
        <w:spacing w:after="0" w:line="8" w:lineRule="exact"/>
        <w:rPr>
          <w:sz w:val="20"/>
          <w:szCs w:val="20"/>
          <w:color w:val="auto"/>
        </w:rPr>
      </w:pPr>
    </w:p>
    <w:p>
      <w:pPr>
        <w:ind w:left="1700" w:right="100" w:hanging="801"/>
        <w:spacing w:after="0" w:line="277"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8" w:lineRule="exact"/>
        <w:rPr>
          <w:rFonts w:ascii="Arial" w:cs="Arial" w:eastAsia="Arial" w:hAnsi="Arial"/>
          <w:sz w:val="18"/>
          <w:szCs w:val="18"/>
          <w:color w:val="auto"/>
        </w:rPr>
      </w:pPr>
    </w:p>
    <w:p>
      <w:pPr>
        <w:ind w:left="1700" w:right="60" w:hanging="801"/>
        <w:spacing w:after="0" w:line="264"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right="280" w:hanging="801"/>
        <w:spacing w:after="0" w:line="264"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6"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2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not entirely funded;</w:t>
      </w:r>
    </w:p>
    <w:p>
      <w:pPr>
        <w:spacing w:after="0" w:line="77" w:lineRule="exact"/>
        <w:rPr>
          <w:sz w:val="20"/>
          <w:szCs w:val="20"/>
          <w:color w:val="auto"/>
        </w:rPr>
      </w:pPr>
    </w:p>
    <w:p>
      <w:pPr>
        <w:ind w:left="1700" w:hanging="801"/>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460" w:hanging="807"/>
        <w:spacing w:after="0" w:line="277" w:lineRule="auto"/>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180" w:hanging="801"/>
        <w:spacing w:after="0" w:line="286" w:lineRule="auto"/>
        <w:tabs>
          <w:tab w:leader="none" w:pos="1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hanging="801"/>
        <w:spacing w:after="0" w:line="264"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interests of limited partners in those limited partnerships may be redeemed, subject to certain conditions, for cash or an equivalent number of our common shares, at our option. On April 3, 2012, we redeemed 2,000 operating partnership units for cash.</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126"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August 1, 2012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189" w:lineRule="exact"/>
        <w:rPr>
          <w:sz w:val="20"/>
          <w:szCs w:val="20"/>
          <w:color w:val="auto"/>
        </w:rPr>
      </w:pPr>
    </w:p>
    <w:p>
      <w:pPr>
        <w:ind w:left="40"/>
        <w:spacing w:after="0"/>
        <w:tabs>
          <w:tab w:leader="none" w:pos="7580" w:val="left"/>
          <w:tab w:leader="none" w:pos="7920" w:val="left"/>
        </w:tabs>
        <w:rPr>
          <w:sz w:val="20"/>
          <w:szCs w:val="20"/>
          <w:color w:val="auto"/>
        </w:rPr>
      </w:pPr>
      <w:r>
        <w:rPr>
          <w:rFonts w:ascii="Arial" w:cs="Arial" w:eastAsia="Arial" w:hAnsi="Arial"/>
          <w:sz w:val="18"/>
          <w:szCs w:val="18"/>
          <w:color w:val="auto"/>
        </w:rPr>
        <w:t>August 1, 2012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Andrew P. Blocher,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Senior Vice President -</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126" w:right="37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0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160009)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August 1, 2027; (previously filed as Exhibit 4(a) to the Trust’s Registration Statement on Form S-3 (File No. 33-51029), and amended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Indenture dated September 1, 1998 related to the Trust’s 5.65% Notes due 2016; 6.00% Notes due 2012; 6.20% Notes due 2017; 5.40% Notes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due 2013; 5.95% Notes due 2014 and the 5.90% Notes due 2020 (previously filed as Exhibit 4(a) to the Trust’s Registration Statement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S-3 (File No. 333-63619) filed on September 17, 1998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Pursuant to Regulation S-K Item 601(b)(4)(iii), the Trust by this filing agrees, upon request, to furnish to the Securities and Exchange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1993 Long-Term Incentive Plan, as amended on October 6, 1997 and further amended on May 6, 1998 (previously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filed as Exhibit 10.26 to the Trust’s Annual Report on Form 10-K for the year ended December 31, 1998 (File No. 1-07533)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 to the 1999 1Q 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Amendment to Executive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as Exhibit 10.12 to the Trust’s Annual Report on Form 10-K for the year ended December 31, 2004 (File No. 1-07533) (the “2004 Form 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Split Dollar Life Insurance Agreement dated August 12, 1998 between the Trust and Donald C. Wood (previously filed as a portion of</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Exhibit 10 to the Trust’s Annual Report on Form 10-K for the year ended December 31, 2000 (File No. 1-07533) and incorporated herein by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as Exhibit 10.26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2004 Form 10-K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6"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09"/>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w w:val="93"/>
              </w:rPr>
              <w:t>10.10</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Form of Restricted Share Award Agreement for awards made under the Trust’s Annual Incentive Bonus Program for shares issued out of 2001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Long-Term Incentive Plan (previously filed as Exhibit 10.29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2001 Long-Term Incentive Plan (previously filed as Exhibit 10.34 to the Trust’s Quarterly Report on Form 10-Q for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quarter ended June 30, 2008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Change in Control Agreement between the Trust and Andrew P. Blocher dated February 12, 2007 (previously filed as Exhibit 10.27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Trust’s Quarterly Report on Form 10-Q for the quarter ended September 30, 2008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Second Amendment to Executive Agreement between the Trust and Donald C. Wood dated January 1, 2009 (previously filed as Exhibit 10.27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Second Amendment to Severance Agreement between the Trust and Dawn M. Becker dated January 1, 2009 (previously filed as Exhibit 10.30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Change in Control Agreement between the Trust and Andrew P. Blocher dated January 1, 2009 (previously filed as Exhibit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10.31 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Amendment to Stock Option Agreements between the Trust and Andrew P. Blocher dated February 17, 2009 (previously filed as Exhibit 10.32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Restricted Share Award Agreement between the Trust and Andrew P. Blocher dated February 17, 2009 (previously filed as Exhibit 10.33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8"/>
              </w:rPr>
              <w:t>Combined Incentive and Non-Qualified Stock Option Agreement between the Trust and Andrew P. Blocher dated February 17, 2009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(previously filed as Exhibit 10.34 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Severance Agreement between the Trust and Andrew P. Blocher dated February 17, 2009 (previously filed as Exhibit 10.35 to the Trust’s 2008</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2010 (File No. 1-07533) (the “2010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6"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0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Form of Restricted Share Award Agreement for long-term vesting and retention awards made under the Trust’s Long-Term Incentive Award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Program for shares issued out of the 2010 Plan (previously filed as Exhibit 10.35 to the Trust’s 2010 Form 10-K (File No. 1-07533)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front loaded awards made under the Trust’s Long-Term Incentive Award Program for shares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issued out of the 2010 Plan (previously filed as Exhibit 10.36 to the Trust’s 2010 Form 10-K (File No. 1-07533) and incorporated herein by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Performance Share Award Agreement for shares awarded out of the 2010 Plan (previously filed as Exhibit 10.37 to the Trust’s 2010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dated as of February 10, 2011, between the Trust and each of Dawn M. Becker and Andrew P.</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Blocher (previously filed as Exhibit 10.41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Lead Arranger and Book Manager (previously filed as Exhibit 10.1 to the Trust’s Current Report on Form 8-K (File No. 1-07533), filed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July 11, 2011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Credit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permitted assignees under Section 12.6., as Lenders, PNC Bank, National Association, as Administrative Agent, Capital One, N.A., as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Manager (previously filed as Exhibit 10.1 to the Trust’s Current Report on Form 8-K (File No. 1-07533), filed on November 28, 2011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80" w:right="460" w:hanging="1045"/>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June 30, 2012,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6"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August 1, 2012</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Andrew P. Blocher</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18"/>
          <w:szCs w:val="18"/>
          <w:color w:val="auto"/>
        </w:rPr>
        <w:t>August 1, 2012</w:t>
      </w:r>
      <w:r>
        <w:rPr>
          <w:sz w:val="20"/>
          <w:szCs w:val="20"/>
          <w:color w:val="auto"/>
        </w:rPr>
        <w:tab/>
      </w:r>
      <w:r>
        <w:rPr>
          <w:rFonts w:ascii="Arial" w:cs="Arial" w:eastAsia="Arial" w:hAnsi="Arial"/>
          <w:sz w:val="16"/>
          <w:szCs w:val="16"/>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Andrew P. Blocher,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Senior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2012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August 1, 2012</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The undersigned, Andrew P. Blocher, the Senior Vice President and Chief Financial Officer and Treasurer of Federal Realty Investment Trust (the “Company”), has executed this certification in connection with the filing with the Securities and Exchange Commission of the Company’s Quarterly Report on Form 10-Q for the period ended June 30, 2012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18"/>
          <w:szCs w:val="18"/>
          <w:color w:val="auto"/>
        </w:rPr>
        <w:t>August 1, 2012</w:t>
      </w:r>
      <w:r>
        <w:rPr>
          <w:sz w:val="20"/>
          <w:szCs w:val="20"/>
          <w:color w:val="auto"/>
        </w:rPr>
        <w:tab/>
      </w:r>
      <w:r>
        <w:rPr>
          <w:rFonts w:ascii="Arial" w:cs="Arial" w:eastAsia="Arial" w:hAnsi="Arial"/>
          <w:sz w:val="16"/>
          <w:szCs w:val="16"/>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Andrew P. Blocher,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Senior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lvl w:ilvl="1">
      <w:lvlJc w:val="left"/>
      <w:lvlText w:val="•"/>
      <w:numFmt w:val="bullet"/>
      <w:start w:val="1"/>
    </w:lvl>
  </w:abstractNum>
  <w:abstractNum w:abstractNumId="25">
    <w:nsid w:val="2CA88611"/>
    <w:multiLevelType w:val="hybridMultilevel"/>
    <w:lvl w:ilvl="0">
      <w:lvlJc w:val="left"/>
      <w:lvlText w:val="%1"/>
      <w:numFmt w:val="decimal"/>
      <w:start w:val="10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2019-12-09T07:21:20Z</dcterms:created>
  <dcterms:modified xsi:type="dcterms:W3CDTF">2019-12-09T07:21:20Z</dcterms:modified>
</cp:coreProperties>
</file>