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9"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8-K</w:t>
      </w:r>
    </w:p>
    <w:p>
      <w:pPr>
        <w:spacing w:after="0" w:line="342"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9" w:lineRule="exact"/>
        <w:rPr>
          <w:sz w:val="24"/>
          <w:szCs w:val="24"/>
          <w:color w:val="auto"/>
        </w:rPr>
      </w:pPr>
    </w:p>
    <w:p>
      <w:pPr>
        <w:ind w:left="700" w:right="3719" w:hanging="259"/>
        <w:spacing w:after="0" w:line="258"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March 31, 1997</w:t>
      </w:r>
    </w:p>
    <w:p>
      <w:pPr>
        <w:spacing w:after="0" w:line="200" w:lineRule="exact"/>
        <w:rPr>
          <w:sz w:val="24"/>
          <w:szCs w:val="24"/>
          <w:color w:val="auto"/>
        </w:rPr>
      </w:pPr>
    </w:p>
    <w:p>
      <w:pPr>
        <w:spacing w:after="0" w:line="29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ind w:left="620"/>
              <w:spacing w:after="0"/>
              <w:rPr>
                <w:sz w:val="20"/>
                <w:szCs w:val="20"/>
                <w:color w:val="auto"/>
              </w:rPr>
            </w:pPr>
            <w:r>
              <w:rPr>
                <w:rFonts w:ascii="Courier New" w:cs="Courier New" w:eastAsia="Courier New" w:hAnsi="Courier New"/>
                <w:sz w:val="14"/>
                <w:szCs w:val="14"/>
                <w:color w:val="auto"/>
              </w:rPr>
              <w:t>(Exact name of registrant</w:t>
            </w:r>
          </w:p>
        </w:tc>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as specified in its charter)</w:t>
            </w:r>
          </w:p>
        </w:tc>
      </w:tr>
      <w:tr>
        <w:trPr>
          <w:trHeight w:val="668"/>
        </w:trPr>
        <w:tc>
          <w:tcPr>
            <w:tcW w:w="286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1-7533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52-0782497</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or other jurisdiction</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(Commission</w:t>
            </w:r>
          </w:p>
        </w:tc>
        <w:tc>
          <w:tcPr>
            <w:tcW w:w="1900" w:type="dxa"/>
            <w:vAlign w:val="bottom"/>
          </w:tcPr>
          <w:p>
            <w:pPr>
              <w:ind w:left="160"/>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of incorporation)</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File Number)</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Identification No.)</w:t>
            </w:r>
          </w:p>
        </w:tc>
      </w:tr>
      <w:tr>
        <w:trPr>
          <w:trHeight w:val="668"/>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1626 East Jefferson Street, Rockville, Maryland</w:t>
            </w:r>
          </w:p>
        </w:tc>
        <w:tc>
          <w:tcPr>
            <w:tcW w:w="1900" w:type="dxa"/>
            <w:vAlign w:val="bottom"/>
          </w:tcPr>
          <w:p>
            <w:pPr>
              <w:ind w:left="600"/>
              <w:spacing w:after="0"/>
              <w:rPr>
                <w:sz w:val="20"/>
                <w:szCs w:val="20"/>
                <w:color w:val="auto"/>
              </w:rPr>
            </w:pPr>
            <w:r>
              <w:rPr>
                <w:rFonts w:ascii="Courier New" w:cs="Courier New" w:eastAsia="Courier New" w:hAnsi="Courier New"/>
                <w:sz w:val="14"/>
                <w:szCs w:val="14"/>
                <w:color w:val="auto"/>
              </w:rPr>
              <w:t>20852-4041</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900" w:type="dxa"/>
            <w:vAlign w:val="bottom"/>
          </w:tcPr>
          <w:p>
            <w:pPr>
              <w:ind w:left="600"/>
              <w:spacing w:after="0"/>
              <w:rPr>
                <w:sz w:val="20"/>
                <w:szCs w:val="20"/>
                <w:color w:val="auto"/>
              </w:rPr>
            </w:pPr>
            <w:r>
              <w:rPr>
                <w:rFonts w:ascii="Courier New" w:cs="Courier New" w:eastAsia="Courier New" w:hAnsi="Courier New"/>
                <w:sz w:val="14"/>
                <w:szCs w:val="14"/>
                <w:color w:val="auto"/>
              </w:rPr>
              <w:t>(Zip Code)</w:t>
            </w:r>
          </w:p>
        </w:tc>
      </w:tr>
    </w:tbl>
    <w:p>
      <w:pPr>
        <w:spacing w:after="0" w:line="338" w:lineRule="exact"/>
        <w:rPr>
          <w:sz w:val="24"/>
          <w:szCs w:val="24"/>
          <w:color w:val="auto"/>
        </w:rPr>
      </w:pPr>
    </w:p>
    <w:p>
      <w:pPr>
        <w:ind w:left="440"/>
        <w:spacing w:after="0"/>
        <w:tabs>
          <w:tab w:leader="none" w:pos="494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8" w:lineRule="exact"/>
        <w:rPr>
          <w:sz w:val="24"/>
          <w:szCs w:val="24"/>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4" w:right="1440" w:bottom="1440" w:gutter="0" w:footer="0" w:header="0"/>
        </w:sectPr>
      </w:pPr>
    </w:p>
    <w:bookmarkStart w:id="1" w:name="page2"/>
    <w:bookmarkEnd w:id="1"/>
    <w:p>
      <w:pPr>
        <w:spacing w:after="0"/>
        <w:tabs>
          <w:tab w:leader="none" w:pos="780" w:val="left"/>
        </w:tabs>
        <w:rPr>
          <w:sz w:val="20"/>
          <w:szCs w:val="20"/>
          <w:color w:val="auto"/>
        </w:rPr>
      </w:pPr>
      <w:r>
        <w:rPr>
          <w:rFonts w:ascii="Courier New" w:cs="Courier New" w:eastAsia="Courier New" w:hAnsi="Courier New"/>
          <w:sz w:val="14"/>
          <w:szCs w:val="14"/>
          <w:color w:val="auto"/>
        </w:rPr>
        <w:t>Item 5.</w:t>
        <w:tab/>
        <w:t>Other Events</w:t>
      </w:r>
    </w:p>
    <w:p>
      <w:pPr>
        <w:spacing w:after="0" w:line="34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1997.</w:t>
      </w:r>
    </w:p>
    <w:p>
      <w:pPr>
        <w:spacing w:after="0" w:line="200" w:lineRule="exact"/>
        <w:rPr>
          <w:sz w:val="20"/>
          <w:szCs w:val="20"/>
          <w:color w:val="auto"/>
        </w:rPr>
      </w:pPr>
    </w:p>
    <w:p>
      <w:pPr>
        <w:spacing w:after="0" w:line="29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342" w:lineRule="exact"/>
        <w:rPr>
          <w:sz w:val="20"/>
          <w:szCs w:val="20"/>
          <w:color w:val="auto"/>
        </w:rPr>
      </w:pPr>
    </w:p>
    <w:p>
      <w:pPr>
        <w:ind w:left="800" w:hanging="444"/>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42"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1997</w:t>
      </w: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30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8" w:lineRule="exact"/>
        <w:rPr>
          <w:sz w:val="20"/>
          <w:szCs w:val="20"/>
          <w:color w:val="auto"/>
        </w:rPr>
      </w:pPr>
    </w:p>
    <w:p>
      <w:pPr>
        <w:sectPr>
          <w:pgSz w:w="11900" w:h="16838" w:orient="portrait"/>
          <w:cols w:equalWidth="0" w:num="3">
            <w:col w:w="440" w:space="180"/>
            <w:col w:w="1960" w:space="720"/>
            <w:col w:w="693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Cecily A. Ward</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Vice President, Controller</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2" w:name="page3"/>
    <w:bookmarkEnd w:id="2"/>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800" w:space="160"/>
            <w:col w:w="4400" w:space="720"/>
            <w:col w:w="4159"/>
          </w:cols>
          <w:pgMar w:left="220" w:top="620" w:right="1440" w:bottom="1440" w:gutter="0" w:footer="0" w:header="0"/>
          <w:type w:val="continuous"/>
        </w:sect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March 31,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ectPr>
          <w:pgSz w:w="11900" w:h="16838" w:orient="portrait"/>
          <w:cols w:equalWidth="0" w:num="2">
            <w:col w:w="5880" w:space="720"/>
            <w:col w:w="3639"/>
          </w:cols>
          <w:pgMar w:left="220" w:top="620" w:right="1440" w:bottom="1440" w:gutter="0" w:footer="0" w:header="0"/>
          <w:type w:val="continuous"/>
        </w:sect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3" w:name="page4"/>
    <w:bookmarkEnd w:id="3"/>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Supplemental Information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March 31,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1.  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2.  Occupancy</w:t>
            </w:r>
          </w:p>
        </w:tc>
        <w:tc>
          <w:tcPr>
            <w:tcW w:w="260" w:type="dxa"/>
            <w:vAlign w:val="bottom"/>
          </w:tcPr>
          <w:p>
            <w:pPr>
              <w:spacing w:after="0"/>
              <w:rPr>
                <w:sz w:val="14"/>
                <w:szCs w:val="14"/>
                <w:color w:val="auto"/>
              </w:rPr>
            </w:pPr>
          </w:p>
        </w:tc>
      </w:tr>
      <w:tr>
        <w:trPr>
          <w:trHeight w:val="167"/>
        </w:trPr>
        <w:tc>
          <w:tcPr>
            <w:tcW w:w="6520" w:type="dxa"/>
            <w:vAlign w:val="bottom"/>
          </w:tcPr>
          <w:p>
            <w:pPr>
              <w:ind w:left="880"/>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7"/>
        </w:trPr>
        <w:tc>
          <w:tcPr>
            <w:tcW w:w="6520" w:type="dxa"/>
            <w:vAlign w:val="bottom"/>
          </w:tcPr>
          <w:p>
            <w:pPr>
              <w:ind w:left="880"/>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7"/>
        </w:trPr>
        <w:tc>
          <w:tcPr>
            <w:tcW w:w="6520" w:type="dxa"/>
            <w:vAlign w:val="bottom"/>
          </w:tcPr>
          <w:p>
            <w:pPr>
              <w:ind w:left="880"/>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1" w:lineRule="exact"/>
        <w:rPr>
          <w:sz w:val="20"/>
          <w:szCs w:val="20"/>
          <w:color w:val="auto"/>
        </w:rPr>
      </w:pPr>
    </w:p>
    <w:p>
      <w:pPr>
        <w:ind w:left="360" w:hanging="351"/>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26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E-6</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6260" w:type="dxa"/>
            <w:vAlign w:val="bottom"/>
          </w:tcPr>
          <w:p>
            <w:pPr>
              <w:jc w:val="right"/>
              <w:spacing w:after="0"/>
              <w:rPr>
                <w:sz w:val="20"/>
                <w:szCs w:val="20"/>
                <w:color w:val="auto"/>
              </w:rPr>
            </w:pPr>
            <w:r>
              <w:rPr>
                <w:rFonts w:ascii="Courier New" w:cs="Courier New" w:eastAsia="Courier New" w:hAnsi="Courier New"/>
                <w:sz w:val="14"/>
                <w:szCs w:val="14"/>
                <w:color w:val="auto"/>
              </w:rPr>
              <w:t>Press Release..........................................................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E-7</w:t>
            </w:r>
          </w:p>
        </w:tc>
      </w:tr>
      <w:tr>
        <w:trPr>
          <w:trHeight w:val="334"/>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6260" w:type="dxa"/>
            <w:vAlign w:val="bottom"/>
          </w:tcPr>
          <w:p>
            <w:pPr>
              <w:jc w:val="right"/>
              <w:spacing w:after="0"/>
              <w:rPr>
                <w:sz w:val="20"/>
                <w:szCs w:val="20"/>
                <w:color w:val="auto"/>
              </w:rPr>
            </w:pPr>
            <w:r>
              <w:rPr>
                <w:rFonts w:ascii="Courier New" w:cs="Courier New" w:eastAsia="Courier New" w:hAnsi="Courier New"/>
                <w:sz w:val="14"/>
                <w:szCs w:val="14"/>
                <w:color w:val="auto"/>
              </w:rPr>
              <w:t>Glossary of Terms......................................................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E-10</w:t>
            </w:r>
          </w:p>
        </w:tc>
      </w:tr>
    </w:tbl>
    <w:p>
      <w:pPr>
        <w:spacing w:after="0" w:line="200" w:lineRule="exact"/>
        <w:rPr>
          <w:sz w:val="20"/>
          <w:szCs w:val="20"/>
          <w:color w:val="auto"/>
        </w:rPr>
      </w:pPr>
    </w:p>
    <w:p>
      <w:pPr>
        <w:spacing w:after="0" w:line="30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100"/>
        <w:spacing w:after="0"/>
        <w:tabs>
          <w:tab w:leader="none" w:pos="390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Balance</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Maturity</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Rate</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700" w:type="dxa"/>
            <w:vAlign w:val="bottom"/>
          </w:tcPr>
          <w:p>
            <w:pPr>
              <w:spacing w:after="0"/>
              <w:rPr>
                <w:sz w:val="14"/>
                <w:szCs w:val="14"/>
                <w:color w:val="auto"/>
              </w:rPr>
            </w:pP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Barracks Road</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06/01/98</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9.77%</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$21,318</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Falls Plaza</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06/01/98</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9.77%</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4,239</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Old Keene Mill</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06/01/98</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9.77%</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6,948</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West Falls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06/01/98</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9.77%</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4,864</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Loehmanns Plaza</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07/21/98</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9.75%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Bristol</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08/01/98</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9.65%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10,964</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Federal Plaza</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03/10/01</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8.95%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28,352</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Tysons Station</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09/01/01</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9.875%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4,251</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Northeast</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12/31/01</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participating</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Escondido (Municipal bonds)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10/01/16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Variable ##</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9,400</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$98,228</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Revolving credit facilities</w:t>
            </w:r>
          </w:p>
        </w:tc>
        <w:tc>
          <w:tcPr>
            <w:tcW w:w="230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libor + .75%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$64,245</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Note issued in connection with</w:t>
            </w: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440" w:type="dxa"/>
            <w:vAlign w:val="bottom"/>
          </w:tcPr>
          <w:p>
            <w:pPr>
              <w:ind w:left="1840"/>
              <w:spacing w:after="0"/>
              <w:rPr>
                <w:sz w:val="20"/>
                <w:szCs w:val="20"/>
                <w:color w:val="auto"/>
              </w:rPr>
            </w:pPr>
            <w:r>
              <w:rPr>
                <w:rFonts w:ascii="Courier New" w:cs="Courier New" w:eastAsia="Courier New" w:hAnsi="Courier New"/>
                <w:sz w:val="14"/>
                <w:szCs w:val="14"/>
                <w:color w:val="auto"/>
              </w:rPr>
              <w:t>tenant buyout at Queen Anne Plaza</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01/15/06</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8.875%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1,205</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Note issued in connection with</w:t>
            </w: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440" w:type="dxa"/>
            <w:vAlign w:val="bottom"/>
          </w:tcPr>
          <w:p>
            <w:pPr>
              <w:ind w:left="1840"/>
              <w:spacing w:after="0"/>
              <w:rPr>
                <w:sz w:val="20"/>
                <w:szCs w:val="20"/>
                <w:color w:val="auto"/>
              </w:rPr>
            </w:pPr>
            <w:r>
              <w:rPr>
                <w:rFonts w:ascii="Courier New" w:cs="Courier New" w:eastAsia="Courier New" w:hAnsi="Courier New"/>
                <w:sz w:val="14"/>
                <w:szCs w:val="14"/>
                <w:color w:val="auto"/>
              </w:rPr>
              <w:t>renovation of Perring Plaza</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01/31/13</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10.00%</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2,837</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Note issued in connection with lease</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11/13/95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none</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Other</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various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various</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$70,832</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5 1/4% Convertible subordinated</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04/30/02</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5.250%</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w:t>
            </w:r>
          </w:p>
        </w:tc>
        <w:tc>
          <w:tcPr>
            <w:tcW w:w="700" w:type="dxa"/>
            <w:vAlign w:val="bottom"/>
          </w:tcPr>
          <w:p>
            <w:pPr>
              <w:spacing w:after="0"/>
              <w:rPr>
                <w:sz w:val="14"/>
                <w:szCs w:val="14"/>
                <w:color w:val="auto"/>
              </w:rPr>
            </w:pPr>
          </w:p>
        </w:tc>
      </w:tr>
      <w:tr>
        <w:trPr>
          <w:trHeight w:val="167"/>
        </w:trPr>
        <w:tc>
          <w:tcPr>
            <w:tcW w:w="5440" w:type="dxa"/>
            <w:vAlign w:val="bottom"/>
          </w:tcPr>
          <w:p>
            <w:pPr>
              <w:ind w:left="1840"/>
              <w:spacing w:after="0"/>
              <w:rPr>
                <w:sz w:val="20"/>
                <w:szCs w:val="20"/>
                <w:color w:val="auto"/>
              </w:rPr>
            </w:pPr>
            <w:r>
              <w:rPr>
                <w:rFonts w:ascii="Courier New" w:cs="Courier New" w:eastAsia="Courier New" w:hAnsi="Courier New"/>
                <w:sz w:val="14"/>
                <w:szCs w:val="14"/>
                <w:color w:val="auto"/>
              </w:rPr>
              <w:t>debentures</w:t>
            </w: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5 1/4% Convertible subordinated</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10/28/03</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5.250%</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700" w:type="dxa"/>
            <w:vAlign w:val="bottom"/>
          </w:tcPr>
          <w:p>
            <w:pPr>
              <w:spacing w:after="0"/>
              <w:rPr>
                <w:sz w:val="14"/>
                <w:szCs w:val="14"/>
                <w:color w:val="auto"/>
              </w:rPr>
            </w:pPr>
          </w:p>
        </w:tc>
      </w:tr>
      <w:tr>
        <w:trPr>
          <w:trHeight w:val="167"/>
        </w:trPr>
        <w:tc>
          <w:tcPr>
            <w:tcW w:w="5440" w:type="dxa"/>
            <w:vAlign w:val="bottom"/>
          </w:tcPr>
          <w:p>
            <w:pPr>
              <w:ind w:left="1840"/>
              <w:spacing w:after="0"/>
              <w:rPr>
                <w:sz w:val="20"/>
                <w:szCs w:val="20"/>
                <w:color w:val="auto"/>
              </w:rPr>
            </w:pPr>
            <w:r>
              <w:rPr>
                <w:rFonts w:ascii="Courier New" w:cs="Courier New" w:eastAsia="Courier New" w:hAnsi="Courier New"/>
                <w:sz w:val="14"/>
                <w:szCs w:val="14"/>
                <w:color w:val="auto"/>
              </w:rPr>
              <w:t>debentures</w:t>
            </w: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8 7/8% Notes (fixed)</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01/15/00</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8.875%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8 7/8% Notes (fixed) *</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01/15/00</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7.530%</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8% Notes (fixed)</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04/21/02</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8.000%</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6 5/8% Notes (fixed)</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12/01/05</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6.625%</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700" w:type="dxa"/>
            <w:vAlign w:val="bottom"/>
          </w:tcPr>
          <w:p>
            <w:pPr>
              <w:spacing w:after="0"/>
              <w:rPr>
                <w:sz w:val="14"/>
                <w:szCs w:val="14"/>
                <w:color w:val="auto"/>
              </w:rPr>
            </w:pPr>
          </w:p>
        </w:tc>
      </w:tr>
      <w:tr>
        <w:trPr>
          <w:trHeight w:val="167"/>
        </w:trPr>
        <w:tc>
          <w:tcPr>
            <w:tcW w:w="5440" w:type="dxa"/>
            <w:vAlign w:val="bottom"/>
          </w:tcPr>
          <w:p>
            <w:pPr>
              <w:ind w:left="1580"/>
              <w:spacing w:after="0"/>
              <w:rPr>
                <w:sz w:val="20"/>
                <w:szCs w:val="20"/>
                <w:color w:val="auto"/>
              </w:rPr>
            </w:pPr>
            <w:r>
              <w:rPr>
                <w:rFonts w:ascii="Courier New" w:cs="Courier New" w:eastAsia="Courier New" w:hAnsi="Courier New"/>
                <w:sz w:val="14"/>
                <w:szCs w:val="14"/>
                <w:color w:val="auto"/>
              </w:rPr>
              <w:t>7.48% Debentures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08/15/26</w:t>
            </w:r>
          </w:p>
        </w:tc>
        <w:tc>
          <w:tcPr>
            <w:tcW w:w="1460" w:type="dxa"/>
            <w:vAlign w:val="bottom"/>
          </w:tcPr>
          <w:p>
            <w:pPr>
              <w:ind w:left="780"/>
              <w:spacing w:after="0"/>
              <w:rPr>
                <w:sz w:val="20"/>
                <w:szCs w:val="20"/>
                <w:color w:val="auto"/>
              </w:rPr>
            </w:pPr>
            <w:r>
              <w:rPr>
                <w:rFonts w:ascii="Courier New" w:cs="Courier New" w:eastAsia="Courier New" w:hAnsi="Courier New"/>
                <w:sz w:val="14"/>
                <w:szCs w:val="14"/>
                <w:color w:val="auto"/>
              </w:rPr>
              <w:t>7.480%</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$290,289</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37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Total fixed rate debt</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$384,204</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83.64%</w:t>
            </w:r>
          </w:p>
        </w:tc>
      </w:tr>
      <w:tr>
        <w:trPr>
          <w:trHeight w:val="334"/>
        </w:trPr>
        <w:tc>
          <w:tcPr>
            <w:tcW w:w="5440" w:type="dxa"/>
            <w:vAlign w:val="bottom"/>
          </w:tcPr>
          <w:p>
            <w:pPr>
              <w:spacing w:after="0"/>
              <w:rPr>
                <w:sz w:val="24"/>
                <w:szCs w:val="24"/>
                <w:color w:val="auto"/>
              </w:rPr>
            </w:pPr>
          </w:p>
        </w:tc>
        <w:tc>
          <w:tcPr>
            <w:tcW w:w="37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Total variable rate debt</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75,145</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16.36%</w:t>
            </w: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2300" w:type="dxa"/>
            <w:vAlign w:val="bottom"/>
          </w:tcPr>
          <w:p>
            <w:pPr>
              <w:ind w:left="740"/>
              <w:spacing w:after="0"/>
              <w:rPr>
                <w:sz w:val="20"/>
                <w:szCs w:val="20"/>
                <w:color w:val="auto"/>
              </w:rPr>
            </w:pPr>
            <w:r>
              <w:rPr>
                <w:rFonts w:ascii="Courier New" w:cs="Courier New" w:eastAsia="Courier New" w:hAnsi="Courier New"/>
                <w:sz w:val="14"/>
                <w:szCs w:val="14"/>
                <w:color w:val="auto"/>
              </w:rPr>
              <w:t>Total debt</w:t>
            </w: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$459,349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spacing w:after="0"/>
              <w:rPr>
                <w:sz w:val="24"/>
                <w:szCs w:val="24"/>
                <w:color w:val="auto"/>
              </w:rPr>
            </w:pPr>
          </w:p>
        </w:tc>
        <w:tc>
          <w:tcPr>
            <w:tcW w:w="37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Weighted average interest rate:</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440" w:type="dxa"/>
            <w:vAlign w:val="bottom"/>
          </w:tcPr>
          <w:p>
            <w:pPr>
              <w:spacing w:after="0"/>
              <w:rPr>
                <w:sz w:val="14"/>
                <w:szCs w:val="14"/>
                <w:color w:val="auto"/>
              </w:rPr>
            </w:pPr>
          </w:p>
        </w:tc>
        <w:tc>
          <w:tcPr>
            <w:tcW w:w="2300" w:type="dxa"/>
            <w:vAlign w:val="bottom"/>
          </w:tcPr>
          <w:p>
            <w:pPr>
              <w:ind w:left="900"/>
              <w:spacing w:after="0"/>
              <w:rPr>
                <w:sz w:val="20"/>
                <w:szCs w:val="20"/>
                <w:color w:val="auto"/>
              </w:rPr>
            </w:pPr>
            <w:r>
              <w:rPr>
                <w:rFonts w:ascii="Courier New" w:cs="Courier New" w:eastAsia="Courier New" w:hAnsi="Courier New"/>
                <w:sz w:val="14"/>
                <w:szCs w:val="14"/>
                <w:color w:val="auto"/>
              </w:rPr>
              <w:t>Fixed rate debt</w:t>
            </w:r>
          </w:p>
        </w:tc>
        <w:tc>
          <w:tcPr>
            <w:tcW w:w="146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7.74%</w:t>
            </w:r>
          </w:p>
        </w:tc>
        <w:tc>
          <w:tcPr>
            <w:tcW w:w="700" w:type="dxa"/>
            <w:vAlign w:val="bottom"/>
          </w:tcPr>
          <w:p>
            <w:pPr>
              <w:spacing w:after="0"/>
              <w:rPr>
                <w:sz w:val="14"/>
                <w:szCs w:val="14"/>
                <w:color w:val="auto"/>
              </w:rPr>
            </w:pPr>
          </w:p>
        </w:tc>
      </w:tr>
      <w:tr>
        <w:trPr>
          <w:trHeight w:val="167"/>
        </w:trPr>
        <w:tc>
          <w:tcPr>
            <w:tcW w:w="5440" w:type="dxa"/>
            <w:vAlign w:val="bottom"/>
          </w:tcPr>
          <w:p>
            <w:pPr>
              <w:spacing w:after="0"/>
              <w:rPr>
                <w:sz w:val="14"/>
                <w:szCs w:val="14"/>
                <w:color w:val="auto"/>
              </w:rPr>
            </w:pPr>
          </w:p>
        </w:tc>
        <w:tc>
          <w:tcPr>
            <w:tcW w:w="37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Variable on revolving facilities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6.30%**</w:t>
            </w: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right="4680" w:hanging="86"/>
        <w:spacing w:after="0" w:line="252" w:lineRule="auto"/>
        <w:rPr>
          <w:sz w:val="20"/>
          <w:szCs w:val="20"/>
          <w:color w:val="auto"/>
        </w:rPr>
      </w:pPr>
      <w:r>
        <w:rPr>
          <w:rFonts w:ascii="Courier New" w:cs="Courier New" w:eastAsia="Courier New" w:hAnsi="Courier New"/>
          <w:sz w:val="14"/>
          <w:szCs w:val="14"/>
          <w:color w:val="auto"/>
        </w:rPr>
        <w:t>*The Trust purchased an interest rate swap on $25 million which sold for $1.5 million, thereby decreasing the effective interest rate.</w:t>
      </w:r>
    </w:p>
    <w:p>
      <w:pPr>
        <w:spacing w:after="0" w:line="1" w:lineRule="exact"/>
        <w:rPr>
          <w:sz w:val="20"/>
          <w:szCs w:val="20"/>
          <w:color w:val="auto"/>
        </w:rPr>
      </w:pPr>
    </w:p>
    <w:p>
      <w:pPr>
        <w:ind w:left="180" w:right="5040" w:hanging="173"/>
        <w:spacing w:after="0" w:line="252" w:lineRule="auto"/>
        <w:rPr>
          <w:sz w:val="20"/>
          <w:szCs w:val="20"/>
          <w:color w:val="auto"/>
        </w:rPr>
      </w:pPr>
      <w:r>
        <w:rPr>
          <w:rFonts w:ascii="Courier New" w:cs="Courier New" w:eastAsia="Courier New" w:hAnsi="Courier New"/>
          <w:sz w:val="14"/>
          <w:szCs w:val="14"/>
          <w:color w:val="auto"/>
        </w:rPr>
        <w:t>**Weighted average interest rate on revolving credit facilities for three months ended March 31, 1997</w:t>
      </w:r>
    </w:p>
    <w:p>
      <w:pPr>
        <w:spacing w:after="0" w:line="1" w:lineRule="exact"/>
        <w:rPr>
          <w:sz w:val="20"/>
          <w:szCs w:val="20"/>
          <w:color w:val="auto"/>
        </w:rPr>
      </w:pPr>
    </w:p>
    <w:p>
      <w:pPr>
        <w:ind w:left="260" w:right="4520" w:hanging="251"/>
        <w:spacing w:after="0" w:line="255"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1380"/>
          </w:cols>
          <w:pgMar w:left="220" w:top="787" w:right="299" w:bottom="1440" w:gutter="0" w:footer="0" w:header="0"/>
        </w:sectPr>
      </w:pPr>
    </w:p>
    <w:bookmarkStart w:id="5" w:name="page6"/>
    <w:bookmarkEnd w:id="5"/>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08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Percentage Leased Analysis March 31, 1997</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(Quarter to Quarter Analysis)</w:t>
            </w:r>
          </w:p>
        </w:tc>
        <w:tc>
          <w:tcPr>
            <w:tcW w:w="278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March 31, 1997</w:t>
            </w:r>
          </w:p>
        </w:tc>
        <w:tc>
          <w:tcPr>
            <w:tcW w:w="1160" w:type="dxa"/>
            <w:vAlign w:val="bottom"/>
          </w:tcPr>
          <w:p>
            <w:pPr>
              <w:spacing w:after="0"/>
              <w:rPr>
                <w:sz w:val="14"/>
                <w:szCs w:val="14"/>
                <w:color w:val="auto"/>
              </w:rPr>
            </w:pPr>
          </w:p>
        </w:tc>
        <w:tc>
          <w:tcPr>
            <w:tcW w:w="222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March 31, 1996</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5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 ----------------------------------------</w:t>
            </w:r>
          </w:p>
        </w:tc>
      </w:tr>
      <w:tr>
        <w:trPr>
          <w:trHeight w:val="334"/>
        </w:trPr>
        <w:tc>
          <w:tcPr>
            <w:tcW w:w="2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Type</w:t>
            </w:r>
          </w:p>
        </w:tc>
        <w:tc>
          <w:tcPr>
            <w:tcW w:w="880" w:type="dxa"/>
            <w:vAlign w:val="bottom"/>
          </w:tcPr>
          <w:p>
            <w:pPr>
              <w:spacing w:after="0"/>
              <w:rPr>
                <w:sz w:val="24"/>
                <w:szCs w:val="24"/>
                <w:color w:val="auto"/>
              </w:rPr>
            </w:pP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Occupancy</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300" w:type="dxa"/>
            <w:vAlign w:val="bottom"/>
          </w:tcPr>
          <w:p>
            <w:pPr>
              <w:spacing w:after="0"/>
              <w:rPr>
                <w:sz w:val="24"/>
                <w:szCs w:val="2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51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 ------------ -------------- ------------</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13,046,013</w:t>
            </w: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12,228,746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94%</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12,480,181</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11,796,821</w:t>
            </w:r>
          </w:p>
        </w:tc>
        <w:tc>
          <w:tcPr>
            <w:tcW w:w="300" w:type="dxa"/>
            <w:vAlign w:val="bottom"/>
          </w:tcPr>
          <w:p>
            <w:pPr>
              <w:spacing w:after="0"/>
              <w:rPr>
                <w:sz w:val="24"/>
                <w:szCs w:val="2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99%</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w:t>
            </w:r>
          </w:p>
        </w:tc>
        <w:tc>
          <w:tcPr>
            <w:tcW w:w="30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97%</w:t>
            </w:r>
          </w:p>
        </w:tc>
      </w:tr>
      <w:tr>
        <w:trPr>
          <w:trHeight w:val="668"/>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880" w:type="dxa"/>
            <w:vAlign w:val="bottom"/>
          </w:tcPr>
          <w:p>
            <w:pPr>
              <w:spacing w:after="0"/>
              <w:rPr>
                <w:sz w:val="14"/>
                <w:szCs w:val="14"/>
                <w:color w:val="auto"/>
              </w:rPr>
            </w:pPr>
          </w:p>
        </w:tc>
        <w:tc>
          <w:tcPr>
            <w:tcW w:w="278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March 31, 1997</w:t>
            </w:r>
          </w:p>
        </w:tc>
        <w:tc>
          <w:tcPr>
            <w:tcW w:w="1160" w:type="dxa"/>
            <w:vAlign w:val="bottom"/>
          </w:tcPr>
          <w:p>
            <w:pPr>
              <w:spacing w:after="0"/>
              <w:rPr>
                <w:sz w:val="14"/>
                <w:szCs w:val="14"/>
                <w:color w:val="auto"/>
              </w:rPr>
            </w:pPr>
          </w:p>
        </w:tc>
        <w:tc>
          <w:tcPr>
            <w:tcW w:w="2520" w:type="dxa"/>
            <w:vAlign w:val="bottom"/>
            <w:gridSpan w:val="3"/>
          </w:tcPr>
          <w:p>
            <w:pPr>
              <w:jc w:val="center"/>
              <w:ind w:left="888"/>
              <w:spacing w:after="0"/>
              <w:rPr>
                <w:sz w:val="20"/>
                <w:szCs w:val="20"/>
                <w:color w:val="auto"/>
              </w:rPr>
            </w:pPr>
            <w:r>
              <w:rPr>
                <w:rFonts w:ascii="Courier New" w:cs="Courier New" w:eastAsia="Courier New" w:hAnsi="Courier New"/>
                <w:sz w:val="14"/>
                <w:szCs w:val="14"/>
                <w:color w:val="auto"/>
              </w:rPr>
              <w:t>December 31, 1996</w:t>
            </w:r>
          </w:p>
        </w:tc>
        <w:tc>
          <w:tcPr>
            <w:tcW w:w="108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5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 ----------------------------------------</w:t>
            </w:r>
          </w:p>
        </w:tc>
      </w:tr>
      <w:tr>
        <w:trPr>
          <w:trHeight w:val="334"/>
        </w:trPr>
        <w:tc>
          <w:tcPr>
            <w:tcW w:w="2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Type</w:t>
            </w:r>
          </w:p>
        </w:tc>
        <w:tc>
          <w:tcPr>
            <w:tcW w:w="880" w:type="dxa"/>
            <w:vAlign w:val="bottom"/>
          </w:tcPr>
          <w:p>
            <w:pPr>
              <w:spacing w:after="0"/>
              <w:rPr>
                <w:sz w:val="24"/>
                <w:szCs w:val="24"/>
                <w:color w:val="auto"/>
              </w:rPr>
            </w:pP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Occupancy</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300" w:type="dxa"/>
            <w:vAlign w:val="bottom"/>
          </w:tcPr>
          <w:p>
            <w:pPr>
              <w:spacing w:after="0"/>
              <w:rPr>
                <w:sz w:val="24"/>
                <w:szCs w:val="2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646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 ------------ -------------- ------------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13,046,013</w:t>
            </w: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12,228,746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94%</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12,733,461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11,935,107</w:t>
            </w:r>
          </w:p>
        </w:tc>
        <w:tc>
          <w:tcPr>
            <w:tcW w:w="300" w:type="dxa"/>
            <w:vAlign w:val="bottom"/>
          </w:tcPr>
          <w:p>
            <w:pPr>
              <w:spacing w:after="0"/>
              <w:rPr>
                <w:sz w:val="24"/>
                <w:szCs w:val="2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99%</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w:t>
            </w:r>
          </w:p>
        </w:tc>
        <w:tc>
          <w:tcPr>
            <w:tcW w:w="30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r>
      <w:tr>
        <w:trPr>
          <w:trHeight w:val="501"/>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880" w:type="dxa"/>
            <w:vAlign w:val="bottom"/>
          </w:tcPr>
          <w:p>
            <w:pPr>
              <w:spacing w:after="0"/>
              <w:rPr>
                <w:sz w:val="14"/>
                <w:szCs w:val="14"/>
                <w:color w:val="auto"/>
              </w:rPr>
            </w:pPr>
          </w:p>
        </w:tc>
        <w:tc>
          <w:tcPr>
            <w:tcW w:w="278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September 30, 1996</w:t>
            </w:r>
          </w:p>
        </w:tc>
        <w:tc>
          <w:tcPr>
            <w:tcW w:w="1160" w:type="dxa"/>
            <w:vAlign w:val="bottom"/>
          </w:tcPr>
          <w:p>
            <w:pPr>
              <w:spacing w:after="0"/>
              <w:rPr>
                <w:sz w:val="14"/>
                <w:szCs w:val="14"/>
                <w:color w:val="auto"/>
              </w:rPr>
            </w:pPr>
          </w:p>
        </w:tc>
        <w:tc>
          <w:tcPr>
            <w:tcW w:w="22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June 30, 1996</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54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 -------------------------------------</w:t>
            </w:r>
          </w:p>
        </w:tc>
      </w:tr>
      <w:tr>
        <w:trPr>
          <w:trHeight w:val="334"/>
        </w:trPr>
        <w:tc>
          <w:tcPr>
            <w:tcW w:w="2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Type</w:t>
            </w:r>
          </w:p>
        </w:tc>
        <w:tc>
          <w:tcPr>
            <w:tcW w:w="880" w:type="dxa"/>
            <w:vAlign w:val="bottom"/>
          </w:tcPr>
          <w:p>
            <w:pPr>
              <w:spacing w:after="0"/>
              <w:rPr>
                <w:sz w:val="24"/>
                <w:szCs w:val="24"/>
                <w:color w:val="auto"/>
              </w:rPr>
            </w:pP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Occupancy</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6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12,324,469</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11,509,125</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93%</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12,317,789</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11,593,141</w:t>
            </w:r>
          </w:p>
        </w:tc>
        <w:tc>
          <w:tcPr>
            <w:tcW w:w="138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99%</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38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80"/>
          </w:cols>
          <w:pgMar w:left="220" w:top="620" w:right="899" w:bottom="1440" w:gutter="0" w:footer="0" w:header="0"/>
        </w:sectPr>
      </w:pPr>
    </w:p>
    <w:p>
      <w:pPr>
        <w:spacing w:after="0" w:line="342"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Same Center Occupancy</w:t>
      </w:r>
    </w:p>
    <w:p>
      <w:pPr>
        <w:spacing w:after="0" w:line="8"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(Quarter to Quarter Comparison)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260"/>
        <w:spacing w:after="0" w:line="258" w:lineRule="auto"/>
        <w:rPr>
          <w:sz w:val="20"/>
          <w:szCs w:val="20"/>
          <w:color w:val="auto"/>
        </w:rPr>
      </w:pPr>
      <w:r>
        <w:rPr>
          <w:rFonts w:ascii="Courier New" w:cs="Courier New" w:eastAsia="Courier New" w:hAnsi="Courier New"/>
          <w:sz w:val="14"/>
          <w:szCs w:val="14"/>
          <w:color w:val="auto"/>
        </w:rPr>
        <w:t>March 31, 1997                           March 31, 1996 ------------------------------------------- ----------------------------------------</w:t>
      </w:r>
    </w:p>
    <w:p>
      <w:pPr>
        <w:spacing w:after="0" w:line="160" w:lineRule="exact"/>
        <w:rPr>
          <w:sz w:val="20"/>
          <w:szCs w:val="20"/>
          <w:color w:val="auto"/>
        </w:rPr>
      </w:pPr>
    </w:p>
    <w:p>
      <w:pPr>
        <w:sectPr>
          <w:pgSz w:w="11900" w:h="16838" w:orient="portrait"/>
          <w:cols w:equalWidth="0" w:num="2">
            <w:col w:w="2780" w:space="440"/>
            <w:col w:w="7560"/>
          </w:cols>
          <w:pgMar w:left="220" w:top="620" w:right="899"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260"/>
        <w:spacing w:after="0"/>
        <w:tabs>
          <w:tab w:leader="none" w:pos="1360" w:val="left"/>
          <w:tab w:leader="none" w:pos="2500" w:val="left"/>
          <w:tab w:leader="none" w:pos="3880" w:val="left"/>
          <w:tab w:leader="none" w:pos="50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20" w:space="180"/>
            <w:col w:w="6160" w:space="0"/>
            <w:col w:w="1220"/>
          </w:cols>
          <w:pgMar w:left="220" w:top="620"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11,425,601</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10,762,859</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11,223,075</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10,605,961</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ectPr>
          <w:pgSz w:w="11900" w:h="16838" w:orient="portrait"/>
          <w:cols w:equalWidth="0" w:num="7">
            <w:col w:w="3040" w:space="440"/>
            <w:col w:w="860" w:space="360"/>
            <w:col w:w="860" w:space="620"/>
            <w:col w:w="260" w:space="680"/>
            <w:col w:w="880" w:space="420"/>
            <w:col w:w="880" w:space="520"/>
            <w:col w:w="960"/>
          </w:cols>
          <w:pgMar w:left="220" w:top="620" w:right="89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Same Center Occupancy</w:t>
      </w:r>
    </w:p>
    <w:p>
      <w:pPr>
        <w:spacing w:after="0" w:line="8"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20"/>
        <w:spacing w:after="0"/>
        <w:tabs>
          <w:tab w:leader="none" w:pos="4920" w:val="left"/>
        </w:tabs>
        <w:rPr>
          <w:sz w:val="20"/>
          <w:szCs w:val="20"/>
          <w:color w:val="auto"/>
        </w:rPr>
      </w:pPr>
      <w:r>
        <w:rPr>
          <w:rFonts w:ascii="Courier New" w:cs="Courier New" w:eastAsia="Courier New" w:hAnsi="Courier New"/>
          <w:sz w:val="14"/>
          <w:szCs w:val="14"/>
          <w:color w:val="auto"/>
        </w:rPr>
        <w:t>At March 31, 1997</w:t>
      </w:r>
      <w:r>
        <w:rPr>
          <w:sz w:val="20"/>
          <w:szCs w:val="20"/>
          <w:color w:val="auto"/>
        </w:rPr>
        <w:tab/>
      </w:r>
      <w:r>
        <w:rPr>
          <w:rFonts w:ascii="Courier New" w:cs="Courier New" w:eastAsia="Courier New" w:hAnsi="Courier New"/>
          <w:sz w:val="14"/>
          <w:szCs w:val="14"/>
          <w:color w:val="auto"/>
        </w:rPr>
        <w:t>At December 31,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ectPr>
          <w:pgSz w:w="11900" w:h="16838" w:orient="portrait"/>
          <w:cols w:equalWidth="0" w:num="2">
            <w:col w:w="2500" w:space="720"/>
            <w:col w:w="7560"/>
          </w:cols>
          <w:pgMar w:left="220" w:top="620" w:right="899"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260"/>
        <w:spacing w:after="0"/>
        <w:tabs>
          <w:tab w:leader="none" w:pos="1360" w:val="left"/>
          <w:tab w:leader="none" w:pos="2500" w:val="left"/>
          <w:tab w:leader="none" w:pos="3880" w:val="left"/>
          <w:tab w:leader="none" w:pos="50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20" w:space="180"/>
            <w:col w:w="6160" w:space="0"/>
            <w:col w:w="1220"/>
          </w:cols>
          <w:pgMar w:left="220" w:top="620"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11,425,601</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10,762,859</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11,247,168</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10,625,745</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7">
            <w:col w:w="3040" w:space="440"/>
            <w:col w:w="860" w:space="360"/>
            <w:col w:w="860" w:space="620"/>
            <w:col w:w="260" w:space="680"/>
            <w:col w:w="880" w:space="420"/>
            <w:col w:w="880" w:space="520"/>
            <w:col w:w="960"/>
          </w:cols>
          <w:pgMar w:left="220" w:top="620" w:right="899" w:bottom="1440" w:gutter="0" w:footer="0" w:header="0"/>
          <w:type w:val="continuous"/>
        </w:sectPr>
      </w:pPr>
    </w:p>
    <w:p>
      <w:pPr>
        <w:spacing w:after="0" w:line="309"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Same Center Occupancy</w:t>
      </w:r>
    </w:p>
    <w:p>
      <w:pPr>
        <w:spacing w:after="0" w:line="8"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120"/>
        <w:spacing w:after="0"/>
        <w:tabs>
          <w:tab w:leader="none" w:pos="4660" w:val="left"/>
        </w:tabs>
        <w:rPr>
          <w:sz w:val="20"/>
          <w:szCs w:val="20"/>
          <w:color w:val="auto"/>
        </w:rPr>
      </w:pPr>
      <w:r>
        <w:rPr>
          <w:rFonts w:ascii="Courier New" w:cs="Courier New" w:eastAsia="Courier New" w:hAnsi="Courier New"/>
          <w:sz w:val="14"/>
          <w:szCs w:val="14"/>
          <w:color w:val="auto"/>
        </w:rPr>
        <w:t>At September 30, 1996</w:t>
      </w:r>
      <w:r>
        <w:rPr>
          <w:sz w:val="20"/>
          <w:szCs w:val="20"/>
          <w:color w:val="auto"/>
        </w:rPr>
        <w:tab/>
      </w:r>
      <w:r>
        <w:rPr>
          <w:rFonts w:ascii="Courier New" w:cs="Courier New" w:eastAsia="Courier New" w:hAnsi="Courier New"/>
          <w:sz w:val="14"/>
          <w:szCs w:val="14"/>
          <w:color w:val="auto"/>
        </w:rPr>
        <w:t>At June 30,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ectPr>
          <w:pgSz w:w="11900" w:h="16838" w:orient="portrait"/>
          <w:cols w:equalWidth="0" w:num="2">
            <w:col w:w="2500" w:space="720"/>
            <w:col w:w="7560"/>
          </w:cols>
          <w:pgMar w:left="220" w:top="620" w:right="899"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360" w:val="left"/>
          <w:tab w:leader="none" w:pos="2400" w:val="left"/>
          <w:tab w:leader="none" w:pos="3360" w:val="left"/>
        </w:tabs>
        <w:rPr>
          <w:sz w:val="20"/>
          <w:szCs w:val="20"/>
          <w:color w:val="auto"/>
        </w:rPr>
      </w:pP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p>
      <w:pPr>
        <w:sectPr>
          <w:pgSz w:w="11900" w:h="16838" w:orient="portrait"/>
          <w:cols w:equalWidth="0" w:num="4">
            <w:col w:w="3220" w:space="180"/>
            <w:col w:w="1120" w:space="180"/>
            <w:col w:w="1040" w:space="0"/>
            <w:col w:w="5040"/>
          </w:cols>
          <w:pgMar w:left="220" w:top="620"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11,559,958</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10,904,972</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11,115,866</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10,546,049</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7">
            <w:col w:w="3040" w:space="360"/>
            <w:col w:w="860" w:space="340"/>
            <w:col w:w="880" w:space="520"/>
            <w:col w:w="260" w:space="700"/>
            <w:col w:w="860" w:space="260"/>
            <w:col w:w="860" w:space="360"/>
            <w:col w:w="1480"/>
          </w:cols>
          <w:pgMar w:left="220" w:top="620" w:right="899" w:bottom="1440" w:gutter="0" w:footer="0" w:header="0"/>
          <w:type w:val="continuous"/>
        </w:sectPr>
      </w:pPr>
    </w:p>
    <w:bookmarkStart w:id="6" w:name="page7"/>
    <w:bookmarkEnd w:id="6"/>
    <w:p>
      <w:pPr>
        <w:spacing w:after="0" w:line="1"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8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Economic Occupancy Analysis March 31, 1997</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366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(Quarter to Quarter Analysis)</w:t>
            </w:r>
          </w:p>
        </w:tc>
        <w:tc>
          <w:tcPr>
            <w:tcW w:w="138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March 31, 1997</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 1996</w:t>
            </w:r>
          </w:p>
        </w:tc>
        <w:tc>
          <w:tcPr>
            <w:tcW w:w="11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1000" w:type="dxa"/>
            <w:vAlign w:val="bottom"/>
          </w:tcPr>
          <w:p>
            <w:pPr>
              <w:spacing w:after="0"/>
              <w:rPr>
                <w:sz w:val="14"/>
                <w:szCs w:val="14"/>
                <w:color w:val="auto"/>
              </w:rPr>
            </w:pPr>
          </w:p>
        </w:tc>
        <w:tc>
          <w:tcPr>
            <w:tcW w:w="39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9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 -------------------- -----------</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13,046,013</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11,982,214</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12,480,181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11,544,594</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93%</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276</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282</w:t>
            </w:r>
          </w:p>
        </w:tc>
        <w:tc>
          <w:tcPr>
            <w:tcW w:w="780" w:type="dxa"/>
            <w:vAlign w:val="bottom"/>
          </w:tcPr>
          <w:p>
            <w:pPr>
              <w:spacing w:after="0"/>
              <w:rPr>
                <w:sz w:val="14"/>
                <w:szCs w:val="14"/>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97%</w:t>
            </w:r>
          </w:p>
        </w:tc>
      </w:tr>
      <w:tr>
        <w:trPr>
          <w:trHeight w:val="668"/>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66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(Rolling 12 Months)</w:t>
            </w:r>
          </w:p>
        </w:tc>
        <w:tc>
          <w:tcPr>
            <w:tcW w:w="138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March 31, 1997</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 1996</w:t>
            </w:r>
          </w:p>
        </w:tc>
        <w:tc>
          <w:tcPr>
            <w:tcW w:w="11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1000" w:type="dxa"/>
            <w:vAlign w:val="bottom"/>
          </w:tcPr>
          <w:p>
            <w:pPr>
              <w:spacing w:after="0"/>
              <w:rPr>
                <w:sz w:val="14"/>
                <w:szCs w:val="14"/>
                <w:color w:val="auto"/>
              </w:rPr>
            </w:pPr>
          </w:p>
        </w:tc>
        <w:tc>
          <w:tcPr>
            <w:tcW w:w="39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9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 -------------------- -----------</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13,046,013</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11,982,214</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12,733,461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11,680,876</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276</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282</w:t>
            </w:r>
          </w:p>
        </w:tc>
        <w:tc>
          <w:tcPr>
            <w:tcW w:w="780" w:type="dxa"/>
            <w:vAlign w:val="bottom"/>
          </w:tcPr>
          <w:p>
            <w:pPr>
              <w:spacing w:after="0"/>
              <w:rPr>
                <w:sz w:val="14"/>
                <w:szCs w:val="14"/>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98%</w:t>
            </w:r>
          </w:p>
        </w:tc>
      </w:tr>
      <w:tr>
        <w:trPr>
          <w:trHeight w:val="835"/>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66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(Rolling 12 Months)</w:t>
            </w:r>
          </w:p>
        </w:tc>
        <w:tc>
          <w:tcPr>
            <w:tcW w:w="138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September 30, 1996</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 1996</w:t>
            </w:r>
          </w:p>
        </w:tc>
        <w:tc>
          <w:tcPr>
            <w:tcW w:w="11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00" w:type="dxa"/>
            <w:vAlign w:val="bottom"/>
          </w:tcPr>
          <w:p>
            <w:pPr>
              <w:spacing w:after="0"/>
              <w:rPr>
                <w:sz w:val="14"/>
                <w:szCs w:val="14"/>
                <w:color w:val="auto"/>
              </w:rPr>
            </w:pPr>
          </w:p>
        </w:tc>
        <w:tc>
          <w:tcPr>
            <w:tcW w:w="390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Generating</w:t>
            </w:r>
          </w:p>
        </w:tc>
        <w:tc>
          <w:tcPr>
            <w:tcW w:w="15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Economic</w:t>
            </w:r>
          </w:p>
        </w:tc>
        <w:tc>
          <w:tcPr>
            <w:tcW w:w="780" w:type="dxa"/>
            <w:vAlign w:val="bottom"/>
          </w:tcPr>
          <w:p>
            <w:pPr>
              <w:spacing w:after="0"/>
              <w:rPr>
                <w:sz w:val="14"/>
                <w:szCs w:val="14"/>
                <w:color w:val="auto"/>
              </w:rPr>
            </w:pPr>
          </w:p>
        </w:tc>
        <w:tc>
          <w:tcPr>
            <w:tcW w:w="14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Income</w:t>
            </w:r>
          </w:p>
        </w:tc>
        <w:tc>
          <w:tcPr>
            <w:tcW w:w="15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Occupancy</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 ------------</w:t>
            </w:r>
          </w:p>
        </w:tc>
        <w:tc>
          <w:tcPr>
            <w:tcW w:w="338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  -------------- ---------</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12,324,469</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11,277,086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12,317,789</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11,300,470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880"/>
              <w:spacing w:after="0"/>
              <w:rPr>
                <w:sz w:val="20"/>
                <w:szCs w:val="20"/>
                <w:color w:val="auto"/>
              </w:rPr>
            </w:pPr>
            <w:r>
              <w:rPr>
                <w:rFonts w:ascii="Courier New" w:cs="Courier New" w:eastAsia="Courier New" w:hAnsi="Courier New"/>
                <w:sz w:val="14"/>
                <w:szCs w:val="14"/>
                <w:color w:val="auto"/>
              </w:rPr>
              <w:t>277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5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668"/>
        </w:trPr>
        <w:tc>
          <w:tcPr>
            <w:tcW w:w="764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8"/>
        </w:trPr>
        <w:tc>
          <w:tcPr>
            <w:tcW w:w="36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Same Center Economic Occupancy</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66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(Quarter to Quarter Comparison)</w:t>
            </w:r>
          </w:p>
        </w:tc>
        <w:tc>
          <w:tcPr>
            <w:tcW w:w="138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March 31, 1997</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March 31, 1996</w:t>
            </w:r>
          </w:p>
        </w:tc>
        <w:tc>
          <w:tcPr>
            <w:tcW w:w="11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1000" w:type="dxa"/>
            <w:vAlign w:val="bottom"/>
          </w:tcPr>
          <w:p>
            <w:pPr>
              <w:spacing w:after="0"/>
              <w:rPr>
                <w:sz w:val="14"/>
                <w:szCs w:val="14"/>
                <w:color w:val="auto"/>
              </w:rPr>
            </w:pPr>
          </w:p>
        </w:tc>
        <w:tc>
          <w:tcPr>
            <w:tcW w:w="39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9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 -------------------- -----------</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11,425,601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10,518,375</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11,223,075</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10,413,790</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93%</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276</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282</w:t>
            </w:r>
          </w:p>
        </w:tc>
        <w:tc>
          <w:tcPr>
            <w:tcW w:w="780" w:type="dxa"/>
            <w:vAlign w:val="bottom"/>
          </w:tcPr>
          <w:p>
            <w:pPr>
              <w:spacing w:after="0"/>
              <w:rPr>
                <w:sz w:val="14"/>
                <w:szCs w:val="14"/>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97%</w:t>
            </w:r>
          </w:p>
        </w:tc>
      </w:tr>
      <w:tr>
        <w:trPr>
          <w:trHeight w:val="668"/>
        </w:trPr>
        <w:tc>
          <w:tcPr>
            <w:tcW w:w="36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Same Center Economic Occupancy</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66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At March 31, 1997</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At December 31, 1996</w:t>
            </w:r>
          </w:p>
        </w:tc>
        <w:tc>
          <w:tcPr>
            <w:tcW w:w="11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1000" w:type="dxa"/>
            <w:vAlign w:val="bottom"/>
          </w:tcPr>
          <w:p>
            <w:pPr>
              <w:spacing w:after="0"/>
              <w:rPr>
                <w:sz w:val="14"/>
                <w:szCs w:val="14"/>
                <w:color w:val="auto"/>
              </w:rPr>
            </w:pPr>
          </w:p>
        </w:tc>
        <w:tc>
          <w:tcPr>
            <w:tcW w:w="39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501"/>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66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9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 -------------------- -----------</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11,425,601</w:t>
            </w: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10,518,375</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11,247,168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10,378,343</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276</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282</w:t>
            </w:r>
          </w:p>
        </w:tc>
        <w:tc>
          <w:tcPr>
            <w:tcW w:w="780" w:type="dxa"/>
            <w:vAlign w:val="bottom"/>
          </w:tcPr>
          <w:p>
            <w:pPr>
              <w:spacing w:after="0"/>
              <w:rPr>
                <w:sz w:val="14"/>
                <w:szCs w:val="14"/>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98%</w:t>
            </w:r>
          </w:p>
        </w:tc>
      </w:tr>
      <w:tr>
        <w:trPr>
          <w:trHeight w:val="668"/>
        </w:trPr>
        <w:tc>
          <w:tcPr>
            <w:tcW w:w="764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8"/>
        </w:trPr>
        <w:tc>
          <w:tcPr>
            <w:tcW w:w="36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Same Center Economic Occupancy</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66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At September 30, 1996</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At June 30, 1996</w:t>
            </w:r>
          </w:p>
        </w:tc>
        <w:tc>
          <w:tcPr>
            <w:tcW w:w="11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000" w:type="dxa"/>
            <w:vAlign w:val="bottom"/>
          </w:tcPr>
          <w:p>
            <w:pPr>
              <w:spacing w:after="0"/>
              <w:rPr>
                <w:sz w:val="14"/>
                <w:szCs w:val="14"/>
                <w:color w:val="auto"/>
              </w:rPr>
            </w:pPr>
          </w:p>
        </w:tc>
        <w:tc>
          <w:tcPr>
            <w:tcW w:w="390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1540"/>
          </w:cols>
          <w:pgMar w:left="220" w:top="453" w:right="1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Economic</w:t>
            </w:r>
          </w:p>
        </w:tc>
        <w:tc>
          <w:tcPr>
            <w:tcW w:w="1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820" w:type="dxa"/>
            <w:vAlign w:val="bottom"/>
          </w:tcPr>
          <w:p>
            <w:pPr>
              <w:ind w:left="2100"/>
              <w:spacing w:after="0"/>
              <w:rPr>
                <w:sz w:val="20"/>
                <w:szCs w:val="20"/>
                <w:color w:val="auto"/>
              </w:rPr>
            </w:pPr>
            <w:r>
              <w:rPr>
                <w:rFonts w:ascii="Courier New" w:cs="Courier New" w:eastAsia="Courier New" w:hAnsi="Courier New"/>
                <w:sz w:val="14"/>
                <w:szCs w:val="14"/>
                <w:color w:val="auto"/>
              </w:rPr>
              <w:t>Type</w:t>
            </w:r>
          </w:p>
        </w:tc>
        <w:tc>
          <w:tcPr>
            <w:tcW w:w="144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12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11,559,958</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10,678,933</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92%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11,115,866</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10,272,070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4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277</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1540"/>
          </w:cols>
          <w:pgMar w:left="220" w:top="475"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Square</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18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Footage</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03/31/97</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3,947,689</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2,199,504</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1,965,893</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98%</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1,174,209</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987,960</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89%</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1,110,218</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Southern California</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626,195</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83%</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1,034,345</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83%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Square</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18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Footage</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03/31/97</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3,947,689</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95%</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1,961,358</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98%</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1,986,331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92%</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2,199,504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96%</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1,099,199</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98%</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1,100,305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94%</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1,965,893</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98%</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1,353,264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612,629</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95%</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1,174,209</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94%</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564,322</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609,887</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89%</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987,960</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89%</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567,984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85%</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419,976</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94%</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1,110,218</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96%</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564,207</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546,011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93%</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Southern California</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626,195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83%</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152,944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473,251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78%</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1,034,345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83%</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522,790</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86%</w:t>
            </w:r>
          </w:p>
        </w:tc>
      </w:tr>
      <w:tr>
        <w:trPr>
          <w:trHeight w:val="167"/>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511,555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79%</w:t>
            </w:r>
          </w:p>
        </w:tc>
      </w:tr>
    </w:tbl>
    <w:p>
      <w:pPr>
        <w:sectPr>
          <w:pgSz w:w="11900" w:h="16838" w:orient="portrait"/>
          <w:cols w:equalWidth="0" w:num="1">
            <w:col w:w="10239"/>
          </w:cols>
          <w:pgMar w:left="220" w:top="78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3860" w:type="dxa"/>
            <w:vAlign w:val="bottom"/>
            <w:gridSpan w:val="2"/>
          </w:tcPr>
          <w:p>
            <w:pPr>
              <w:spacing w:after="0"/>
              <w:rPr>
                <w:sz w:val="20"/>
                <w:szCs w:val="20"/>
                <w:color w:val="auto"/>
              </w:rPr>
            </w:pPr>
            <w:r>
              <w:rPr>
                <w:rFonts w:ascii="Courier New" w:cs="Courier New" w:eastAsia="Courier New" w:hAnsi="Courier New"/>
                <w:sz w:val="14"/>
                <w:szCs w:val="14"/>
                <w:color w:val="auto"/>
              </w:rPr>
              <w:t>Realty Investment Trust</w:t>
            </w:r>
          </w:p>
        </w:tc>
        <w:tc>
          <w:tcPr>
            <w:tcW w:w="1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Leasing Activity</w:t>
            </w: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March 31, 1997</w:t>
            </w: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501"/>
        </w:trPr>
        <w:tc>
          <w:tcPr>
            <w:tcW w:w="852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2520" w:type="dxa"/>
            <w:vAlign w:val="bottom"/>
          </w:tcPr>
          <w:p>
            <w:pPr>
              <w:spacing w:after="0"/>
              <w:rPr>
                <w:sz w:val="24"/>
                <w:szCs w:val="24"/>
                <w:color w:val="auto"/>
              </w:rPr>
            </w:pPr>
          </w:p>
        </w:tc>
      </w:tr>
      <w:tr>
        <w:trPr>
          <w:trHeight w:val="501"/>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Comparable</w:t>
            </w: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Weighted</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Average Prior</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Number of</w:t>
            </w:r>
          </w:p>
        </w:tc>
        <w:tc>
          <w:tcPr>
            <w:tcW w:w="1700" w:type="dxa"/>
            <w:vAlign w:val="bottom"/>
          </w:tcPr>
          <w:p>
            <w:pPr>
              <w:jc w:val="center"/>
              <w:ind w:right="828"/>
              <w:spacing w:after="0"/>
              <w:rPr>
                <w:sz w:val="20"/>
                <w:szCs w:val="20"/>
                <w:color w:val="auto"/>
              </w:rPr>
            </w:pPr>
            <w:r>
              <w:rPr>
                <w:rFonts w:ascii="Courier New" w:cs="Courier New" w:eastAsia="Courier New" w:hAnsi="Courier New"/>
                <w:sz w:val="14"/>
                <w:szCs w:val="14"/>
                <w:color w:val="auto"/>
              </w:rPr>
              <w:t>Square</w:t>
            </w:r>
          </w:p>
        </w:tc>
        <w:tc>
          <w:tcPr>
            <w:tcW w:w="22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Average Lease</w:t>
            </w:r>
          </w:p>
        </w:tc>
        <w:tc>
          <w:tcPr>
            <w:tcW w:w="2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Rent Per</w:t>
            </w:r>
          </w:p>
        </w:tc>
      </w:tr>
      <w:tr>
        <w:trPr>
          <w:trHeight w:val="167"/>
        </w:trPr>
        <w:tc>
          <w:tcPr>
            <w:tcW w:w="22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23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Leases Signed</w:t>
            </w:r>
          </w:p>
        </w:tc>
        <w:tc>
          <w:tcPr>
            <w:tcW w:w="1700" w:type="dxa"/>
            <w:vAlign w:val="bottom"/>
          </w:tcPr>
          <w:p>
            <w:pPr>
              <w:jc w:val="center"/>
              <w:ind w:right="848"/>
              <w:spacing w:after="0"/>
              <w:rPr>
                <w:sz w:val="20"/>
                <w:szCs w:val="20"/>
                <w:color w:val="auto"/>
              </w:rPr>
            </w:pPr>
            <w:r>
              <w:rPr>
                <w:rFonts w:ascii="Courier New" w:cs="Courier New" w:eastAsia="Courier New" w:hAnsi="Courier New"/>
                <w:sz w:val="14"/>
                <w:szCs w:val="14"/>
                <w:color w:val="auto"/>
              </w:rPr>
              <w:t>Feet</w:t>
            </w:r>
          </w:p>
        </w:tc>
        <w:tc>
          <w:tcPr>
            <w:tcW w:w="22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Term (Years)</w:t>
            </w:r>
          </w:p>
        </w:tc>
        <w:tc>
          <w:tcPr>
            <w:tcW w:w="25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Square Foot</w:t>
            </w: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1st</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1997</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58</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220,452</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$11.09</w:t>
            </w:r>
          </w:p>
        </w:tc>
      </w:tr>
      <w:tr>
        <w:trPr>
          <w:trHeight w:val="167"/>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4th</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1996</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85</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469,455</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$10.88</w:t>
            </w:r>
          </w:p>
        </w:tc>
      </w:tr>
      <w:tr>
        <w:trPr>
          <w:trHeight w:val="167"/>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3rd</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1996</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89</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298,546</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$14.17</w:t>
            </w:r>
          </w:p>
        </w:tc>
      </w:tr>
      <w:tr>
        <w:trPr>
          <w:trHeight w:val="167"/>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2nd</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1996</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81</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272,984</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$14.80</w:t>
            </w:r>
          </w:p>
        </w:tc>
      </w:tr>
      <w:tr>
        <w:trPr>
          <w:trHeight w:val="167"/>
        </w:trPr>
        <w:tc>
          <w:tcPr>
            <w:tcW w:w="70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313</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1,261,437</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$12.54</w:t>
            </w:r>
          </w:p>
        </w:tc>
      </w:tr>
      <w:tr>
        <w:trPr>
          <w:trHeight w:val="668"/>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Non-Comparable</w:t>
            </w: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Weighted</w:t>
            </w:r>
          </w:p>
        </w:tc>
        <w:tc>
          <w:tcPr>
            <w:tcW w:w="252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Number of</w:t>
            </w:r>
          </w:p>
        </w:tc>
        <w:tc>
          <w:tcPr>
            <w:tcW w:w="1700" w:type="dxa"/>
            <w:vAlign w:val="bottom"/>
          </w:tcPr>
          <w:p>
            <w:pPr>
              <w:jc w:val="center"/>
              <w:ind w:right="828"/>
              <w:spacing w:after="0"/>
              <w:rPr>
                <w:sz w:val="20"/>
                <w:szCs w:val="20"/>
                <w:color w:val="auto"/>
              </w:rPr>
            </w:pPr>
            <w:r>
              <w:rPr>
                <w:rFonts w:ascii="Courier New" w:cs="Courier New" w:eastAsia="Courier New" w:hAnsi="Courier New"/>
                <w:sz w:val="14"/>
                <w:szCs w:val="14"/>
                <w:color w:val="auto"/>
              </w:rPr>
              <w:t>Square</w:t>
            </w:r>
          </w:p>
        </w:tc>
        <w:tc>
          <w:tcPr>
            <w:tcW w:w="22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Lease</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Average Rent</w:t>
            </w:r>
          </w:p>
        </w:tc>
      </w:tr>
      <w:tr>
        <w:trPr>
          <w:trHeight w:val="167"/>
        </w:trPr>
        <w:tc>
          <w:tcPr>
            <w:tcW w:w="22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23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Leases Signed</w:t>
            </w:r>
          </w:p>
        </w:tc>
        <w:tc>
          <w:tcPr>
            <w:tcW w:w="1700" w:type="dxa"/>
            <w:vAlign w:val="bottom"/>
          </w:tcPr>
          <w:p>
            <w:pPr>
              <w:jc w:val="center"/>
              <w:ind w:right="848"/>
              <w:spacing w:after="0"/>
              <w:rPr>
                <w:sz w:val="20"/>
                <w:szCs w:val="20"/>
                <w:color w:val="auto"/>
              </w:rPr>
            </w:pPr>
            <w:r>
              <w:rPr>
                <w:rFonts w:ascii="Courier New" w:cs="Courier New" w:eastAsia="Courier New" w:hAnsi="Courier New"/>
                <w:sz w:val="14"/>
                <w:szCs w:val="14"/>
                <w:color w:val="auto"/>
              </w:rPr>
              <w:t>Feet</w:t>
            </w:r>
          </w:p>
        </w:tc>
        <w:tc>
          <w:tcPr>
            <w:tcW w:w="22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Term (Years)</w:t>
            </w:r>
          </w:p>
        </w:tc>
        <w:tc>
          <w:tcPr>
            <w:tcW w:w="2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Per Square Foot</w:t>
            </w: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1st</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1997</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7</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29,178</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w:t>
            </w:r>
          </w:p>
        </w:tc>
      </w:tr>
      <w:tr>
        <w:trPr>
          <w:trHeight w:val="167"/>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4th</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1996</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170,449</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w:t>
            </w:r>
          </w:p>
        </w:tc>
      </w:tr>
      <w:tr>
        <w:trPr>
          <w:trHeight w:val="167"/>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3rd</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1996</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19,918</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$13.89</w:t>
            </w:r>
          </w:p>
        </w:tc>
      </w:tr>
      <w:tr>
        <w:trPr>
          <w:trHeight w:val="167"/>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2nd</w:t>
            </w:r>
          </w:p>
        </w:tc>
        <w:tc>
          <w:tcPr>
            <w:tcW w:w="1520" w:type="dxa"/>
            <w:vAlign w:val="bottom"/>
          </w:tcPr>
          <w:p>
            <w:pPr>
              <w:spacing w:after="0"/>
              <w:rPr>
                <w:sz w:val="20"/>
                <w:szCs w:val="20"/>
                <w:color w:val="auto"/>
              </w:rPr>
            </w:pPr>
            <w:r>
              <w:rPr>
                <w:rFonts w:ascii="Courier New" w:cs="Courier New" w:eastAsia="Courier New" w:hAnsi="Courier New"/>
                <w:sz w:val="14"/>
                <w:szCs w:val="14"/>
                <w:color w:val="auto"/>
              </w:rPr>
              <w:t>Quarter 1996</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31,194</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w:t>
            </w:r>
          </w:p>
        </w:tc>
      </w:tr>
      <w:tr>
        <w:trPr>
          <w:trHeight w:val="167"/>
        </w:trPr>
        <w:tc>
          <w:tcPr>
            <w:tcW w:w="70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2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28</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250,739</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$13.16</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2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244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Average Current</w:t>
            </w:r>
          </w:p>
        </w:tc>
        <w:tc>
          <w:tcPr>
            <w:tcW w:w="2480" w:type="dxa"/>
            <w:vAlign w:val="bottom"/>
          </w:tcPr>
          <w:p>
            <w:pPr>
              <w:spacing w:after="0"/>
              <w:rPr>
                <w:sz w:val="14"/>
                <w:szCs w:val="14"/>
                <w:color w:val="auto"/>
              </w:rPr>
            </w:pPr>
          </w:p>
        </w:tc>
        <w:tc>
          <w:tcPr>
            <w:tcW w:w="22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Percentage</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Tenant</w:t>
            </w:r>
          </w:p>
        </w:tc>
      </w:tr>
      <w:tr>
        <w:trPr>
          <w:trHeight w:val="167"/>
        </w:trPr>
        <w:tc>
          <w:tcPr>
            <w:tcW w:w="2440" w:type="dxa"/>
            <w:vAlign w:val="bottom"/>
          </w:tcPr>
          <w:p>
            <w:pPr>
              <w:spacing w:after="0"/>
              <w:rPr>
                <w:sz w:val="14"/>
                <w:szCs w:val="14"/>
                <w:color w:val="auto"/>
              </w:rPr>
            </w:pPr>
          </w:p>
        </w:tc>
        <w:tc>
          <w:tcPr>
            <w:tcW w:w="23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Rent Per</w:t>
            </w:r>
          </w:p>
        </w:tc>
        <w:tc>
          <w:tcPr>
            <w:tcW w:w="24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Annualized</w:t>
            </w:r>
          </w:p>
        </w:tc>
        <w:tc>
          <w:tcPr>
            <w:tcW w:w="22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Increase</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Improvement</w:t>
            </w: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23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Square Foot</w:t>
            </w:r>
          </w:p>
        </w:tc>
        <w:tc>
          <w:tcPr>
            <w:tcW w:w="24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Increase in Rent</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over Prior Rent</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Costs</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1st Quarter 1997</w:t>
            </w:r>
          </w:p>
        </w:tc>
        <w:tc>
          <w:tcPr>
            <w:tcW w:w="2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$14.88</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$836,236</w:t>
            </w: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$3,162,000</w:t>
            </w: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4th Quarter 1996</w:t>
            </w:r>
          </w:p>
        </w:tc>
        <w:tc>
          <w:tcPr>
            <w:tcW w:w="2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$15.94</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$2,376,264</w:t>
            </w: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$6,988,000</w:t>
            </w: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3rd Quarter 1996</w:t>
            </w:r>
          </w:p>
        </w:tc>
        <w:tc>
          <w:tcPr>
            <w:tcW w:w="2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$16.05</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$562,179</w:t>
            </w: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$1,740,000</w:t>
            </w: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2nd Quarter 1996</w:t>
            </w:r>
          </w:p>
        </w:tc>
        <w:tc>
          <w:tcPr>
            <w:tcW w:w="2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$15.52</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$196,312</w:t>
            </w: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$2,042,000</w:t>
            </w:r>
          </w:p>
        </w:tc>
      </w:tr>
      <w:tr>
        <w:trPr>
          <w:trHeight w:val="167"/>
        </w:trPr>
        <w:tc>
          <w:tcPr>
            <w:tcW w:w="2440" w:type="dxa"/>
            <w:vAlign w:val="bottom"/>
          </w:tcPr>
          <w:p>
            <w:pPr>
              <w:ind w:left="880"/>
              <w:spacing w:after="0"/>
              <w:rPr>
                <w:sz w:val="20"/>
                <w:szCs w:val="20"/>
                <w:color w:val="auto"/>
              </w:rPr>
            </w:pPr>
            <w:r>
              <w:rPr>
                <w:rFonts w:ascii="Courier New" w:cs="Courier New" w:eastAsia="Courier New" w:hAnsi="Courier New"/>
                <w:sz w:val="14"/>
                <w:szCs w:val="14"/>
                <w:color w:val="auto"/>
              </w:rPr>
              <w:t>Total</w:t>
            </w:r>
          </w:p>
        </w:tc>
        <w:tc>
          <w:tcPr>
            <w:tcW w:w="2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$15.69</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$3,970,991</w:t>
            </w:r>
          </w:p>
        </w:tc>
        <w:tc>
          <w:tcPr>
            <w:tcW w:w="2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$13,932,000</w:t>
            </w:r>
          </w:p>
        </w:tc>
      </w:tr>
      <w:tr>
        <w:trPr>
          <w:trHeight w:val="501"/>
        </w:trPr>
        <w:tc>
          <w:tcPr>
            <w:tcW w:w="244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7"/>
        </w:trPr>
        <w:tc>
          <w:tcPr>
            <w:tcW w:w="2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80" w:type="dxa"/>
            <w:vAlign w:val="bottom"/>
          </w:tcPr>
          <w:p>
            <w:pPr>
              <w:jc w:val="center"/>
              <w:ind w:right="468"/>
              <w:spacing w:after="0"/>
              <w:rPr>
                <w:sz w:val="20"/>
                <w:szCs w:val="20"/>
                <w:color w:val="auto"/>
              </w:rPr>
            </w:pPr>
            <w:r>
              <w:rPr>
                <w:rFonts w:ascii="Courier New" w:cs="Courier New" w:eastAsia="Courier New" w:hAnsi="Courier New"/>
                <w:sz w:val="14"/>
                <w:szCs w:val="14"/>
                <w:color w:val="auto"/>
              </w:rPr>
              <w:t>Estimated</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23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Annualized</w:t>
            </w:r>
          </w:p>
        </w:tc>
        <w:tc>
          <w:tcPr>
            <w:tcW w:w="24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Tenant</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23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Current</w:t>
            </w:r>
          </w:p>
        </w:tc>
        <w:tc>
          <w:tcPr>
            <w:tcW w:w="24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Improvement</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23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Rent</w:t>
            </w:r>
          </w:p>
        </w:tc>
        <w:tc>
          <w:tcPr>
            <w:tcW w:w="24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Costs</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34"/>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1st Quarter 1997</w:t>
            </w:r>
          </w:p>
        </w:tc>
        <w:tc>
          <w:tcPr>
            <w:tcW w:w="2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$579,585</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$70,000</w:t>
            </w:r>
          </w:p>
        </w:tc>
        <w:tc>
          <w:tcPr>
            <w:tcW w:w="2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4th Quarter 1996</w:t>
            </w:r>
          </w:p>
        </w:tc>
        <w:tc>
          <w:tcPr>
            <w:tcW w:w="2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$2,189,679</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$995,000</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3rd Quarter 1996</w:t>
            </w:r>
          </w:p>
        </w:tc>
        <w:tc>
          <w:tcPr>
            <w:tcW w:w="2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$276,607</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$380,000</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ind w:left="360"/>
              <w:spacing w:after="0"/>
              <w:rPr>
                <w:sz w:val="20"/>
                <w:szCs w:val="20"/>
                <w:color w:val="auto"/>
              </w:rPr>
            </w:pPr>
            <w:r>
              <w:rPr>
                <w:rFonts w:ascii="Courier New" w:cs="Courier New" w:eastAsia="Courier New" w:hAnsi="Courier New"/>
                <w:sz w:val="14"/>
                <w:szCs w:val="14"/>
                <w:color w:val="auto"/>
              </w:rPr>
              <w:t>2nd Quarter 1996</w:t>
            </w:r>
          </w:p>
        </w:tc>
        <w:tc>
          <w:tcPr>
            <w:tcW w:w="2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$252,789</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$390,000</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7"/>
        </w:trPr>
        <w:tc>
          <w:tcPr>
            <w:tcW w:w="2440" w:type="dxa"/>
            <w:vAlign w:val="bottom"/>
          </w:tcPr>
          <w:p>
            <w:pPr>
              <w:ind w:left="880"/>
              <w:spacing w:after="0"/>
              <w:rPr>
                <w:sz w:val="20"/>
                <w:szCs w:val="20"/>
                <w:color w:val="auto"/>
              </w:rPr>
            </w:pPr>
            <w:r>
              <w:rPr>
                <w:rFonts w:ascii="Courier New" w:cs="Courier New" w:eastAsia="Courier New" w:hAnsi="Courier New"/>
                <w:sz w:val="14"/>
                <w:szCs w:val="14"/>
                <w:color w:val="auto"/>
              </w:rPr>
              <w:t>Total</w:t>
            </w:r>
          </w:p>
        </w:tc>
        <w:tc>
          <w:tcPr>
            <w:tcW w:w="2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$3,298,660</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$1,835,000</w:t>
            </w: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ectPr>
          <w:pgSz w:w="11900" w:h="16838" w:orient="portrait"/>
          <w:cols w:equalWidth="0" w:num="1">
            <w:col w:w="11460"/>
          </w:cols>
          <w:pgMar w:left="220" w:top="453" w:right="219" w:bottom="1440" w:gutter="0" w:footer="0" w:header="0"/>
        </w:sectPr>
      </w:pPr>
    </w:p>
    <w:bookmarkStart w:id="10" w:name="page11"/>
    <w:bookmarkEnd w:id="10"/>
    <w:p>
      <w:pPr>
        <w:ind w:left="4440"/>
        <w:spacing w:after="0"/>
        <w:rPr>
          <w:sz w:val="20"/>
          <w:szCs w:val="20"/>
          <w:color w:val="auto"/>
        </w:rPr>
      </w:pPr>
      <w:r>
        <w:rPr>
          <w:rFonts w:ascii="Courier New" w:cs="Courier New" w:eastAsia="Courier New" w:hAnsi="Courier New"/>
          <w:sz w:val="14"/>
          <w:szCs w:val="14"/>
          <w:color w:val="auto"/>
        </w:rPr>
        <w:t>Mary Jane Morrow</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Finance &amp; Treasurer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(301) 998-8321</w:t>
      </w:r>
    </w:p>
    <w:p>
      <w:pPr>
        <w:spacing w:after="0" w:line="200" w:lineRule="exact"/>
        <w:rPr>
          <w:sz w:val="20"/>
          <w:szCs w:val="20"/>
          <w:color w:val="auto"/>
        </w:rPr>
      </w:pPr>
    </w:p>
    <w:p>
      <w:pPr>
        <w:spacing w:after="0" w:line="30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FIRST QUARTER 1997 OPERATING RESULTS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7, 1997</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first quarter of 1997 increased 27% to $19.0 million from $15.0 million in the first quarter of 1996. On a per share basis, funds from operations rose 9% to $.50 in the first quarter of 1997 from $.46 in the comparable quarter of 1996.</w:t>
      </w:r>
    </w:p>
    <w:p>
      <w:pPr>
        <w:spacing w:after="0" w:line="162"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A comparison of property operations for the first quarter of 1997 versus the first quarter of 1996 shows the following:</w:t>
      </w:r>
    </w:p>
    <w:p>
      <w:pPr>
        <w:spacing w:after="0" w:line="160" w:lineRule="exact"/>
        <w:rPr>
          <w:sz w:val="20"/>
          <w:szCs w:val="20"/>
          <w:color w:val="auto"/>
        </w:rPr>
      </w:pPr>
    </w:p>
    <w:p>
      <w:pPr>
        <w:ind w:left="440" w:right="3379" w:hanging="344"/>
        <w:spacing w:after="0" w:line="254" w:lineRule="auto"/>
        <w:tabs>
          <w:tab w:leader="none" w:pos="52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8% to $43.9 million in 1997 from $40.7 million in 1996. When adjusted to exclude properties acquired and sold during 1996 and 1997, rental income increased 1% to $40.8 million in 1997 from $40.4 million in 1996.</w:t>
      </w:r>
    </w:p>
    <w:p>
      <w:pPr>
        <w:spacing w:after="0" w:line="163" w:lineRule="exact"/>
        <w:rPr>
          <w:sz w:val="20"/>
          <w:szCs w:val="20"/>
          <w:color w:val="auto"/>
        </w:rPr>
      </w:pPr>
    </w:p>
    <w:p>
      <w:pPr>
        <w:ind w:left="440" w:right="3459" w:hanging="344"/>
        <w:spacing w:after="0" w:line="254" w:lineRule="auto"/>
        <w:tabs>
          <w:tab w:leader="none" w:pos="527"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1997, the Trust signed leases for a total 250,000 square feet. On a same space basis, the Trust re-leased 220,000 square feet at an average increase in rent per square foot of 34%. The weighted average rent on these leases was $14.88 per square foot compared to the previous average rent of $11.09 per square foot.</w:t>
      </w:r>
    </w:p>
    <w:p>
      <w:pPr>
        <w:spacing w:after="0" w:line="162" w:lineRule="exact"/>
        <w:rPr>
          <w:sz w:val="20"/>
          <w:szCs w:val="20"/>
          <w:color w:val="auto"/>
        </w:rPr>
      </w:pPr>
    </w:p>
    <w:p>
      <w:pPr>
        <w:jc w:val="both"/>
        <w:ind w:left="440" w:right="3459" w:hanging="344"/>
        <w:spacing w:after="0" w:line="252" w:lineRule="auto"/>
        <w:tabs>
          <w:tab w:leader="none" w:pos="52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94% at March 31, 1997 compared to 95% a year ago. At March 31, 1997, the Trust's overall portfolio was 94% leased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compared to 95% a year ago.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20" w:right="1440" w:bottom="1440" w:gutter="0" w:footer="0" w:header="0"/>
        </w:sectPr>
      </w:pPr>
    </w:p>
    <w:bookmarkStart w:id="11" w:name="page12"/>
    <w:bookmarkEnd w:id="11"/>
    <w:p>
      <w:pPr>
        <w:ind w:right="3279" w:firstLine="434"/>
        <w:spacing w:after="0" w:line="254" w:lineRule="auto"/>
        <w:rPr>
          <w:sz w:val="20"/>
          <w:szCs w:val="20"/>
          <w:color w:val="auto"/>
        </w:rPr>
      </w:pPr>
      <w:r>
        <w:rPr>
          <w:rFonts w:ascii="Courier New" w:cs="Courier New" w:eastAsia="Courier New" w:hAnsi="Courier New"/>
          <w:sz w:val="14"/>
          <w:szCs w:val="14"/>
          <w:color w:val="auto"/>
        </w:rPr>
        <w:t>Commenting on the quarter, Steven J. Guttman, President and Chief Executive Officer stated, "We are pleased that 1997 is off to a good start. Our core portfolio continues to perform well and we closed on a record $83 million of acquisitions during the first quarter."</w:t>
      </w:r>
    </w:p>
    <w:p>
      <w:pPr>
        <w:spacing w:after="0" w:line="33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Year to date, the Trust has acquired six retail properties containing 564,000 square feet for a total cost of approximately $90 million. The acquisitions include the purchase of two shopping centers; Pike 7 Plaza, located in Tysons Corner, Virginia and Town &amp; Country Village, located in San Jose, California; and four main street retail buildings; two buildings on Third Street Promenade in Santa Monica, California; one building in San Diego's Gaslamp Quarter, and one building in Chicago, Illinois.</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addition, in April the Trust acquired Terranomics Retail Services, Inc., a San Francisco based retail brokerage/property management firm for $2.0 million. Founded in 1970, Terranomics is the leading West Coast retail real estate services firm. Terranomics Retail Services currently represent more than 18 million square feet of retail space across the country, in a leasing or management capacity. The company represents more than 40 retailers, including Polo/Ralph Lauren, Barnes &amp; Noble, Office Depot, Hollywood Video and Sears Home Life. Terranomics will provide property management and leasing services for the Trust's West Coast properties.</w:t>
      </w:r>
    </w:p>
    <w:p>
      <w:pPr>
        <w:spacing w:after="0" w:line="164"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92 retail properties, consisting of neighborhood and community shopping centers and main street retail buildings, located in strategic metropolitan markets across the United States. These markets include Boston, New York/New Jersey, Philadelphia, metropolitan Washington D.C., Chicago and California.</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29 consecutive years. Shares of the Trust are traded on the New York Stock Exchange under the symbol: FRT.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12" w:name="page13"/>
    <w:bookmarkEnd w:id="12"/>
    <w:p>
      <w:pPr>
        <w:ind w:left="2520"/>
        <w:spacing w:after="0"/>
        <w:rPr>
          <w:sz w:val="20"/>
          <w:szCs w:val="20"/>
          <w:color w:val="auto"/>
        </w:rPr>
      </w:pPr>
      <w:r>
        <w:rPr>
          <w:rFonts w:ascii="Courier New" w:cs="Courier New" w:eastAsia="Courier New" w:hAnsi="Courier New"/>
          <w:sz w:val="14"/>
          <w:szCs w:val="14"/>
          <w:color w:val="auto"/>
        </w:rPr>
        <w:t>Financial Highlights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(in thousands, except per share data)</w:t>
            </w:r>
          </w:p>
        </w:tc>
        <w:tc>
          <w:tcPr>
            <w:tcW w:w="740" w:type="dxa"/>
            <w:vAlign w:val="bottom"/>
          </w:tcPr>
          <w:p>
            <w:pPr>
              <w:spacing w:after="0"/>
              <w:rPr>
                <w:sz w:val="14"/>
                <w:szCs w:val="14"/>
                <w:color w:val="auto"/>
              </w:rPr>
            </w:pPr>
          </w:p>
        </w:tc>
      </w:tr>
      <w:tr>
        <w:trPr>
          <w:trHeight w:val="501"/>
        </w:trPr>
        <w:tc>
          <w:tcPr>
            <w:tcW w:w="4340" w:type="dxa"/>
            <w:vAlign w:val="bottom"/>
          </w:tcPr>
          <w:p>
            <w:pPr>
              <w:spacing w:after="0"/>
              <w:rPr>
                <w:sz w:val="24"/>
                <w:szCs w:val="24"/>
                <w:color w:val="auto"/>
              </w:rPr>
            </w:pPr>
          </w:p>
        </w:tc>
        <w:tc>
          <w:tcPr>
            <w:tcW w:w="2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4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c>
          <w:tcPr>
            <w:tcW w:w="74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17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ind w:left="100"/>
              <w:spacing w:after="0"/>
              <w:rPr>
                <w:sz w:val="20"/>
                <w:szCs w:val="20"/>
                <w:color w:val="auto"/>
              </w:rPr>
            </w:pPr>
            <w:r>
              <w:rPr>
                <w:rFonts w:ascii="Courier New" w:cs="Courier New" w:eastAsia="Courier New" w:hAnsi="Courier New"/>
                <w:sz w:val="14"/>
                <w:szCs w:val="14"/>
                <w:color w:val="auto"/>
              </w:rPr>
              <w:t>Revenues</w:t>
            </w: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$43,920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$40,747</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3,227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48,647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43,772</w:t>
            </w:r>
          </w:p>
        </w:tc>
      </w:tr>
      <w:tr>
        <w:trPr>
          <w:trHeight w:val="167"/>
        </w:trPr>
        <w:tc>
          <w:tcPr>
            <w:tcW w:w="434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10,216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11,793</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4,574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3,924</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11,989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11,149</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2,101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1,686</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10,124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9,332</w:t>
            </w: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amortization</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39,004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37,884</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4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9,643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5,888</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$9,311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$6,026</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$0.24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$0.19</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$9,311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$6,026</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Add: depreciation and amortization</w:t>
            </w:r>
          </w:p>
        </w:tc>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40" w:type="dxa"/>
            <w:vAlign w:val="bottom"/>
          </w:tcPr>
          <w:p>
            <w:pPr>
              <w:ind w:left="620"/>
              <w:spacing w:after="0"/>
              <w:rPr>
                <w:sz w:val="20"/>
                <w:szCs w:val="20"/>
                <w:color w:val="auto"/>
              </w:rPr>
            </w:pPr>
            <w:r>
              <w:rPr>
                <w:rFonts w:ascii="Courier New" w:cs="Courier New" w:eastAsia="Courier New" w:hAnsi="Courier New"/>
                <w:sz w:val="14"/>
                <w:szCs w:val="14"/>
                <w:color w:val="auto"/>
              </w:rPr>
              <w:t>of real estate assets</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9,064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8,342</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340" w:type="dxa"/>
            <w:vAlign w:val="bottom"/>
          </w:tcPr>
          <w:p>
            <w:pPr>
              <w:ind w:left="620"/>
              <w:spacing w:after="0"/>
              <w:rPr>
                <w:sz w:val="20"/>
                <w:szCs w:val="20"/>
                <w:color w:val="auto"/>
              </w:rPr>
            </w:pPr>
            <w:r>
              <w:rPr>
                <w:rFonts w:ascii="Courier New" w:cs="Courier New" w:eastAsia="Courier New" w:hAnsi="Courier New"/>
                <w:sz w:val="14"/>
                <w:szCs w:val="14"/>
                <w:color w:val="auto"/>
              </w:rPr>
              <w:t>costs of leases</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584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$18,959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$14,961</w:t>
            </w:r>
          </w:p>
        </w:tc>
      </w:tr>
      <w:tr>
        <w:trPr>
          <w:trHeight w:val="167"/>
        </w:trPr>
        <w:tc>
          <w:tcPr>
            <w:tcW w:w="43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$0.50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$0.46</w:t>
            </w: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per share</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38,033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March 31,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$1,251,867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$1,147,865</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(232,487)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(223,553)</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1,019,380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924,312</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27,913</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11,762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11,041</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16,132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17,294</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30,409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54,746</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$1,115,089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$1,035,306</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 &amp;</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mortgages payable</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$224,781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$229,189</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70,832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66,106</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215,000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60,649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60,837</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468,538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388,885</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$1,115,089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$1,035,306</w:t>
            </w:r>
          </w:p>
        </w:tc>
      </w:tr>
      <w:tr>
        <w:trPr>
          <w:trHeight w:val="167"/>
        </w:trPr>
        <w:tc>
          <w:tcPr>
            <w:tcW w:w="4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121" w:right="1440" w:bottom="1440" w:gutter="0" w:footer="0" w:header="0"/>
        </w:sectPr>
      </w:pPr>
    </w:p>
    <w:bookmarkStart w:id="13" w:name="page14"/>
    <w:bookmarkEnd w:id="13"/>
    <w:p>
      <w:pPr>
        <w:ind w:left="270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9"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2019-12-12T06:15:30Z</dcterms:created>
  <dcterms:modified xsi:type="dcterms:W3CDTF">2019-12-12T06:15:30Z</dcterms:modified>
</cp:coreProperties>
</file>