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46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 ENDED SEPTEMBER 30, 2005</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58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80" w:type="dxa"/>
            <w:vAlign w:val="bottom"/>
          </w:tcPr>
          <w:p>
            <w:pPr>
              <w:jc w:val="center"/>
              <w:ind w:right="1724"/>
              <w:spacing w:after="0"/>
              <w:rPr>
                <w:sz w:val="20"/>
                <w:szCs w:val="20"/>
                <w:color w:val="auto"/>
              </w:rPr>
            </w:pPr>
            <w:r>
              <w:rPr>
                <w:rFonts w:ascii="Arial" w:cs="Arial" w:eastAsia="Arial" w:hAnsi="Arial"/>
                <w:sz w:val="18"/>
                <w:szCs w:val="18"/>
                <w:b w:val="1"/>
                <w:bCs w:val="1"/>
                <w:color w:val="auto"/>
                <w:w w:val="93"/>
              </w:rPr>
              <w:t>Maryland</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5380" w:type="dxa"/>
            <w:vAlign w:val="bottom"/>
          </w:tcPr>
          <w:p>
            <w:pPr>
              <w:jc w:val="center"/>
              <w:ind w:right="17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86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5380" w:type="dxa"/>
            <w:vAlign w:val="bottom"/>
          </w:tcPr>
          <w:p>
            <w:pPr>
              <w:jc w:val="center"/>
              <w:ind w:right="1724"/>
              <w:spacing w:after="0"/>
              <w:rPr>
                <w:sz w:val="20"/>
                <w:szCs w:val="20"/>
                <w:color w:val="auto"/>
              </w:rPr>
            </w:pPr>
            <w:r>
              <w:rPr>
                <w:rFonts w:ascii="Arial" w:cs="Arial" w:eastAsia="Arial" w:hAnsi="Arial"/>
                <w:sz w:val="14"/>
                <w:szCs w:val="14"/>
                <w:b w:val="1"/>
                <w:bCs w:val="1"/>
                <w:color w:val="auto"/>
                <w:w w:val="89"/>
              </w:rPr>
              <w:t>incorporation or organization)</w:t>
            </w:r>
          </w:p>
        </w:tc>
        <w:tc>
          <w:tcPr>
            <w:tcW w:w="2860" w:type="dxa"/>
            <w:vAlign w:val="bottom"/>
          </w:tcPr>
          <w:p>
            <w:pPr>
              <w:jc w:val="center"/>
              <w:ind w:left="174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5380" w:type="dxa"/>
            <w:vAlign w:val="bottom"/>
          </w:tcPr>
          <w:p>
            <w:pPr>
              <w:jc w:val="center"/>
              <w:ind w:right="1724"/>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5380" w:type="dxa"/>
            <w:vAlign w:val="bottom"/>
          </w:tcPr>
          <w:p>
            <w:pPr>
              <w:jc w:val="center"/>
              <w:ind w:right="17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60" w:type="dxa"/>
            <w:vAlign w:val="bottom"/>
          </w:tcPr>
          <w:p>
            <w:pPr>
              <w:jc w:val="center"/>
              <w:ind w:left="174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1"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640" w:type="dxa"/>
            <w:vAlign w:val="bottom"/>
            <w:gridSpan w:val="4"/>
          </w:tcPr>
          <w:p>
            <w:pPr>
              <w:ind w:left="460"/>
              <w:spacing w:after="0"/>
              <w:rPr>
                <w:sz w:val="20"/>
                <w:szCs w:val="20"/>
                <w:color w:val="auto"/>
              </w:rPr>
            </w:pPr>
            <w:r>
              <w:rPr>
                <w:rFonts w:ascii="Arial" w:cs="Arial" w:eastAsia="Arial" w:hAnsi="Arial"/>
                <w:sz w:val="18"/>
                <w:szCs w:val="18"/>
                <w:color w:val="auto"/>
                <w:w w:val="88"/>
              </w:rPr>
              <w:t>Indicate by check mark whether the registrant is an accelerated filer (as defined in Rule 12b-2 of the Exchange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1480" w:type="dxa"/>
            <w:vAlign w:val="bottom"/>
          </w:tcPr>
          <w:p>
            <w:pPr>
              <w:spacing w:after="0"/>
              <w:rPr>
                <w:sz w:val="23"/>
                <w:szCs w:val="23"/>
                <w:color w:val="auto"/>
              </w:rPr>
            </w:pPr>
          </w:p>
        </w:tc>
      </w:tr>
      <w:tr>
        <w:trPr>
          <w:trHeight w:val="365"/>
        </w:trPr>
        <w:tc>
          <w:tcPr>
            <w:tcW w:w="8640" w:type="dxa"/>
            <w:vAlign w:val="bottom"/>
            <w:gridSpan w:val="4"/>
          </w:tcPr>
          <w:p>
            <w:pPr>
              <w:ind w:left="460"/>
              <w:spacing w:after="0"/>
              <w:rPr>
                <w:sz w:val="20"/>
                <w:szCs w:val="20"/>
                <w:color w:val="auto"/>
              </w:rPr>
            </w:pPr>
            <w:r>
              <w:rPr>
                <w:rFonts w:ascii="Arial" w:cs="Arial" w:eastAsia="Arial" w:hAnsi="Arial"/>
                <w:sz w:val="18"/>
                <w:szCs w:val="18"/>
                <w:color w:val="auto"/>
                <w:w w:val="90"/>
              </w:rPr>
              <w:t>Indicate by check mark whether that registrant is a shell company (as defined in Rule 12b-2 of the Exchange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1480" w:type="dxa"/>
            <w:vAlign w:val="bottom"/>
          </w:tcPr>
          <w:p>
            <w:pPr>
              <w:spacing w:after="0"/>
              <w:rPr>
                <w:sz w:val="24"/>
                <w:szCs w:val="24"/>
                <w:color w:val="auto"/>
              </w:rPr>
            </w:pPr>
          </w:p>
        </w:tc>
      </w:tr>
      <w:tr>
        <w:trPr>
          <w:trHeight w:val="345"/>
        </w:trPr>
        <w:tc>
          <w:tcPr>
            <w:tcW w:w="9320" w:type="dxa"/>
            <w:vAlign w:val="bottom"/>
            <w:gridSpan w:val="5"/>
          </w:tcPr>
          <w:p>
            <w:pPr>
              <w:ind w:left="46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2"/>
        </w:trPr>
        <w:tc>
          <w:tcPr>
            <w:tcW w:w="2620" w:type="dxa"/>
            <w:vAlign w:val="bottom"/>
          </w:tcPr>
          <w:p>
            <w:pPr>
              <w:spacing w:after="0"/>
              <w:rPr>
                <w:sz w:val="24"/>
                <w:szCs w:val="24"/>
                <w:color w:val="auto"/>
              </w:rPr>
            </w:pPr>
          </w:p>
        </w:tc>
        <w:tc>
          <w:tcPr>
            <w:tcW w:w="4920" w:type="dxa"/>
            <w:vAlign w:val="bottom"/>
            <w:gridSpan w:val="2"/>
          </w:tcPr>
          <w:p>
            <w:pPr>
              <w:jc w:val="center"/>
              <w:ind w:right="4540"/>
              <w:spacing w:after="0"/>
              <w:rPr>
                <w:sz w:val="20"/>
                <w:szCs w:val="20"/>
                <w:color w:val="auto"/>
              </w:rPr>
            </w:pPr>
            <w:r>
              <w:rPr>
                <w:rFonts w:ascii="Arial" w:cs="Arial" w:eastAsia="Arial" w:hAnsi="Arial"/>
                <w:sz w:val="14"/>
                <w:szCs w:val="14"/>
                <w:b w:val="1"/>
                <w:bCs w:val="1"/>
                <w:color w:val="auto"/>
                <w:w w:val="80"/>
              </w:rPr>
              <w:t>Class</w:t>
            </w: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Outstanding at October 27, 2005</w:t>
            </w:r>
          </w:p>
        </w:tc>
        <w:tc>
          <w:tcPr>
            <w:tcW w:w="1480" w:type="dxa"/>
            <w:vAlign w:val="bottom"/>
          </w:tcPr>
          <w:p>
            <w:pPr>
              <w:spacing w:after="0"/>
              <w:rPr>
                <w:sz w:val="24"/>
                <w:szCs w:val="24"/>
                <w:color w:val="auto"/>
              </w:rPr>
            </w:pPr>
          </w:p>
        </w:tc>
      </w:tr>
      <w:tr>
        <w:trPr>
          <w:trHeight w:val="95"/>
        </w:trPr>
        <w:tc>
          <w:tcPr>
            <w:tcW w:w="2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78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r>
      <w:tr>
        <w:trPr>
          <w:trHeight w:val="316"/>
        </w:trPr>
        <w:tc>
          <w:tcPr>
            <w:tcW w:w="754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Common Shares of Beneficial Interest</w:t>
            </w:r>
          </w:p>
        </w:tc>
        <w:tc>
          <w:tcPr>
            <w:tcW w:w="1780" w:type="dxa"/>
            <w:vAlign w:val="bottom"/>
            <w:gridSpan w:val="2"/>
          </w:tcPr>
          <w:p>
            <w:pPr>
              <w:jc w:val="right"/>
              <w:ind w:right="92"/>
              <w:spacing w:after="0"/>
              <w:rPr>
                <w:sz w:val="20"/>
                <w:szCs w:val="20"/>
                <w:color w:val="auto"/>
              </w:rPr>
            </w:pPr>
            <w:r>
              <w:rPr>
                <w:rFonts w:ascii="Arial" w:cs="Arial" w:eastAsia="Arial" w:hAnsi="Arial"/>
                <w:sz w:val="18"/>
                <w:szCs w:val="18"/>
                <w:color w:val="auto"/>
              </w:rPr>
              <w:t>52,743,106</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1"/>
        </w:trPr>
        <w:tc>
          <w:tcPr>
            <w:tcW w:w="2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6840220</wp:posOffset>
            </wp:positionH>
            <wp:positionV relativeFrom="paragraph">
              <wp:posOffset>68580</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PART I.</w:t>
      </w:r>
      <w:r>
        <w:rPr>
          <w:sz w:val="20"/>
          <w:szCs w:val="20"/>
          <w:color w:val="auto"/>
        </w:rPr>
        <w:tab/>
      </w:r>
      <w:hyperlink w:anchor="page3">
        <w:r>
          <w:rPr>
            <w:rFonts w:ascii="Arial" w:cs="Arial" w:eastAsia="Arial" w:hAnsi="Arial"/>
            <w:sz w:val="16"/>
            <w:szCs w:val="16"/>
            <w:u w:val="single" w:color="auto"/>
            <w:color w:val="0000EE"/>
          </w:rPr>
          <w:t>FINANCIAL INFORMATION</w:t>
        </w:r>
      </w:hyperlink>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7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September 30, 2005 (unaudited) and December 31, 2004 (audited)</w:t>
              </w:r>
            </w:hyperlink>
          </w:p>
        </w:tc>
        <w:tc>
          <w:tcPr>
            <w:tcW w:w="2400" w:type="dxa"/>
            <w:vAlign w:val="bottom"/>
            <w:gridSpan w:val="5"/>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4</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 (unaudited) nine months ended September 30, 2005 and 2004</w:t>
              </w:r>
            </w:hyperlink>
          </w:p>
        </w:tc>
        <w:tc>
          <w:tcPr>
            <w:tcW w:w="2020" w:type="dxa"/>
            <w:vAlign w:val="bottom"/>
            <w:gridSpan w:val="4"/>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5</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Operations (unaudited) three months ended September 30, 2005 and 2004</w:t>
              </w:r>
            </w:hyperlink>
          </w:p>
        </w:tc>
        <w:tc>
          <w:tcPr>
            <w:tcW w:w="1980" w:type="dxa"/>
            <w:vAlign w:val="bottom"/>
            <w:gridSpan w:val="3"/>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6</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Common Shareholders’ Equity (unaudited) nine months ended September 30, 2005 and 2004</w:t>
              </w:r>
            </w:hyperlink>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7</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2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nine months ended September 30, 2005 and 2004</w:t>
              </w:r>
            </w:hyperlink>
          </w:p>
        </w:tc>
        <w:tc>
          <w:tcPr>
            <w:tcW w:w="620" w:type="dxa"/>
            <w:vAlign w:val="bottom"/>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8</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1980" w:type="dxa"/>
            <w:vAlign w:val="bottom"/>
            <w:gridSpan w:val="3"/>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8"/>
              </w:rPr>
              <w:t>9-18</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6"/>
              </w:rPr>
              <w:t>19-39</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1960" w:type="dxa"/>
            <w:vAlign w:val="bottom"/>
            <w:gridSpan w:val="2"/>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6"/>
              </w:rPr>
              <w:t>40-41</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4"/>
          </w:tcPr>
          <w:p>
            <w:pPr>
              <w:spacing w:after="0"/>
              <w:rPr>
                <w:sz w:val="24"/>
                <w:szCs w:val="24"/>
                <w:color w:val="auto"/>
              </w:rPr>
            </w:pPr>
          </w:p>
        </w:tc>
        <w:tc>
          <w:tcPr>
            <w:tcW w:w="4060" w:type="dxa"/>
            <w:vAlign w:val="bottom"/>
            <w:gridSpan w:val="7"/>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6"/>
              </w:rPr>
              <w:t>42-43</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OTHER INFORMATION</w:t>
              </w:r>
            </w:hyperlink>
          </w:p>
        </w:tc>
        <w:tc>
          <w:tcPr>
            <w:tcW w:w="7300" w:type="dxa"/>
            <w:vAlign w:val="bottom"/>
            <w:gridSpan w:val="14"/>
          </w:tcPr>
          <w:p>
            <w:pPr>
              <w:spacing w:after="0"/>
              <w:rPr>
                <w:sz w:val="24"/>
                <w:szCs w:val="24"/>
                <w:color w:val="auto"/>
              </w:rPr>
            </w:pPr>
          </w:p>
        </w:tc>
        <w:tc>
          <w:tcPr>
            <w:tcW w:w="104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040" w:type="dxa"/>
            <w:vAlign w:val="bottom"/>
          </w:tcPr>
          <w:p>
            <w:pPr>
              <w:jc w:val="center"/>
              <w:ind w:left="532"/>
              <w:spacing w:after="0"/>
              <w:rPr>
                <w:sz w:val="20"/>
                <w:szCs w:val="20"/>
                <w:color w:val="auto"/>
              </w:rPr>
            </w:pPr>
            <w:r>
              <w:rPr>
                <w:rFonts w:ascii="Arial" w:cs="Arial" w:eastAsia="Arial" w:hAnsi="Arial"/>
                <w:sz w:val="18"/>
                <w:szCs w:val="18"/>
                <w:color w:val="auto"/>
                <w:w w:val="89"/>
              </w:rPr>
              <w:t>44</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26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44</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4020" w:type="dxa"/>
            <w:vAlign w:val="bottom"/>
            <w:gridSpan w:val="6"/>
          </w:tcPr>
          <w:p>
            <w:pPr>
              <w:spacing w:after="0"/>
              <w:rPr>
                <w:sz w:val="17"/>
                <w:szCs w:val="17"/>
                <w:color w:val="auto"/>
              </w:rPr>
            </w:pPr>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44</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26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Submission of Matters to a Vote of Security Holders</w:t>
              </w:r>
            </w:hyperlink>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44</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3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4580" w:type="dxa"/>
            <w:vAlign w:val="bottom"/>
            <w:gridSpan w:val="8"/>
          </w:tcPr>
          <w:p>
            <w:pPr>
              <w:spacing w:after="0"/>
              <w:rPr>
                <w:sz w:val="17"/>
                <w:szCs w:val="17"/>
                <w:color w:val="auto"/>
              </w:rPr>
            </w:pPr>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44</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6960" w:type="dxa"/>
            <w:vAlign w:val="bottom"/>
            <w:gridSpan w:val="13"/>
          </w:tcPr>
          <w:p>
            <w:pPr>
              <w:spacing w:after="0"/>
              <w:rPr>
                <w:sz w:val="17"/>
                <w:szCs w:val="17"/>
                <w:color w:val="auto"/>
              </w:rPr>
            </w:pPr>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45</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SIGNATURES</w:t>
              </w:r>
            </w:hyperlink>
          </w:p>
        </w:tc>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center"/>
              <w:ind w:left="532"/>
              <w:spacing w:after="0"/>
              <w:rPr>
                <w:sz w:val="20"/>
                <w:szCs w:val="20"/>
                <w:color w:val="auto"/>
              </w:rPr>
            </w:pPr>
            <w:r>
              <w:rPr>
                <w:rFonts w:ascii="Arial" w:cs="Arial" w:eastAsia="Arial" w:hAnsi="Arial"/>
                <w:sz w:val="18"/>
                <w:szCs w:val="18"/>
                <w:color w:val="auto"/>
                <w:w w:val="89"/>
              </w:rPr>
              <w:t>48</w:t>
            </w: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nine and three months ended September 30, 2005 are not necessarily indicative of the results that may be expected for the full year. These financial statements should be read in conjunction with our audited consolidated financial statements and footnotes thereto included in our Annual Report on Form 10-K for the fiscal year ended December 31, 2004.</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September 30,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Real estate, at cost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2,620,941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2,480,626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135,052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2,768,789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2,666,276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(644,988)</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(595,338)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2,123,801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2,070,938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16,573</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37,173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76,924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 of $7,088, and $5,549, respectively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2,303,072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Obligations under capital leases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158,160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568,546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31,178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Security deposits payable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37,991</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1,505,877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1,457,408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19,282</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8.5% Series B Cumulative Redeemable Preferred Shares, (stated at liquidation preference $25 per share),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5,400,000 shares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2"/>
              </w:rPr>
              <w:t>Common shares of beneficial interest, $.01 par, 100,000,000 shares authorized, 54,212,112 and 53,616,827 issued,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1,109,819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(430,150)</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(416,026)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815,211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1,480,359 and 1,480,201 common shares in treasury—at cost, respectively</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(28,794)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Deferred compensation on restricted shares</w:t>
            </w: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(9,753)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under employee stock plans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3,041</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777,913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2,303,072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vMerge w:val="restart"/>
          </w:tcPr>
          <w:p>
            <w:pPr>
              <w:ind w:left="2960"/>
              <w:spacing w:after="0"/>
              <w:rPr>
                <w:sz w:val="20"/>
                <w:szCs w:val="20"/>
                <w:color w:val="auto"/>
              </w:rPr>
            </w:pPr>
            <w:r>
              <w:rPr>
                <w:rFonts w:ascii="Arial" w:cs="Arial" w:eastAsia="Arial" w:hAnsi="Arial"/>
                <w:sz w:val="18"/>
                <w:szCs w:val="18"/>
                <w:color w:val="auto"/>
                <w:w w:val="95"/>
              </w:rPr>
              <w:t>The accompanying notes are an integral part of these consolidated statements.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-5120005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-5120005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-5120005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-5120005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-5120005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-5120005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60325</wp:posOffset>
            </wp:positionV>
            <wp:extent cx="11150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(In thousands, except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294,501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175,149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0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(65,554)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before gain on sale of real estate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0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80" w:type="dxa"/>
            <w:vAlign w:val="bottom"/>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-2915920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-2915920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-2915920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-2915920</wp:posOffset>
            </wp:positionV>
            <wp:extent cx="4584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-1920875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-1920875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-1920875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-1920875</wp:posOffset>
            </wp:positionV>
            <wp:extent cx="4584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-1621155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-1621155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-1621155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-1621155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-1621155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-1621155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-626110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-626110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-626110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-626110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-626110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788"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788"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60325</wp:posOffset>
            </wp:positionV>
            <wp:extent cx="11576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(In thousands, except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98,071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101,839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(21,664)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before gain on sale of real estate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vMerge w:val="restart"/>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-2915920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-2915920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-2915920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-2915920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-2915920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-1920875</wp:posOffset>
            </wp:positionV>
            <wp:extent cx="4584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-1920875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-1920875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-1920875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-1621155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-1621155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-1621155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-1621155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-1621155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-1621155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-626110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-626110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-626110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-626110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-626110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788"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788"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Nine months ended September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Additional</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74"/>
        </w:trPr>
        <w:tc>
          <w:tcPr>
            <w:tcW w:w="5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share data)</w:t>
            </w:r>
          </w:p>
        </w:tc>
        <w:tc>
          <w:tcPr>
            <w:tcW w:w="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Paid-in Capital</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Paid-in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53,616,827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1,108,213</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50,670,851</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2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980,227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269,718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7,244</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178,757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45,620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2,420</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shares granted, net of restricted shares retired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76,807</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3,948</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shares in public offering</w:t>
            </w: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2,186,749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99,099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and redemption of OP units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203,140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(12,806)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ind w:left="420"/>
              <w:spacing w:after="0"/>
              <w:rPr>
                <w:sz w:val="20"/>
                <w:szCs w:val="20"/>
                <w:color w:val="auto"/>
              </w:rPr>
            </w:pPr>
            <w:r>
              <w:rPr>
                <w:rFonts w:ascii="Arial" w:cs="Arial" w:eastAsia="Arial" w:hAnsi="Arial"/>
                <w:sz w:val="14"/>
                <w:szCs w:val="14"/>
                <w:color w:val="auto"/>
              </w:rPr>
              <w:t>Stock compensation associated with variable accounting</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54,212,112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1,109,819</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53,387,604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1,100,520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dividends in excess of net income</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(416,026)</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(386,738)</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62,238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Dividends declared to common shareholders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(85,001)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(75,640)</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share dividends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(8,607)</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(8,607)</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(430,150)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(408,747)</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 in Treasury</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2"/>
              </w:rPr>
              <w:t>(1,480,201)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(28,786)</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(1,470,275)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(28,445)</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forfeited</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(9,118)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(1,480,359)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(28,794)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(1,479,393)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(28,755)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compensation on restricted shares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(226,904)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(8,641)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(220,666)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(5,474)</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issued, net of forfeitures</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(65,733)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(72,166)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(4,313)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ind w:left="420"/>
              <w:spacing w:after="0"/>
              <w:rPr>
                <w:sz w:val="20"/>
                <w:szCs w:val="20"/>
                <w:color w:val="auto"/>
              </w:rPr>
            </w:pPr>
            <w:r>
              <w:rPr>
                <w:rFonts w:ascii="Arial" w:cs="Arial" w:eastAsia="Arial" w:hAnsi="Arial"/>
                <w:sz w:val="14"/>
                <w:szCs w:val="14"/>
                <w:color w:val="auto"/>
              </w:rPr>
              <w:t>Vesting of performance and restricted shares</w:t>
            </w:r>
          </w:p>
        </w:tc>
        <w:tc>
          <w:tcPr>
            <w:tcW w:w="620" w:type="dxa"/>
            <w:vAlign w:val="bottom"/>
          </w:tcPr>
          <w:p>
            <w:pPr>
              <w:jc w:val="right"/>
              <w:spacing w:after="0"/>
              <w:rPr>
                <w:sz w:val="20"/>
                <w:szCs w:val="20"/>
                <w:color w:val="auto"/>
              </w:rPr>
            </w:pPr>
            <w:r>
              <w:rPr>
                <w:rFonts w:ascii="Arial" w:cs="Arial" w:eastAsia="Arial" w:hAnsi="Arial"/>
                <w:sz w:val="14"/>
                <w:szCs w:val="14"/>
                <w:color w:val="auto"/>
              </w:rPr>
              <w:t>85,716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63,756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(206,921)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(9,753)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(229,076)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(8,209)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Notes receivable under employee stock plans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(2,083)</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(3,615)</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Subscription loans issued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ind w:left="420"/>
              <w:spacing w:after="0"/>
              <w:rPr>
                <w:sz w:val="20"/>
                <w:szCs w:val="20"/>
                <w:color w:val="auto"/>
              </w:rPr>
            </w:pPr>
            <w:r>
              <w:rPr>
                <w:rFonts w:ascii="Arial" w:cs="Arial" w:eastAsia="Arial" w:hAnsi="Arial"/>
                <w:sz w:val="14"/>
                <w:szCs w:val="14"/>
                <w:color w:val="auto"/>
              </w:rPr>
              <w:t>Subscription loans paid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(2,068)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unrealized gains on securities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ind w:left="420"/>
              <w:spacing w:after="0"/>
              <w:rPr>
                <w:sz w:val="20"/>
                <w:szCs w:val="20"/>
                <w:color w:val="auto"/>
              </w:rPr>
            </w:pPr>
            <w:r>
              <w:rPr>
                <w:rFonts w:ascii="Arial" w:cs="Arial" w:eastAsia="Arial" w:hAnsi="Arial"/>
                <w:sz w:val="14"/>
                <w:szCs w:val="14"/>
                <w:color w:val="auto"/>
              </w:rPr>
              <w:t>Adjustments to unrealized gains on interest rate swaps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79,484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62,238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unrealized gains on securities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ind w:left="420"/>
              <w:spacing w:after="0"/>
              <w:rPr>
                <w:sz w:val="20"/>
                <w:szCs w:val="20"/>
                <w:color w:val="auto"/>
              </w:rPr>
            </w:pPr>
            <w:r>
              <w:rPr>
                <w:rFonts w:ascii="Arial" w:cs="Arial" w:eastAsia="Arial" w:hAnsi="Arial"/>
                <w:sz w:val="14"/>
                <w:szCs w:val="14"/>
                <w:color w:val="auto"/>
              </w:rPr>
              <w:t>Adjustments to unrealized gains on interest rate swaps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63,813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-4711700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-4711700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-4711700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-4711700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-4711700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-4711700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-4711700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-4711700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-4711700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-4711700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-4711700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-4711700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-4711700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-4711700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-3836670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-3836670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-3836670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-3836670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-3836670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-3836670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-3150870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-3150870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-3150870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-3150870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-3150870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-3150870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-3150870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-3150870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-3150870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-3150870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-2370455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-2370455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-2370455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-2370455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-2370455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-2370455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-2370455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-2370455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-2370455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-2370455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-1590040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-1590040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-1590040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-1590040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-1590040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-1590040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-809625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-809625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-809625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-809625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-809625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-809625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60325</wp:posOffset>
            </wp:positionV>
            <wp:extent cx="13119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79,484</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68,311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Increase in accounts and notes receivable</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 before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(Decrease) increase in accounts payable, security deposits and prepaid rent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134,345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(67,455)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(87,825)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(15,211)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61,379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(issuance) of mortgage and other notes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(101,193)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(155,879)</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revolving credit facility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Issuance of senior debentures</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debentures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 net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(88,799)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and redemptions related to OP units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(47,054)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30,475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60" w:type="dxa"/>
            <w:vAlign w:val="bottom"/>
          </w:tcPr>
          <w:p>
            <w:pPr>
              <w:jc w:val="center"/>
              <w:ind w:left="205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2"/>
          </w:tcPr>
          <w:p>
            <w:pPr>
              <w:jc w:val="right"/>
              <w:ind w:right="34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-557530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-557530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A—ACCOUNTING POLICIES AND OTHER DATA</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are an equity real estate investment trust specializing in the ownership, management, development and redevelopment of retail and mixed-use properties. As of September 30, 2005, we owned or had a majority interest in 102 community and neighborhood shopping centers and retail mixed-use properties comprising approximately 17.3 million square feet, located primarily in densely populated and affluent communities throughout the Northeast and Mid-Atlantic United States, as well as California and one apartment complex in Maryland. In total, the 102 commercial properties were 95.5% leased at September 30, 2005. A joint venture in which we own a 30% interest owned four neighborhood shopping centers totaling approximately 0.5 million square feet as of September 30,</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2005. We have paid quarterly dividends to our shareholders continuously since our founding in 1962, and have increased our dividends per common share for 38 consecutive years.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unaudited financial statements have been prepared in conformity with accounting principles generally accepted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our Form 10-K for the year ended December 31, 2004.</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42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420" w:type="dxa"/>
            <w:vAlign w:val="bottom"/>
            <w:gridSpan w:val="7"/>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for calculation of basic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62,617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50,509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(8,607)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(8,607)</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(2,869)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41,902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16,867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70,877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27,811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50,722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52,618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80" w:type="dxa"/>
            <w:vAlign w:val="bottom"/>
            <w:gridSpan w:val="4"/>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for calculation of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54,010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41,902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18,606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attributable to operating partnership units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for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41,902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16,867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70,877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27,811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52,443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50,722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52,618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Stock option awards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3"/>
          </w:tcPr>
          <w:p>
            <w:pPr>
              <w:ind w:left="860"/>
              <w:spacing w:after="0"/>
              <w:rPr>
                <w:sz w:val="20"/>
                <w:szCs w:val="20"/>
                <w:color w:val="auto"/>
              </w:rPr>
            </w:pPr>
            <w:r>
              <w:rPr>
                <w:rFonts w:ascii="Arial" w:cs="Arial" w:eastAsia="Arial" w:hAnsi="Arial"/>
                <w:sz w:val="18"/>
                <w:szCs w:val="18"/>
                <w:color w:val="auto"/>
              </w:rPr>
              <w:t>Operating partnership units (1)</w:t>
            </w:r>
          </w:p>
        </w:tc>
        <w:tc>
          <w:tcPr>
            <w:tcW w:w="1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52,982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53,149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-4366260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-4366260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-4366260</wp:posOffset>
            </wp:positionV>
            <wp:extent cx="16852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852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-3303270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-3303270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-3303270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-3303270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-3303270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-3303270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-3303270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-3303270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-3303270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-3303270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-3303270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-3303270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-2025015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-2025015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-2025015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-2025015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-2025015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-2025015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-2025015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-2025015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-2025015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-2025015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-2025015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-2025015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-1030605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-1030605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-1030605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-1030605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-1030605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-1030605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-1030605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-1030605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-1030605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-1030605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-1030605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-1030605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-172720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-172720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-172720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-172720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-172720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-172720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Partnership units are excluded from the calculation of income from continuing operations per share when they are anti-dilutive.</w:t>
      </w:r>
    </w:p>
    <w:p>
      <w:pPr>
        <w:spacing w:after="0" w:line="15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components of rental income, other property income, rental expense, real estate tax expense, and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the September 30, 2004 Consolidated Statements of Operations have been reclassified to Income From Discontinued Operations to assure comparability of all periods presented. In addition, certain December 31, 2004 Balance Sheet accounts, 2004 Statement of Operations accounts and components of the 2004 Consolidated Statement of Cash Flows have been reclassified to assure comparability of all periods presented including certain amounts reclassified from other property income.</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grant restricted stock and stock options to employees. Our stock option grants are for a fixed number of shares with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equal to the fair value of the shares on the date of grant. We account for stock compensation under the intrinsic value method in accordance with APB No. 25, “Accounting for Stock Issued to Employees.” Accordingly, we recognize compensation for restricted stock grants but do not recognize compensation for stock option grants.</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“Accounting for Stock-Based Compensation.”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Nine months ended</w:t>
            </w:r>
          </w:p>
        </w:tc>
        <w:tc>
          <w:tcPr>
            <w:tcW w:w="100" w:type="dxa"/>
            <w:vAlign w:val="bottom"/>
          </w:tcPr>
          <w:p>
            <w:pPr>
              <w:spacing w:after="0"/>
              <w:rPr>
                <w:sz w:val="14"/>
                <w:szCs w:val="14"/>
                <w:color w:val="auto"/>
              </w:rPr>
            </w:pPr>
          </w:p>
        </w:tc>
        <w:tc>
          <w:tcPr>
            <w:tcW w:w="14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4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3200" w:type="dxa"/>
            <w:vAlign w:val="bottom"/>
            <w:gridSpan w:val="2"/>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for earnings per share)</w:t>
            </w: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30,680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(3,475)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(2,959)</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(1,250)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78,989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61,869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30,470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Basic,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8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70,877</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53,631</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27,811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(3,475)</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(2,959)</w:t>
            </w:r>
          </w:p>
        </w:tc>
        <w:tc>
          <w:tcPr>
            <w:tcW w:w="10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(1,250)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70,382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27,601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Diluted,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-1845310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-1845310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-1845310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-1845310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-1845310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-1845310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-1845310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-1845310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-1845310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-1845310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-1845310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-1845310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-507365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-507365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-507365</wp:posOffset>
            </wp:positionV>
            <wp:extent cx="16852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85290" cy="29845"/>
                    </a:xfrm>
                    <a:prstGeom prst="rect">
                      <a:avLst/>
                    </a:prstGeom>
                    <a:noFill/>
                  </pic:spPr>
                </pic:pic>
              </a:graphicData>
            </a:graphic>
          </wp:anchor>
        </w:drawing>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In January 2003, the Financial Accounting Standards Board issued FASB Interpretation No. 46 (revised December 2003) (FIN</w:t>
      </w:r>
      <w:r>
        <w:rPr>
          <w:rFonts w:ascii="Arial" w:cs="Arial" w:eastAsia="Arial" w:hAnsi="Arial"/>
          <w:sz w:val="16"/>
          <w:szCs w:val="16"/>
          <w:i w:val="1"/>
          <w:iCs w:val="1"/>
          <w:color w:val="auto"/>
        </w:rPr>
        <w:t xml:space="preserve"> </w:t>
      </w:r>
      <w:r>
        <w:rPr>
          <w:rFonts w:ascii="Arial" w:cs="Arial" w:eastAsia="Arial" w:hAnsi="Arial"/>
          <w:sz w:val="16"/>
          <w:szCs w:val="16"/>
          <w:color w:val="auto"/>
        </w:rPr>
        <w:t>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are be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at Santana Row and our joint venture with affiliates of Clarion Lion Properties Fund and determined that these joint ventures do not meet the requirements of a variable interest entity and, therefore, consolidation of these ventures is not required. Accordingly, these investments will continue to be accounted for using the equity method. We have also evaluated the applicability of FIN 46-R to our mortgage loans receivable and determined that they are not variable interest entities. The adoption of FIN 46-R did not have a material impact on our financial position or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15, 2005, we sold two properties located in Tempe, Arizona for an aggregate of $13.7 million, resulting in a gain of $4.0 million.</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 2005, we acquired Assembly Square, an approximately 330,000 square foot enclosed mall in the City of Somerville, Massachusetts that is currently being redeveloped into a power center, and an adjacent ten-acre 220,000 square foot retail/industrial complex for an aggregate investment of $66.4 million, which includes $2.5 million of cost for the ongoing redevelopment. With respect to the values assigned to assumed leases, approximately $3.4 million of the net assets acquired was allocated to prepaid and other assets for “above-market leases,” and $5.1 million of the net assets acquired was allocated to other liabilities and deferred credits for “below-market leases.” Amounts associated with above and below market leases are amortized to rental income over the related lease terms. The acquisition was financed through available cash and borrowings under our revolving credit facility.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 2005, we sold two properties located in Winter Park, Florida for an aggregate of $11.1 million, resulting in a gain of $3.5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12, 2005, we sold Shaw’s Plaza located in Carver, Massachusetts for $4.0 million, resulting in a gain of $18,000.</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On August 26, 2005, we began closing sales of condominium units located in one building at Santana Row. As of September 30, 2005, we had closed on sales of 62 of the 100 condominium units available for sale in that building for an aggregate of $33.9 million, resulting in a gain of $9.4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C—MORTGAGE NOTES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third quarter of 2005, a mortgage note receivable was repaid that had an outstanding principal amount of $5.9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D—REAL ESTATE PARTNERSHIPS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through June 2006. As of September 30, 2005, Federal Realty and Clarion had contributed $9.4 million and $22.0 million, respectively. We are the manager of the Partnership and its properties, and earn fees for acquisitions, management, leasing, and financing. We also have the opportunity to receive performance-based earnings through our Partnership interest. We account for our interest in the Partnership using the equity method, as described in “Note A—Accounting Policies and Other Data— Variable Interest Entities.” In total, at September 30, 2005, the Partnership had $47.2 million of mortgage notes outstanding.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right"/>
        <w:ind w:right="5300"/>
        <w:spacing w:after="0"/>
        <w:rPr>
          <w:sz w:val="20"/>
          <w:szCs w:val="20"/>
          <w:color w:val="auto"/>
        </w:rPr>
      </w:pPr>
      <w:r>
        <w:rPr>
          <w:rFonts w:ascii="Arial" w:cs="Arial" w:eastAsia="Arial" w:hAnsi="Arial"/>
          <w:sz w:val="16"/>
          <w:szCs w:val="16"/>
          <w:color w:val="auto"/>
        </w:rPr>
        <w:t>The following are the summarized unaudited financial results of the Partnership: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4"/>
        </w:trPr>
        <w:tc>
          <w:tcPr>
            <w:tcW w:w="7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September 30, 2005</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6,109</w:t>
            </w:r>
          </w:p>
        </w:tc>
        <w:tc>
          <w:tcPr>
            <w:tcW w:w="1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6,181</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0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Real estate taxes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3,167</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3,014</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4"/>
                <w:szCs w:val="24"/>
                <w:color w:val="auto"/>
              </w:rPr>
            </w:pPr>
          </w:p>
        </w:tc>
        <w:tc>
          <w:tcPr>
            <w:tcW w:w="2080" w:type="dxa"/>
            <w:vAlign w:val="bottom"/>
            <w:gridSpan w:val="3"/>
          </w:tcPr>
          <w:p>
            <w:pPr>
              <w:jc w:val="right"/>
              <w:ind w:right="108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80" w:type="dxa"/>
            <w:vAlign w:val="bottom"/>
            <w:gridSpan w:val="3"/>
            <w:vMerge w:val="restart"/>
          </w:tcPr>
          <w:p>
            <w:pPr>
              <w:jc w:val="right"/>
              <w:ind w:right="154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September 30, 2005</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00" w:type="dxa"/>
            <w:vAlign w:val="bottom"/>
            <w:gridSpan w:val="3"/>
          </w:tcPr>
          <w:p>
            <w:pPr>
              <w:spacing w:after="0"/>
              <w:rPr>
                <w:sz w:val="20"/>
                <w:szCs w:val="20"/>
                <w:color w:val="auto"/>
              </w:rPr>
            </w:pPr>
            <w:r>
              <w:rPr>
                <w:rFonts w:ascii="Arial" w:cs="Arial" w:eastAsia="Arial" w:hAnsi="Arial"/>
                <w:sz w:val="18"/>
                <w:szCs w:val="18"/>
                <w:color w:val="auto"/>
              </w:rPr>
              <w:t>Real estate at cost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81,235</w:t>
            </w:r>
          </w:p>
        </w:tc>
        <w:tc>
          <w:tcPr>
            <w:tcW w:w="11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80,970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79,044</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2,692</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84,733</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PARTNER’S CAPITAL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0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47,225</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5,972</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53,197</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00" w:type="dxa"/>
            <w:vAlign w:val="bottom"/>
            <w:gridSpan w:val="3"/>
          </w:tcPr>
          <w:p>
            <w:pPr>
              <w:spacing w:after="0"/>
              <w:rPr>
                <w:sz w:val="20"/>
                <w:szCs w:val="20"/>
                <w:color w:val="auto"/>
              </w:rPr>
            </w:pPr>
            <w:r>
              <w:rPr>
                <w:rFonts w:ascii="Arial" w:cs="Arial" w:eastAsia="Arial" w:hAnsi="Arial"/>
                <w:sz w:val="18"/>
                <w:szCs w:val="18"/>
                <w:color w:val="auto"/>
              </w:rPr>
              <w:t>Partners’ capital</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31,536</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84,733</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-3742690</wp:posOffset>
            </wp:positionV>
            <wp:extent cx="7499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-3742690</wp:posOffset>
            </wp:positionV>
            <wp:extent cx="78422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-1581150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-1581150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-1581150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-1581150</wp:posOffset>
            </wp:positionV>
            <wp:extent cx="78422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78422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84225" cy="29845"/>
                    </a:xfrm>
                    <a:prstGeom prst="rect">
                      <a:avLst/>
                    </a:prstGeom>
                    <a:noFill/>
                  </pic:spPr>
                </pic:pic>
              </a:graphicData>
            </a:graphic>
          </wp:anchor>
        </w:drawing>
      </w:r>
    </w:p>
    <w:p>
      <w:pPr>
        <w:spacing w:after="0" w:line="22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For mortgage notes totaling $36.7 million at September 30, 2005 that are secured by three properties owned by subsidiaries of the Partnership, we are the guarantor for certain obligations of those subsidiaries, which are commonly referred to as “non-recourse carve-outs.” We are not guaranteeing repayment of the debt itself. The Partnership indemnifies us for any loss we incur under these guarantees.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E—MORTGAGES, NOTES PAYABLE AND OTHER DEBT</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 $550 million unsecured credit facility consisting of a $150 million five-year term loan due in October 2008, a $100 million three-year term loan due in October 2006, and a $300 million three-year revolving credit facility maturing in October 2006, that offers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2004, to hedge our exposure to interest rate fluctuations on the $150 million five-year term loan, we entered into an interest rate swap, which fixed the LIBOR portion of the interest rate on the term loan at 2.401% through October 2006. Accordingly, the current interest rate, taking into account the swap, is 3.351% (2.401% plus 0.95%) on notional amounts totaling $150 million.</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September 30, 2005, there was $96.0 million borrowed under our $300.0 million revolving credit facility. The maximum amount drawn during the nine months ended September 30, 2005 was $190.0 million. The weighted average interest rate on borrowings under the revolving credit facility for the three and nine months ended September 30, 2005 was 3.73% and 3.54%, respectively. The facility requires us to comply with various financial and other covenants, including the maintenance of a minimum shareholders’ equity and a maximum ratio of debt to net worth. At September 30, 2005, we were in compliance with all loan covenants.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more detailed description of our derivative instruments is contained in “Item 3. Quantitative and Qualitative Disclosures about Market Risk.”</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determined that our hedged derivatives qualify as effective cash-flow hedges under SFAS No. 133, resulting in our recording all changes in the fair value of the hedged derivatives in other comprehensive income. Amounts recorded in other comprehensive income will be reclassified into earnings in the period in which earnings are affected by the hedged cash flows. We recorded unrealized gains to other comprehensive income of $0.7 million and $1.5 million during the nine months ended September 30, 2005 and 2004, respectively, to adjust the hedged derivatives to their fair value. We estimate that substantially all of the accumulated unrealized gain of $3.0 million at September 30, 2005 will be reclassified into earnings within the next twelve months to offset the variability of cash flows during this period.</w:t>
      </w:r>
    </w:p>
    <w:p>
      <w:pPr>
        <w:spacing w:after="0" w:line="13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assess, both at inception and on an on-going basis, the effectiveness of all hedges in offsetting cash flows of hedged items. Hedge ineffectiveness did not have a material impact on earnings and we do not anticipate that it will have a material effect in the future. The fair values of the obligations under the hedged derivatives are included in accounts payable and accrued expenses on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Under the terms of various partnerships, which own shopping center properties with a cost of approximately $88.5 million, the partners have the right to exchange their operating units for cash or the same number of our common shares, at our option. For the nine months ended September 30, 2005, we paid $0.8 million to redeem 15,759 operating units and issued 203,140 of our common shares to redeem 203,140 operating units. The 203,140 common shares issued include 190,000 common shares that were issued to a subsidiary in 2004 and sold to a third party in February 2005 to complete a redemption.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G—INTEREST EXPENSE</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incurred total interest costs of $70.0 million during the nine months ended September 30, 2005 and $67.7 million during the nine months ended September 30, 2004, of which $4.4 million and $3.8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respectively, were capitalized in each period in connection with development and redevelopment projects. We incurred total interest costs of $23.5 million during the three months ended September 30, 2005 and $22.4 million during the three months ended September 30, 2004, of which $1.9 million and $1.3 million, respectively, were capitalized in connection with development and redevelopment projects. Interest paid was $63.5 million and $60.5 million for the nine months ended September 30, 2005 and 2004, respectively, and $18.9 million and $17.8 million for the three months ended September 30, 2005 and 2004,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H—COMMITMENTS AND CONTINGENCIES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are involved in various lawsuits and environmental matters arising in the normal course of business. Management believes that the various lawsuits and environmental matters in which the Trust is involved will not have a material effect on our financial condition or results of operations.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September 30, 2005, we were committed to invest approximately $11.0 million in restaurant joint ventures at Santana Row, of which $10.6 million has been invested as of September 30, 2005. These restaurant joint ventures are accounted for using the equity method.</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derived from the properties current operations as of September 30, 2005, our estimated maximum commitment upon exercise of the put option would range from approximately $30 million to $34 million.</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September 30, 2005, a total of 420,426 operating units remain outstanding. As discussed in Note E, the partners holding these operating units have the right to exchange them for cash or the same number of our common shares, at our option.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the terms of two of our other partnership agreements for entities which own street retail properties in southern California with an original cost of approximately $29 million, if certain leasing and revenue levels are obtained for those properties, the other partners may require us to redeem their partnership interests at a formula price based upon property operating income. The purchase price for one of the partnerships must be paid in cash. The purchase price for the other partnership must be paid using our common shares or, subject to certain conditions, cash. In both partnerships, if the other partners do not redeem their interests, we may choose to purchase the limited partnership interests upon the same terms.</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specified in the Agreement not cover the debt service. We posted a letter of credit with the City on September 25, 2002 for $0.8 million, and the letter of credit remains outstanding. We estimate our obligation under the Agreement to be in the range of $1.6 million to $3.0 million. During the years ended December 31, 2004 and 2003, we funded approximately $0.4 million each year. In anticipation of a shortfall of incremental tax revenues to the City, we have accrued $0.4 million as of September 30, 2005 to cover additional payments we may be obligated to make as part of the project costs. Prior to the expiration of the Agreement on September 30, 2014, we could be required to provide funding beyond the $0.4 million currently accrued. We do not anticipate, however, that our obligation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would exceed $0.6 million in any year or $3.0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estimated certain costs that we may be required to pay in the future as a result of selling certain properties during 2005. As of September 30, 2005, our recorded reserve for these costs is approximately $1.4 million.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NOTE I—COMPONENTS OF RENTAL INCOME</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20" w:type="dxa"/>
            <w:vAlign w:val="bottom"/>
            <w:gridSpan w:val="2"/>
          </w:tcPr>
          <w:p>
            <w:pPr>
              <w:ind w:left="440"/>
              <w:spacing w:after="0"/>
              <w:rPr>
                <w:sz w:val="20"/>
                <w:szCs w:val="20"/>
                <w:color w:val="auto"/>
              </w:rPr>
            </w:pPr>
            <w:r>
              <w:rPr>
                <w:rFonts w:ascii="Arial" w:cs="Arial" w:eastAsia="Arial" w:hAnsi="Arial"/>
                <w:sz w:val="18"/>
                <w:szCs w:val="18"/>
                <w:color w:val="auto"/>
              </w:rPr>
              <w:t>The components of rental income are as follows: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24"/>
                <w:szCs w:val="24"/>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Retail and commercial</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$ 221,976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208,508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$ 74,725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56,276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55,046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18,215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rental income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$ 294,501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278,725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$ 98,071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94,374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Minimum rents include $4.3 million and $2.5 million for the nine months ended September 30, 2005 and 2004, respectively, and $1.2 million and $0.7 million for the three months ended September 30, 2005 and 2004, respectively, that represent amounts included in minimum rents in order to reflect the recognition of minimum rents on a straight line basis as required by GAAP. Minimum rents include $1.2 million and $1.1 million for the nine months ended September 30, 2005 and 2004, respectively, and $0.4 million and $0.5 million for the three months ended September 30, 2005 and 2004, that represent amounts included in minimum rents in order to reflect the recognition of income attributable to market lease adjustments on acquired properties in accordance with SFAS</w:t>
      </w:r>
    </w:p>
    <w:p>
      <w:pPr>
        <w:spacing w:after="0" w:line="2" w:lineRule="exact"/>
        <w:rPr>
          <w:sz w:val="20"/>
          <w:szCs w:val="20"/>
          <w:color w:val="auto"/>
        </w:rPr>
      </w:pPr>
    </w:p>
    <w:p>
      <w:pPr>
        <w:ind w:right="60" w:firstLine="8"/>
        <w:spacing w:after="0" w:line="295"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Residential minimum rents comprise the entire rental amounts at Rollingwood Apartments, The Crest at Congressional Plaza Apartments and the residential units at Santana Row except for Building Four. In the third quarter of 2005, we commenced closing sales of the 100 units located in Building Four, which has been classified as discontinued operations. Accordingly, the rental income for the 100 units in Building Four has been excluded for all periods presented to assure comparability of these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J—SEGMENT INFORMATION</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88"/>
              </w:rPr>
              <w:t>Nine months ended September 30, 2005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East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230,619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63,882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(43,544)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(19,891)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167,569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44,380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211,949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(65,554)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349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(48,333)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(19,296)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(67,629)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121,135</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25,131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(79,646)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as of September 30, 2005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1,348,641</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$879,588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74,843</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2,303,072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88"/>
              </w:rPr>
              <w:t>Nine months ended September 30, 2004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820" w:type="dxa"/>
            <w:vAlign w:val="bottom"/>
            <w:gridSpan w:val="3"/>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East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220,230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58,495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(44,705)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(21,273)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156,807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39,185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195,992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(63,835)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(48,112)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(17,917)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(66,029)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109,703</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21,382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(77,259)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as of September 30, 2004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1,300,315</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$894,918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85,787</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2,281,020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vMerge w:val="restart"/>
          </w:tcPr>
          <w:p>
            <w:pPr>
              <w:jc w:val="right"/>
              <w:ind w:right="552"/>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-3850640</wp:posOffset>
            </wp:positionV>
            <wp:extent cx="53594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-3850640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-3850640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-3850640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-3850640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-3850640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-3850640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-3850640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-3850640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-3850640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-3550285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-3550285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-3550285</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-3550285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-3550285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-3550285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-3550285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-3550285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-3550285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-3550285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-3550285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-3550285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-626110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-626110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-626110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-626110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-626110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-626110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-626110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-626110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-626110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-626110</wp:posOffset>
            </wp:positionV>
            <wp:extent cx="53594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2005</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87"/>
              </w:rPr>
              <w:t>Three months ended September 30, 2005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East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76,738</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(13,931)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(21,664)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126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(16,010)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40,351</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8,827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(26,495)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as of September 30, 2005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1,348,641</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$879,588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74,843</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2,303,072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88"/>
              </w:rPr>
              <w:t>Three months ended September 30, 2004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820" w:type="dxa"/>
            <w:vAlign w:val="bottom"/>
            <w:gridSpan w:val="3"/>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East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73,452</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(14,921)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51,955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(21,125)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(16,794)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(23,292)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35,599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(25,779)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as of September 30, 2004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1,300,315</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$894,918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85,787</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2,281,020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20" w:type="dxa"/>
            <w:vAlign w:val="bottom"/>
            <w:gridSpan w:val="2"/>
          </w:tcPr>
          <w:p>
            <w:pPr>
              <w:spacing w:after="0"/>
              <w:rPr>
                <w:sz w:val="11"/>
                <w:szCs w:val="11"/>
                <w:color w:val="auto"/>
              </w:rPr>
            </w:pPr>
          </w:p>
        </w:tc>
        <w:tc>
          <w:tcPr>
            <w:tcW w:w="800" w:type="dxa"/>
            <w:vAlign w:val="bottom"/>
            <w:tcBorders>
              <w:bottom w:val="single" w:sz="8" w:color="auto"/>
            </w:tcBorders>
            <w:gridSpan w:val="3"/>
          </w:tcPr>
          <w:p>
            <w:pPr>
              <w:spacing w:after="0"/>
              <w:rPr>
                <w:sz w:val="11"/>
                <w:szCs w:val="11"/>
                <w:color w:val="auto"/>
              </w:rPr>
            </w:pPr>
          </w:p>
        </w:tc>
        <w:tc>
          <w:tcPr>
            <w:tcW w:w="4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gridSpan w:val="8"/>
          </w:tcPr>
          <w:p>
            <w:pPr>
              <w:jc w:val="center"/>
              <w:ind w:left="1912"/>
              <w:spacing w:after="0"/>
              <w:rPr>
                <w:sz w:val="20"/>
                <w:szCs w:val="20"/>
                <w:color w:val="auto"/>
              </w:rPr>
            </w:pPr>
            <w:r>
              <w:rPr>
                <w:rFonts w:ascii="Arial" w:cs="Arial" w:eastAsia="Arial" w:hAnsi="Arial"/>
                <w:sz w:val="18"/>
                <w:szCs w:val="18"/>
                <w:color w:val="auto"/>
                <w:w w:val="85"/>
              </w:rPr>
              <w:t>There are no transactions between geographic areas.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-3945255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-3945255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-3945255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-3945255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-3945255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-3945255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-3945255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-3945255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-3945255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-3945255</wp:posOffset>
            </wp:positionV>
            <wp:extent cx="53594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-3644900</wp:posOffset>
            </wp:positionV>
            <wp:extent cx="53594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-3644900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-3644900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-3644900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-3644900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-3644900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-3644900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-3644900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-3644900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-3644900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-857885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-857885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-857885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-857885</wp:posOffset>
            </wp:positionV>
            <wp:extent cx="4584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-857885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-857885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-857885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-857885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-857885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-857885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-557530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-557530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-557530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-557530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-557530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-557530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-557530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-557530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-557530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-557530</wp:posOffset>
            </wp:positionV>
            <wp:extent cx="53594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Form 10-K for the year ended December 31, 2004.</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Many things can happen that may cause actual results to be different from those we describe. These factors include, but are not limited to the risk factors described in our current report in Form 8-K filed on March 2, 2005, and include the following:</w:t>
      </w:r>
    </w:p>
    <w:p>
      <w:pPr>
        <w:spacing w:after="0" w:line="48"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580" w:hanging="329"/>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580" w:hanging="329"/>
        <w:spacing w:after="0" w:line="268"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37" w:lineRule="exact"/>
        <w:rPr>
          <w:rFonts w:ascii="Arial" w:cs="Arial" w:eastAsia="Arial" w:hAnsi="Arial"/>
          <w:sz w:val="18"/>
          <w:szCs w:val="18"/>
          <w:color w:val="auto"/>
        </w:rPr>
      </w:pPr>
    </w:p>
    <w:p>
      <w:pPr>
        <w:ind w:left="1580" w:hanging="329"/>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580" w:hanging="329"/>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580" w:hanging="329"/>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580" w:hanging="329"/>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jc w:val="both"/>
        <w:ind w:right="480" w:firstLine="456"/>
        <w:spacing w:after="0" w:line="298"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current report on Form 8-K filed with the Securities and Exchange Commission on March 2, 2005 before making any investments in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retail and mixed-use properties. As of September 30, 2005, we owned or had a majority interest in 102 community and neighborhood shopping centers and mixed-use properties comprising approximately 17.3 million square feet, located primarily in densely populated and affluent communities throughout the Northeast and Mid-Atlantic United States, as well as in California, and one apartment complex in Maryland. In total, the 102 commercial properties were 95.5% leased at September 30, 2005. A joint venture in which we own a 30% interest owned four neighborhood shopping centers totaling approximately 0.5 million square feet as of September 30, 2005. In total, the joint venture properties in which we own an interest were 97.9% leased at September 30, 2005. We have paid quarterly dividends to our shareholders continuously since our founding in 1962 and have increased our dividends per common share for 38 consecutive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Property Acquisitions and Dispositions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February 15, 2005, we sold two properties located in Tempe, Arizona for an aggregate of $13.7 million, resulting in a gain of $4.0 million. The two properties, acquired in 1998, totaled approximately 40,000 square feet of leasable area.</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 2005, we acquired Assembly Square, an approximately 330,000 square foot enclosed mall in the City of Somerville, Massachusetts that is currently being redeveloped into a power center, and an adjacent ten-acre 220,000 square foot retail/industrial complex for an aggregate investment of $66.4 million, including $2.5 million of cost for the ongoing redevelopment. With respect to the values assigned to assumed leases, approximately $3.4 million of the net assets acquired was allocated to prepaid and other assets for “above-market leases,” and $5.1 million of the net assets acquired was allocated to other liabilities and deferred credits for “below-market leases.” The acquisition was financed through available cash and borrowings under our revolving credit facility. We expect to invest approximately an additional $38.0 million to complete the redevelopment of the mall.</w:t>
      </w:r>
    </w:p>
    <w:p>
      <w:pPr>
        <w:spacing w:after="0" w:line="10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acquisition of Assembly Square also included zoning entitlements to add four mixed-use buildings on 3.5 acres, which could include approximately 41,000 square feet of retail space, 51,000 square feet of office space and 239 residential units. The acquisition also included an option to purchase adjacent land parcels, all of which were zoned for dense, mixed-use development. We expect that we will structure any future development of Assembly Square in a manner designed to mitigate our risk which may include selling entitlements or co-developing with other real estate companies.</w:t>
      </w:r>
    </w:p>
    <w:p>
      <w:pPr>
        <w:spacing w:after="0" w:line="9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June 2, 2005, we sold two properties located in Winter Park, Florida for an aggregate of $11.1 million, resulting in a gain of $3.5 million. The two properties, acquired in 1996, totaled approximately 28,000 square feet of leasable area.</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July 12, 2005, we sold Shaw’s Plaza located in Massachusetts for $4.0 million, resulting in a gain of $18,000. This property, acquired in 2004, totaled approximately 75,000 square feet of leasable area.</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August 26, 2005, we began closing sales of condominium units located in one building at Santana Row. As of September 30, 2005, we had closed on sales of 62 of the 100 condominium units available for sale in that building for an aggregate of $33.9 million, resulting in a gain of $9.4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continue to believe that in 2005 we will experience growth in earnings from operations when compared to 2004. We expect this growth in earnings to be generated by a combination of the following:</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earnings in our same center portfolio and from properties under redevelopment,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earnings as a result of improved occupancy and rental rates on retail space as well as additional development at Santana Row,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earnings from our real estate partnership established in July 2004.</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7, 2005, we announced a regular quarterly cash dividend of $0.555 per share on our common shares resulting in an indicated regular annual rate of $2.22. On October 31, 2005, we announced a special cash dividend of $0.20 per share on our common shares resulting from our sale of condominium units at Santana Row.</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earnings in 2004 were positively impacted by the reimbursement to us of lost rents from an insurance settlement received in December 2003 related to a fire at Santana Row in 2002. Approximately $3.0 million of the reimbursement was recognized as income during 2004. The amount recognized in 2005 is insignificant.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Center Portfolio and Redevelopment Projects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Mixed economic news has created some concerns about the national economy and our local markets. However, we have not seen any signs of near-term economic deterioration and generally expect earnings from our same center portfolio (as defined below under “Results of Operations”) to continue to grow due to improved occupancy rates and increasing rents on lease rollovers. Our same center growth has been slowed to some extent during the past two years by the increases in our redevelopment activity at certain centers which, by design, keeps leasable space out of service until the redevelopments are complete. Additionally, the economic environment in Northern California still continues to lag our other markets which constrains occupancy rates and limits our ability to increase rent to the same extent as we have achieved in our other markets.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competitive retail environment has resulted in the loss of some of our anchor retail tenants, but we have been successful in replacing a number of those anchors and other weaker tenants with tenants that we believe are more credit-worthy. In other cases, we have taken advantage of the opportunity to redevelop the space that became vacant when the anchor tenant vacated. While this redevelopment and retenanting activity has resulted in increased capital investment in those centers, it should also increase the rental income from these centers as these new tenants commence operations. In addition, the redevelopment activity adds to the economic life of the centers, and increases the appeal of the centers to retail customers. These factors should extend the number of years during which we can reasonably expect growth in earnings from those properties beyond the period we could have expected if we had not made the additional capital investment.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Santana Row</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Santana Row currently consists of approximately 558,000 square feet of retail space, 255 residential units, and a ground lease to a 213-room hotel. Of the 255 residential units, we are in the process of selling 219 as condominium units with the remaining 36 units planned to be held as rental units.</w:t>
      </w:r>
    </w:p>
    <w:p>
      <w:pPr>
        <w:spacing w:after="0" w:line="7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August 2005, we received approval to begin closing sales of 100 units located in Building Four and commenced closing these units. In September 2005, we received governmental approval to begin closing sales of an additional 21 units located in Building Six and commenced closing on these units in October 2005. We have also received preliminary governmental approval to begin entering into contracts to sell the remaining 98 units located in Building Three. Projected gross sale proceeds for all 219 condominium units are estimated to be approximately $135 million. The actual gross sale proceeds will depend on demand, interest rates and other market factors. The sale of these units will reduce our operating income by the net income previously generated by these units and will generate sale proceeds which will reduce our basis in the units. As of September 30, 2005, we had closed on sales of 62 units for gross proceeds of $33.9 million.</w:t>
      </w:r>
    </w:p>
    <w:p>
      <w:pPr>
        <w:spacing w:after="0" w:line="13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project the final cost of Santana Row, as currently operating, to be $480 million prior to reduction for any proceeds received from the sale of condominium units. An additional 256 residential rental units are currently under construction with the projected cost for those units to be approximately $67 million. Occupancy of the new units began in April 2005 with lease-up expected to continue into mid-2006.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retail and residential space,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costs of operations and maintenance,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ongoing and future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economy, particularly in and around Silicon Valley.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further growth in earnings from continuing investments in our primary markets in the East and West regions, partly offset by selective dispositions. We expect to continue growth through the acquisition of neighborhood and community shopping centers in 2005 and beyond. This growth is contingent, however, on our ability to find properties that meet our qualitative hurdles at prices that meet our financial hurdles. Changes in interest rates also may affect our success in achieving growth through acquisitions by affecting both the price which must be paid to acquire a property, as well as our ability to economically finance the property acquisitions.</w:t>
      </w:r>
    </w:p>
    <w:p>
      <w:pPr>
        <w:spacing w:after="0" w:line="12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one method to enhance growth and strengthen our market share in the regions in which we operate, in July 2004, we entered into a joint venture arrangement by forming a limited partnership in which we own 30% of the equity. The venture plans to acquire up to $350.0 million of stabilized, supermarket-anchored shopping centers in our East and West regions with the acquisitions to be financed through secured borrowings and equity contributions. We are the manager of the venture and its properties, and we earn fees for acquisitions, management, leasing and financing. Through our partnership interest, we also will have the opportunity to earn performance-based income. In total, at September 30, 2005, the Partnership had $47.2 million of mortgage notes outstanding.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nine months ended September 30, 2005 and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Increase/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0"/>
              </w:rPr>
              <w:t>(Decrease)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294,501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278,725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$ 15,776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6,487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7,793</w:t>
            </w:r>
          </w:p>
        </w:tc>
        <w:tc>
          <w:tcPr>
            <w:tcW w:w="5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305,028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290,129</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Real estate taxes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29,644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28,159</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1,485</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93,079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211,949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195,992</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15,957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2"/>
        </w:trPr>
        <w:tc>
          <w:tcPr>
            <w:tcW w:w="5540" w:type="dxa"/>
            <w:vAlign w:val="bottom"/>
            <w:gridSpan w:val="3"/>
          </w:tcPr>
          <w:p>
            <w:pPr>
              <w:spacing w:after="0"/>
              <w:rPr>
                <w:sz w:val="20"/>
                <w:szCs w:val="20"/>
                <w:color w:val="auto"/>
              </w:rPr>
            </w:pPr>
            <w:r>
              <w:rPr>
                <w:rFonts w:ascii="Arial" w:cs="Arial" w:eastAsia="Arial" w:hAnsi="Arial"/>
                <w:sz w:val="18"/>
                <w:szCs w:val="18"/>
                <w:color w:val="auto"/>
              </w:rPr>
              <w:t>Other interest income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1,946</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1,122</w:t>
            </w:r>
          </w:p>
        </w:tc>
        <w:tc>
          <w:tcPr>
            <w:tcW w:w="5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(65,554)</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(63,835)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(1,719)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(14,441)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(13,443)</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(67,629)</w:t>
            </w: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(66,029)</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expenses,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(145,329)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(142,166)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discontinued operations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66,620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53,826</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12,794</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322"/>
        </w:trPr>
        <w:tc>
          <w:tcPr>
            <w:tcW w:w="554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(3,317)</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(Loss) income from discontinued operations before gain on sale of real estate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17,347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8,016</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79,484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62,238</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$ 17,246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60" w:type="dxa"/>
            <w:vAlign w:val="bottom"/>
            <w:vMerge w:val="restart"/>
          </w:tcPr>
          <w:p>
            <w:pPr>
              <w:jc w:val="right"/>
              <w:ind w:right="12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-325755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49276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Center”</w:t>
      </w:r>
    </w:p>
    <w:p>
      <w:pPr>
        <w:spacing w:after="0" w:line="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Throughout this section, we have provided certain information on a “same center” basis. Information provided on a same center basis is provided for only those properties that we owned and operated for the entirety of both periods being compared and excludes properties for which development, redevelopment or expansion occurred during either of the periods being compared and properties purchased or sold at any time during the periods being compared.</w:t>
      </w:r>
    </w:p>
    <w:p>
      <w:pPr>
        <w:spacing w:after="0" w:line="9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same center-basis results of operations for the three months ended September 30, 2005 compared to the three months ended September 30, 2004 exclude the following:</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Assembly Square, which we acquired in the first quarter of 2005,</w:t>
      </w:r>
    </w:p>
    <w:p>
      <w:pPr>
        <w:spacing w:after="0" w:line="103"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Shaw’s Plaza which we acquired in the fourth quarter of 2004 and sold in the third quarter of 2005, and other dispositions that occurred in 2005 including two buildings in Tempe, Arizona, and two buildings in Winter Park, Florida,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dispositions that occurred in 2004 including Magruder’s Center, Plaza del Mercado and four other buildings located in Connecticut and Illinois,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Santana Row, which is considered under development in both 2005 and 2004.</w:t>
      </w:r>
    </w:p>
    <w:p>
      <w:pPr>
        <w:spacing w:after="0" w:line="1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the properties listed above as being excluded from our same center–basis results of operations for the three months ended September 30, 2005 and 2004, our same center-basis results of operations for the nine months ended September 30, 2005 and 2004, exclude Westgate Mall which was acquired in the first quarter of 2004.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PROPERTY REVENUES</w:t>
      </w:r>
    </w:p>
    <w:p>
      <w:pPr>
        <w:spacing w:after="0" w:line="164" w:lineRule="exact"/>
        <w:rPr>
          <w:sz w:val="20"/>
          <w:szCs w:val="20"/>
          <w:color w:val="auto"/>
        </w:rPr>
      </w:pPr>
    </w:p>
    <w:p>
      <w:pPr>
        <w:ind w:right="500" w:firstLine="456"/>
        <w:spacing w:after="0" w:line="325" w:lineRule="auto"/>
        <w:rPr>
          <w:sz w:val="20"/>
          <w:szCs w:val="20"/>
          <w:color w:val="auto"/>
        </w:rPr>
      </w:pPr>
      <w:r>
        <w:rPr>
          <w:rFonts w:ascii="Arial" w:cs="Arial" w:eastAsia="Arial" w:hAnsi="Arial"/>
          <w:sz w:val="16"/>
          <w:szCs w:val="16"/>
          <w:color w:val="auto"/>
        </w:rPr>
        <w:t>Total revenues in the nine months ended September 30, 2005 were $305.0 million, which represents an increase of $14.9 million, or 5.1%, over total revenues of $290.1 million in the nine months ended September 30, 2004. The following were the primary drivers of this increase:</w:t>
      </w:r>
    </w:p>
    <w:p>
      <w:pPr>
        <w:spacing w:after="0" w:line="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of minimum rent from same center revenues as a result of increased rental rates on new leases,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additional revenue contributed by properties acquired,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minimum rents at redevelopment properties and at Santana Row due to increased occupancy,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 recoveries from our tenants due mainly to higher snow removal costs and other costs at our properties.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percentage leased at our commercial properties increased to 95.5% at September 30, 2005, compared to 94.2% at September 30, 2004, due primarily to new leases signed at existing properties.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Rental income consists primarily of minimum rent, cost recoveries from tenants and percentage rent. Rental income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2005 was $294.5 million compared to $278.7 million in the nine months ended September 30, 2004, which represents an increase of $15.8 million, or 5.7%, due largely to the following:</w:t>
      </w:r>
    </w:p>
    <w:p>
      <w:pPr>
        <w:spacing w:after="0" w:line="46" w:lineRule="exact"/>
        <w:rPr>
          <w:sz w:val="20"/>
          <w:szCs w:val="20"/>
          <w:color w:val="auto"/>
        </w:rPr>
      </w:pPr>
    </w:p>
    <w:p>
      <w:pPr>
        <w:ind w:left="780" w:right="1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same center-basis, an increase of $8.3 million, or 4.0%, due mainly to increased minimum rents associated with new leases and redevelopments and increased cost recoveries resulting from higher snow removal costs in the East,</w:t>
      </w:r>
    </w:p>
    <w:p>
      <w:pPr>
        <w:spacing w:after="0" w:line="37"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approximately $7.8 million due to properties acquired in 2004 and 2005, primarily Westgate Mall and Assembly Square, and to growth at Santana Row,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$2.3 million, or 6.8%, at redevelopment properties due primarily to increased occupancy,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$2.8 million of income recognized in 2004 attributable to proceeds of the Santana Row fire insurance settlement.</w:t>
      </w:r>
    </w:p>
    <w:p>
      <w:pPr>
        <w:spacing w:after="0" w:line="1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 the nine months ended September 30, 2005 was $6.5 million compared to $7.8 million in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2004, which represents a decrease of $1.3 million or 16.8%. Other property income includes items which, although recurring, are not directly related to property rental or tend to fluctuate more than rental income from period to period, such as lease termination fees and management fee income. This decrease is due primarily from a $0.6 million decrease in lease termination fees.</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Interest on mortgage notes receivable in the nine months ended September 30, 2005 was $4.0 million compared to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2004, which represents an increase of $0.4 million or 11.9%. The increase is due primarily to higher principal balances on notes outstanding in the nine months ended September 30, 2005.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PROPERTY EXPENSES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Total property operating expenses in the nine months ended September 30, 2005 were $93.1 million compared to $94.1 million in the nine months ended September 30, 2004, which represents a decrease of $1.1 million, or 1.1%. The decrease in total property expenses is due primarily to a decrease in bad debt expense, insurance premiums and write-offs of fixed assets and deferred lease costs partly offset by expenses associated with additional properties acquired in 2004 and 2005 and higher maintenance expenses.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Rental Expenses. </w:t>
      </w:r>
      <w:r>
        <w:rPr>
          <w:rFonts w:ascii="Arial" w:cs="Arial" w:eastAsia="Arial" w:hAnsi="Arial"/>
          <w:sz w:val="18"/>
          <w:szCs w:val="18"/>
          <w:color w:val="auto"/>
        </w:rPr>
        <w:t>Rental expenses decreased $2.5 million, or 3.9%, to $63.4 million in the nine months ended September 30, 2005 from $66.0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2004. This decrease was the result of:</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$4.0 million due to lower bad debt expense and insurance premiums,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$1.8 million due to lower write-offs of fixed assets and deferred lease costs related to early lease terminations,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$1.1 million in maintenance expenses at same center properties due primarily to higher snow removal costs in the East,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$1.0 million in maintenance expense related to Santana Row and property acquisitions,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$0.9 million due to the expenses attributable to the additional properties acquired during 2004 and 2005.</w:t>
      </w:r>
    </w:p>
    <w:p>
      <w:pPr>
        <w:spacing w:after="0" w:line="1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a result of these changes in rental expenses, as well as changes in rental income and other property income during the nine months ended September 30, 2005, compared to the nine months ended September 30, 2004, rental expense as a percentage of rental income plus other property income decreased from 23.0% in the nine months ended September 30, 2004 to 21.1% in the nine months ended September 30, 2005.</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increased by $1.5 million, or 5.3%, to $29.6 million in the nine months ended September 30, 2005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$28.2 million in the nine months ended September 30, 2004. The increase in 2005 is due largely to increased taxes of $1.2 million related to acquired and developed properties, including Santana Row.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PROPERTY OPERATING INCOME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operating income was $211.9 million for the nine months ended September 30, 2005, an increase of $16.0 million, or 8.1%,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$196.0 million for the nine months ended September 30, 2004. Income recognized from fire insurance proceeds attributable to rental income lost at Santana Row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August 2002 fire is included in property operating income and amounted to $2.8 million in the nine months ended September 30, 2004 and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insignificant in the nine months ended September 30, 2005. Excluding these insurance proceeds, property operating income increased by $18.8 million or 9.6%.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due primarily to:</w:t>
      </w:r>
    </w:p>
    <w:p>
      <w:pPr>
        <w:spacing w:after="0" w:line="7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same center earnings,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attributable to our 2004 and 2005 property acquisitions,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growth at Santana Row for the phases brought into service combined with higher occupancy and lower operating expenses at that property,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at redevelopment properties where occupancy has increased.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Same center property operating income increased by 5.0%, or $7.6 million, in the nine months ended September 30, 2005 over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This increase is primarily due to:</w:t>
      </w:r>
    </w:p>
    <w:p>
      <w:pPr>
        <w:spacing w:after="0" w:line="7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rental income associated with new leases and redevelopments,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percentage rent,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partly offset by</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maintenance expenses, mainly related to snow removal.</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When redevelopment and expansion properties are included with the same center results, property operating income increased by 5.2% or $9.1 million in the nine months ended September 30, 2005, over the nine months ended September 30, 2004.</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$0.8 million, or 73.4%, to $1.9 million in the nine months ended September 30, 2005 compared to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September 30, 2004. This increase is due to additional interest income primarily related to the early pay-off of a note receivable in June 2005. The note receivable that was repaid had an outstanding principal amount of $7.5 million.</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$1.7 million, or 2.7%, to $65.6 million in the nine months ended September 30, 2005 compared to $63.8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September 30, 2004. This increase is due to higher outstanding balances on our line of credit, which we used to finance acquisitions, and higher interest rates on our variable-rate debt. Gross interest costs in the nine months ended September 30, 2005 were $70.0 million compared to $67.7 million in the nine months ended September 30, 2004. Capitalized interest amounted to $4.4 million and $3.8 million in the nine months ended September 30, 2005 and 2004, respectively.</w:t>
      </w:r>
    </w:p>
    <w:p>
      <w:pPr>
        <w:spacing w:after="0" w:line="12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expenses increased by $1.0 million, or 7.4%, to $14.4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2005 compared to $13.4 million in the nine months ended September 30, 2004. This increase resulted primarily from increased costs of benefits and lower capitalization of leasing and development costs.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Expenses attributable to depreciation and amortization increased by $1.6 million, or 2.4%, to $67.6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2005 from $66.0 million in the nine months ended September 30, 2004. The increase is due primarily to depreciation of improvements made to redevelopment properties, depreciation attributable to new properties acquired and depreciation of new capital and tenant improvements at same center properties.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Income to minority partners increased by $0.7 million to $4.0 million in the nine months ended September 30, 2005 from $3.3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2004. This is the result of increased earnings at properties that we own through partnerships, partly offset by a decrease in the interest held by minority owners in several partnerships.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(Loss) Income from Discontinued Operations before Gain on Sale of Real Estate. </w:t>
      </w:r>
      <w:r>
        <w:rPr>
          <w:rFonts w:ascii="Arial" w:cs="Arial" w:eastAsia="Arial" w:hAnsi="Arial"/>
          <w:sz w:val="16"/>
          <w:szCs w:val="16"/>
          <w:color w:val="auto"/>
        </w:rPr>
        <w:t>(Loss) income from discontinued operations before gain on sale of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represents the operating (loss) income of properties prior to their disposition which, under SFAS No. 144, is required to be reported separately from results of ongoing operations. The reported loss of $0.5 million in the nine months ended September 30, 2005 and income of $2.4 million in the nine months ended September 30, 2004 represent the results of operations for the periods during which we owned the properties that were sold in 2005 and 2004.</w:t>
      </w:r>
    </w:p>
    <w:p>
      <w:pPr>
        <w:spacing w:after="0" w:line="9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Gain on Sale of Real Estate. </w:t>
      </w:r>
      <w:r>
        <w:rPr>
          <w:rFonts w:ascii="Arial" w:cs="Arial" w:eastAsia="Arial" w:hAnsi="Arial"/>
          <w:sz w:val="16"/>
          <w:szCs w:val="16"/>
          <w:color w:val="auto"/>
        </w:rPr>
        <w:t>The gain on sale of real estate was $17.3 million in the nine months ended September 30, 2005 and $9.3 million in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2004. Each of the properties sold in the nine months ended September 30, 2005 and 2004, resulted in a gain.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manage our portfolio as two operating regions: East and West. Property management teams consist of regional directors, leasing agents, development staff and financial personnel, each of whom has responsibility for a distinct portfolio.</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selected key segment data presented is for the nine months ended September 30, 2005 and 2004. The results of operations of properties that have been subsequently sold are excluded from property operating income data in the following table, in accordance with SFAS No. 144.</w:t>
      </w:r>
    </w:p>
    <w:p>
      <w:pPr>
        <w:spacing w:after="0" w:line="7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East</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230,619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235,456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167,569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87"/>
              </w:rPr>
              <w:t>1,348,641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1,300,315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leasable area at end of period (square feet)</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14,920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14,383</w:t>
            </w:r>
          </w:p>
        </w:tc>
        <w:tc>
          <w:tcPr>
            <w:tcW w:w="0" w:type="dxa"/>
            <w:vAlign w:val="bottom"/>
          </w:tcPr>
          <w:p>
            <w:pPr>
              <w:spacing w:after="0"/>
              <w:rPr>
                <w:sz w:val="1"/>
                <w:szCs w:val="1"/>
                <w:color w:val="auto"/>
              </w:rPr>
            </w:pPr>
          </w:p>
        </w:tc>
      </w:tr>
      <w:tr>
        <w:trPr>
          <w:trHeight w:val="323"/>
        </w:trPr>
        <w:tc>
          <w:tcPr>
            <w:tcW w:w="4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West</w:t>
            </w: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63,882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Total revenue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69,572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44,380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879,588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894,918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Gross leasable area at end of period (square feet)</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00" w:type="dxa"/>
            <w:vAlign w:val="bottom"/>
          </w:tcPr>
          <w:p>
            <w:pPr>
              <w:jc w:val="right"/>
              <w:ind w:right="309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EAST</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 This region also includes several properties in Illinois and Michigan. As of September 30, 2005, the East segment consisted of 70 properties, after taking into account the sale of two properties in the second quarter of 2005 and the sale of one property in the third quarter of 2005.</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Total revenue in the East increased $10.2 million to $235.5 million in the nine months ended September 30, 2005 compared to $225.2 million in the nine months ended September 30, 2004. The increase in total revenue of 4.5% is attributable mainly to increases in revenues at redevelopment properties and higher revenues on lease turnover.</w:t>
      </w:r>
    </w:p>
    <w:p>
      <w:pPr>
        <w:spacing w:after="0" w:line="127"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The percentage leased for the East region was 95.9% and 94.6% at September 30, 2005 and 2004, respectively. The percentage leased increased between September 30, 2004 and September 30, 2005 due partly to the leasing of centers under redevelopment.</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ratio of property operating income to total revenue for the East region increased to 71.2% for the nine months ended September 30, 2005 from 69.6% for the nine months ended September 30, 2004. The East region’s property operating income margin to total revenue improved in the nine months ended September 30, 2005 compared to the nine month ended September 30, 2004 primarily due to improvements on redevelopments and higher revenues on lease turnover.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West region extends from Texas to the West Coast. As of September 30, 2005, the West segment consisted of 33 properties, including Santana Row (but excluding 100 condominium units) and after taking into account the sale of two properties in the first quarter of 2005. The 100 condominium units were previously rental units as to which we began closing sales in the third quarter of 2005.</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Total revenue in the West in the nine months ended September 30, 2005 increased $4.7 million to $69.6 million compared to $64.9 million in the nine months ended September 30, 2004. The increase in total revenue of 7.2% is largely attributable to increased rental revenue of $5.4 million, primarily from Westgate Mall, which was acquired at the end of March 2004, and from Santana Row. The increase in rental revenue was partially offset by a decrease in Santana Row fire insurance proceeds of $2.8 million. The insurance proceeds were reported as part of rental income as they relate largely to lost rents on the delayed opening of the residential and retail units and rental concessions to tenants due to the August 2002 fire at Santana Row.</w:t>
      </w:r>
    </w:p>
    <w:p>
      <w:pPr>
        <w:spacing w:after="0" w:line="102"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The percentage leased for the West region was 92.7% and 91.8% at September 30, 2005 and September 30, 2004, respectively. The improved leased rate as of September 30, 2005 compared September 30, 2004 is due largely to the leasing of additional space at Santana Row and to higher leased rates at Westgate Mall.</w:t>
      </w:r>
    </w:p>
    <w:p>
      <w:pPr>
        <w:spacing w:after="0" w:line="4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ratio of property operating income to total revenue for the West region increased to 63.8% for the nine months ended September 30, 2005 from 60.4% for the nine months ended September 30, 2004. The West region’s property operating income margin to total revenue improved in the nine months ended September 30, 2005 over the nine months ended September 30, 2004 due primarily to growth in revenue and reduced expenses at Santana Row and the acquisition of Westgate Mall.</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overall return on investment in the West segment is significantly less than the overall return on investment in the East segment. This is primarily due to the following factors:</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generally lower basis in our East segment properties,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occupancy rates at Houston Street in San Antonio, Texas are below our portfolio average,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phasing into service of Santana Row.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that the returns on investment in the West will continue to rise as these projects come into service, but that they will not necessarily rise to the same level of overall returns that are generated in the East segment.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three months ended September 30, 2005 and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Increase/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98,071</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$ 94,374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2,458</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101,839</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(2,037)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10,109</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9,873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(1,801)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71,515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(21,664)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(22,591)</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(23,292)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(48,832)</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22,683</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(1,208)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9,463</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8,466</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$ 18,660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12,020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-29210</wp:posOffset>
            </wp:positionV>
            <wp:extent cx="45847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REVENUES</w:t>
      </w:r>
    </w:p>
    <w:p>
      <w:pPr>
        <w:spacing w:after="0" w:line="164" w:lineRule="exact"/>
        <w:rPr>
          <w:sz w:val="20"/>
          <w:szCs w:val="20"/>
          <w:color w:val="auto"/>
        </w:rPr>
      </w:pPr>
    </w:p>
    <w:p>
      <w:pPr>
        <w:ind w:right="560" w:firstLine="456"/>
        <w:spacing w:after="0" w:line="325" w:lineRule="auto"/>
        <w:rPr>
          <w:sz w:val="20"/>
          <w:szCs w:val="20"/>
          <w:color w:val="auto"/>
        </w:rPr>
      </w:pPr>
      <w:r>
        <w:rPr>
          <w:rFonts w:ascii="Arial" w:cs="Arial" w:eastAsia="Arial" w:hAnsi="Arial"/>
          <w:sz w:val="16"/>
          <w:szCs w:val="16"/>
          <w:color w:val="auto"/>
        </w:rPr>
        <w:t>Total revenues in the three months ended September 30, 2005 were $101.8 million, which represents an increase of $3.0 million, or 3.0%, over total revenues of $98.8 million in the three months ended September 30, 2004. The following were the primary drivers of this increase:</w:t>
      </w:r>
    </w:p>
    <w:p>
      <w:pPr>
        <w:spacing w:after="0" w:line="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of minimum rent from same center revenues as a result of increased rental rates on new leases,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additional revenue contributed by properties acquired,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minimum rents at redevelopment properties and at Santana Row due to increased occupancy.</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percentage leased at our commercial properties increased to 95.5% at September 30, 2005 compared to 94.2% at September 30, 2004 due primarily to new leases signed at existing properties.</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Rental income consists primarily of minimum rent, cost recoveries from tenants and percentage rent. Rental income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2005 was $98.1 million compared to $94.4 million in the three months ended September 30, 2004, which represents an increase of $3.7 million, or 3.9%, due largely to the following:</w:t>
      </w:r>
    </w:p>
    <w:p>
      <w:pPr>
        <w:spacing w:after="0" w:line="46" w:lineRule="exact"/>
        <w:rPr>
          <w:sz w:val="20"/>
          <w:szCs w:val="20"/>
          <w:color w:val="auto"/>
        </w:rPr>
      </w:pPr>
    </w:p>
    <w:p>
      <w:pPr>
        <w:ind w:left="780" w:right="104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 same center basis, an increase of $3.2 million, or 4.4%, due mainly to increased minimum rents associated with tenant rollovers and redevelopments, offsetting lower maintenance cost recoveries,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approximately $0.8 million due to properties acquired in 2004 and 2005, primarily Assembly Square,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$0.6 million, or 5.1%, at redevelopment properties due primarily to increased occupancy,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$0.7 million of income recognized on the Santana Row fire insurance settlement.</w:t>
      </w:r>
    </w:p>
    <w:p>
      <w:pPr>
        <w:spacing w:after="0" w:line="1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 the three months ended September 30, 2005 was $2.5 million compared to $3.2 million in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2004, which represents a $0.8 million, or 23.9% decrease. Other property income includes items which, although recurring, are not directly related to property rental or tend to fluctuate more than rental income from period to period, such as lease termination fees and management fee income. This decrease is due primarily from a $0.7 million decrease in lease termination fees.</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Interest on mortgage notes receivable in the three months ended September 30, 2005 was $1.3 million compared to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September 30, 2004. The increase of less than $0.1 million is due primarily to higher principal balances on notes outstanding in the third quarter of 2005.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PROPERTY EXPENSES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property operating expenses in the three months ended September 30, 2005 were $30.3 million compared to $32.1 million in the three months ended September 30, 2004, which represents a decrease of $1.8 million, or 5.6%. The decrease in total property expenses is due primarily to lower bad debt expense and fixed asset write-offs, partially offset by higher real estate taxes.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Rental Expenses. </w:t>
      </w:r>
      <w:r>
        <w:rPr>
          <w:rFonts w:ascii="Arial" w:cs="Arial" w:eastAsia="Arial" w:hAnsi="Arial"/>
          <w:sz w:val="18"/>
          <w:szCs w:val="18"/>
          <w:color w:val="auto"/>
        </w:rPr>
        <w:t>Rental expenses decreased $2.0 million, or 9.2%, to $20.2 million in the three months ended September 30, 2005 from $22.3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2004. This decrease was the result of:</w:t>
      </w:r>
    </w:p>
    <w:p>
      <w:pPr>
        <w:spacing w:after="0" w:line="3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$1.1 million in bad debt expense,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$0.7 million due to write-offs of fixed assets and deferred lease costs related to early lease terminations.</w:t>
      </w:r>
    </w:p>
    <w:p>
      <w:pPr>
        <w:spacing w:after="0" w:line="185"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As a result of these changes in rental expenses, as well as changes in rental income and other property income during the three months ended September 30, 2005, compared to the three months ended September 30, 2004, rental expense as a percentage of rental income plus other property income decreased from 22.8% in the three months ended September 30, 2004 to 20.1% in the three months ended September 30, 2005.</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increased by $0.2 million, or 2.4%, to $10.1 million in the three months ended September 30, 2005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$9.9 million in the three months ended September 30, 2004. The increase in 2005 is due largely to increased taxes related to acquired and developed properties, including Santana Row.</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PROPERTY OPERATING INCOME</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operating income was $71.5 million for the three months ended September 30, 2005, which represents an increase of $4.8 million, or 7.2%, compared to $66.7 million for the three months ended September 30, 2004. Income recognized from fire insurance proceeds attributable to rental income lost at Santana Row due to the August 2002 fire amounted to $0.7 million in the third quarter of 2004 with no income recognized in the third quarter of 2005. Excluding these insurance proceeds, property operating income increased by $5.5 million. This increase is due primarily to:</w:t>
      </w:r>
    </w:p>
    <w:p>
      <w:pPr>
        <w:spacing w:after="0" w:line="18"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same center earnings,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 attributable to our 2004 and 2005 acquisitions,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at redevelopment properties where vacancy has decreased.</w:t>
      </w:r>
    </w:p>
    <w:p>
      <w:pPr>
        <w:spacing w:after="0" w:line="1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Same center property operating income increased by 5.9%, or approximately $3.1 million, in the three months ended September 30, 2005 compared to the three months ended September 30, 2004. This increase is primarily due to increased rental income associated with new leases. When redevelopment and expansion properties are included with the same center results, property operating income increased by 5.3% or $3.3 million.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decreased by $0.2 million, or 44.7%, to $0.3 million in the three months ended September 30, 2005, compared to $0.5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three months ended September 30, 2004. The decrease is due to lower principal balances on notes receivable as a result of an early pay-off of a note receivable in June 2005. The note receivable that was repaid had an outstanding principal amount of $7.5 million.</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$0.5 million, or 2.6%, to $21.7 million in the three months ended September 30, 2005 compared to $21.1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September 30, 2004. This increase is due to higher outstanding balances on our line of credit, which we used to finance acquisitions, and higher interest rates on our variable-rate debt. Gross interest costs in the three months ended September 30, 2005 were $23.5 million compared to $22.4 million in the three months ended September 30, 2004. Capitalized interest amounted to $1.9 million and $1.3 million in the three months ended September 30, 2005 and 2004, respectively.</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expenses increased by $0.3 million, or 6.1%, to $5.0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2005 compared to $4.7 million in the three months ended September 30, 2004. This increase resulted primarily from increased costs of payroll and benefits.</w:t>
      </w:r>
    </w:p>
    <w:p>
      <w:pPr>
        <w:spacing w:after="0" w:line="12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Expenses attributable to depreciation and amortization decreased by $0.7 million or 3.0%, to $22.6 million in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2005 from $23.3 million in the three months ended September 30, 2004. This decrease is due primarily to a change in estimate which resulted in accelerating depreciation for a redevelopment property in the three months ended September 30, 2004.</w:t>
      </w:r>
    </w:p>
    <w:p>
      <w:pPr>
        <w:spacing w:after="0" w:line="9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Income to minority partners increased $0.3 million to $1.2 million in the three months ended September 30, 2005 from $0.9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2004. This is the result of increased earnings at properties that we own through partnerships, partly offset by a decrease in the interest held by minority owners in several partnerships.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(Loss) Income from Discontinued Operations before Gain on Sale of Real Estate. </w:t>
      </w:r>
      <w:r>
        <w:rPr>
          <w:rFonts w:ascii="Arial" w:cs="Arial" w:eastAsia="Arial" w:hAnsi="Arial"/>
          <w:sz w:val="16"/>
          <w:szCs w:val="16"/>
          <w:color w:val="auto"/>
        </w:rPr>
        <w:t>(Loss) income from discontinued operations represents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(loss) income of properties prior to their disposition which, under SFAS No. 144, are required to be reported separately from results of ongoing operations. The reported loss of $0.3 million in the three months ended September 30, 2005 and income of $0.5 million in the three months ended September 30, 2004 represent the results of operations for the periods during which we owned the properties that were sold in 2005 and 2004.</w:t>
      </w:r>
    </w:p>
    <w:p>
      <w:pPr>
        <w:spacing w:after="0" w:line="9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was $9.5 million in the three months ended September 30, 2005 and $1.0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2004. Each of the properties sold in the three months ended September 30, 2004 and the three months ended September 30, 2005 resulted in a gain.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selected key segment data presented is for the three months ended September 30, 2005 and 2004. The results of operations of properties that have been subsequently sold are excluded from property operating income data in the following table, in accordance with SFAS No. 144.</w:t>
      </w:r>
    </w:p>
    <w:p>
      <w:pPr>
        <w:spacing w:after="0" w:line="7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East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76,738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78,393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56,120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87"/>
              </w:rPr>
              <w:t>1,348,641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1,300,315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leasable area at end of period (square feet)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14,920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14,383</w:t>
            </w:r>
          </w:p>
        </w:tc>
        <w:tc>
          <w:tcPr>
            <w:tcW w:w="0" w:type="dxa"/>
            <w:vAlign w:val="bottom"/>
          </w:tcPr>
          <w:p>
            <w:pPr>
              <w:spacing w:after="0"/>
              <w:rPr>
                <w:sz w:val="1"/>
                <w:szCs w:val="1"/>
                <w:color w:val="auto"/>
              </w:rPr>
            </w:pPr>
          </w:p>
        </w:tc>
      </w:tr>
      <w:tr>
        <w:trPr>
          <w:trHeight w:val="283"/>
        </w:trPr>
        <w:tc>
          <w:tcPr>
            <w:tcW w:w="8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West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Total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23,446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15,395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879,588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894,918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Gross leasable area at end of period (square feet)</w:t>
            </w:r>
          </w:p>
        </w:tc>
        <w:tc>
          <w:tcPr>
            <w:tcW w:w="8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w:t>
      </w:r>
    </w:p>
    <w:p>
      <w:pPr>
        <w:spacing w:after="0" w:line="1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 This region also includes several properties in Illinois and Michigan. As of September 30, 2005, the East segment consisted of 70 properties after taking into account the sale of two properties in the second quarter of 2005, and the sale of one property in the third quarter.</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Total revenue in the East increased $3.2 million to $78.4 million in the three months ended September 30, 2005 compared to $75.2 million in the three months ended September 30, 2004. The increase in total revenue of 4.2% is attributable mainly to increases in revenues at redevelopment properties and higher revenues on lease turnover.</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percentage leased for the East region was 95.9% and 94.6% at September 30, 2005 and 2004, respectively. The percentage leased increased between September 30, 2004 and September 30, 2005 due partly to the leasing of centers under redevelopment.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ratio of property operating income to total revenue for the East region increased to 71.6% for the three months ended September 30, 2005 from 69.1% for the three months ended September 30, 2004. The East region’s property operating income margin to total revenue improved in the three months ended September 30, 2005 compared to the three months ended September 30, 2004 due primarily to improvements on redevelopments and higher revenues on lease turnover.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West region extends from Texas to the West Coast. As of September 30, 2005, the West segment consisted of 33 properties, including Santana Row (but excluding 100 condominium units) and after taking into account the sale of two properties in the first quarter of 2005. The 100 condominium units were previously rental units as to which we began closing sales in the third quarter of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revenue in the West in the three months ended September 30, 2005 decreased $0.2 million to $23.4 million compared to $23.6 million in the three months ended September 30, 2004. The decrease in total revenue of 0.8% is largely attributable to a decrease in insurance proceeds of $0.7 million. The insurance proceeds were reported as part of rental income, as they relate largely to lost rents on the delayed opening of the residential and retail units due to the August 2002 fire at Santana Row.</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percentage leased for the West region was 92.7% and 91.8% at September 30, 2005 and September 30, 2004, respectively. The improved leased rate as of September 30, 2005 compared to September 30, 2004 is due largely to the leasing of additional space at Santana Row and to higher leased rates at Westgate Mall.</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ratio of property operating income to total revenue for the West region increased to 65.7% for the three months ended September 30, 2005 from 62.4% for the three months ended September 30, 2004. The West region’s property operating income margin to total revenue improved in the three months ended September 30, 2005 over the three months ended September 30, 2004 due primarily to growth in revenue and reduced expenses at Santana Row and Westgate Mall.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each year, as defined in the Internal Revenue Code. Therefore, cash needed to execute our strategy and invest in new properties, as well as to pay our debt at maturity, must come from one or more of the following sources:</w:t>
      </w:r>
    </w:p>
    <w:p>
      <w:pPr>
        <w:spacing w:after="0" w:line="49"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not distributed to shareholders,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proceeds of property dispositions,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proceeds derived from the issuance of new debt or equity securities.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In a manner consistent with our intention to operate with a conservative capital structure, we may, from time to time, seek to obtain funds by the following means:</w:t>
      </w:r>
    </w:p>
    <w:p>
      <w:pPr>
        <w:spacing w:after="0" w:line="49"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debt and equity alternatives, including joint ventures.</w:t>
      </w:r>
    </w:p>
    <w:p>
      <w:pPr>
        <w:spacing w:after="0" w:line="185" w:lineRule="exact"/>
        <w:rPr>
          <w:sz w:val="20"/>
          <w:szCs w:val="20"/>
          <w:color w:val="auto"/>
        </w:rPr>
      </w:pPr>
    </w:p>
    <w:p>
      <w:pPr>
        <w:ind w:right="2140" w:firstLine="456"/>
        <w:spacing w:after="0" w:line="420" w:lineRule="auto"/>
        <w:rPr>
          <w:sz w:val="20"/>
          <w:szCs w:val="20"/>
          <w:color w:val="auto"/>
        </w:rPr>
      </w:pPr>
      <w:r>
        <w:rPr>
          <w:rFonts w:ascii="Arial" w:cs="Arial" w:eastAsia="Arial" w:hAnsi="Arial"/>
          <w:sz w:val="18"/>
          <w:szCs w:val="18"/>
          <w:color w:val="auto"/>
        </w:rPr>
        <w:t xml:space="preserve">Cash and cash equivalents were $16.6 million and $30.5 million at September 30, 2005 and December 31, 2004, respectively. </w:t>
      </w:r>
      <w:r>
        <w:rPr>
          <w:rFonts w:ascii="Arial" w:cs="Arial" w:eastAsia="Arial" w:hAnsi="Arial"/>
          <w:sz w:val="18"/>
          <w:szCs w:val="18"/>
          <w:b w:val="1"/>
          <w:bCs w:val="1"/>
          <w:i w:val="1"/>
          <w:iCs w:val="1"/>
          <w:color w:val="auto"/>
        </w:rPr>
        <w:t>Summary of Cash Flows</w:t>
      </w:r>
    </w:p>
    <w:p>
      <w:pPr>
        <w:ind w:left="90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ind w:left="1140"/>
        <w:spacing w:after="0"/>
        <w:tabs>
          <w:tab w:leader="none" w:pos="9060" w:val="left"/>
        </w:tabs>
        <w:rPr>
          <w:sz w:val="20"/>
          <w:szCs w:val="20"/>
          <w:color w:val="auto"/>
        </w:rPr>
      </w:pPr>
      <w:r>
        <w:rPr>
          <w:rFonts w:ascii="Arial" w:cs="Arial" w:eastAsia="Arial" w:hAnsi="Arial"/>
          <w:sz w:val="14"/>
          <w:szCs w:val="14"/>
          <w:b w:val="1"/>
          <w:bCs w:val="1"/>
          <w:i w:val="1"/>
          <w:iCs w:val="1"/>
          <w:color w:val="auto"/>
        </w:rPr>
        <w:t>(In thousands)</w:t>
      </w:r>
      <w:r>
        <w:rPr>
          <w:sz w:val="20"/>
          <w:szCs w:val="20"/>
          <w:color w:val="auto"/>
        </w:rPr>
        <w:tab/>
      </w:r>
      <w:r>
        <w:rPr>
          <w:rFonts w:ascii="Arial" w:cs="Arial" w:eastAsia="Arial" w:hAnsi="Arial"/>
          <w:sz w:val="11"/>
          <w:szCs w:val="11"/>
          <w:b w:val="1"/>
          <w:bCs w:val="1"/>
          <w:color w:val="auto"/>
        </w:rPr>
        <w:t>September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6604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60325</wp:posOffset>
            </wp:positionV>
            <wp:extent cx="7200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563" w:hanging="563"/>
        <w:spacing w:after="0"/>
        <w:tabs>
          <w:tab w:leader="none" w:pos="5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134,345</w:t>
      </w:r>
    </w:p>
    <w:p>
      <w:pPr>
        <w:spacing w:after="0" w:line="38" w:lineRule="exact"/>
        <w:rPr>
          <w:rFonts w:ascii="Arial" w:cs="Arial" w:eastAsia="Arial" w:hAnsi="Arial"/>
          <w:sz w:val="16"/>
          <w:szCs w:val="16"/>
          <w:color w:val="auto"/>
        </w:rPr>
      </w:pPr>
    </w:p>
    <w:p>
      <w:pPr>
        <w:ind w:left="503"/>
        <w:spacing w:after="0"/>
        <w:rPr>
          <w:rFonts w:ascii="Arial" w:cs="Arial" w:eastAsia="Arial" w:hAnsi="Arial"/>
          <w:sz w:val="16"/>
          <w:szCs w:val="16"/>
          <w:color w:val="auto"/>
        </w:rPr>
      </w:pPr>
      <w:r>
        <w:rPr>
          <w:rFonts w:ascii="Arial" w:cs="Arial" w:eastAsia="Arial" w:hAnsi="Arial"/>
          <w:sz w:val="15"/>
          <w:szCs w:val="15"/>
          <w:color w:val="auto"/>
        </w:rPr>
        <w:t>(101,193)</w:t>
      </w:r>
    </w:p>
    <w:p>
      <w:pPr>
        <w:spacing w:after="0" w:line="43" w:lineRule="exact"/>
        <w:rPr>
          <w:rFonts w:ascii="Arial" w:cs="Arial" w:eastAsia="Arial" w:hAnsi="Arial"/>
          <w:sz w:val="16"/>
          <w:szCs w:val="16"/>
          <w:color w:val="auto"/>
        </w:rPr>
      </w:pPr>
    </w:p>
    <w:p>
      <w:pPr>
        <w:ind w:left="603"/>
        <w:spacing w:after="0"/>
        <w:rPr>
          <w:rFonts w:ascii="Arial" w:cs="Arial" w:eastAsia="Arial" w:hAnsi="Arial"/>
          <w:sz w:val="16"/>
          <w:szCs w:val="16"/>
          <w:color w:val="auto"/>
        </w:rPr>
      </w:pPr>
      <w:r>
        <w:rPr>
          <w:rFonts w:ascii="Arial" w:cs="Arial" w:eastAsia="Arial" w:hAnsi="Arial"/>
          <w:sz w:val="15"/>
          <w:szCs w:val="15"/>
          <w:color w:val="auto"/>
        </w:rPr>
        <w:t>(47,054)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200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47"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(13,902)</w:t>
      </w:r>
    </w:p>
    <w:p>
      <w:pPr>
        <w:spacing w:after="0" w:line="15" w:lineRule="exact"/>
        <w:rPr>
          <w:sz w:val="20"/>
          <w:szCs w:val="20"/>
          <w:color w:val="auto"/>
        </w:rPr>
      </w:pPr>
    </w:p>
    <w:p>
      <w:pPr>
        <w:ind w:left="643"/>
        <w:spacing w:after="0"/>
        <w:rPr>
          <w:sz w:val="20"/>
          <w:szCs w:val="20"/>
          <w:color w:val="auto"/>
        </w:rPr>
      </w:pPr>
      <w:r>
        <w:rPr>
          <w:rFonts w:ascii="Arial" w:cs="Arial" w:eastAsia="Arial" w:hAnsi="Arial"/>
          <w:sz w:val="16"/>
          <w:szCs w:val="16"/>
          <w:color w:val="auto"/>
        </w:rPr>
        <w:t>30,475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200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5" w:lineRule="exact"/>
        <w:rPr>
          <w:sz w:val="20"/>
          <w:szCs w:val="20"/>
          <w:color w:val="auto"/>
        </w:rPr>
      </w:pPr>
    </w:p>
    <w:p>
      <w:pPr>
        <w:ind w:left="643" w:hanging="643"/>
        <w:spacing w:after="0"/>
        <w:tabs>
          <w:tab w:leader="none" w:pos="6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16,573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499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357" w:space="720"/>
            <w:col w:w="2343"/>
          </w:cols>
          <w:pgMar w:left="240" w:top="459"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the change in working capital related to our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cash of $101.2 million during the nine months ended September 30, 2005 in investing activities, including the following:</w:t>
      </w:r>
    </w:p>
    <w:p>
      <w:pPr>
        <w:spacing w:after="0" w:line="77"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$67.5 million for our acquisition of Assembly Square and an adjacent ten-acre retail/industrial complex,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expenditures of $87.8 million for development and redevelopment of properties including Santana Row,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maintenance capital expenditures of approximately $15.2 million,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leasing costs of approximately $5.3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partly offset by</w:t>
      </w:r>
    </w:p>
    <w:p>
      <w:pPr>
        <w:spacing w:after="0" w:line="7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$61.3 million in net sale proceeds from the sale of properties,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$13.2 million in net repayment of mortgage and other notes receivable.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2005, our financing activities used $47.1 million of cash, which was composed of:</w:t>
      </w:r>
    </w:p>
    <w:p>
      <w:pPr>
        <w:spacing w:after="0" w:line="77"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$88.8 million used to pay dividends to common and preferred shareholders,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$3.4 million of net payments on mortgages, capital leases and notes payable,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$3.4 million representing dividends paid and redemptions related to operating partnership units,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7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$41.0 million of net borrowings on our revolving credit facility,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$7.5 million of proceeds from the issuance of common shares and upon the exercise of options.</w:t>
      </w:r>
    </w:p>
    <w:p>
      <w:pPr>
        <w:spacing w:after="0" w:line="1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Other than items disclosed in the Contractual Commitments Table and related notes below, we have no off-balance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as of September 30, 2005 that are reasonably likely to have a current or future material effect on our financial condition, changes in our financial condition, revenues or expenses, results of operations, liquidity, capital expenditures or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our fixed, noncancelable obligations as of September 30,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8"/>
          </w:tcPr>
          <w:p>
            <w:pPr>
              <w:jc w:val="right"/>
              <w:ind w:right="554"/>
              <w:spacing w:after="0"/>
              <w:rPr>
                <w:sz w:val="20"/>
                <w:szCs w:val="20"/>
                <w:color w:val="auto"/>
              </w:rPr>
            </w:pPr>
            <w:r>
              <w:rPr>
                <w:rFonts w:ascii="Arial" w:cs="Arial" w:eastAsia="Arial" w:hAnsi="Arial"/>
                <w:sz w:val="14"/>
                <w:szCs w:val="14"/>
                <w:b w:val="1"/>
                <w:bCs w:val="1"/>
                <w:color w:val="auto"/>
              </w:rPr>
              <w:t>Commitments Due by Period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Remainder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63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of 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2006-2007</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2008-2009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long-term debt, principal only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1,177,281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394,328</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347,705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Capital lease obligations, principal only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158,160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3,222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Real estate commitments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38,987</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Restaurant joint ventures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1,842,385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454,797</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314261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14261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77" w:lineRule="exact"/>
        <w:rPr>
          <w:sz w:val="20"/>
          <w:szCs w:val="20"/>
          <w:color w:val="auto"/>
        </w:rPr>
      </w:pPr>
    </w:p>
    <w:p>
      <w:pPr>
        <w:ind w:left="460" w:right="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50% and 100% of its 29.47% interest in Congressional Plaza at the interest’s then-current fair market value. Based on management’s current estimate of fair market value as of September 30, 2005, our estimated maximum commitment upon exercise of the put option would range from approximately $30.0 million to $34.0 million.</w:t>
      </w:r>
    </w:p>
    <w:p>
      <w:pPr>
        <w:spacing w:after="0" w:line="59" w:lineRule="exact"/>
        <w:rPr>
          <w:sz w:val="20"/>
          <w:szCs w:val="20"/>
          <w:color w:val="auto"/>
        </w:rPr>
      </w:pPr>
    </w:p>
    <w:p>
      <w:pPr>
        <w:ind w:left="460" w:right="20" w:hanging="452"/>
        <w:spacing w:after="0" w:line="29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21" w:lineRule="exact"/>
        <w:rPr>
          <w:rFonts w:ascii="Arial" w:cs="Arial" w:eastAsia="Arial" w:hAnsi="Arial"/>
          <w:sz w:val="16"/>
          <w:szCs w:val="16"/>
          <w:color w:val="auto"/>
        </w:rPr>
      </w:pPr>
    </w:p>
    <w:p>
      <w:pPr>
        <w:ind w:left="460" w:right="40" w:hanging="452"/>
        <w:spacing w:after="0" w:line="28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specified in the Agreement not cover the debt service. We posted a letter of credit with the City on September 25, 2002 for $0.8 million, and the letter of credit remains outstanding. We estimate our obligation under the Agreement to be in the range of $1.6 million to $3.0 million. During the years ended December 31, 2004 and 2003 we funded approximately $0.4 million each year. In anticipation of a shortfall of incremental tax revenues to the City, we have accrued $0.4 million as of September 30, 2005 to cover additional payments we may be obligated to make as part of the project costs. Prior to the expiration of the Agreement on September 30, 2014, we could be required to provide funding beyond the $0.7 million currently accrued. We do not anticipate, however, that our obligation would exceed $0.6 million in any year or $3.0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32" w:lineRule="exact"/>
        <w:rPr>
          <w:rFonts w:ascii="Arial" w:cs="Arial" w:eastAsia="Arial" w:hAnsi="Arial"/>
          <w:sz w:val="16"/>
          <w:szCs w:val="16"/>
          <w:color w:val="auto"/>
        </w:rPr>
      </w:pPr>
    </w:p>
    <w:p>
      <w:pPr>
        <w:ind w:left="460" w:right="60" w:hanging="452"/>
        <w:spacing w:after="0" w:line="29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terms of various partnerships, which own shopping center properties with a cost of approximately $88.5 million, the partners have the right to exchange their operating units for cash or the same number of our common shares, at our option. For the nine months ended September 30, 2005 we paid $0.8 million to redeem 15,759 of these operating units and issued 203,140 of our common shares to redeem 203,140 operating units. The 203,140 common shares issued include 190,000 common shares that were issued to a subsidiary in 2004 and sold to a third party in February 2005 to complete a redemption. As of September 30, 2005, a total of 420,426 operating units are outstanding.</w:t>
      </w:r>
    </w:p>
    <w:p>
      <w:pPr>
        <w:spacing w:after="0" w:line="21" w:lineRule="exact"/>
        <w:rPr>
          <w:rFonts w:ascii="Arial" w:cs="Arial" w:eastAsia="Arial" w:hAnsi="Arial"/>
          <w:sz w:val="16"/>
          <w:szCs w:val="16"/>
          <w:color w:val="auto"/>
        </w:rPr>
      </w:pPr>
    </w:p>
    <w:p>
      <w:pPr>
        <w:ind w:left="460" w:right="10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25" w:lineRule="exact"/>
        <w:rPr>
          <w:rFonts w:ascii="Arial" w:cs="Arial" w:eastAsia="Arial" w:hAnsi="Arial"/>
          <w:sz w:val="16"/>
          <w:szCs w:val="16"/>
          <w:color w:val="auto"/>
        </w:rPr>
      </w:pPr>
    </w:p>
    <w:p>
      <w:pPr>
        <w:ind w:left="460" w:right="26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us for any loss we incur under these guarantees.</w:t>
      </w:r>
    </w:p>
    <w:p>
      <w:pPr>
        <w:spacing w:after="0" w:line="12"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estimated certain costs that we may be required to pay in the future as a result of selling certain properties during 2005. As of September 30, 2005, our recorded reserve for these costs is approximately $1.4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2005, we had total debt outstanding of $1.3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September 30,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Principal Balance</w:t>
            </w:r>
          </w:p>
        </w:tc>
        <w:tc>
          <w:tcPr>
            <w:tcW w:w="17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Interest Rate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c>
          <w:tcPr>
            <w:tcW w:w="130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Original Debt</w:t>
            </w:r>
          </w:p>
        </w:tc>
        <w:tc>
          <w:tcPr>
            <w:tcW w:w="260" w:type="dxa"/>
            <w:vAlign w:val="bottom"/>
          </w:tcPr>
          <w:p>
            <w:pPr>
              <w:spacing w:after="0"/>
              <w:rPr>
                <w:sz w:val="3"/>
                <w:szCs w:val="3"/>
                <w:color w:val="auto"/>
              </w:rPr>
            </w:pPr>
          </w:p>
        </w:tc>
        <w:tc>
          <w:tcPr>
            <w:tcW w:w="1400" w:type="dxa"/>
            <w:vAlign w:val="bottom"/>
            <w:gridSpan w:val="2"/>
            <w:vMerge w:val="restart"/>
          </w:tcPr>
          <w:p>
            <w:pPr>
              <w:jc w:val="right"/>
              <w:ind w:right="960"/>
              <w:spacing w:after="0" w:line="149" w:lineRule="exact"/>
              <w:rPr>
                <w:sz w:val="20"/>
                <w:szCs w:val="20"/>
                <w:color w:val="auto"/>
              </w:rPr>
            </w:pPr>
            <w:r>
              <w:rPr>
                <w:rFonts w:ascii="Arial" w:cs="Arial" w:eastAsia="Arial" w:hAnsi="Arial"/>
                <w:sz w:val="14"/>
                <w:szCs w:val="14"/>
                <w:b w:val="1"/>
                <w:bCs w:val="1"/>
                <w:color w:val="auto"/>
              </w:rPr>
              <w:t>as of</w:t>
            </w:r>
          </w:p>
        </w:tc>
        <w:tc>
          <w:tcPr>
            <w:tcW w:w="1760" w:type="dxa"/>
            <w:vAlign w:val="bottom"/>
            <w:gridSpan w:val="2"/>
            <w:vMerge w:val="restart"/>
          </w:tcPr>
          <w:p>
            <w:pPr>
              <w:jc w:val="right"/>
              <w:ind w:right="1060"/>
              <w:spacing w:after="0" w:line="149" w:lineRule="exact"/>
              <w:rPr>
                <w:sz w:val="20"/>
                <w:szCs w:val="20"/>
                <w:color w:val="auto"/>
              </w:rPr>
            </w:pPr>
            <w:r>
              <w:rPr>
                <w:rFonts w:ascii="Arial" w:cs="Arial" w:eastAsia="Arial" w:hAnsi="Arial"/>
                <w:sz w:val="14"/>
                <w:szCs w:val="14"/>
                <w:b w:val="1"/>
                <w:bCs w:val="1"/>
                <w:color w:val="auto"/>
              </w:rPr>
              <w:t>as of</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30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74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Description of Debt</w:t>
            </w:r>
          </w:p>
        </w:tc>
        <w:tc>
          <w:tcPr>
            <w:tcW w:w="14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Issued</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2005</w:t>
            </w: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September 30, 2005</w:t>
            </w:r>
          </w:p>
        </w:tc>
        <w:tc>
          <w:tcPr>
            <w:tcW w:w="1960" w:type="dxa"/>
            <w:vAlign w:val="bottom"/>
          </w:tcPr>
          <w:p>
            <w:pPr>
              <w:jc w:val="right"/>
              <w:ind w:right="47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164 E. Houston Street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7.500%</w:t>
            </w:r>
          </w:p>
        </w:tc>
        <w:tc>
          <w:tcPr>
            <w:tcW w:w="1960" w:type="dxa"/>
            <w:vAlign w:val="bottom"/>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8.375%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Federal Plaza</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34,786</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6.750%</w:t>
            </w:r>
          </w:p>
        </w:tc>
        <w:tc>
          <w:tcPr>
            <w:tcW w:w="196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7.400%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Barracks Road</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43,330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96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Lawrence Park</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30,713</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96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Wynnewood</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31,300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96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7.415%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Mount Vernon (2)</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13,250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12,626</w:t>
            </w:r>
          </w:p>
        </w:tc>
        <w:tc>
          <w:tcPr>
            <w:tcW w:w="540" w:type="dxa"/>
            <w:vAlign w:val="bottom"/>
          </w:tcPr>
          <w:p>
            <w:pPr>
              <w:spacing w:after="0"/>
              <w:rPr>
                <w:sz w:val="19"/>
                <w:szCs w:val="19"/>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5.660%</w:t>
            </w:r>
          </w:p>
        </w:tc>
        <w:tc>
          <w:tcPr>
            <w:tcW w:w="196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Mortgage Loans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249,483</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Various</w:t>
            </w:r>
          </w:p>
        </w:tc>
        <w:tc>
          <w:tcPr>
            <w:tcW w:w="196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Revolving credit facilities (3)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96,000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LIBOR + 0.75%</w:t>
            </w:r>
          </w:p>
        </w:tc>
        <w:tc>
          <w:tcPr>
            <w:tcW w:w="1960" w:type="dxa"/>
            <w:vAlign w:val="bottom"/>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Term note with banks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LIBOR + 0.95%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Term note with banks (4)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LIBOR + 0.95%</w:t>
            </w:r>
          </w:p>
        </w:tc>
        <w:tc>
          <w:tcPr>
            <w:tcW w:w="1960" w:type="dxa"/>
            <w:vAlign w:val="bottom"/>
          </w:tcPr>
          <w:p>
            <w:pPr>
              <w:jc w:val="right"/>
              <w:spacing w:after="0"/>
              <w:rPr>
                <w:sz w:val="20"/>
                <w:szCs w:val="20"/>
                <w:color w:val="auto"/>
              </w:rPr>
            </w:pPr>
            <w:r>
              <w:rPr>
                <w:rFonts w:ascii="Arial" w:cs="Arial" w:eastAsia="Arial" w:hAnsi="Arial"/>
                <w:sz w:val="18"/>
                <w:szCs w:val="18"/>
                <w:color w:val="auto"/>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Escondido (Municipal Bonds) (5)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Notes Payable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357,298</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6.625% Notes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6.625%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6.99% Medium Term Notes (6)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40,500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6.894%</w:t>
            </w:r>
          </w:p>
        </w:tc>
        <w:tc>
          <w:tcPr>
            <w:tcW w:w="1960" w:type="dxa"/>
            <w:vAlign w:val="bottom"/>
          </w:tcPr>
          <w:p>
            <w:pPr>
              <w:jc w:val="right"/>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6.125% Notes (7)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6.325%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8.75% Notes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8.750%</w:t>
            </w:r>
          </w:p>
        </w:tc>
        <w:tc>
          <w:tcPr>
            <w:tcW w:w="196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860"/>
              <w:spacing w:after="0"/>
              <w:rPr>
                <w:sz w:val="20"/>
                <w:szCs w:val="20"/>
                <w:color w:val="auto"/>
              </w:rPr>
            </w:pPr>
            <w:r>
              <w:rPr>
                <w:rFonts w:ascii="Arial" w:cs="Arial" w:eastAsia="Arial" w:hAnsi="Arial"/>
                <w:sz w:val="18"/>
                <w:szCs w:val="18"/>
                <w:color w:val="auto"/>
              </w:rPr>
              <w:t>7.48% Debentures (8)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7.480%</w:t>
            </w:r>
          </w:p>
        </w:tc>
        <w:tc>
          <w:tcPr>
            <w:tcW w:w="196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6.82% Medium Term Notes (9)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Unamortized Discount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(1,954)</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Senior Notes and Debentures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568,546</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Capital Lease Obligations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158,160</w:t>
            </w:r>
          </w:p>
        </w:tc>
        <w:tc>
          <w:tcPr>
            <w:tcW w:w="5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Various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 through 2077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1,333,487</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-172720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-172720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-172720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 loans do not include our 30% share ($14.2 million) of the $47.2 million debt of the partnership with Clarion Lion Properties Fund.</w:t>
      </w:r>
    </w:p>
    <w:p>
      <w:pPr>
        <w:spacing w:after="0" w:line="15"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revolving credit facility offers a one-year extension option. The maximum amount drawn under the facility during the first nine months of 2005 was</w:t>
      </w:r>
    </w:p>
    <w:p>
      <w:pPr>
        <w:spacing w:after="0" w:line="38" w:lineRule="exact"/>
        <w:rPr>
          <w:rFonts w:ascii="Arial" w:cs="Arial" w:eastAsia="Arial" w:hAnsi="Arial"/>
          <w:sz w:val="16"/>
          <w:szCs w:val="16"/>
          <w:color w:val="auto"/>
        </w:rPr>
      </w:pPr>
    </w:p>
    <w:p>
      <w:pPr>
        <w:ind w:left="340" w:right="60"/>
        <w:spacing w:after="0" w:line="250" w:lineRule="auto"/>
        <w:rPr>
          <w:rFonts w:ascii="Arial" w:cs="Arial" w:eastAsia="Arial" w:hAnsi="Arial"/>
          <w:sz w:val="16"/>
          <w:szCs w:val="16"/>
          <w:color w:val="auto"/>
        </w:rPr>
      </w:pPr>
      <w:r>
        <w:rPr>
          <w:rFonts w:ascii="Arial" w:cs="Arial" w:eastAsia="Arial" w:hAnsi="Arial"/>
          <w:sz w:val="18"/>
          <w:szCs w:val="18"/>
          <w:color w:val="auto"/>
        </w:rPr>
        <w:t>$190 million. The weighted average effective interest rate, including the amortization of deferred financing fees, on borrowings under the facility was 3.73% and 3.54% for the three and nine months ended September 30, 2005, respectively.</w:t>
      </w:r>
    </w:p>
    <w:p>
      <w:pPr>
        <w:ind w:left="340" w:right="10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weighted average effective interest rate, including the amortization of deferred financing fees, was 3.65% for the three months ended September 30, 2005. The property is not encumbered by a lien.</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purchased interest rate swaps at issuance (in 1998), thereby reducing the effective interest rate from 6.99% to 6.894%.</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September 30, 2005,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Below are the aggregate principal payments required as of September 30, 2005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Secured</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42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Unsecured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2006</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236,685(1)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150,204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2008</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13,633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150,226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175,295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2010 and thereafter (2)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219,216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151,991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175,345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546,552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249,483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158,160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927,798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1,335,441(3)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4584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53594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$96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$12.6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1" w:lineRule="exact"/>
        <w:rPr>
          <w:rFonts w:ascii="Arial" w:cs="Arial" w:eastAsia="Arial" w:hAnsi="Arial"/>
          <w:sz w:val="16"/>
          <w:szCs w:val="16"/>
          <w:color w:val="auto"/>
        </w:rPr>
      </w:pPr>
    </w:p>
    <w:p>
      <w:pPr>
        <w:jc w:val="both"/>
        <w:ind w:left="460" w:right="300" w:hanging="452"/>
        <w:spacing w:after="0" w:line="36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total scheduled principal installments and amounts due at maturity differs from the total of debt and capital lease obligations reported in the Trust’s consolidated balance sheet at September 30, 2005 due to the unamortized discount recorded for GAAP purposes on certain senior notes and debentures.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 into derivative contracts, which qualify as cash flow hedges under SFAS No. 133 “Accounting for Derivative Instruments and Hedging Activities” in order to manage interest rate risk. Derivatives are not purchased for speculation. We use derivative financial instruments to convert a portion of our variable rate debt to fixed rate debt and to manage our fixed to variable rate debt ratio. As of September 30, 2005, the Company had three cash flow hedge agreements, which are accounted for in conformity with SFAS No. 133, “Accounting for Derivative Instruments and Hedging Activities,” as amended by SFAS No. 138, “Accounting for Certain Derivative Instruments and Certain Hedging Activities—an Amendment of FASB Statement No. 133.”</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2004, to hedge our exposure to interest rate fluctuations on our $150 million, five-year term loan issued in October 2003, we entered into an interest rate swap, which fixed the LIBOR portion of the interest rate on the term loan at 2.401% through October 2006. Upon entering into the swap, the interest rate was fixed, assuming no change to our debt rating, at 3.351% on notional amounts totaling $150 million through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and “A2” by Moody’s Investors Service as of September 30, 2005. Although our swap is not exchange traded, there are a number of financial institutions which enter into these types of transactions as part of their day-to-day activities. The swap has been documented as a cash flow hedge and designated as effective at inception of the swap contract. Consequently, the unrealized gain or loss upon measuring the swap at its fair value is recorded as a component of other comprehensive income within shareholders’ equity and either a derivative instrument asset or liability is recorded on the balance sheet.</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two remaining hedging instruments involved an interest rate swap associated with our 6.99% Medium Term Notes and an interest rate lock purchased in 2002 in connection with our $150 million, 6.125% Senior Unsecured Note offering and are described in more detail below in “Item 3. Quantitative and Qualitative Disclosures about Market Risk—Interest Rate Hedging.”</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2005 and 2006 will depend upon acquisition opportunities, the level of improvements and redevelopments on existing properties and the timing and cost of development of future phases of existing properties. To the extent that we require additional funds to meet our capital requirements, and normal recurring operating costs, we expect to fund these amounts from one or more of the following sources:</w:t>
      </w:r>
    </w:p>
    <w:p>
      <w:pPr>
        <w:spacing w:after="0" w:line="26"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provided by operating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provided by proceeds from property dispositions,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borrowings under our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and replacement borrowings, both secured and unsecured, from other funding sources,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equity financing.</w:t>
      </w:r>
    </w:p>
    <w:p>
      <w:pPr>
        <w:spacing w:after="0" w:line="1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long-term capital requirements consist primarily of maturities under our long-term debt, development and redevelopment costs and potential acquisition opportunities.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780" w:right="8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48" w:lineRule="exact"/>
        <w:rPr>
          <w:sz w:val="20"/>
          <w:szCs w:val="20"/>
          <w:color w:val="auto"/>
        </w:rPr>
      </w:pPr>
    </w:p>
    <w:p>
      <w:pPr>
        <w:ind w:left="780" w:right="2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For the nine months</w:t>
            </w:r>
          </w:p>
        </w:tc>
        <w:tc>
          <w:tcPr>
            <w:tcW w:w="100" w:type="dxa"/>
            <w:vAlign w:val="bottom"/>
          </w:tcPr>
          <w:p>
            <w:pPr>
              <w:spacing w:after="0"/>
              <w:rPr>
                <w:sz w:val="14"/>
                <w:szCs w:val="14"/>
                <w:color w:val="auto"/>
              </w:rPr>
            </w:pPr>
          </w:p>
        </w:tc>
        <w:tc>
          <w:tcPr>
            <w:tcW w:w="15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For the three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6"/>
              </w:rPr>
              <w:t>ended September 30,</w:t>
            </w:r>
          </w:p>
        </w:tc>
        <w:tc>
          <w:tcPr>
            <w:tcW w:w="100" w:type="dxa"/>
            <w:vAlign w:val="bottom"/>
          </w:tcPr>
          <w:p>
            <w:pPr>
              <w:spacing w:after="0"/>
              <w:rPr>
                <w:sz w:val="15"/>
                <w:szCs w:val="15"/>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ended September 30</w:t>
            </w:r>
          </w:p>
        </w:tc>
        <w:tc>
          <w:tcPr>
            <w:tcW w:w="0" w:type="dxa"/>
            <w:vAlign w:val="bottom"/>
          </w:tcPr>
          <w:p>
            <w:pPr>
              <w:spacing w:after="0"/>
              <w:rPr>
                <w:sz w:val="1"/>
                <w:szCs w:val="1"/>
                <w:color w:val="auto"/>
              </w:rPr>
            </w:pPr>
          </w:p>
        </w:tc>
      </w:tr>
      <w:tr>
        <w:trPr>
          <w:trHeight w:val="95"/>
        </w:trPr>
        <w:tc>
          <w:tcPr>
            <w:tcW w:w="2660" w:type="dxa"/>
            <w:vAlign w:val="bottom"/>
            <w:gridSpan w:val="2"/>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30,680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(17,347)</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(9,331)</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(9,463)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real estate partnership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119,272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00" w:type="dxa"/>
            <w:vAlign w:val="bottom"/>
            <w:gridSpan w:val="3"/>
          </w:tcPr>
          <w:p>
            <w:pPr>
              <w:spacing w:after="0"/>
              <w:rPr>
                <w:sz w:val="20"/>
                <w:szCs w:val="20"/>
                <w:color w:val="auto"/>
              </w:rPr>
            </w:pPr>
            <w:r>
              <w:rPr>
                <w:rFonts w:ascii="Arial" w:cs="Arial" w:eastAsia="Arial" w:hAnsi="Arial"/>
                <w:sz w:val="18"/>
                <w:szCs w:val="18"/>
                <w:color w:val="auto"/>
              </w:rPr>
              <w:t>Dividends on preferred stock</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(2,869)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121,529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111,697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40,994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53,559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Funds from operations available for common shareholders, per diluted share</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140" w:type="dxa"/>
            <w:vAlign w:val="bottom"/>
            <w:vMerge w:val="restart"/>
          </w:tcPr>
          <w:p>
            <w:pPr>
              <w:jc w:val="right"/>
              <w:ind w:right="175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-995045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-995045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-995045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-995045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-995045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-995045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-995045</wp:posOffset>
            </wp:positionV>
            <wp:extent cx="39878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-995045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-995045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-995045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-694690</wp:posOffset>
            </wp:positionV>
            <wp:extent cx="45847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-694690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-694690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-694690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-694690</wp:posOffset>
            </wp:positionV>
            <wp:extent cx="10248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9878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likely would take to reduce our exposure to the change. This analysis assumes no change in our financial structure.</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Fixed Interest Rate Debt</w:t>
      </w:r>
      <w:r>
        <w:rPr>
          <w:rFonts w:ascii="Arial" w:cs="Arial" w:eastAsia="Arial" w:hAnsi="Arial"/>
          <w:sz w:val="18"/>
          <w:szCs w:val="18"/>
          <w:color w:val="auto"/>
        </w:rPr>
        <w:t>. The majority of our outstanding debt obligations (maturing at various times through 2028 or through 2077 and including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lease obligations) have fixed interest rates which limit the risk of fluctuating interest rates. Interest rate fluctuations may affect the fair value of our fixed rate debt instruments, however. At September 30, 2005 we had $1.1 billion of fixed-rate debt outstanding. If interest rates on our fixed-rate debt instruments at September 30, 2005 had been 1.0% higher, the fair value of those debt instruments on that date would have decreased by approximately $36.2 million. If interest rates on our fixed-rate debt instruments at September 30, 2005 had been 1.0% lower, the fair value of those debt instruments on that date would have increased by approximately $43.3 million.</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Variable Interest Rate Debt</w:t>
      </w:r>
      <w:r>
        <w:rPr>
          <w:rFonts w:ascii="Arial" w:cs="Arial" w:eastAsia="Arial" w:hAnsi="Arial"/>
          <w:sz w:val="18"/>
          <w:szCs w:val="18"/>
          <w:color w:val="auto"/>
        </w:rPr>
        <w:t>. We believe that our primary interest rate risk is due to fluctuations in interest rates on our variable rate debt.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2005, we had $205.4 million of variable rate debt outstanding. Based upon this amount of variable rate debt, if interest rates increased 1.0%, our annual interest expense would increase by approximately $2.1 million, and our net income and cash flows for the year would decrease by approximately $2.1 million. Conversely, if interest rates decreased 1.0%, our annual interest expense would decrease by approximately $2.1 million, and our net income and cash flows for the year would increase by approximately $2.1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objective in using derivatives is to add stability to interest expense and to manage our exposure to interest rate movements or other identified risks. We use derivative financial instruments to convert a portion of our variable rate debt to fixed rate debt and to manage our fixed to variable rate debt ratio.</w:t>
      </w:r>
    </w:p>
    <w:p>
      <w:pPr>
        <w:spacing w:after="0" w:line="7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Cash Flow Hedging</w:t>
      </w:r>
      <w:r>
        <w:rPr>
          <w:rFonts w:ascii="Arial" w:cs="Arial" w:eastAsia="Arial" w:hAnsi="Arial"/>
          <w:sz w:val="16"/>
          <w:szCs w:val="16"/>
          <w:color w:val="auto"/>
        </w:rPr>
        <w:t>. To accomplish this objective, the Company primarily uses interest rate swaps as part of its cash flow hedging strategy.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designated as cash flow hedges involve the payment of fixed rate amounts in exchange for variable rate payments over the life of the agreements without exchange of the underlying principal amount. During the quarter ended September 30, 2005, these derivatives were used to hedge the variable cash flows associated with existing variable rate debt. As of September 30, 2005, the Company had entered into three cash flow hedge agreements, which are accounted for in conformity with SFAS No. 133, “Accounting for Derivative Instruments and Hedging Activities,” as amended by SFAS No. 138, “Accounting for Certain Derivative Instruments and Hedging Activities—an Amendment of FASB Statement No. 133.”</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Hedging of Unsecured Notes</w:t>
      </w:r>
      <w:r>
        <w:rPr>
          <w:rFonts w:ascii="Arial" w:cs="Arial" w:eastAsia="Arial" w:hAnsi="Arial"/>
          <w:sz w:val="18"/>
          <w:szCs w:val="18"/>
          <w:color w:val="auto"/>
        </w:rPr>
        <w:t>. The three cash flow hedge agreements referred to above served to hedge certain unsecured notes. In January 2004, to hedge</w:t>
      </w:r>
      <w:r>
        <w:rPr>
          <w:rFonts w:ascii="Arial" w:cs="Arial" w:eastAsia="Arial" w:hAnsi="Arial"/>
          <w:sz w:val="18"/>
          <w:szCs w:val="18"/>
          <w:i w:val="1"/>
          <w:iCs w:val="1"/>
          <w:color w:val="auto"/>
        </w:rPr>
        <w:t xml:space="preserve"> </w:t>
      </w:r>
      <w:r>
        <w:rPr>
          <w:rFonts w:ascii="Arial" w:cs="Arial" w:eastAsia="Arial" w:hAnsi="Arial"/>
          <w:sz w:val="18"/>
          <w:szCs w:val="18"/>
          <w:color w:val="auto"/>
        </w:rPr>
        <w:t>our exposure to interest rate fluctuations on our $150 million five-year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term loan issued in October 2003, we entered into an interest rate swap, which fixed the LIBOR portion of the interest rate on the term loan at 2.401% through October 2006. The current interest rate, taking into account the swap, is 3.351% (2.401% plus 0.95%) on notional amounts totaling $150 million. A more detailed description of this derivative financial instrument is contained in “Item 2. Management’s Discussion and Analysis of Financial Condition and Results of Operations—Liquidity and Capital Resources - Interest Rate Hedging.”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anticipation of a $150 million Senior Unsecured Note offering, on August 1, 2002, we entered into a treasury lock that fixed the benchmark five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treasury rate at 3.472% through August 19, 2002. The rate lock was documented as a cash flow hedge of a forecasted transaction and designated as effective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inception of the contract. On August 16, 2002, we priced the Senior Unsecured Notes with a scheduled closing date of August 21, 2002 and closed 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rate lock. Five-year treasury rates declined between the pricing period and the settlement of the hedge purchase; therefore, to settle the rate lock,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$1.5 million. As a result of the August 19, 2002 fire at Santana Row, we did not proceed with the note offering at that time. However, we consummated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 million, 6.125% Senior Unsecured Note offering on November 15, 2002, and thus, the hedge loss is being amortized into interest expense over the life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related Notes.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also purchased an interest rate swap that terminates March 2006, with a face amount of $40.5 million upon issuance of our 6.99% Medium Term Notes, which reduced the effective interest rate from 6.99% to 6.894%.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Quarterly Assessment. </w:t>
      </w:r>
      <w:r>
        <w:rPr>
          <w:rFonts w:ascii="Arial" w:cs="Arial" w:eastAsia="Arial" w:hAnsi="Arial"/>
          <w:sz w:val="18"/>
          <w:szCs w:val="18"/>
          <w:color w:val="auto"/>
        </w:rPr>
        <w:t>We carried out an assessment as of September 30, 2005 of the effectiveness of the design and operation of our disclosure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as of the end of the period covered by this quarterly report.</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Principal Executive Officer and Principal Financial Officer Certifications. </w:t>
      </w:r>
      <w:r>
        <w:rPr>
          <w:rFonts w:ascii="Arial" w:cs="Arial" w:eastAsia="Arial" w:hAnsi="Arial"/>
          <w:sz w:val="18"/>
          <w:szCs w:val="18"/>
          <w:color w:val="auto"/>
        </w:rPr>
        <w:t>Included as Exhibits 31.1 and 31.2 to this Quarterly Report on Form 10-Q are</w:t>
      </w:r>
      <w:r>
        <w:rPr>
          <w:rFonts w:ascii="Arial" w:cs="Arial" w:eastAsia="Arial" w:hAnsi="Arial"/>
          <w:sz w:val="18"/>
          <w:szCs w:val="18"/>
          <w:i w:val="1"/>
          <w:iCs w:val="1"/>
          <w:color w:val="auto"/>
        </w:rPr>
        <w:t xml:space="preserve"> </w:t>
      </w:r>
      <w:r>
        <w:rPr>
          <w:rFonts w:ascii="Arial" w:cs="Arial" w:eastAsia="Arial" w:hAnsi="Arial"/>
          <w:sz w:val="18"/>
          <w:szCs w:val="18"/>
          <w:color w:val="auto"/>
        </w:rPr>
        <w:t>forms of “Certification” of our principal executive officer and our principal financial officer. These forms of Certification are required in accordance with Section 302 of the Sarbanes-Oxley Act of 2002. This section of this Quarterly Report on Form 10-Q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maintain disclosure controls and procedures that are designed to ensure that information required to be disclosed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our Exchange Act reports, such as this Quarterly Report on Form 10-Q,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quarterly report.</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Internal Control over Financial Reporting. </w:t>
      </w:r>
      <w:r>
        <w:rPr>
          <w:rFonts w:ascii="Arial" w:cs="Arial" w:eastAsia="Arial" w:hAnsi="Arial"/>
          <w:sz w:val="16"/>
          <w:szCs w:val="16"/>
          <w:color w:val="auto"/>
        </w:rPr>
        <w:t>Establishing and maintaining internal control over financial reporting is a process designed by, 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of, our Chief Executive Officer and Chief Financial Officer, as appropriate, and effected by our employees, including management, with oversight by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8"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6" w:lineRule="exact"/>
        <w:rPr>
          <w:rFonts w:ascii="Arial" w:cs="Arial" w:eastAsia="Arial" w:hAnsi="Arial"/>
          <w:sz w:val="16"/>
          <w:szCs w:val="16"/>
          <w:color w:val="auto"/>
        </w:rPr>
      </w:pPr>
    </w:p>
    <w:p>
      <w:pPr>
        <w:ind w:left="780" w:right="320" w:hanging="326"/>
        <w:spacing w:after="0" w:line="259"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5"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Management, including our Chief Executive Officer and Chief Financial Officer, do not expect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8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Scope of the Evaluations. </w:t>
      </w:r>
      <w:r>
        <w:rPr>
          <w:rFonts w:ascii="Arial" w:cs="Arial" w:eastAsia="Arial" w:hAnsi="Arial"/>
          <w:sz w:val="16"/>
          <w:szCs w:val="16"/>
          <w:color w:val="auto"/>
        </w:rPr>
        <w:t>The evaluation by our Chief Executive Officer and our Chief Financial Officer of our disclosure controls and procedures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a review of procedures and our internal audit, as well as discussions with our Disclosure Committee, independent public accountants and others in our organization, as appropriate. In the course of the evaluation, we sought to identify data errors, control problems or acts of fraud and to confirm that appropriate corrective action, including process improvements, were being undertaken. The evaluation of our disclosure controls and procedures is done on a quarterly basis, so that the conclusions concerning the effectiveness of such controls can be reported in our Quarterly Reports on Form 10-Q and Annual Reports on Form 10-K. Our internal control over financial reporting is also assessed on an ongoing basis by personnel in our accounting department and by our independent auditors in connection with their audit and review activities.</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overall goals of these various evaluation activities are to monitor our disclosure controls and procedures and to make modifications as necessary. Our intent in this regard is that the disclosure controls and procedures will be maintained and updated (including with improvements and corrections) as conditions warrant.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Periodic Evaluation of and Conclusion Regarding Disclosure Controls and Procedures</w:t>
      </w:r>
      <w:r>
        <w:rPr>
          <w:rFonts w:ascii="Arial" w:cs="Arial" w:eastAsia="Arial" w:hAnsi="Arial"/>
          <w:sz w:val="18"/>
          <w:szCs w:val="18"/>
          <w:color w:val="auto"/>
        </w:rPr>
        <w:t>. Our Chief Executive Officer and Chief Financial Officer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during our third fiscal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2005 that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8239"/>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jc w:val="center"/>
        <w:ind w:right="8219"/>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jc w:val="right"/>
              <w:ind w:right="134"/>
              <w:spacing w:after="0"/>
              <w:rPr>
                <w:sz w:val="20"/>
                <w:szCs w:val="20"/>
                <w:color w:val="auto"/>
              </w:rPr>
            </w:pPr>
            <w:r>
              <w:rPr>
                <w:rFonts w:ascii="Arial" w:cs="Arial" w:eastAsia="Arial" w:hAnsi="Arial"/>
                <w:sz w:val="14"/>
                <w:szCs w:val="14"/>
                <w:b w:val="1"/>
                <w:bCs w:val="1"/>
                <w:color w:val="auto"/>
                <w:w w:val="87"/>
              </w:rPr>
              <w:t>Exhibit No.</w:t>
            </w:r>
          </w:p>
        </w:tc>
        <w:tc>
          <w:tcPr>
            <w:tcW w:w="76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80" w:type="dxa"/>
            <w:vAlign w:val="bottom"/>
          </w:tcPr>
          <w:p>
            <w:pPr>
              <w:spacing w:after="0"/>
              <w:rPr>
                <w:sz w:val="8"/>
                <w:szCs w:val="8"/>
                <w:color w:val="auto"/>
              </w:rPr>
            </w:pPr>
          </w:p>
        </w:tc>
      </w:tr>
      <w:tr>
        <w:trPr>
          <w:trHeight w:val="309"/>
        </w:trPr>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Declaration of Trust of Federal Realty Investment Trust dated June 17, 2004 (previously filed as Exhibit 3.1 to the Trust’s Quarterly</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Report on Form 10-Q for the quarter ended June 30, 2005 (File No. 1-07533) (the “2005 2Q Form 10-Q”) and incorporated herein by</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and May 5,</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2004 (previously filed as Exhibit 3.2 to the Trust’s 2005 2Q Form 10-Q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Specimen Common Share certificate (previously filed as Exhibit 4(i) to the Trust’s Annual Report on Form 10-K for the year ended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 xml:space="preserve">Articles Supplementary relating to the 8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2</w:t>
            </w:r>
            <w:r>
              <w:rPr>
                <w:rFonts w:ascii="Arial" w:cs="Arial" w:eastAsia="Arial" w:hAnsi="Arial"/>
                <w:sz w:val="18"/>
                <w:szCs w:val="18"/>
                <w:color w:val="auto"/>
                <w:w w:val="91"/>
              </w:rPr>
              <w:t>% Series B Cumulative Redeemable Preferred Shares (previously filed as Exhibit 4.1 to the</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Trust’s Registration Statement on Form 8-A filed on November 26, 2001 (File No. 1-07533) (the “2001 Form 8-A”) and incorporated by</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 xml:space="preserve">Specimen 8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w:t>
            </w:r>
            <w:r>
              <w:rPr>
                <w:rFonts w:ascii="Arial" w:cs="Arial" w:eastAsia="Arial" w:hAnsi="Arial"/>
                <w:sz w:val="13"/>
                <w:szCs w:val="13"/>
                <w:color w:val="auto"/>
                <w:w w:val="90"/>
              </w:rPr>
              <w:t>2</w:t>
            </w:r>
            <w:r>
              <w:rPr>
                <w:rFonts w:ascii="Arial" w:cs="Arial" w:eastAsia="Arial" w:hAnsi="Arial"/>
                <w:sz w:val="18"/>
                <w:szCs w:val="18"/>
                <w:color w:val="auto"/>
                <w:w w:val="90"/>
              </w:rPr>
              <w:t>% Series B Cumulative Redeemable Preferred Share certificate (previously filed as Exhibit 4.2 to the 2001 Form 8-A and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Amended and Restated Rights Agreement, dated March 11, 1999, between the Trust and American Stock Transfer &amp; Trust Company</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(previously filed as Exhibit 1 to the Trust’s Registration Statement on Form 8-A/A filed on March 11, 1999 (File No. 1-07533) and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First Amendment to Amended and Restated Rights Agreement, dated as of November, 2003, between the Trust and American Stock</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Transfer &amp; Trust Company (previously filed as Exhibit 4.5 to the Trust’s Annual Report on Form 10-K for the year ended December 31,</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7"/>
              </w:rPr>
              <w:t xml:space="preserve">Indenture dated December 13, 1993 related to the Trust’s 7.48% Debentures due August 15, 2026; 6 </w:t>
            </w:r>
            <w:r>
              <w:rPr>
                <w:rFonts w:ascii="Arial" w:cs="Arial" w:eastAsia="Arial" w:hAnsi="Arial"/>
                <w:sz w:val="22"/>
                <w:szCs w:val="22"/>
                <w:color w:val="auto"/>
                <w:w w:val="87"/>
                <w:vertAlign w:val="superscript"/>
              </w:rPr>
              <w:t>5</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2005; 6.82% Medium</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Term Notes due August 1, 2027; and 6.99% Medium Term Notes due March 10, 2006 (previously filed as Exhibit 4(a) to the Trust’s</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S-3 (File No. 33-51029), and amended on Form S-3 (File No. 33-63687), filed on December 13, 1993 is</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 xml:space="preserve">Indenture dated September 1, 1998 related to the Trust’s 8.75% Notes due December 1, 2009 and the Trust’s 6 </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Notes due</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November 15, 2007 and the Trust’s 4.50% Notes due 2011 (previously filed as Exhibit 4(a) to the Trust’s Registration Statement on</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Form S-3 (File No. 333-63619) filed on September 17, 1998 is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Pursuant to Regulation S-K Item 601(b)(4)(iii), the Trust by this filing agrees, upon request, to furnish to the Securities and Exchange</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6"/>
              </w:rPr>
              <w:t>Amended and Restated 1983 Stock Option Plan and 1985 Non-Qualified Stock Option Plan of Federal Realty Investment Trust</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6"/>
              </w:rPr>
              <w:t>(previously filed as exhibits to the Trust’s Registration Statement in Form S-8 (File No. 33-55111), filed on August 17, 1994 and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1985 Non-Qualified Stock Option Plan (previously filed as a portion of Exhibit 10 to the Trust’s Annual Report on Form 10-K for the year</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ended December 31, 1985 (File No. 1-07533)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1991 Share Purchase Plan (previously filed as a portion of Exhibit 10 to the Trust’s Annual Report on Form 10-K for the year ended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December 31, 1990 (File No. 1-07533) and incorporated herein by reference)</w:t>
            </w:r>
          </w:p>
        </w:tc>
      </w:tr>
      <w:tr>
        <w:trPr>
          <w:trHeight w:val="365"/>
        </w:trPr>
        <w:tc>
          <w:tcPr>
            <w:tcW w:w="880" w:type="dxa"/>
            <w:vAlign w:val="bottom"/>
          </w:tcPr>
          <w:p>
            <w:pPr>
              <w:spacing w:after="0"/>
              <w:rPr>
                <w:sz w:val="24"/>
                <w:szCs w:val="24"/>
                <w:color w:val="auto"/>
              </w:rPr>
            </w:pPr>
          </w:p>
        </w:tc>
        <w:tc>
          <w:tcPr>
            <w:tcW w:w="10500" w:type="dxa"/>
            <w:vAlign w:val="bottom"/>
            <w:gridSpan w:val="3"/>
          </w:tcPr>
          <w:p>
            <w:pPr>
              <w:jc w:val="right"/>
              <w:ind w:right="55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7"/>
              </w:rPr>
              <w:t>Exhibit No.</w:t>
            </w: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09"/>
        </w:trPr>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7"/>
              </w:rPr>
              <w:t>filed as Exhibit 10.26 to the Trust’s Annual Report on Form 10-K for the year ended December 31, 1998 (File No. 1-07533) and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Fiscal Agency Agreement dated as of October 28, 1993 between the Trust and Citibank, N.A. (previously filed as an exhibit to the Trust’s</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3"/>
              </w:rPr>
              <w:t>Quarterly Report on Form 10-Q for the quarter ended September 30, 1993 (File No. 1-07533)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2"/>
              </w:rPr>
              <w:t>Form of Severance Agreement between the Trust and Certain of its Officers dated December 31, 1994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Exhibit 10 to the Trust’s Annual Report on Form 10-K for the year ended December 31, 1994 (File No. 1-07533) and incorporated herein by</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Performance Share Award Agreement dated as of February 9, 2000 between the Trust and Donald C. Wood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Restricted Share Award Agreement dated as of February 9, 2000 between the Trust and Donald C. Wood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6"/>
              </w:rPr>
              <w:t>Trust’s Quarterly Report on Form 10-Q for the quarter ended March 31, 1999 (File No. 1-07533) (the “1999 1Q Form 10-Q”) and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Executive Agreement between Federal Realty Investment Trust and Donald C. Wood dated February 22, 1999 (previously filed as a portion</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of Exhibit 10 to the 1999 1Q Form 10-Q and incorporated herein by reference)</w:t>
            </w:r>
          </w:p>
        </w:tc>
      </w:tr>
      <w:tr>
        <w:trPr>
          <w:trHeight w:val="318"/>
        </w:trPr>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10.11</w:t>
            </w: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2"/>
              </w:rPr>
              <w:t>filed as Exhibit 10.12 to the Trust’s Annual Report on Form 10-K for the year ended December 31, 2004 (File No. 1-07533) (the “2004</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Amendment to Restricted Share Award Agreement dated December 8, 2000 the Trust and Donald C. Wood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1"/>
              </w:rPr>
              <w:t>Exhibit 10 to the Trust’s Annual Report on Form 10-K for the year ended December 31, 2000 (File No. 1-07533) (the “2000 Form 10-K”)</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3"/>
              </w:rPr>
              <w:t>Split Dollar Life Insurance Agreement dated August 12, 1998 between the Trust and Donald C. Wood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 to the 2000 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Restricted Share Award Agreement dated as of February 15, 2000 between the Trust and Jeffrey S. Berkes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1"/>
              </w:rPr>
              <w:t>Exhibit 10 to the Trust’s Annual Report on Form 10-K for the year ended December 31, 2001 (File No. 1-07533) (the “2001 Form 10-K”)</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Severance Agreement between the Trust and Jeffrey S. Berkes dated March 1, 2000 (previously filed as a portion of Exhibit 10 to the 2001</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7"/>
              </w:rPr>
              <w:t>Amendment to Severance Agreement between Federal Realty Investment Trust and Jeff Berkes dated February 16, 2005 (previously filed as</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18"/>
        </w:trPr>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Severance Agreement dated March 1, 2002 between the Trust and Larry E. Finger (previously filed as a portion of Exhibit 10 to the Trust’s</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Quarterly Report on Form 10-Q for the quarter ended June 30, 2002 (File No. 1-07533) (the “2002 2Q Form 10-Q”) and incorporated herein</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6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2"/>
          </w:tcPr>
          <w:p>
            <w:pPr>
              <w:ind w:left="408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60" w:type="dxa"/>
            <w:vAlign w:val="bottom"/>
          </w:tcPr>
          <w:p>
            <w:pPr>
              <w:spacing w:after="0"/>
              <w:rPr>
                <w:sz w:val="15"/>
                <w:szCs w:val="15"/>
                <w:color w:val="auto"/>
              </w:rPr>
            </w:pPr>
          </w:p>
        </w:tc>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Amendment to Severance Agreement between Federal Realty Investment Trust and Larry Finger dated February 16, 2005 (previously filed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as Exhibit 10.19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6"/>
              </w:rPr>
              <w:t>Combined Incentive and Non-Qualified Stock Option Agreement dated February 28, 2002 between the Trust and Larry E. Finger</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(previously filed as a portion of Exhibit 10 to the 2002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Performance Share Award Agreement between the Trust and Donald C. Wood dated February 28, 2002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Exhibit 10 to the 2002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Performance Share Award Agreement between the Trust and Jeffrey S. Berkes dated February 28, 2002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Exhibit 10 to the 2002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Amendment to Stock Option Agreement dated August 15, 2002 between the Trust and Dawn M. Becker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Exhibit 10 to the Trust’s Quarterly Report on Form 10Q for the quarter ended September 30, 2002 (File No. 1-075330 (the “2002 3Q Form</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Amendment to Stock Option Agreement dated August 15, 2002 between Federal Realty Investment Trust and Jeffrey S. Berkes (previously</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filed as a portion of Exhibit 10 to the 2002 3Q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2001 Long-Term Incentive Plan (previously filed as Exhibit 99.1 to the Trust’s S-8 Registration Number 333-60364 filed on May 7, 2001</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 Wood dated February 16, 2005 (previously</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Severance Agreement between the Trust and Dawn Becker dated April 19, 2000 (previously filed as Exhibit 10.26 to the Trust’s 2005 2Q</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Amendment to Severance Agreement between the Trust and Dawn Becker dated February 16, 2005 (previously filed as Exhibit 10.27 to the</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7"/>
              </w:rPr>
              <w:t>Form of Restricted Share Award Agreement for awards made under the Trust’s 2003 Long-Term Incentive Award Program for shares issued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out of 2001 Long-Term Incentive Plan (previously filed as Exhibit 10.28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7"/>
              </w:rPr>
              <w:t>2001 Long-Term Incentive Plan (previously filed as Exhibit 10.29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Form of Option Award Agreement for options awarded under 2001 Long-Term Incentive Plan (previously filed as Exhibit 10.30 to the 2004</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880" w:type="dxa"/>
            <w:vAlign w:val="bottom"/>
          </w:tcPr>
          <w:p>
            <w:pPr>
              <w:spacing w:after="0"/>
              <w:rPr>
                <w:sz w:val="24"/>
                <w:szCs w:val="24"/>
                <w:color w:val="auto"/>
              </w:rPr>
            </w:pPr>
          </w:p>
        </w:tc>
        <w:tc>
          <w:tcPr>
            <w:tcW w:w="10500" w:type="dxa"/>
            <w:vAlign w:val="bottom"/>
            <w:gridSpan w:val="3"/>
          </w:tcPr>
          <w:p>
            <w:pPr>
              <w:jc w:val="right"/>
              <w:ind w:right="558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7620"/>
        <w:spacing w:after="0"/>
        <w:tabs>
          <w:tab w:leader="none" w:pos="7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October 31, 2005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Donald C. Wood, President,</w:t>
      </w:r>
    </w:p>
    <w:p>
      <w:pPr>
        <w:spacing w:after="0" w:line="2" w:lineRule="exact"/>
        <w:rPr>
          <w:sz w:val="20"/>
          <w:szCs w:val="20"/>
          <w:color w:val="auto"/>
        </w:rPr>
      </w:pPr>
    </w:p>
    <w:p>
      <w:pPr>
        <w:jc w:val="center"/>
        <w:ind w:right="1760"/>
        <w:spacing w:after="0"/>
        <w:rPr>
          <w:sz w:val="20"/>
          <w:szCs w:val="20"/>
          <w:color w:val="auto"/>
        </w:rPr>
      </w:pPr>
      <w:r>
        <w:rPr>
          <w:rFonts w:ascii="Arial" w:cs="Arial" w:eastAsia="Arial" w:hAnsi="Arial"/>
          <w:sz w:val="12"/>
          <w:szCs w:val="12"/>
          <w:b w:val="1"/>
          <w:bCs w:val="1"/>
          <w:color w:val="auto"/>
        </w:rPr>
        <w:t>Chief Executive Officer and Trustee</w:t>
      </w:r>
    </w:p>
    <w:p>
      <w:pPr>
        <w:spacing w:after="0" w:line="10"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sectPr>
          <w:pgSz w:w="11900" w:h="16838" w:orient="portrait"/>
          <w:cols w:equalWidth="0" w:num="2">
            <w:col w:w="6860" w:space="720"/>
            <w:col w:w="38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600" w:type="dxa"/>
            <w:vAlign w:val="bottom"/>
          </w:tcPr>
          <w:p>
            <w:pPr>
              <w:ind w:left="184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tc>
      </w:tr>
      <w:tr>
        <w:trPr>
          <w:trHeight w:val="110"/>
        </w:trPr>
        <w:tc>
          <w:tcPr>
            <w:tcW w:w="34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r>
      <w:tr>
        <w:trPr>
          <w:trHeight w:val="264"/>
        </w:trPr>
        <w:tc>
          <w:tcPr>
            <w:tcW w:w="3420" w:type="dxa"/>
            <w:vAlign w:val="bottom"/>
          </w:tcPr>
          <w:p>
            <w:pPr>
              <w:spacing w:after="0"/>
              <w:rPr>
                <w:sz w:val="20"/>
                <w:szCs w:val="20"/>
                <w:color w:val="auto"/>
              </w:rPr>
            </w:pPr>
            <w:r>
              <w:rPr>
                <w:rFonts w:ascii="Arial" w:cs="Arial" w:eastAsia="Arial" w:hAnsi="Arial"/>
                <w:sz w:val="18"/>
                <w:szCs w:val="18"/>
                <w:color w:val="auto"/>
              </w:rPr>
              <w:t>October 31, 2005</w:t>
            </w:r>
          </w:p>
        </w:tc>
        <w:tc>
          <w:tcPr>
            <w:tcW w:w="24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7"/>
              </w:rPr>
              <w:t>Larry E. Finger, Executive Vice President and</w:t>
            </w:r>
          </w:p>
        </w:tc>
      </w:tr>
      <w:tr>
        <w:trPr>
          <w:trHeight w:val="122"/>
        </w:trPr>
        <w:tc>
          <w:tcPr>
            <w:tcW w:w="34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6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Chief Financial Officer</w:t>
            </w:r>
          </w:p>
        </w:tc>
      </w:tr>
      <w:tr>
        <w:trPr>
          <w:trHeight w:val="174"/>
        </w:trPr>
        <w:tc>
          <w:tcPr>
            <w:tcW w:w="3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Accounting Officer)</w:t>
            </w:r>
          </w:p>
        </w:tc>
      </w:tr>
      <w:tr>
        <w:trPr>
          <w:trHeight w:val="350"/>
        </w:trPr>
        <w:tc>
          <w:tcPr>
            <w:tcW w:w="34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6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8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Declaration of Trust of Federal Realty Investment Trust dated June 17, 2004 (previously filed as Exhibit 3.1 to the Trust’s Quarterly</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Report on Form 10-Q for the quarter ended June 30, 2005 (File No. 1-07533) (the “2005 2Q Form 10-Q”) and incorporated herein by</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and May 5,</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2004 (previously filed as Exhibit 3.2 to the Trust’s 2005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Specimen Common Share certificate (previously filed as Exhibit 4(i) to the Trust’s Annual Report on Form 10-K for the year ended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 xml:space="preserve">Articles Supplementary relating to the 8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2</w:t>
            </w:r>
            <w:r>
              <w:rPr>
                <w:rFonts w:ascii="Arial" w:cs="Arial" w:eastAsia="Arial" w:hAnsi="Arial"/>
                <w:sz w:val="18"/>
                <w:szCs w:val="18"/>
                <w:color w:val="auto"/>
                <w:w w:val="91"/>
              </w:rPr>
              <w:t>% Series B Cumulative Redeemable Preferred Shares (previously filed as Exhibit 4.1 to the</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Trust’s Registration Statement on Form 8-A filed on November 26, 2001 (File No. 1-07533) (the “2001 Form 8-A”) and incorporated by</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 xml:space="preserve">Specimen 8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w:t>
            </w:r>
            <w:r>
              <w:rPr>
                <w:rFonts w:ascii="Arial" w:cs="Arial" w:eastAsia="Arial" w:hAnsi="Arial"/>
                <w:sz w:val="13"/>
                <w:szCs w:val="13"/>
                <w:color w:val="auto"/>
                <w:w w:val="90"/>
              </w:rPr>
              <w:t>2</w:t>
            </w:r>
            <w:r>
              <w:rPr>
                <w:rFonts w:ascii="Arial" w:cs="Arial" w:eastAsia="Arial" w:hAnsi="Arial"/>
                <w:sz w:val="18"/>
                <w:szCs w:val="18"/>
                <w:color w:val="auto"/>
                <w:w w:val="90"/>
              </w:rPr>
              <w:t>% Series B Cumulative Redeemable Preferred Share certificate (previously filed as Exhibit 4.2 to the 2001 Form 8-A and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Amended and Restated Rights Agreement, dated March 11, 1999, between the Trust and American Stock Transfer &amp; Trust Company</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(previously filed as Exhibit 1 to the Trust’s Registration Statement on Form 8-A/A filed on March 11, 1999 (File No. 1-07533) and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First Amendment to Amended and Restated Rights Agreement, dated as of November, 2003, between the Trust and American Stock</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Transfer &amp; Trust Company (previously filed as Exhibit 4.5 to the Trust’s Annual Report on Form 10-K for the year ended December 31,</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7"/>
              </w:rPr>
              <w:t xml:space="preserve">Indenture dated December 13, 1993 related to the Trust’s 7.48% Debentures due August 15, 2026; 6 </w:t>
            </w:r>
            <w:r>
              <w:rPr>
                <w:rFonts w:ascii="Arial" w:cs="Arial" w:eastAsia="Arial" w:hAnsi="Arial"/>
                <w:sz w:val="22"/>
                <w:szCs w:val="22"/>
                <w:color w:val="auto"/>
                <w:w w:val="87"/>
                <w:vertAlign w:val="superscript"/>
              </w:rPr>
              <w:t>5</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2005; 6.82% Medium</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Term Notes due August 1, 2027; and 6.99% Medium Term Notes due March 10, 2006 (previously filed as Exhibit 4(a) to the Trust’s</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S-3 (File No. 33-51029), and amended on Form S-3 (File No. 33-63687), filed on December 13, 1993 is</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 xml:space="preserve">Indenture dated September 1, 1998 related to the Trust’s 8.75% Notes due December 1, 2009 and the Trust’s 6 </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Notes due</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November 15, 2007 and the Trust’s 4.50% Notes due 2011 (previously filed as Exhibit 4(a) to the Trust’s Registration Statement on</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Form S-3 (File No. 333-63619) filed on September 17, 1998 is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Pursuant to Regulation S-K Item 601(b)(4)(iii), the Trust by this filing agrees, upon request, to furnish to the Securities and Exchange</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6"/>
              </w:rPr>
              <w:t>Amended and Restated 1983 Stock Option Plan and 1985 Non-Qualified Stock Option Plan of Federal Realty Investment Trust</w:t>
            </w:r>
          </w:p>
        </w:tc>
      </w:tr>
      <w:tr>
        <w:trPr>
          <w:trHeight w:val="216"/>
        </w:trPr>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6"/>
              </w:rPr>
              <w:t>(previously filed as exhibits to the Trust’s Registration Statement in Form S-8 (File No. 33-55111), filed on August 17, 1994 and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1985 Non-Qualified Stock Option Plan (previously filed as a portion of Exhibit 10 to the Trust’s Annual Report on Form 10-K for the year</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ended December 31, 1985 (File No. 1-07533)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1991 Share Purchase Plan (previously filed as a portion of Exhibit 10 to the Trust’s Annual Report on Form 10-K for the year ended</w:t>
            </w:r>
          </w:p>
        </w:tc>
      </w:tr>
      <w:tr>
        <w:trPr>
          <w:trHeight w:val="222"/>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December 31, 1990 (File No. 1-07533) and incorporated herein by reference)</w:t>
            </w:r>
          </w:p>
        </w:tc>
      </w:tr>
      <w:tr>
        <w:trPr>
          <w:trHeight w:val="365"/>
        </w:trPr>
        <w:tc>
          <w:tcPr>
            <w:tcW w:w="880" w:type="dxa"/>
            <w:vAlign w:val="bottom"/>
          </w:tcPr>
          <w:p>
            <w:pPr>
              <w:spacing w:after="0"/>
              <w:rPr>
                <w:sz w:val="24"/>
                <w:szCs w:val="24"/>
                <w:color w:val="auto"/>
              </w:rPr>
            </w:pPr>
          </w:p>
        </w:tc>
        <w:tc>
          <w:tcPr>
            <w:tcW w:w="10500" w:type="dxa"/>
            <w:vAlign w:val="bottom"/>
            <w:gridSpan w:val="3"/>
          </w:tcPr>
          <w:p>
            <w:pPr>
              <w:jc w:val="right"/>
              <w:ind w:right="558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60" w:type="dxa"/>
            <w:vAlign w:val="bottom"/>
          </w:tcPr>
          <w:p>
            <w:pPr>
              <w:spacing w:after="0"/>
              <w:rPr>
                <w:sz w:val="15"/>
                <w:szCs w:val="15"/>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7"/>
              </w:rPr>
              <w:t>filed as Exhibit 10.26 to the Trust’s Annual Report on Form 10-K for the year ended December 31, 1998 (File No. 1-07533) and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Fiscal Agency Agreement dated as of October 28, 1993 between the Trust and Citibank, N.A. (previously filed as an exhibit to the Trust’s</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3"/>
              </w:rPr>
              <w:t>Quarterly Report on Form 10-Q for the quarter ended September 30, 1993 (File No. 1-07533)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2"/>
              </w:rPr>
              <w:t>Form of Severance Agreement between the Trust and Certain of its Officers dated December 31, 1994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Exhibit 10 to the Trust’s Annual Report on Form 10-K for the year ended December 31, 1994 (File No. 1-07533) and incorporated herein by</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Performance Share Award Agreement dated as of February 9, 2000 between the Trust and Donald C. Wood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Restricted Share Award Agreement dated as of February 9, 2000 between the Trust and Donald C. Wood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6"/>
              </w:rPr>
              <w:t>Trust’s Quarterly Report on Form 10-Q for the quarter ended March 31, 1999 (File No. 1-07533) (the “1999 1Q Form 10-Q”) and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Executive Agreement between Federal Realty Investment Trust and Donald C. Wood dated February 22, 1999 (previously filed as a portion</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of Exhibit 10 to the 1999 1Q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2"/>
              </w:rPr>
              <w:t>filed as Exhibit 10.12 to the Trust’s Annual Report on Form 10-K for the year ended December 31, 2004 (File No. 1-07533) (the “2004</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Amendment to Restricted Share Award Agreement dated December 8, 2000 the Trust and Donald C. Wood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1"/>
              </w:rPr>
              <w:t>Exhibit 10 to the Trust’s Annual Report on Form 10-K for the year ended December 31, 2000 (File No. 1-07533) (the “2000 Form 10-K”)</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3"/>
              </w:rPr>
              <w:t>Split Dollar Life Insurance Agreement dated August 12, 1998 between the Trust and Donald C. Wood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 to the 2000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Restricted Share Award Agreement dated as of February 15, 2000 between the Trust and Jeffrey S. Berkes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1"/>
              </w:rPr>
              <w:t>Exhibit 10 to the Trust’s Annual Report on Form 10-K for the year ended December 31, 2001 (File No. 1-07533) (the “2001 Form 10-K”)</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Severance Agreement between the Trust and Jeffrey S. Berkes dated March 1, 2000 (previously filed as a portion of Exhibit 10 to the 2001</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7"/>
              </w:rPr>
              <w:t>Amendment to Severance Agreement between Federal Realty Investment Trust and Jeff Berkes dated February 16, 2005 (previously filed as</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Severance Agreement dated March 1, 2002 between the Trust and Larry E. Finger (previously filed as a portion of Exhibit 10 to the Trust’s</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Quarterly Report on Form 10-Q for the quarter ended June 30, 2002 (File No. 1-07533) (the “2002 2Q Form 10-Q”) and incorporated herein</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65"/>
        </w:trPr>
        <w:tc>
          <w:tcPr>
            <w:tcW w:w="880" w:type="dxa"/>
            <w:vAlign w:val="bottom"/>
          </w:tcPr>
          <w:p>
            <w:pPr>
              <w:spacing w:after="0"/>
              <w:rPr>
                <w:sz w:val="24"/>
                <w:szCs w:val="24"/>
                <w:color w:val="auto"/>
              </w:rPr>
            </w:pPr>
          </w:p>
        </w:tc>
        <w:tc>
          <w:tcPr>
            <w:tcW w:w="10520" w:type="dxa"/>
            <w:vAlign w:val="bottom"/>
            <w:gridSpan w:val="3"/>
          </w:tcPr>
          <w:p>
            <w:pPr>
              <w:jc w:val="right"/>
              <w:ind w:right="56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60" w:type="dxa"/>
            <w:vAlign w:val="bottom"/>
          </w:tcPr>
          <w:p>
            <w:pPr>
              <w:spacing w:after="0"/>
              <w:rPr>
                <w:sz w:val="15"/>
                <w:szCs w:val="15"/>
                <w:color w:val="auto"/>
              </w:rPr>
            </w:pPr>
          </w:p>
        </w:tc>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Amendment to Severance Agreement between Federal Realty Investment Trust and Larry Finger dated February 16, 2005 (previously filed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as Exhibit 10.19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6"/>
              </w:rPr>
              <w:t>Combined Incentive and Non-Qualified Stock Option Agreement dated February 28, 2002 between the Trust and Larry E. Finger</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(previously filed as a portion of Exhibit 10 to the 2002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Performance Share Award Agreement between the Trust and Donald C. Wood dated February 28, 2002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Exhibit 10 to the 2002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Performance Share Award Agreement between the Trust and Jeffrey S. Berkes dated February 28, 2002 (previously filed as a portion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Exhibit 10 to the 2002 2Q 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Amendment to Stock Option Agreement dated August 15, 2002 between the Trust and Dawn M. Becker (previously filed as a portion of</w:t>
            </w: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Exhibit 10 to the Trust’s Quarterly Report on Form 10Q for the quarter ended September 30, 2002 (File No. 1-075330 (the “2002 3Q Form</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Amendment to Stock Option Agreement dated August 15, 2002 between Federal Realty Investment Trust and Jeffrey S. Berkes (previously</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filed as a portion of Exhibit 10 to the 2002 3Q Form 10-Q and incorporated herein by reference)</w:t>
            </w: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2001 Long-Term Incentive Plan (previously filed as Exhibit 99.1 to the Trust’s S-8 Registration Number 333-60364 filed on May 7, 2001</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 Wood dated February 16, 2005 (previously</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Severance Agreement between the Trust and Dawn Becker dated April 19, 2000 (previously filed as Exhibit 10.26 to the Trust’s 2005 2Q</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Amendment to Severance Agreement between the Trust and Dawn Becker dated February 16, 2005 (previously filed as Exhibit 10.27 to the</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7"/>
              </w:rPr>
              <w:t>Form of Restricted Share Award Agreement for awards made under the Trust’s 2003 Long-Term Incentive Award Program for shares issued</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out of 2001 Long-Term Incentive Plan (previously filed as Exhibit 10.28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7"/>
              </w:rPr>
              <w:t>2001 Long-Term Incentive Plan (previously filed as Exhibit 10.29 to the 2004 Form 10-K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Form of Option Award Agreement for options awarded under 2001 Long-Term Incentive Plan (previously filed as Exhibit 10.30 to the 2004</w:t>
            </w:r>
          </w:p>
        </w:tc>
      </w:tr>
      <w:tr>
        <w:trPr>
          <w:trHeight w:val="222"/>
        </w:trPr>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880" w:type="dxa"/>
            <w:vAlign w:val="bottom"/>
          </w:tcPr>
          <w:p>
            <w:pPr>
              <w:spacing w:after="0"/>
              <w:rPr>
                <w:sz w:val="24"/>
                <w:szCs w:val="24"/>
                <w:color w:val="auto"/>
              </w:rPr>
            </w:pPr>
          </w:p>
        </w:tc>
        <w:tc>
          <w:tcPr>
            <w:tcW w:w="10500" w:type="dxa"/>
            <w:vAlign w:val="bottom"/>
            <w:gridSpan w:val="3"/>
          </w:tcPr>
          <w:p>
            <w:pPr>
              <w:jc w:val="right"/>
              <w:ind w:right="558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80"/>
          </w:cols>
          <w:pgMar w:left="240" w:top="459"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7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620"/>
        <w:spacing w:after="0"/>
        <w:tabs>
          <w:tab w:leader="none" w:pos="7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October 31, 2005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380"/>
        <w:spacing w:after="0"/>
        <w:rPr>
          <w:sz w:val="20"/>
          <w:szCs w:val="20"/>
          <w:color w:val="auto"/>
        </w:rPr>
      </w:pPr>
      <w:r>
        <w:rPr>
          <w:rFonts w:ascii="Arial" w:cs="Arial" w:eastAsia="Arial" w:hAnsi="Arial"/>
          <w:sz w:val="12"/>
          <w:szCs w:val="12"/>
          <w:b w:val="1"/>
          <w:bCs w:val="1"/>
          <w:color w:val="auto"/>
        </w:rPr>
        <w:t>Donald C. Wood, President, Chief Executive</w:t>
      </w:r>
    </w:p>
    <w:p>
      <w:pPr>
        <w:spacing w:after="0" w:line="25" w:lineRule="exact"/>
        <w:rPr>
          <w:sz w:val="20"/>
          <w:szCs w:val="20"/>
          <w:color w:val="auto"/>
        </w:rPr>
      </w:pPr>
    </w:p>
    <w:p>
      <w:pPr>
        <w:jc w:val="center"/>
        <w:ind w:right="1380"/>
        <w:spacing w:after="0"/>
        <w:rPr>
          <w:sz w:val="20"/>
          <w:szCs w:val="20"/>
          <w:color w:val="auto"/>
        </w:rPr>
      </w:pPr>
      <w:r>
        <w:rPr>
          <w:rFonts w:ascii="Arial" w:cs="Arial" w:eastAsia="Arial" w:hAnsi="Arial"/>
          <w:sz w:val="12"/>
          <w:szCs w:val="12"/>
          <w:b w:val="1"/>
          <w:bCs w:val="1"/>
          <w:color w:val="auto"/>
        </w:rPr>
        <w:t>Officer and Trustee (Principal Executive Officer)</w:t>
      </w:r>
    </w:p>
    <w:p>
      <w:pPr>
        <w:sectPr>
          <w:pgSz w:w="11900" w:h="16838" w:orient="portrait"/>
          <w:cols w:equalWidth="0" w:num="2">
            <w:col w:w="6500" w:space="720"/>
            <w:col w:w="4200"/>
          </w:cols>
          <w:pgMar w:left="240" w:top="125"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Larry E. Finger, certify that:</w:t>
      </w:r>
    </w:p>
    <w:p>
      <w:pPr>
        <w:spacing w:after="0" w:line="7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October 31, 2005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480"/>
        <w:spacing w:after="0"/>
        <w:rPr>
          <w:sz w:val="20"/>
          <w:szCs w:val="20"/>
          <w:color w:val="auto"/>
        </w:rPr>
      </w:pPr>
      <w:r>
        <w:rPr>
          <w:rFonts w:ascii="Arial" w:cs="Arial" w:eastAsia="Arial" w:hAnsi="Arial"/>
          <w:sz w:val="12"/>
          <w:szCs w:val="12"/>
          <w:b w:val="1"/>
          <w:bCs w:val="1"/>
          <w:color w:val="auto"/>
        </w:rPr>
        <w:t>Larry E. Finger, Executive Vice President and</w:t>
      </w:r>
    </w:p>
    <w:p>
      <w:pPr>
        <w:spacing w:after="0" w:line="12"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Chief Financial Officer</w:t>
      </w:r>
    </w:p>
    <w:p>
      <w:pPr>
        <w:jc w:val="center"/>
        <w:ind w:right="148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2">
            <w:col w:w="6580" w:space="720"/>
            <w:col w:w="4120"/>
          </w:cols>
          <w:pgMar w:left="240" w:top="125" w:right="2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2005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7620"/>
        <w:spacing w:after="0"/>
        <w:tabs>
          <w:tab w:leader="none" w:pos="7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October 31, 2005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Donald C. Wood, President,</w:t>
      </w:r>
    </w:p>
    <w:p>
      <w:pPr>
        <w:spacing w:after="0" w:line="2" w:lineRule="exact"/>
        <w:rPr>
          <w:sz w:val="20"/>
          <w:szCs w:val="20"/>
          <w:color w:val="auto"/>
        </w:rPr>
      </w:pPr>
    </w:p>
    <w:p>
      <w:pPr>
        <w:jc w:val="center"/>
        <w:ind w:right="1760"/>
        <w:spacing w:after="0"/>
        <w:rPr>
          <w:sz w:val="20"/>
          <w:szCs w:val="20"/>
          <w:color w:val="auto"/>
        </w:rPr>
      </w:pPr>
      <w:r>
        <w:rPr>
          <w:rFonts w:ascii="Arial" w:cs="Arial" w:eastAsia="Arial" w:hAnsi="Arial"/>
          <w:sz w:val="12"/>
          <w:szCs w:val="12"/>
          <w:b w:val="1"/>
          <w:bCs w:val="1"/>
          <w:color w:val="auto"/>
        </w:rPr>
        <w:t>Chief Executive Officer and Trustee</w:t>
      </w:r>
    </w:p>
    <w:p>
      <w:pPr>
        <w:spacing w:after="0" w:line="10"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2">
            <w:col w:w="6860" w:space="720"/>
            <w:col w:w="3840"/>
          </w:cols>
          <w:pgMar w:left="240" w:top="125"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September 30, 2005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October 31, 2005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480"/>
        <w:spacing w:after="0"/>
        <w:rPr>
          <w:sz w:val="20"/>
          <w:szCs w:val="20"/>
          <w:color w:val="auto"/>
        </w:rPr>
      </w:pPr>
      <w:r>
        <w:rPr>
          <w:rFonts w:ascii="Arial" w:cs="Arial" w:eastAsia="Arial" w:hAnsi="Arial"/>
          <w:sz w:val="12"/>
          <w:szCs w:val="12"/>
          <w:b w:val="1"/>
          <w:bCs w:val="1"/>
          <w:color w:val="auto"/>
        </w:rPr>
        <w:t>Larry E. Finger, Executive Vice President and</w:t>
      </w:r>
    </w:p>
    <w:p>
      <w:pPr>
        <w:spacing w:after="0" w:line="12"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Chief Financial Officer</w:t>
      </w:r>
    </w:p>
    <w:p>
      <w:pPr>
        <w:jc w:val="center"/>
        <w:ind w:right="148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2">
        <w:col w:w="6580" w:space="720"/>
        <w:col w:w="41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41"/>
    </w:lvl>
  </w:abstractNum>
  <w:abstractNum w:abstractNumId="4">
    <w:nsid w:val="B03E0C6"/>
    <w:multiLevelType w:val="hybridMultilevel"/>
    <w:lvl w:ilvl="0">
      <w:lvlJc w:val="left"/>
      <w:lvlText w:val="•"/>
      <w:numFmt w:val="bullet"/>
      <w:start w:val="1"/>
    </w:lvl>
    <w:lvl w:ilvl="1">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3"/>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2019-12-13T00:59:00Z</dcterms:created>
  <dcterms:modified xsi:type="dcterms:W3CDTF">2019-12-13T00:59:00Z</dcterms:modified>
</cp:coreProperties>
</file>