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61" w:lineRule="exact"/>
        <w:rPr>
          <w:sz w:val="24"/>
          <w:szCs w:val="24"/>
          <w:color w:val="auto"/>
        </w:rPr>
      </w:pPr>
    </w:p>
    <w:p>
      <w:pPr>
        <w:jc w:val="center"/>
        <w:ind w:left="3880" w:right="920" w:hanging="3845"/>
        <w:spacing w:after="0" w:line="360" w:lineRule="auto"/>
        <w:tabs>
          <w:tab w:leader="none" w:pos="7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THE SECTION 13 OR 15(D) OF THE SECURITIES EXCHANGE ACT OF 1934 For the quarterly period ended June 30,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1-07533</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248" w:lineRule="exact"/>
        <w:rPr>
          <w:sz w:val="24"/>
          <w:szCs w:val="24"/>
          <w:color w:val="auto"/>
        </w:rPr>
      </w:pPr>
    </w:p>
    <w:tbl>
      <w:tblPr>
        <w:tblLayout w:type="fixed"/>
        <w:tblInd w:w="24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080" w:type="dxa"/>
            <w:vAlign w:val="bottom"/>
            <w:gridSpan w:val="2"/>
          </w:tcPr>
          <w:p>
            <w:pPr>
              <w:jc w:val="center"/>
              <w:ind w:right="1985"/>
              <w:spacing w:after="0"/>
              <w:rPr>
                <w:sz w:val="20"/>
                <w:szCs w:val="20"/>
                <w:color w:val="auto"/>
              </w:rPr>
            </w:pPr>
            <w:r>
              <w:rPr>
                <w:rFonts w:ascii="Arial" w:cs="Arial" w:eastAsia="Arial" w:hAnsi="Arial"/>
                <w:sz w:val="16"/>
                <w:szCs w:val="16"/>
                <w:b w:val="1"/>
                <w:bCs w:val="1"/>
                <w:color w:val="auto"/>
                <w:w w:val="99"/>
              </w:rPr>
              <w:t>Maryland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40" w:type="dxa"/>
            <w:vAlign w:val="bottom"/>
            <w:gridSpan w:val="2"/>
          </w:tcPr>
          <w:p>
            <w:pPr>
              <w:ind w:left="740"/>
              <w:spacing w:after="0"/>
              <w:rPr>
                <w:sz w:val="20"/>
                <w:szCs w:val="20"/>
                <w:color w:val="auto"/>
              </w:rPr>
            </w:pPr>
            <w:r>
              <w:rPr>
                <w:rFonts w:ascii="Arial" w:cs="Arial" w:eastAsia="Arial" w:hAnsi="Arial"/>
                <w:sz w:val="16"/>
                <w:szCs w:val="16"/>
                <w:b w:val="1"/>
                <w:bCs w:val="1"/>
                <w:color w:val="auto"/>
              </w:rPr>
              <w:t>52-0782497</w:t>
            </w:r>
          </w:p>
        </w:tc>
        <w:tc>
          <w:tcPr>
            <w:tcW w:w="0" w:type="dxa"/>
            <w:vAlign w:val="bottom"/>
          </w:tcPr>
          <w:p>
            <w:pPr>
              <w:spacing w:after="0"/>
              <w:rPr>
                <w:sz w:val="1"/>
                <w:szCs w:val="1"/>
                <w:color w:val="auto"/>
              </w:rPr>
            </w:pPr>
          </w:p>
        </w:tc>
      </w:tr>
      <w:tr>
        <w:trPr>
          <w:trHeight w:val="250"/>
        </w:trPr>
        <w:tc>
          <w:tcPr>
            <w:tcW w:w="4580" w:type="dxa"/>
            <w:vAlign w:val="bottom"/>
            <w:gridSpan w:val="3"/>
          </w:tcPr>
          <w:p>
            <w:pPr>
              <w:jc w:val="center"/>
              <w:ind w:right="485"/>
              <w:spacing w:after="0"/>
              <w:rPr>
                <w:sz w:val="20"/>
                <w:szCs w:val="20"/>
                <w:color w:val="auto"/>
              </w:rPr>
            </w:pPr>
            <w:r>
              <w:rPr>
                <w:rFonts w:ascii="Arial" w:cs="Arial" w:eastAsia="Arial" w:hAnsi="Arial"/>
                <w:sz w:val="14"/>
                <w:szCs w:val="14"/>
                <w:b w:val="1"/>
                <w:bCs w:val="1"/>
                <w:color w:val="auto"/>
                <w:w w:val="94"/>
              </w:rPr>
              <w:t>(State of Organization)</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500" w:type="dxa"/>
            <w:vAlign w:val="bottom"/>
            <w:gridSpan w:val="6"/>
          </w:tcPr>
          <w:p>
            <w:pPr>
              <w:jc w:val="center"/>
              <w:ind w:right="2262"/>
              <w:spacing w:after="0"/>
              <w:rPr>
                <w:sz w:val="20"/>
                <w:szCs w:val="20"/>
                <w:color w:val="auto"/>
              </w:rPr>
            </w:pPr>
            <w:r>
              <w:rPr>
                <w:rFonts w:ascii="Arial" w:cs="Arial" w:eastAsia="Arial" w:hAnsi="Arial"/>
                <w:sz w:val="16"/>
                <w:szCs w:val="16"/>
                <w:b w:val="1"/>
                <w:bCs w:val="1"/>
                <w:color w:val="auto"/>
                <w:w w:val="92"/>
              </w:rPr>
              <w:t>1626 East Jefferson Street, Rockville, Maryland 20852</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60" w:type="dxa"/>
            <w:vAlign w:val="bottom"/>
            <w:gridSpan w:val="4"/>
          </w:tcPr>
          <w:p>
            <w:pPr>
              <w:jc w:val="center"/>
              <w:ind w:left="82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2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93"/>
              </w:rPr>
              <w:t>(301) 998-8100</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60" w:type="dxa"/>
            <w:vAlign w:val="bottom"/>
            <w:gridSpan w:val="4"/>
          </w:tcPr>
          <w:p>
            <w:pPr>
              <w:jc w:val="center"/>
              <w:ind w:left="78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2"/>
          </w:tcPr>
          <w:p>
            <w:pPr>
              <w:jc w:val="center"/>
              <w:ind w:right="1060"/>
              <w:spacing w:after="0"/>
              <w:rPr>
                <w:sz w:val="20"/>
                <w:szCs w:val="20"/>
                <w:color w:val="auto"/>
              </w:rPr>
            </w:pPr>
            <w:r>
              <w:rPr>
                <w:rFonts w:ascii="Arial" w:cs="Arial" w:eastAsia="Arial" w:hAnsi="Arial"/>
                <w:sz w:val="16"/>
                <w:szCs w:val="16"/>
                <w:b w:val="1"/>
                <w:bCs w:val="1"/>
                <w:color w:val="auto"/>
                <w:w w:val="92"/>
              </w:rPr>
              <w:t>Trading Symbol</w:t>
            </w:r>
          </w:p>
        </w:tc>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gridSpan w:val="3"/>
          </w:tcPr>
          <w:p>
            <w:pPr>
              <w:jc w:val="center"/>
              <w:ind w:right="225"/>
              <w:spacing w:after="0"/>
              <w:rPr>
                <w:sz w:val="20"/>
                <w:szCs w:val="20"/>
                <w:color w:val="auto"/>
              </w:rPr>
            </w:pPr>
            <w:r>
              <w:rPr>
                <w:rFonts w:ascii="Arial" w:cs="Arial" w:eastAsia="Arial" w:hAnsi="Arial"/>
                <w:sz w:val="16"/>
                <w:szCs w:val="16"/>
                <w:color w:val="auto"/>
                <w:w w:val="92"/>
              </w:rPr>
              <w:t>Common Shares of Beneficial Interest</w:t>
            </w:r>
          </w:p>
        </w:tc>
        <w:tc>
          <w:tcPr>
            <w:tcW w:w="300" w:type="dxa"/>
            <w:vAlign w:val="bottom"/>
          </w:tcPr>
          <w:p>
            <w:pPr>
              <w:spacing w:after="0"/>
              <w:rPr>
                <w:sz w:val="24"/>
                <w:szCs w:val="24"/>
                <w:color w:val="auto"/>
              </w:rPr>
            </w:pP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FRT</w:t>
            </w:r>
          </w:p>
        </w:tc>
        <w:tc>
          <w:tcPr>
            <w:tcW w:w="20" w:type="dxa"/>
            <w:vAlign w:val="bottom"/>
          </w:tcPr>
          <w:p>
            <w:pPr>
              <w:spacing w:after="0"/>
              <w:rPr>
                <w:sz w:val="24"/>
                <w:szCs w:val="24"/>
                <w:color w:val="auto"/>
              </w:rPr>
            </w:pPr>
          </w:p>
        </w:tc>
        <w:tc>
          <w:tcPr>
            <w:tcW w:w="3220" w:type="dxa"/>
            <w:vAlign w:val="bottom"/>
          </w:tcPr>
          <w:p>
            <w:pPr>
              <w:ind w:left="72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47"/>
        </w:trPr>
        <w:tc>
          <w:tcPr>
            <w:tcW w:w="4580" w:type="dxa"/>
            <w:vAlign w:val="bottom"/>
            <w:gridSpan w:val="3"/>
          </w:tcPr>
          <w:p>
            <w:pPr>
              <w:jc w:val="center"/>
              <w:ind w:right="205"/>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3080" w:type="dxa"/>
            <w:vAlign w:val="bottom"/>
            <w:gridSpan w:val="2"/>
          </w:tcPr>
          <w:p>
            <w:pPr>
              <w:jc w:val="center"/>
              <w:ind w:right="1705"/>
              <w:spacing w:after="0"/>
              <w:rPr>
                <w:sz w:val="20"/>
                <w:szCs w:val="20"/>
                <w:color w:val="auto"/>
              </w:rPr>
            </w:pPr>
            <w:r>
              <w:rPr>
                <w:rFonts w:ascii="Arial" w:cs="Arial" w:eastAsia="Arial" w:hAnsi="Arial"/>
                <w:sz w:val="16"/>
                <w:szCs w:val="16"/>
                <w:color w:val="auto"/>
                <w:w w:val="92"/>
              </w:rPr>
              <w:t>Rights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4580" w:type="dxa"/>
            <w:vAlign w:val="bottom"/>
            <w:gridSpan w:val="3"/>
          </w:tcPr>
          <w:p>
            <w:pPr>
              <w:jc w:val="center"/>
              <w:ind w:right="225"/>
              <w:spacing w:after="0"/>
              <w:rPr>
                <w:sz w:val="20"/>
                <w:szCs w:val="20"/>
                <w:color w:val="auto"/>
              </w:rPr>
            </w:pPr>
            <w:r>
              <w:rPr>
                <w:rFonts w:ascii="Arial" w:cs="Arial" w:eastAsia="Arial" w:hAnsi="Arial"/>
                <w:sz w:val="16"/>
                <w:szCs w:val="16"/>
                <w:color w:val="auto"/>
                <w:w w:val="89"/>
              </w:rPr>
              <w:t>Depositary Shares, each representing 1/1000 of a share</w:t>
            </w:r>
          </w:p>
        </w:tc>
        <w:tc>
          <w:tcPr>
            <w:tcW w:w="300" w:type="dxa"/>
            <w:vAlign w:val="bottom"/>
          </w:tcPr>
          <w:p>
            <w:pPr>
              <w:spacing w:after="0"/>
              <w:rPr>
                <w:sz w:val="24"/>
                <w:szCs w:val="24"/>
                <w:color w:val="auto"/>
              </w:rPr>
            </w:pP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88"/>
              </w:rPr>
              <w:t>FRT-C</w:t>
            </w:r>
          </w:p>
        </w:tc>
        <w:tc>
          <w:tcPr>
            <w:tcW w:w="20" w:type="dxa"/>
            <w:vAlign w:val="bottom"/>
          </w:tcPr>
          <w:p>
            <w:pPr>
              <w:spacing w:after="0"/>
              <w:rPr>
                <w:sz w:val="24"/>
                <w:szCs w:val="24"/>
                <w:color w:val="auto"/>
              </w:rPr>
            </w:pPr>
          </w:p>
        </w:tc>
        <w:tc>
          <w:tcPr>
            <w:tcW w:w="3220" w:type="dxa"/>
            <w:vAlign w:val="bottom"/>
          </w:tcPr>
          <w:p>
            <w:pPr>
              <w:ind w:left="72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ind w:right="64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480"/>
        <w:spacing w:after="0"/>
        <w:rPr>
          <w:sz w:val="20"/>
          <w:szCs w:val="20"/>
          <w:color w:val="auto"/>
        </w:rPr>
      </w:pPr>
      <w:r>
        <w:rPr>
          <w:rFonts w:ascii="Arial" w:cs="Arial" w:eastAsia="Arial" w:hAnsi="Arial"/>
          <w:sz w:val="16"/>
          <w:szCs w:val="16"/>
          <w:color w:val="auto"/>
        </w:rPr>
        <w:t>value per share</w:t>
      </w:r>
    </w:p>
    <w:p>
      <w:pPr>
        <w:spacing w:after="0" w:line="17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32"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00" w:lineRule="exact"/>
        <w:rPr>
          <w:sz w:val="24"/>
          <w:szCs w:val="24"/>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3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13"/>
        </w:trPr>
        <w:tc>
          <w:tcPr>
            <w:tcW w:w="19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3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13"/>
        </w:trPr>
        <w:tc>
          <w:tcPr>
            <w:tcW w:w="19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6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56"/>
        </w:trPr>
        <w:tc>
          <w:tcPr>
            <w:tcW w:w="10720" w:type="dxa"/>
            <w:vAlign w:val="bottom"/>
            <w:gridSpan w:val="3"/>
          </w:tcPr>
          <w:p>
            <w:pPr>
              <w:ind w:left="40"/>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36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4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0720" w:type="dxa"/>
            <w:vAlign w:val="bottom"/>
            <w:gridSpan w:val="3"/>
          </w:tcPr>
          <w:p>
            <w:pPr>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21"/>
                <w:szCs w:val="21"/>
                <w:color w:val="auto"/>
              </w:rPr>
              <w:t>☒</w:t>
            </w:r>
            <w:r>
              <w:rPr>
                <w:rFonts w:ascii="Arial" w:cs="Arial" w:eastAsia="Arial" w:hAnsi="Arial"/>
                <w:sz w:val="16"/>
                <w:szCs w:val="16"/>
                <w:color w:val="auto"/>
              </w:rPr>
              <w:t xml:space="preserve"> No</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July 31, 2020 was 75,638,759.</w:t>
      </w:r>
    </w:p>
    <w:p>
      <w:pPr>
        <w:sectPr>
          <w:pgSz w:w="11900" w:h="16838" w:orient="portrait"/>
          <w:cols w:equalWidth="0" w:num="1">
            <w:col w:w="11240"/>
          </w:cols>
          <w:pgMar w:left="320" w:top="23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439"/>
        </w:trPr>
        <w:tc>
          <w:tcPr>
            <w:tcW w:w="1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340" w:type="dxa"/>
            <w:vAlign w:val="bottom"/>
          </w:tcPr>
          <w:p>
            <w:pPr>
              <w:jc w:val="center"/>
              <w:ind w:right="750"/>
              <w:spacing w:after="0"/>
              <w:rPr>
                <w:sz w:val="20"/>
                <w:szCs w:val="20"/>
                <w:color w:val="auto"/>
              </w:rPr>
            </w:pPr>
            <w:r>
              <w:rPr>
                <w:rFonts w:ascii="Arial" w:cs="Arial" w:eastAsia="Arial" w:hAnsi="Arial"/>
                <w:sz w:val="18"/>
                <w:szCs w:val="18"/>
                <w:b w:val="1"/>
                <w:bCs w:val="1"/>
                <w:color w:val="auto"/>
              </w:rPr>
              <w:t>FEDERAL REALTY INVESTMENT TRUST</w:t>
            </w:r>
          </w:p>
        </w:tc>
        <w:tc>
          <w:tcPr>
            <w:tcW w:w="5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340" w:type="dxa"/>
            <w:vAlign w:val="bottom"/>
          </w:tcPr>
          <w:p>
            <w:pPr>
              <w:jc w:val="center"/>
              <w:ind w:right="770"/>
              <w:spacing w:after="0"/>
              <w:rPr>
                <w:sz w:val="20"/>
                <w:szCs w:val="20"/>
                <w:color w:val="auto"/>
              </w:rPr>
            </w:pPr>
            <w:r>
              <w:rPr>
                <w:rFonts w:ascii="Arial" w:cs="Arial" w:eastAsia="Arial" w:hAnsi="Arial"/>
                <w:sz w:val="18"/>
                <w:szCs w:val="18"/>
                <w:b w:val="1"/>
                <w:bCs w:val="1"/>
                <w:color w:val="auto"/>
                <w:w w:val="99"/>
              </w:rPr>
              <w:t>QUARTERLY REPORT ON FORM 10-Q</w:t>
            </w:r>
          </w:p>
        </w:tc>
        <w:tc>
          <w:tcPr>
            <w:tcW w:w="5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340" w:type="dxa"/>
            <w:vAlign w:val="bottom"/>
          </w:tcPr>
          <w:p>
            <w:pPr>
              <w:jc w:val="center"/>
              <w:ind w:right="770"/>
              <w:spacing w:after="0"/>
              <w:rPr>
                <w:sz w:val="20"/>
                <w:szCs w:val="20"/>
                <w:color w:val="auto"/>
              </w:rPr>
            </w:pPr>
            <w:r>
              <w:rPr>
                <w:rFonts w:ascii="Arial" w:cs="Arial" w:eastAsia="Arial" w:hAnsi="Arial"/>
                <w:sz w:val="18"/>
                <w:szCs w:val="18"/>
                <w:b w:val="1"/>
                <w:bCs w:val="1"/>
                <w:color w:val="auto"/>
                <w:w w:val="96"/>
              </w:rPr>
              <w:t>QUARTER ENDED JUNE 30, 2020</w:t>
            </w:r>
          </w:p>
        </w:tc>
        <w:tc>
          <w:tcPr>
            <w:tcW w:w="5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40" w:type="dxa"/>
            <w:vAlign w:val="bottom"/>
          </w:tcPr>
          <w:p>
            <w:pPr>
              <w:jc w:val="center"/>
              <w:ind w:right="77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648"/>
        </w:trPr>
        <w:tc>
          <w:tcPr>
            <w:tcW w:w="107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500" w:type="dxa"/>
            <w:vAlign w:val="bottom"/>
          </w:tcPr>
          <w:p>
            <w:pPr>
              <w:spacing w:after="0"/>
              <w:rPr>
                <w:sz w:val="24"/>
                <w:szCs w:val="24"/>
                <w:color w:val="auto"/>
              </w:rPr>
            </w:pPr>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w:t>
            </w:r>
          </w:p>
        </w:tc>
        <w:tc>
          <w:tcPr>
            <w:tcW w:w="93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5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340" w:type="dxa"/>
            <w:vAlign w:val="bottom"/>
          </w:tcPr>
          <w:p>
            <w:pPr>
              <w:ind w:left="120"/>
              <w:spacing w:after="0"/>
              <w:rPr>
                <w:sz w:val="20"/>
                <w:szCs w:val="20"/>
                <w:color w:val="auto"/>
              </w:rPr>
            </w:pPr>
            <w:r>
              <w:rPr>
                <w:rFonts w:ascii="Arial" w:cs="Arial" w:eastAsia="Arial" w:hAnsi="Arial"/>
                <w:sz w:val="18"/>
                <w:szCs w:val="18"/>
                <w:color w:val="auto"/>
              </w:rPr>
              <w:t>Consolidated Balance Sheets as of June 30, 2020 (unaudited) and December 31, 2019</w:t>
            </w:r>
          </w:p>
        </w:tc>
        <w:tc>
          <w:tcPr>
            <w:tcW w:w="5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340" w:type="dxa"/>
            <w:vAlign w:val="bottom"/>
          </w:tcPr>
          <w:p>
            <w:pPr>
              <w:ind w:left="120"/>
              <w:spacing w:after="0"/>
              <w:rPr>
                <w:sz w:val="20"/>
                <w:szCs w:val="20"/>
                <w:color w:val="auto"/>
              </w:rPr>
            </w:pPr>
            <w:r>
              <w:rPr>
                <w:rFonts w:ascii="Arial" w:cs="Arial" w:eastAsia="Arial" w:hAnsi="Arial"/>
                <w:sz w:val="18"/>
                <w:szCs w:val="18"/>
                <w:color w:val="auto"/>
                <w:w w:val="92"/>
              </w:rPr>
              <w:t>Consolidated Statements of Comprehensive Income (unaudited) for the three and six months ended June 30, 2020 and 2019</w:t>
            </w:r>
          </w:p>
        </w:tc>
        <w:tc>
          <w:tcPr>
            <w:tcW w:w="5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340" w:type="dxa"/>
            <w:vAlign w:val="bottom"/>
          </w:tcPr>
          <w:p>
            <w:pPr>
              <w:ind w:left="120"/>
              <w:spacing w:after="0"/>
              <w:rPr>
                <w:sz w:val="20"/>
                <w:szCs w:val="20"/>
                <w:color w:val="auto"/>
              </w:rPr>
            </w:pPr>
            <w:r>
              <w:rPr>
                <w:rFonts w:ascii="Arial" w:cs="Arial" w:eastAsia="Arial" w:hAnsi="Arial"/>
                <w:sz w:val="18"/>
                <w:szCs w:val="18"/>
                <w:color w:val="auto"/>
                <w:w w:val="94"/>
              </w:rPr>
              <w:t>Consolidated Statements of Shareholders' Equity (unaudited) for the three and six months ended June 30, 2020 and 2019</w:t>
            </w:r>
          </w:p>
        </w:tc>
        <w:tc>
          <w:tcPr>
            <w:tcW w:w="5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340" w:type="dxa"/>
            <w:vAlign w:val="bottom"/>
          </w:tcPr>
          <w:p>
            <w:pPr>
              <w:ind w:left="120"/>
              <w:spacing w:after="0"/>
              <w:rPr>
                <w:sz w:val="20"/>
                <w:szCs w:val="20"/>
                <w:color w:val="auto"/>
              </w:rPr>
            </w:pPr>
            <w:r>
              <w:rPr>
                <w:rFonts w:ascii="Arial" w:cs="Arial" w:eastAsia="Arial" w:hAnsi="Arial"/>
                <w:sz w:val="18"/>
                <w:szCs w:val="18"/>
                <w:color w:val="auto"/>
              </w:rPr>
              <w:t>Consolidated Statements of Cash Flows (unaudited) for the six months ended June 30, 2020 and 2019</w:t>
            </w:r>
          </w:p>
        </w:tc>
        <w:tc>
          <w:tcPr>
            <w:tcW w:w="5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340" w:type="dxa"/>
            <w:vAlign w:val="bottom"/>
          </w:tcPr>
          <w:p>
            <w:pPr>
              <w:ind w:left="120"/>
              <w:spacing w:after="0"/>
              <w:rPr>
                <w:sz w:val="20"/>
                <w:szCs w:val="20"/>
                <w:color w:val="auto"/>
              </w:rPr>
            </w:pPr>
            <w:r>
              <w:rPr>
                <w:rFonts w:ascii="Arial" w:cs="Arial" w:eastAsia="Arial" w:hAnsi="Arial"/>
                <w:sz w:val="18"/>
                <w:szCs w:val="18"/>
                <w:color w:val="auto"/>
              </w:rPr>
              <w:t>Notes to Consolidated Financial Statements (unaudited)</w:t>
            </w:r>
          </w:p>
        </w:tc>
        <w:tc>
          <w:tcPr>
            <w:tcW w:w="50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2.</w:t>
            </w:r>
          </w:p>
        </w:tc>
        <w:tc>
          <w:tcPr>
            <w:tcW w:w="934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15</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3.</w:t>
            </w:r>
          </w:p>
        </w:tc>
        <w:tc>
          <w:tcPr>
            <w:tcW w:w="934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50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4.</w:t>
            </w:r>
          </w:p>
        </w:tc>
        <w:tc>
          <w:tcPr>
            <w:tcW w:w="934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50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32</w:t>
              </w:r>
            </w:hyperlink>
          </w:p>
        </w:tc>
      </w:tr>
      <w:tr>
        <w:trPr>
          <w:trHeight w:val="594"/>
        </w:trPr>
        <w:tc>
          <w:tcPr>
            <w:tcW w:w="107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50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w:t>
            </w:r>
          </w:p>
        </w:tc>
        <w:tc>
          <w:tcPr>
            <w:tcW w:w="93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50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1A.</w:t>
            </w:r>
          </w:p>
        </w:tc>
        <w:tc>
          <w:tcPr>
            <w:tcW w:w="934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50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2.</w:t>
            </w:r>
          </w:p>
        </w:tc>
        <w:tc>
          <w:tcPr>
            <w:tcW w:w="934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50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3.</w:t>
            </w:r>
          </w:p>
        </w:tc>
        <w:tc>
          <w:tcPr>
            <w:tcW w:w="9340" w:type="dxa"/>
            <w:vAlign w:val="bottom"/>
          </w:tcPr>
          <w:p>
            <w:pPr>
              <w:ind w:left="120"/>
              <w:spacing w:after="0"/>
              <w:rPr>
                <w:sz w:val="20"/>
                <w:szCs w:val="20"/>
                <w:color w:val="auto"/>
              </w:rPr>
            </w:pPr>
            <w:r>
              <w:rPr>
                <w:rFonts w:ascii="Arial" w:cs="Arial" w:eastAsia="Arial" w:hAnsi="Arial"/>
                <w:sz w:val="18"/>
                <w:szCs w:val="18"/>
                <w:color w:val="auto"/>
              </w:rPr>
              <w:t>Defaults Upon Senior Securities</w:t>
            </w:r>
          </w:p>
        </w:tc>
        <w:tc>
          <w:tcPr>
            <w:tcW w:w="50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4.</w:t>
            </w:r>
          </w:p>
        </w:tc>
        <w:tc>
          <w:tcPr>
            <w:tcW w:w="934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50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5.</w:t>
            </w:r>
          </w:p>
        </w:tc>
        <w:tc>
          <w:tcPr>
            <w:tcW w:w="934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50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6.</w:t>
            </w:r>
          </w:p>
        </w:tc>
        <w:tc>
          <w:tcPr>
            <w:tcW w:w="9340" w:type="dxa"/>
            <w:vAlign w:val="bottom"/>
          </w:tcPr>
          <w:p>
            <w:pPr>
              <w:ind w:left="120"/>
              <w:spacing w:after="0"/>
              <w:rPr>
                <w:sz w:val="20"/>
                <w:szCs w:val="20"/>
                <w:color w:val="auto"/>
              </w:rPr>
            </w:pPr>
            <w:r>
              <w:rPr>
                <w:rFonts w:ascii="Arial" w:cs="Arial" w:eastAsia="Arial" w:hAnsi="Arial"/>
                <w:sz w:val="18"/>
                <w:szCs w:val="18"/>
                <w:color w:val="auto"/>
              </w:rPr>
              <w:t>Exhibits</w:t>
            </w:r>
          </w:p>
        </w:tc>
        <w:tc>
          <w:tcPr>
            <w:tcW w:w="50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34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36</w:t>
              </w:r>
            </w:hyperlink>
          </w:p>
        </w:tc>
      </w:tr>
      <w:tr>
        <w:trPr>
          <w:trHeight w:val="891"/>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40" w:type="dxa"/>
            <w:vAlign w:val="bottom"/>
          </w:tcPr>
          <w:p>
            <w:pPr>
              <w:jc w:val="center"/>
              <w:ind w:right="770"/>
              <w:spacing w:after="0"/>
              <w:rPr>
                <w:sz w:val="20"/>
                <w:szCs w:val="20"/>
                <w:color w:val="auto"/>
              </w:rPr>
            </w:pPr>
            <w:r>
              <w:rPr>
                <w:rFonts w:ascii="Arial" w:cs="Arial" w:eastAsia="Arial" w:hAnsi="Arial"/>
                <w:sz w:val="18"/>
                <w:szCs w:val="18"/>
                <w:color w:val="auto"/>
                <w:w w:val="79"/>
              </w:rPr>
              <w:t>2</w:t>
            </w:r>
          </w:p>
        </w:tc>
        <w:tc>
          <w:tcPr>
            <w:tcW w:w="50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tcPr>
          <w:p>
            <w:pPr>
              <w:jc w:val="right"/>
              <w:ind w:right="71"/>
              <w:spacing w:after="0" w:line="153" w:lineRule="exact"/>
              <w:rPr>
                <w:sz w:val="20"/>
                <w:szCs w:val="20"/>
                <w:color w:val="auto"/>
              </w:rPr>
            </w:pPr>
            <w:r>
              <w:rPr>
                <w:rFonts w:ascii="Arial" w:cs="Arial" w:eastAsia="Arial" w:hAnsi="Arial"/>
                <w:sz w:val="14"/>
                <w:szCs w:val="14"/>
                <w:b w:val="1"/>
                <w:bCs w:val="1"/>
                <w:color w:val="auto"/>
                <w:w w:val="92"/>
              </w:rPr>
              <w:t>(In thousands, except share and per</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6"/>
              </w:rPr>
              <w:t>Operating (including $1,754,540 and $1,676,866 of consolidated variable interest entities, 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7,790,025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7,535,983</w:t>
            </w:r>
          </w:p>
        </w:tc>
        <w:tc>
          <w:tcPr>
            <w:tcW w:w="0" w:type="dxa"/>
            <w:vAlign w:val="bottom"/>
          </w:tcPr>
          <w:p>
            <w:pPr>
              <w:spacing w:after="0"/>
              <w:rPr>
                <w:sz w:val="1"/>
                <w:szCs w:val="1"/>
                <w:color w:val="auto"/>
              </w:rPr>
            </w:pPr>
          </w:p>
        </w:tc>
      </w:tr>
      <w:tr>
        <w:trPr>
          <w:trHeight w:val="229"/>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Construction-in-progress (including $93,067 and $102,583 of consolidated variable interest entities,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754,787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760,420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8,545,897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8,298,132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shd w:val="clear" w:color="auto" w:fill="CCEEFF"/>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Less accumulated depreciation and amortization (including $317,925 and $296,165 of consolidated variable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entities,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(2,308,403)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(2,215,413)</w:t>
            </w:r>
          </w:p>
        </w:tc>
        <w:tc>
          <w:tcPr>
            <w:tcW w:w="0" w:type="dxa"/>
            <w:vAlign w:val="bottom"/>
          </w:tcPr>
          <w:p>
            <w:pPr>
              <w:spacing w:after="0"/>
              <w:rPr>
                <w:sz w:val="1"/>
                <w:szCs w:val="1"/>
                <w:color w:val="auto"/>
              </w:rPr>
            </w:pPr>
          </w:p>
        </w:tc>
      </w:tr>
      <w:tr>
        <w:trPr>
          <w:trHeight w:val="237"/>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6,237,494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6,082,719</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980,039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167,641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152,572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Investment in partnerships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93,774</w:t>
            </w: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51,758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206,293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227,060</w:t>
            </w:r>
          </w:p>
        </w:tc>
        <w:tc>
          <w:tcPr>
            <w:tcW w:w="0" w:type="dxa"/>
            <w:vAlign w:val="bottom"/>
          </w:tcPr>
          <w:p>
            <w:pPr>
              <w:spacing w:after="0"/>
              <w:rPr>
                <w:sz w:val="1"/>
                <w:szCs w:val="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7,789,930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67"/>
        </w:trPr>
        <w:tc>
          <w:tcPr>
            <w:tcW w:w="700" w:type="dxa"/>
            <w:vAlign w:val="bottom"/>
            <w:tcBorders>
              <w:bottom w:val="single" w:sz="8" w:color="CCEEFF"/>
            </w:tcBorders>
          </w:tcPr>
          <w:p>
            <w:pPr>
              <w:spacing w:after="0"/>
              <w:rPr>
                <w:sz w:val="5"/>
                <w:szCs w:val="5"/>
                <w:color w:val="auto"/>
              </w:rPr>
            </w:pPr>
          </w:p>
        </w:tc>
        <w:tc>
          <w:tcPr>
            <w:tcW w:w="79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Mortgages payable, net (including $475,757 and $469,184 of consolidated variable interest entities,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551,034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545,679</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Notes payable,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402,477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3,508,461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2,807,134</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244,482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255,503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81,676</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21,701</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73,628</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72,056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157,938</w:t>
            </w:r>
          </w:p>
        </w:tc>
        <w:tc>
          <w:tcPr>
            <w:tcW w:w="0" w:type="dxa"/>
            <w:vAlign w:val="bottom"/>
          </w:tcPr>
          <w:p>
            <w:pPr>
              <w:spacing w:after="0"/>
              <w:rPr>
                <w:sz w:val="1"/>
                <w:szCs w:val="1"/>
                <w:color w:val="auto"/>
              </w:rPr>
            </w:pPr>
          </w:p>
        </w:tc>
      </w:tr>
      <w:tr>
        <w:trPr>
          <w:trHeight w:val="236"/>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5,099,246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4,019,102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159,583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139,758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 w:type="dxa"/>
            <w:vAlign w:val="bottom"/>
            <w:shd w:val="clear" w:color="auto" w:fill="CCEEFF"/>
          </w:tcPr>
          <w:p>
            <w:pPr>
              <w:spacing w:after="0"/>
              <w:rPr>
                <w:sz w:val="19"/>
                <w:szCs w:val="19"/>
                <w:color w:val="auto"/>
              </w:rPr>
            </w:pPr>
          </w:p>
        </w:tc>
        <w:tc>
          <w:tcPr>
            <w:tcW w:w="7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 6,000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1"/>
              </w:rPr>
              <w:t>Common shares of beneficial interest, $.01 par, 100,000,000 shares authorized, 75,633,140 and 75,540,804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3,170,480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3,166,522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(791,124)</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2,434,284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2,535,341</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96,817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100,791</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2,531,101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2,636,132</w:t>
            </w:r>
          </w:p>
        </w:tc>
        <w:tc>
          <w:tcPr>
            <w:tcW w:w="0" w:type="dxa"/>
            <w:vAlign w:val="bottom"/>
          </w:tcPr>
          <w:p>
            <w:pPr>
              <w:spacing w:after="0"/>
              <w:rPr>
                <w:sz w:val="1"/>
                <w:szCs w:val="1"/>
                <w:color w:val="auto"/>
              </w:rPr>
            </w:pPr>
          </w:p>
        </w:tc>
      </w:tr>
      <w:tr>
        <w:trPr>
          <w:trHeight w:val="23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7,789,930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940" w:type="dxa"/>
            <w:vAlign w:val="bottom"/>
            <w:vMerge w:val="restart"/>
          </w:tcPr>
          <w:p>
            <w:pPr>
              <w:ind w:left="2100"/>
              <w:spacing w:after="0"/>
              <w:rPr>
                <w:sz w:val="20"/>
                <w:szCs w:val="20"/>
                <w:color w:val="auto"/>
              </w:rPr>
            </w:pPr>
            <w:r>
              <w:rPr>
                <w:rFonts w:ascii="Arial" w:cs="Arial" w:eastAsia="Arial" w:hAnsi="Arial"/>
                <w:sz w:val="18"/>
                <w:szCs w:val="18"/>
                <w:color w:val="auto"/>
                <w:w w:val="92"/>
              </w:rPr>
              <w:t>The accompanying notes are an integral part of these consolidated statements.</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79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7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393"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20" w:top="126" w:right="359" w:bottom="393"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Rental income</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175,479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229,731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406,277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461,223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176,227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230,465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407,784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462,692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36,417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41,438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80,729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85,698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30,599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52,853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11,422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20,065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62,784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118,679</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139,614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137,083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285,429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278,217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40"/>
              <w:spacing w:after="0"/>
              <w:rPr>
                <w:sz w:val="20"/>
                <w:szCs w:val="20"/>
                <w:color w:val="auto"/>
              </w:rPr>
            </w:pPr>
            <w:r>
              <w:rPr>
                <w:rFonts w:ascii="Arial" w:cs="Arial" w:eastAsia="Arial" w:hAnsi="Arial"/>
                <w:sz w:val="18"/>
                <w:szCs w:val="18"/>
                <w:color w:val="auto"/>
              </w:rPr>
              <w:t>Gain on sale of real estate, net of tax</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16,197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48,295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109,579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134,037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200,672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INCOME/(EXPENSE)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interest income</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partnerships</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82,667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67,300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144,470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80,902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65,270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141,046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7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78,891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61,249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137,025</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EARNINGS PER COMMON SHARE, BASIC AND DILUTED:</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75,394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74,713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74,458</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82,268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60,355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143,862</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10,014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80,503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58,325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140,438</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8"/>
          </w:tcPr>
          <w:p>
            <w:pPr>
              <w:jc w:val="center"/>
              <w:ind w:left="2470"/>
              <w:spacing w:after="0"/>
              <w:rPr>
                <w:sz w:val="20"/>
                <w:szCs w:val="20"/>
                <w:color w:val="auto"/>
              </w:rPr>
            </w:pPr>
            <w:r>
              <w:rPr>
                <w:rFonts w:ascii="Arial" w:cs="Arial" w:eastAsia="Arial" w:hAnsi="Arial"/>
                <w:sz w:val="18"/>
                <w:szCs w:val="18"/>
                <w:color w:val="auto"/>
                <w:w w:val="88"/>
              </w:rPr>
              <w:t>The accompanying notes are an integral part of these consolidated statements.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4"/>
                <w:szCs w:val="24"/>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2020</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2019</w:t>
      </w:r>
    </w:p>
    <w:p>
      <w:pPr>
        <w:spacing w:after="0" w:line="109"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January 1, 2020 adoption of new accounting standard - See Note 2</w:t>
      </w:r>
    </w:p>
    <w:p>
      <w:pPr>
        <w:spacing w:after="0" w:line="12"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Net income, excluding $1,157 attributable to redeemable noncontrolling interests</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($2.10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2020</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5"/>
              </w:rPr>
              <w:t>Shareholders’ Equity of the Trust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6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vMerge w:val="restart"/>
          </w:tcPr>
          <w:p>
            <w:pPr>
              <w:spacing w:after="0"/>
              <w:rPr>
                <w:sz w:val="13"/>
                <w:szCs w:val="13"/>
                <w:color w:val="auto"/>
              </w:rPr>
            </w:pPr>
          </w:p>
        </w:tc>
        <w:tc>
          <w:tcPr>
            <w:tcW w:w="14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9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560" w:type="dxa"/>
            <w:vAlign w:val="bottom"/>
            <w:tcBorders>
              <w:bottom w:val="single" w:sz="8" w:color="auto"/>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88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w w:val="91"/>
              </w:rPr>
              <w:t>(In thousands, except share data)</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$159,997</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4"/>
              </w:rPr>
              <w:t>75,540,804</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759</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$3,166,522</w:t>
            </w:r>
          </w:p>
        </w:tc>
        <w:tc>
          <w:tcPr>
            <w:tcW w:w="100" w:type="dxa"/>
            <w:vAlign w:val="bottom"/>
          </w:tcPr>
          <w:p>
            <w:pPr>
              <w:spacing w:after="0"/>
              <w:rPr>
                <w:sz w:val="23"/>
                <w:szCs w:val="23"/>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(791,124)</w:t>
            </w:r>
          </w:p>
        </w:tc>
        <w:tc>
          <w:tcPr>
            <w:tcW w:w="100" w:type="dxa"/>
            <w:vAlign w:val="bottom"/>
          </w:tcPr>
          <w:p>
            <w:pPr>
              <w:spacing w:after="0"/>
              <w:rPr>
                <w:sz w:val="23"/>
                <w:szCs w:val="23"/>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100,791</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2,636,132</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65,270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66,143</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(6,945)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(6,945)</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(158,810)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(158,810)</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10,605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114,092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7,028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(32,390)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(3,997)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276"/>
        </w:trPr>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37"/>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00" w:type="dxa"/>
            <w:vAlign w:val="bottom"/>
          </w:tcPr>
          <w:p>
            <w:pPr>
              <w:spacing w:after="0"/>
              <w:rPr>
                <w:sz w:val="20"/>
                <w:szCs w:val="20"/>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$159,997</w:t>
            </w:r>
          </w:p>
        </w:tc>
        <w:tc>
          <w:tcPr>
            <w:tcW w:w="12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4"/>
              </w:rPr>
              <w:t>75,633,140</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760</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$3,170,480</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(889,195)</w:t>
            </w:r>
          </w:p>
        </w:tc>
        <w:tc>
          <w:tcPr>
            <w:tcW w:w="100" w:type="dxa"/>
            <w:vAlign w:val="bottom"/>
          </w:tcPr>
          <w:p>
            <w:pPr>
              <w:spacing w:after="0"/>
              <w:rPr>
                <w:sz w:val="20"/>
                <w:szCs w:val="20"/>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(7,758)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96,817</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2,531,101</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-2673985</wp:posOffset>
            </wp:positionV>
            <wp:extent cx="71323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-2279650</wp:posOffset>
            </wp:positionV>
            <wp:extent cx="71323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-1833880</wp:posOffset>
            </wp:positionV>
            <wp:extent cx="71323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-1439545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-1096645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-702310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-359410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222885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60"/>
            <w:col w:w="8320"/>
          </w:cols>
          <w:pgMar w:left="320" w:top="126" w:right="33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MARCH 31, 2020</w:t>
      </w:r>
    </w:p>
    <w:p>
      <w:pPr>
        <w:spacing w:after="0" w:line="109"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Net income, excluding $142 attributable to redeemable noncontrolling interests</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180"/>
        <w:spacing w:after="0" w:line="253" w:lineRule="auto"/>
        <w:rPr>
          <w:sz w:val="20"/>
          <w:szCs w:val="20"/>
          <w:color w:val="auto"/>
        </w:rPr>
      </w:pPr>
      <w:r>
        <w:rPr>
          <w:rFonts w:ascii="Arial" w:cs="Arial" w:eastAsia="Arial" w:hAnsi="Arial"/>
          <w:sz w:val="14"/>
          <w:szCs w:val="14"/>
          <w:color w:val="auto"/>
        </w:rPr>
        <w:t>Dividends declared to common shareholders ($1.05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declared to preferred shareholders</w:t>
      </w:r>
    </w:p>
    <w:p>
      <w:pPr>
        <w:spacing w:after="0" w:line="121"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Distributions declared to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Shares issued under dividend reinvestment plan</w:t>
      </w:r>
    </w:p>
    <w:p>
      <w:pPr>
        <w:spacing w:after="0" w:line="132" w:lineRule="exact"/>
        <w:rPr>
          <w:sz w:val="20"/>
          <w:szCs w:val="20"/>
          <w:color w:val="auto"/>
        </w:rPr>
      </w:pPr>
    </w:p>
    <w:p>
      <w:pPr>
        <w:ind w:left="40" w:right="30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2020</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$ 159,997</w:t>
            </w:r>
          </w:p>
        </w:tc>
        <w:tc>
          <w:tcPr>
            <w:tcW w:w="1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75,622,504</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3,166,899</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(818,284)</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(7,265)</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97,501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2,599,608</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10,507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10,717</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(493)</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(79,407)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(79,407)</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(2,011)</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(894)</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509</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3,087</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405,896</w:t>
            </w: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$ 159,997</w:t>
            </w: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75,633,140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3,170,480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(889,195)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(7,758)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96,817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2,531,101</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-2108200</wp:posOffset>
            </wp:positionV>
            <wp:extent cx="71323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-1662430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-1268095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-925195</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-530860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-187960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40"/>
            <w:col w:w="842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2019</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2018</w:t>
      </w:r>
    </w:p>
    <w:p>
      <w:pPr>
        <w:spacing w:after="0" w:line="109"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January 1, 2019 adoption of new accounting standard</w:t>
      </w:r>
    </w:p>
    <w:p>
      <w:pPr>
        <w:spacing w:after="0" w:line="12"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Net income, excluding $1,783 attributable to redeemable noncontrolling interests</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($2.04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right="540"/>
        <w:spacing w:after="0" w:line="433" w:lineRule="auto"/>
        <w:rPr>
          <w:sz w:val="20"/>
          <w:szCs w:val="20"/>
          <w:color w:val="auto"/>
        </w:rPr>
      </w:pPr>
      <w:r>
        <w:rPr>
          <w:rFonts w:ascii="Arial" w:cs="Arial" w:eastAsia="Arial" w:hAnsi="Arial"/>
          <w:sz w:val="13"/>
          <w:szCs w:val="13"/>
          <w:color w:val="auto"/>
        </w:rPr>
        <w:t>Shares withheld for employee taxes Conversion and redemption of OP units</w:t>
      </w:r>
    </w:p>
    <w:p>
      <w:pPr>
        <w:spacing w:after="0" w:line="1" w:lineRule="exact"/>
        <w:rPr>
          <w:sz w:val="20"/>
          <w:szCs w:val="20"/>
          <w:color w:val="auto"/>
        </w:rPr>
      </w:pPr>
    </w:p>
    <w:p>
      <w:pPr>
        <w:ind w:left="40" w:right="420"/>
        <w:spacing w:after="0" w:line="253" w:lineRule="auto"/>
        <w:rPr>
          <w:sz w:val="20"/>
          <w:szCs w:val="20"/>
          <w:color w:val="auto"/>
        </w:rPr>
      </w:pPr>
      <w:r>
        <w:rPr>
          <w:rFonts w:ascii="Arial" w:cs="Arial" w:eastAsia="Arial" w:hAnsi="Arial"/>
          <w:sz w:val="14"/>
          <w:szCs w:val="14"/>
          <w:color w:val="auto"/>
        </w:rPr>
        <w:t>Adjustment to redeemable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2019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5"/>
              </w:rPr>
              <w:t>Shareholders’ Equity of the Trust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6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vMerge w:val="restart"/>
          </w:tcPr>
          <w:p>
            <w:pPr>
              <w:spacing w:after="0"/>
              <w:rPr>
                <w:sz w:val="13"/>
                <w:szCs w:val="13"/>
                <w:color w:val="auto"/>
              </w:rPr>
            </w:pPr>
          </w:p>
        </w:tc>
        <w:tc>
          <w:tcPr>
            <w:tcW w:w="14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9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560" w:type="dxa"/>
            <w:vAlign w:val="bottom"/>
            <w:tcBorders>
              <w:bottom w:val="single" w:sz="8" w:color="auto"/>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88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w w:val="91"/>
              </w:rPr>
              <w:t>(In thousands, except share data)</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$159,997</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4"/>
              </w:rPr>
              <w:t>74,249,633</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745</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$3,004,442</w:t>
            </w:r>
          </w:p>
        </w:tc>
        <w:tc>
          <w:tcPr>
            <w:tcW w:w="100" w:type="dxa"/>
            <w:vAlign w:val="bottom"/>
          </w:tcPr>
          <w:p>
            <w:pPr>
              <w:spacing w:after="0"/>
              <w:rPr>
                <w:sz w:val="23"/>
                <w:szCs w:val="23"/>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(818,877)</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121,439</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2,467,330</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(7,098)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141,046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142,687</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(152,555)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(152,555)</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511,954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68,299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68,304</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1,054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102,137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6,991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6,992</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(32,900)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111,252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7"/>
        </w:trPr>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37"/>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00" w:type="dxa"/>
            <w:vAlign w:val="bottom"/>
          </w:tcPr>
          <w:p>
            <w:pPr>
              <w:spacing w:after="0"/>
              <w:rPr>
                <w:sz w:val="20"/>
                <w:szCs w:val="20"/>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$159,997</w:t>
            </w:r>
          </w:p>
        </w:tc>
        <w:tc>
          <w:tcPr>
            <w:tcW w:w="12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4"/>
              </w:rPr>
              <w:t>74,950,197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752</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$3,088,946</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(841,505)</w:t>
            </w:r>
          </w:p>
        </w:tc>
        <w:tc>
          <w:tcPr>
            <w:tcW w:w="100" w:type="dxa"/>
            <w:vAlign w:val="bottom"/>
          </w:tcPr>
          <w:p>
            <w:pPr>
              <w:spacing w:after="0"/>
              <w:rPr>
                <w:sz w:val="20"/>
                <w:szCs w:val="20"/>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103,480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2,510,646</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-2725420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-2331085</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-1885315</wp:posOffset>
            </wp:positionV>
            <wp:extent cx="71323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-1490980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-1148080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-753745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-410845</wp:posOffset>
            </wp:positionV>
            <wp:extent cx="71323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291465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60"/>
            <w:col w:w="8320"/>
          </w:cols>
          <w:pgMar w:left="320" w:top="126" w:right="339" w:bottom="1440" w:gutter="0" w:footer="0" w:header="0"/>
          <w:type w:val="continuous"/>
        </w:sect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405,896</w:t>
            </w:r>
          </w:p>
        </w:tc>
        <w:tc>
          <w:tcPr>
            <w:tcW w:w="1780" w:type="dxa"/>
            <w:vAlign w:val="bottom"/>
            <w:vMerge w:val="restart"/>
          </w:tcPr>
          <w:p>
            <w:pPr>
              <w:jc w:val="right"/>
              <w:ind w:right="72"/>
              <w:spacing w:after="0"/>
              <w:rPr>
                <w:sz w:val="20"/>
                <w:szCs w:val="20"/>
                <w:color w:val="auto"/>
              </w:rPr>
            </w:pPr>
            <w:r>
              <w:rPr>
                <w:rFonts w:ascii="Arial" w:cs="Arial" w:eastAsia="Arial" w:hAnsi="Arial"/>
                <w:sz w:val="14"/>
                <w:szCs w:val="14"/>
                <w:color w:val="auto"/>
                <w:w w:val="94"/>
              </w:rPr>
              <w:t>$ 159,99774,836,984</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   752</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$3,071,981</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  (843,947)</w:t>
            </w:r>
          </w:p>
        </w:tc>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(625)</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   113,405</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2,501,563</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ind w:left="40" w:right="360"/>
        <w:spacing w:after="0" w:line="253" w:lineRule="auto"/>
        <w:rPr>
          <w:sz w:val="20"/>
          <w:szCs w:val="20"/>
          <w:color w:val="auto"/>
        </w:rPr>
      </w:pPr>
      <w:r>
        <w:rPr>
          <w:rFonts w:ascii="Arial" w:cs="Arial" w:eastAsia="Arial" w:hAnsi="Arial"/>
          <w:sz w:val="14"/>
          <w:szCs w:val="14"/>
          <w:color w:val="auto"/>
        </w:rPr>
        <w:t>Net income, excluding $907 attributable to redeemable noncontrolling interests</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($1.02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Conversion and 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2019</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80,902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81,760</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(399)</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(76,449)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(76,449)</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(2,011)</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(6,398)</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(6,398)</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65,822</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8,951</w:t>
            </w:r>
          </w:p>
        </w:tc>
        <w:tc>
          <w:tcPr>
            <w:tcW w:w="1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8,951</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3,848</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526</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3,131</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3,131</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42,206</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4,385</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(4,385)</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405,896</w:t>
            </w: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$ 159,997</w:t>
            </w: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74,950,197</w:t>
            </w: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   752</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$3,088,946</w:t>
            </w: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(841,505)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103,480</w:t>
            </w: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7"/>
              </w:rPr>
              <w:t>$  2,510,646</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-1885315</wp:posOffset>
            </wp:positionV>
            <wp:extent cx="71323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-1439545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-1096645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-753745</wp:posOffset>
            </wp:positionV>
            <wp:extent cx="71323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-359410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80"/>
            <w:col w:w="8300"/>
          </w:cols>
          <w:pgMar w:left="320" w:top="126" w:right="339" w:bottom="1440" w:gutter="0" w:footer="0" w:header="0"/>
          <w:type w:val="continuous"/>
        </w:sectPr>
      </w:pP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55"/>
        </w:trPr>
        <w:tc>
          <w:tcPr>
            <w:tcW w:w="8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144,470</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118,679</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Gain on sale of real estate, net of tax</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(16,197)</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2,138</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Increase in accounts receivable,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(5,325)</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7,800</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Increase (decrease) in accounts payable and accrued expenses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security deposits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r>
      <w:tr>
        <w:trPr>
          <w:trHeight w:val="237"/>
        </w:trPr>
        <w:tc>
          <w:tcPr>
            <w:tcW w:w="840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181,382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242,287</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(25,176)</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(133,570)</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(36,669)</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17,015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93,025</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Distribution from partnerships in excess of earnings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1,301</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(11,473)</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(Issuance) repayment of mortgage and other notes receivable,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101</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(113,368)</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to amend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700,085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297,076</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notes payable,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398,732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Repayment of mortgages, finance leases and notes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(298,100)</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68,461</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(161,874)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(154,965)</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withheld for employee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161</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r>
      <w:tr>
        <w:trPr>
          <w:trHeight w:val="237"/>
        </w:trPr>
        <w:tc>
          <w:tcPr>
            <w:tcW w:w="840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923,439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(96,982)</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847,623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31,937</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153,614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108,332</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1,001,237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140,269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20" w:top="126"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June 30, 2020</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June 30, 2020,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March 2020, the World Health Organization declared the outbreak of novel coronavirus disease (“COVID-19”) as a pandemic. While we currently expect the impact to our properties is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2019,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six months ended June 30, 2020 are not necessarily indicative of the results that may be expected for the full year.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expenditures are incurred.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(unrelated to the COVID-19 pandemic)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6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June 30, 2020, we have entered into rent deferral agreements related to the COVID-19 pandemic representing approximately $16 million of rent otherwise owed during the months of April through June 2020, and are currently in negotiations with other tenants.</w:t>
      </w:r>
    </w:p>
    <w:p>
      <w:pPr>
        <w:spacing w:after="0" w:line="3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w:t>
      </w:r>
    </w:p>
    <w:p>
      <w:pPr>
        <w:spacing w:after="0" w:line="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actions taken by federal, state and local governments to mitigate the spread of COVID-19, initially by ordering closures of non-essential businesses and ordering residents to generally stay at home, and subsequent phased re-openings have resulted in many of our tenants temporarily or even permanently closing their businesses, and for some, it had impacted their ability to pay rent. As a result, we revised our collectibility assumptions for many of our tenants most significantly impacted by COVID-19. Accordingly, during the three months ended June 30, 2020, we recognized collectibility related adjustments of $55.2 million. This includes changes in our collectibility assessments from probable to not probable, disputed rents, and any rent abatements, as well as the write-off of $9.4 million of straight-line rent receivables primarily related to tenants changed to a cash basis of revenue recognition in the quarter ended June 30, 2020. As of June 30, 2020, the revenue from approximately 32% of our tenants (based on total commercial leases) is being recognized on a cash basis. As of June 30, 2020 and December 31, 2019, our straight-line rent receivables balance was $100.7 million and $100.3 million, respectively, and is included in "accounts and notes receivable, net"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and Issued Accounting Pronouncements</w:t>
      </w:r>
    </w:p>
    <w:p>
      <w:pPr>
        <w:sectPr>
          <w:pgSz w:w="11900" w:h="16838" w:orient="portrait"/>
          <w:cols w:equalWidth="0" w:num="1">
            <w:col w:w="11200"/>
          </w:cols>
          <w:pgMar w:left="320" w:top="126" w:right="379" w:bottom="1440" w:gutter="0" w:footer="0" w:header="0"/>
        </w:sect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627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Adopted on January 1, 2020:</w:t>
      </w:r>
    </w:p>
    <w:p>
      <w:pPr>
        <w:spacing w:after="0" w:line="109" w:lineRule="exact"/>
        <w:rPr>
          <w:sz w:val="20"/>
          <w:szCs w:val="20"/>
          <w:color w:val="auto"/>
        </w:rPr>
      </w:pPr>
    </w:p>
    <w:p>
      <w:pPr>
        <w:ind w:left="40"/>
        <w:spacing w:after="0" w:line="261" w:lineRule="auto"/>
        <w:rPr>
          <w:sz w:val="20"/>
          <w:szCs w:val="20"/>
          <w:color w:val="auto"/>
        </w:rPr>
      </w:pPr>
      <w:r>
        <w:rPr>
          <w:rFonts w:ascii="Arial" w:cs="Arial" w:eastAsia="Arial" w:hAnsi="Arial"/>
          <w:sz w:val="17"/>
          <w:szCs w:val="17"/>
          <w:color w:val="auto"/>
        </w:rPr>
        <w:t>Financial Instruments - Credit Losses (Topic 326) and related updates: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2016-13, June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2016, </w:t>
      </w:r>
      <w:r>
        <w:rPr>
          <w:rFonts w:ascii="Arial" w:cs="Arial" w:eastAsia="Arial" w:hAnsi="Arial"/>
          <w:sz w:val="17"/>
          <w:szCs w:val="17"/>
          <w:i w:val="1"/>
          <w:iCs w:val="1"/>
          <w:color w:val="auto"/>
        </w:rPr>
        <w:t>Financial</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Instruments - Credit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Losses (Topic 326)</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2018-19,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November 2018,</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Codification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improvements to</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Topic 326,</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Financial</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Instruments - Credit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Losses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2280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This ASU changes the impairment model for most financial assets and certain other instruments, requiring the use of an "expected credit loss" model and adding more disclosure requirements.</w:t>
      </w:r>
    </w:p>
    <w:p>
      <w:pPr>
        <w:spacing w:after="0" w:line="16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ASU 2018-19 clarifies that impairment of of receivables arising from operating leases should be accounted for in accordance with Topic 842, Leases.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Upon adoption of this standard, we recorded expected losses of $0.5 million in opening accumulated dividends in excess of net income. During the six months ended June 30, 2020, we recorded additional expected losses of $0.4 million, which are included in rental expenses.</w:t>
      </w:r>
    </w:p>
    <w:p>
      <w:pPr>
        <w:spacing w:after="0" w:line="2765" w:lineRule="exact"/>
        <w:rPr>
          <w:sz w:val="20"/>
          <w:szCs w:val="20"/>
          <w:color w:val="auto"/>
        </w:rPr>
      </w:pPr>
    </w:p>
    <w:p>
      <w:pPr>
        <w:sectPr>
          <w:pgSz w:w="11900" w:h="16838" w:orient="portrait"/>
          <w:cols w:equalWidth="0" w:num="3">
            <w:col w:w="2080" w:space="200"/>
            <w:col w:w="3540" w:space="160"/>
            <w:col w:w="5220"/>
          </w:cols>
          <w:pgMar w:left="320" w:top="126" w:right="379" w:bottom="1440" w:gutter="0" w:footer="0" w:header="0"/>
          <w:type w:val="continuous"/>
        </w:sectPr>
      </w:pPr>
    </w:p>
    <w:p>
      <w:pPr>
        <w:ind w:left="40"/>
        <w:spacing w:after="0" w:line="270" w:lineRule="auto"/>
        <w:rPr>
          <w:sz w:val="20"/>
          <w:szCs w:val="20"/>
          <w:color w:val="auto"/>
        </w:rPr>
      </w:pPr>
      <w:r>
        <w:rPr>
          <w:rFonts w:ascii="Arial" w:cs="Arial" w:eastAsia="Arial" w:hAnsi="Arial"/>
          <w:sz w:val="16"/>
          <w:szCs w:val="16"/>
          <w:color w:val="auto"/>
        </w:rPr>
        <w:t xml:space="preserve">ASU 2018-15, August 2018, </w:t>
      </w:r>
      <w:r>
        <w:rPr>
          <w:rFonts w:ascii="Arial" w:cs="Arial" w:eastAsia="Arial" w:hAnsi="Arial"/>
          <w:sz w:val="16"/>
          <w:szCs w:val="16"/>
          <w:i w:val="1"/>
          <w:iCs w:val="1"/>
          <w:color w:val="auto"/>
        </w:rPr>
        <w:t>Intangibles - Goodwill and Other Internal Use Software: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6"/>
          <w:szCs w:val="16"/>
          <w:color w:val="auto"/>
        </w:rPr>
        <w:t>This ASU requires a customer in a cloud computing arrangement (i.e. hosting arrangement) that is a service contract to follow the internal-use software guidance in ASC 350-40 to determine which implementation costs to capitalize as assets. Capitalized implementation costs related to a hosting arrangement that is a service contract will be amortized over the term of the hosting arrangement. Entities will expense costs during the preliminary project and post-implementation stages as they are incurred.</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The guidance can be applied prospectively to all implementation costs incurred after the date of adoption or retrospectively in accordance with ASC 250-10-45-5 through ASC 250-10-45-10.</w:t>
      </w:r>
    </w:p>
    <w:p>
      <w:pPr>
        <w:spacing w:after="0" w:line="20" w:lineRule="exact"/>
        <w:rPr>
          <w:sz w:val="20"/>
          <w:szCs w:val="20"/>
          <w:color w:val="auto"/>
        </w:rPr>
      </w:pPr>
      <w:r>
        <w:rPr>
          <w:sz w:val="20"/>
          <w:szCs w:val="20"/>
          <w:color w:val="auto"/>
        </w:rPr>
        <w:br w:type="column"/>
      </w:r>
    </w:p>
    <w:p>
      <w:pPr>
        <w:ind w:right="400"/>
        <w:spacing w:after="0" w:line="274" w:lineRule="auto"/>
        <w:rPr>
          <w:sz w:val="20"/>
          <w:szCs w:val="20"/>
          <w:color w:val="auto"/>
        </w:rPr>
      </w:pPr>
      <w:r>
        <w:rPr>
          <w:rFonts w:ascii="Arial" w:cs="Arial" w:eastAsia="Arial" w:hAnsi="Arial"/>
          <w:sz w:val="17"/>
          <w:szCs w:val="17"/>
          <w:color w:val="auto"/>
        </w:rPr>
        <w:t>The adoption of this standard does not have a significant impact to our consolidated financial statements.</w:t>
      </w:r>
    </w:p>
    <w:p>
      <w:pPr>
        <w:spacing w:after="0" w:line="2968" w:lineRule="exact"/>
        <w:rPr>
          <w:sz w:val="20"/>
          <w:szCs w:val="20"/>
          <w:color w:val="auto"/>
        </w:rPr>
      </w:pPr>
    </w:p>
    <w:p>
      <w:pPr>
        <w:sectPr>
          <w:pgSz w:w="11900" w:h="16838" w:orient="portrait"/>
          <w:cols w:equalWidth="0" w:num="3">
            <w:col w:w="2100" w:space="180"/>
            <w:col w:w="3540" w:space="160"/>
            <w:col w:w="5220"/>
          </w:cols>
          <w:pgMar w:left="320" w:top="126" w:right="37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u w:val="single" w:color="auto"/>
          <w:color w:val="auto"/>
        </w:rPr>
        <w:t>Issued in 2020:</w:t>
      </w:r>
    </w:p>
    <w:p>
      <w:pPr>
        <w:spacing w:after="0" w:line="75" w:lineRule="exact"/>
        <w:rPr>
          <w:sz w:val="20"/>
          <w:szCs w:val="20"/>
          <w:color w:val="auto"/>
        </w:rPr>
      </w:pPr>
    </w:p>
    <w:p>
      <w:pPr>
        <w:ind w:left="40"/>
        <w:spacing w:after="0" w:line="261" w:lineRule="auto"/>
        <w:rPr>
          <w:sz w:val="20"/>
          <w:szCs w:val="20"/>
          <w:color w:val="auto"/>
        </w:rPr>
      </w:pPr>
      <w:r>
        <w:rPr>
          <w:rFonts w:ascii="Arial" w:cs="Arial" w:eastAsia="Arial" w:hAnsi="Arial"/>
          <w:sz w:val="17"/>
          <w:szCs w:val="17"/>
          <w:color w:val="auto"/>
        </w:rPr>
        <w:t xml:space="preserve">ASU 2020-04, March 2020, </w:t>
      </w:r>
      <w:r>
        <w:rPr>
          <w:rFonts w:ascii="Arial" w:cs="Arial" w:eastAsia="Arial" w:hAnsi="Arial"/>
          <w:sz w:val="17"/>
          <w:szCs w:val="17"/>
          <w:i w:val="1"/>
          <w:iCs w:val="1"/>
          <w:color w:val="auto"/>
        </w:rPr>
        <w:t>Reference Rate Reform (Topic 848)</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 This guidance can be applied immediately, however, is generally only available through December 31, 2022.</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We are still evaluating the impact of reference rate reform and whether we will apply any of these practical expedients.</w:t>
      </w:r>
    </w:p>
    <w:p>
      <w:pPr>
        <w:spacing w:after="0" w:line="3030" w:lineRule="exact"/>
        <w:rPr>
          <w:sz w:val="20"/>
          <w:szCs w:val="20"/>
          <w:color w:val="auto"/>
        </w:rPr>
      </w:pPr>
    </w:p>
    <w:p>
      <w:pPr>
        <w:sectPr>
          <w:pgSz w:w="11900" w:h="16838" w:orient="portrait"/>
          <w:cols w:equalWidth="0" w:num="3">
            <w:col w:w="2080" w:space="200"/>
            <w:col w:w="3480" w:space="220"/>
            <w:col w:w="5220"/>
          </w:cols>
          <w:pgMar w:left="320" w:top="12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20" w:top="126"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230"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64,755</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62,518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55,515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52,715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53,588</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11,935</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717"/>
        </w:trPr>
        <w:tc>
          <w:tcPr>
            <w:tcW w:w="8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980,039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26,182</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1,001,237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-130175</wp:posOffset>
            </wp:positionV>
            <wp:extent cx="1783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January 10, 2020, we acquired a 49,000 square foot shopping center in Fairfax, Virginia for $22.3 million. This property is adjacent to, and will be operated as part of our Fairfax Junction property. This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spacing w:after="0" w:line="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12, 2020, we acquired two buildings totaling 12,000 square feet in Hoboken, New Jersey for $14.3 million, including the assumption of $8.9 million of mortgage debt. This acquisition is in addition to the 37 buildings previously acquired, and was completed through the joint venture that was formed in 2019, for which we own a 90% interest. Less than $0.1 million and approximately $3.3 million of net assets acquired were allocated to other assets for "above market leases," and other liabilities for "below market leases,"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On April 21, 2020, we sold a building in Pasadena, California for $16.1 million, which resulted in a gain of $11.7 million.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two buildings we acquired in Hoboken, New Jersey on February 12, 2020, we assumed two mortgage loans with a net face amount of $8.9 million and a fair value of $9.0 million. The mortgage loans bear interest at 4.00% and mature on July 27, 2027.</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March 2020, in order to strengthen our financial position and balance sheet, to maximize our liquidity, and to provide maximum financial flexibility to continue our business initiatives as the effects of COVID-19 continue to evolve, we borrowed $990.0 million under our revolving credit facility, representing a draw-down of almost the entirety of our $1.0 billion revolving credit facility. This amount was subsequently repaid when we entered into a $400.0 million unsecured term loan on May 6, 2020 and issued $700.0 million of fixed rate unsecured senior notes on May 11,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unsecured term loan matures on May 6, 2021, plus one twelve month extension at our option, and bears interest at LIBOR plus 135 basis points based on our current credit rating. Our net proceeds from this transaction after underwriting fees and other costs were $398.7 million.</w:t>
      </w:r>
    </w:p>
    <w:p>
      <w:pPr>
        <w:spacing w:after="0" w:line="9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$700.0 million of unsecured senior notes issued in May 2020 comprise a $300.0 million reopening of our 3.95% senior notes maturing on January 15, 2024 and a $400.0 million issuance of 3.50% senior notes maturing on June 1, 2030. The 3.95% senior notes were offered at 103.257% of the principal amount with a yield to maturity of 2.944%, and have the same terms and are of the same series as the $300.0 million senior notes issued on December 9, 2013. The 3.50% senior notes were offered at 98.911% of the principal amount with a yield to maturity of 3.630%. Our net proceeds from these transactions after the net issuance premium, underwriting fees, and other costs were $700.1 million.</w:t>
      </w:r>
    </w:p>
    <w:p>
      <w:pPr>
        <w:spacing w:after="0" w:line="12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three and six months ended June 30, 2020, the maximum amount of borrowings outstanding under our revolving credit facility was $990.0 million, and the weighted average interest rate, before amortization of debt fees, was 1.4% and 1.5% for the three and six months ended June 30, 2020, respectively. During the three and six months ended June 30, 2020, the weighted average borrowings outstanding were $413.2 million and $278.5 million, respectively, with no outstanding balance at June 30, 2020. Our revolving credit facility, term loan, and certain notes require us to comply with various financial covenants, including the maintenance of minimum shareholders' equity and debt coverage ratios and a maximum ratio of debt to net worth. As of June 30, 2020, we were in compliance with all default related debt covenants.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953,511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947,030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549,460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562,049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3,508,461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3,754,061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2,807,134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3,001,216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June 30, 2020, we have two interest rate swap agreements with notional amounts of $56.5 million that are measured at fair value on a recurring basis. The interest rate swap agreements fix the interest rate on $56.5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2020 was a liability of $6.1 million and is included in "other liabilities and deferred credits" on our consolidated balance sheet. For the three and six months ended June 30, 2020, the value of our interest rate swaps decreased $0.5 million and $6.2 million, respectively (including $0.2 million reclassified from other comprehensive loss to interest expense for both periods). A summary of our financial (liabilities) assets that are measured at fair value on a recurring basis, by level within the fair value hierarchy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 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2019</w:t>
            </w:r>
          </w:p>
        </w:tc>
        <w:tc>
          <w:tcPr>
            <w:tcW w:w="780" w:type="dxa"/>
            <w:vAlign w:val="bottom"/>
            <w:tcBorders>
              <w:bottom w:val="single" w:sz="8" w:color="auto"/>
            </w:tcBorders>
          </w:tcPr>
          <w:p>
            <w:pPr>
              <w:spacing w:after="0"/>
              <w:rPr>
                <w:sz w:val="16"/>
                <w:szCs w:val="16"/>
                <w:color w:val="auto"/>
              </w:rPr>
            </w:pPr>
          </w:p>
        </w:tc>
      </w:tr>
      <w:tr>
        <w:trPr>
          <w:trHeight w:val="263"/>
        </w:trPr>
        <w:tc>
          <w:tcPr>
            <w:tcW w:w="28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r>
      <w:tr>
        <w:trPr>
          <w:trHeight w:val="250"/>
        </w:trPr>
        <w:tc>
          <w:tcPr>
            <w:tcW w:w="2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8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   $  (6,059)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130</w:t>
            </w:r>
          </w:p>
        </w:tc>
      </w:tr>
      <w:tr>
        <w:trPr>
          <w:trHeight w:val="27"/>
        </w:trPr>
        <w:tc>
          <w:tcPr>
            <w:tcW w:w="2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One of our equity method investees has two interest rate swaps which qualify for cash flow hedge accounting. For the three and six months ended June 30, 2020, our share of the change in fair value of the related swaps included in "accumulated other comprehensive loss" was an increase of less than $0.1 million and a decrease of $0.8 million, respectively.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744,617 downREIT operating partnership units are outstanding which have a total fair value of approximately $63.4 million, which is calculated by multiplying the outstanding number of downREIT partnership units by our closing stock price on June 30, 2020.</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3"/>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2020</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2019</w:t>
            </w:r>
          </w:p>
        </w:tc>
        <w:tc>
          <w:tcPr>
            <w:tcW w:w="680" w:type="dxa"/>
            <w:vAlign w:val="bottom"/>
            <w:tcBorders>
              <w:bottom w:val="single" w:sz="8" w:color="auto"/>
            </w:tcBorders>
          </w:tcPr>
          <w:p>
            <w:pPr>
              <w:spacing w:after="0"/>
              <w:rPr>
                <w:sz w:val="22"/>
                <w:szCs w:val="22"/>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Paid</w:t>
            </w: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0.677</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0.625</w:t>
            </w:r>
          </w:p>
        </w:tc>
      </w:tr>
      <w:tr>
        <w:trPr>
          <w:trHeight w:val="20"/>
        </w:trPr>
        <w:tc>
          <w:tcPr>
            <w:tcW w:w="7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 represents dividends per depository share, each representing 1/1000th of a share.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As of June 30, 2020, we had the capacity to issue up to $128.3 million in common shares under our ATM equity program.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22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3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3"/>
        </w:trPr>
        <w:tc>
          <w:tcPr>
            <w:tcW w:w="53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196"/>
        </w:trPr>
        <w:tc>
          <w:tcPr>
            <w:tcW w:w="5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4"/>
              </w:rPr>
              <w:t>3,087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4"/>
              </w:rPr>
              <w:t>3,131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6,992</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53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4"/>
              </w:rPr>
              <w:t>2,777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4"/>
              </w:rPr>
              <w:t>2,930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9—OPERATING &amp; FINANCE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our operating and finance leases where we are the lessee: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24"/>
                <w:szCs w:val="24"/>
                <w:color w:val="auto"/>
              </w:rPr>
            </w:pPr>
          </w:p>
        </w:tc>
      </w:tr>
      <w:tr>
        <w:trPr>
          <w:trHeight w:val="263"/>
        </w:trPr>
        <w:tc>
          <w:tcPr>
            <w:tcW w:w="6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44"/>
        </w:trPr>
        <w:tc>
          <w:tcPr>
            <w:tcW w:w="6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LEASE COST:</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321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642</w:t>
            </w: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642</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on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1,457</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2,911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1,552</w:t>
            </w:r>
          </w:p>
        </w:tc>
        <w:tc>
          <w:tcPr>
            <w:tcW w:w="4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w:t>
            </w:r>
          </w:p>
        </w:tc>
        <w:tc>
          <w:tcPr>
            <w:tcW w:w="5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2,997</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r>
      <w:tr>
        <w:trPr>
          <w:trHeight w:val="297"/>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lease cost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3,400</w:t>
            </w: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5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6,770</w:t>
            </w:r>
          </w:p>
        </w:tc>
      </w:tr>
      <w:tr>
        <w:trPr>
          <w:trHeight w:val="257"/>
        </w:trPr>
        <w:tc>
          <w:tcPr>
            <w:tcW w:w="6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INFORMATION:</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Operating cash flows for finance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1,439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2,872</w:t>
            </w: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2,893</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cash flows for operating leases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2,779</w:t>
            </w: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Financing cash flows for finance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41</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6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22"/>
                <w:szCs w:val="22"/>
                <w:color w:val="auto"/>
              </w:rPr>
            </w:pPr>
          </w:p>
        </w:tc>
      </w:tr>
      <w:tr>
        <w:trPr>
          <w:trHeight w:val="270"/>
        </w:trPr>
        <w:tc>
          <w:tcPr>
            <w:tcW w:w="6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17.7 years</w:t>
            </w:r>
          </w:p>
        </w:tc>
        <w:tc>
          <w:tcPr>
            <w:tcW w:w="5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0"/>
              </w:rPr>
              <w:t>18.6 years</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53.2 years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0"/>
              </w:rPr>
              <w:t>53.7 years</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95"/>
              <w:spacing w:after="0"/>
              <w:rPr>
                <w:sz w:val="20"/>
                <w:szCs w:val="20"/>
                <w:color w:val="auto"/>
              </w:rPr>
            </w:pPr>
            <w:r>
              <w:rPr>
                <w:rFonts w:ascii="Arial" w:cs="Arial" w:eastAsia="Arial" w:hAnsi="Arial"/>
                <w:sz w:val="18"/>
                <w:szCs w:val="18"/>
                <w:color w:val="auto"/>
              </w:rPr>
              <w:t>8.0%</w:t>
            </w: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six months ended June 30, 2020 and 2019,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for the three and six months ended June 30, 2020 and 2019.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9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r>
      <w:tr>
        <w:trPr>
          <w:trHeight w:val="263"/>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196"/>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40" w:type="dxa"/>
            <w:vAlign w:val="bottom"/>
            <w:gridSpan w:val="7"/>
          </w:tcPr>
          <w:p>
            <w:pPr>
              <w:ind w:left="40"/>
              <w:spacing w:after="0"/>
              <w:rPr>
                <w:sz w:val="20"/>
                <w:szCs w:val="20"/>
                <w:color w:val="auto"/>
              </w:rPr>
            </w:pPr>
            <w:r>
              <w:rPr>
                <w:rFonts w:ascii="Arial" w:cs="Arial" w:eastAsia="Arial" w:hAnsi="Arial"/>
                <w:sz w:val="14"/>
                <w:szCs w:val="14"/>
                <w:b w:val="1"/>
                <w:bCs w:val="1"/>
                <w:color w:val="auto"/>
                <w:w w:val="95"/>
              </w:rPr>
              <w:t>(In thousands, except per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10,859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82,667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67,300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144,470</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(3,424)</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78,665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60,754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136,586</w:t>
            </w:r>
          </w:p>
        </w:tc>
      </w:tr>
      <w:tr>
        <w:trPr>
          <w:trHeight w:val="67"/>
        </w:trPr>
        <w:tc>
          <w:tcPr>
            <w:tcW w:w="66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0"/>
        </w:trPr>
        <w:tc>
          <w:tcPr>
            <w:tcW w:w="6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basic and diluted</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75,394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74,713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75,377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74,458</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6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EARNINGS PER COMMON SHARE, BASIC AND DILUTED: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0.11</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2019 filed with the Securities and Exchange Commission (the “SEC”) on February 10, 2020.</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included in this Quarterly Report on Form 10-Q are forward-looking statements. Those statements include statements regarding the intent, belief or current expectations of Federal Realty Investment Trust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6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 w:lineRule="exact"/>
        <w:rPr>
          <w:sz w:val="20"/>
          <w:szCs w:val="20"/>
          <w:color w:val="auto"/>
        </w:rPr>
      </w:pPr>
    </w:p>
    <w:p>
      <w:pPr>
        <w:ind w:left="340" w:right="70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ind w:left="340" w:right="1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3"/>
        </w:numPr>
        <w:rPr>
          <w:rFonts w:ascii="Arial" w:cs="Arial" w:eastAsia="Arial" w:hAnsi="Arial"/>
          <w:sz w:val="18"/>
          <w:szCs w:val="18"/>
          <w:color w:val="212529"/>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color w:val="212529"/>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21" w:lineRule="exact"/>
        <w:rPr>
          <w:sz w:val="20"/>
          <w:szCs w:val="20"/>
          <w:color w:val="auto"/>
        </w:rPr>
      </w:pPr>
    </w:p>
    <w:p>
      <w:pPr>
        <w:ind w:left="340" w:right="2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 w:lineRule="exact"/>
        <w:rPr>
          <w:rFonts w:ascii="Arial" w:cs="Arial" w:eastAsia="Arial" w:hAnsi="Arial"/>
          <w:sz w:val="18"/>
          <w:szCs w:val="18"/>
          <w:color w:val="auto"/>
        </w:rPr>
      </w:pPr>
    </w:p>
    <w:p>
      <w:pPr>
        <w:ind w:left="340" w:hanging="332"/>
        <w:spacing w:after="0" w:line="25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You should carefully review the risks and the risk factors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under Part II, Item 1A in this Quarterly Report on Form 10-Q, before making any investments in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June 30, 2020, we owned or had a majority interest in community and neighborhood shopping centers and mixed-use properties which are operated as 104 predominantly retail real estate projects comprising approximately 24.0 million square feet. In total, the real estate projects were 93.0% leased and 90.8% occupied at June 30,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212529"/>
        </w:rPr>
        <w:t>In March 2020, the World Health Organization declared the outbreak of novel coronavirus disease (“COVID-19”) as a pandemic. Our Board of Trustees, as part of its risk oversight function, is regularly coordinating with management to assess the effects of the pandemic on our business and to determine appropriate courses of action to maintain the health and safety of our personnel, to strengthen our financial position and to adapt our business as appropriate. In response to the pandemic, we have taken a number of specific actions so far:</w:t>
      </w:r>
    </w:p>
    <w:p>
      <w:pPr>
        <w:spacing w:after="0" w:line="52" w:lineRule="exact"/>
        <w:rPr>
          <w:sz w:val="20"/>
          <w:szCs w:val="20"/>
          <w:color w:val="auto"/>
        </w:rPr>
      </w:pPr>
    </w:p>
    <w:p>
      <w:pPr>
        <w:ind w:left="340" w:right="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212529"/>
        </w:rPr>
        <w:t>On March 16, 2020, we transitioned our work force to work remotely, canceled all non-essential business travel and have canceled company events, or are holding them remotely. As of June 30, 2020, we have re-opened most of our offices with limited capacity following federal, state and local guidelines for phased re-openings.</w:t>
      </w:r>
    </w:p>
    <w:p>
      <w:pPr>
        <w:spacing w:after="0" w:line="2" w:lineRule="exact"/>
        <w:rPr>
          <w:rFonts w:ascii="Arial" w:cs="Arial" w:eastAsia="Arial" w:hAnsi="Arial"/>
          <w:sz w:val="18"/>
          <w:szCs w:val="18"/>
          <w:color w:val="auto"/>
        </w:rPr>
      </w:pPr>
    </w:p>
    <w:p>
      <w:pPr>
        <w:ind w:left="340" w:right="300" w:hanging="332"/>
        <w:spacing w:after="0" w:line="281" w:lineRule="auto"/>
        <w:tabs>
          <w:tab w:leader="none" w:pos="340" w:val="left"/>
        </w:tabs>
        <w:numPr>
          <w:ilvl w:val="0"/>
          <w:numId w:val="5"/>
        </w:numPr>
        <w:rPr>
          <w:rFonts w:ascii="Arial" w:cs="Arial" w:eastAsia="Arial" w:hAnsi="Arial"/>
          <w:sz w:val="16"/>
          <w:szCs w:val="16"/>
          <w:color w:val="212529"/>
        </w:rPr>
      </w:pPr>
      <w:r>
        <w:rPr>
          <w:rFonts w:ascii="Arial" w:cs="Arial" w:eastAsia="Arial" w:hAnsi="Arial"/>
          <w:sz w:val="16"/>
          <w:szCs w:val="16"/>
          <w:color w:val="212529"/>
        </w:rPr>
        <w:t xml:space="preserve">During May 2020, we entered into multiple financing transactions to both strengthen our financial position and maximize our liquidity. On May 6, 2020, we entered into a $400.0 million term loan that bears interest at LIBOR plus 135 basis points and matures on May 6, 2021, plus one twelve month extension option at our option. On </w:t>
      </w:r>
      <w:r>
        <w:rPr>
          <w:rFonts w:ascii="Arial" w:cs="Arial" w:eastAsia="Arial" w:hAnsi="Arial"/>
          <w:sz w:val="16"/>
          <w:szCs w:val="16"/>
          <w:color w:val="000000"/>
        </w:rPr>
        <w:t>May 11, 2020</w:t>
      </w:r>
      <w:r>
        <w:rPr>
          <w:rFonts w:ascii="Arial" w:cs="Arial" w:eastAsia="Arial" w:hAnsi="Arial"/>
          <w:sz w:val="16"/>
          <w:szCs w:val="16"/>
          <w:color w:val="212529"/>
        </w:rPr>
        <w:t xml:space="preserve">, we issued $400.0 million of 3.50% senior notes maturing on </w:t>
      </w:r>
      <w:r>
        <w:rPr>
          <w:rFonts w:ascii="Arial" w:cs="Arial" w:eastAsia="Arial" w:hAnsi="Arial"/>
          <w:sz w:val="16"/>
          <w:szCs w:val="16"/>
          <w:color w:val="000000"/>
        </w:rPr>
        <w:t>June 1, 2030</w:t>
      </w:r>
      <w:r>
        <w:rPr>
          <w:rFonts w:ascii="Arial" w:cs="Arial" w:eastAsia="Arial" w:hAnsi="Arial"/>
          <w:sz w:val="16"/>
          <w:szCs w:val="16"/>
          <w:color w:val="212529"/>
        </w:rPr>
        <w:t xml:space="preserve"> with a yield to maturity of 3.630% and reopened our 3.95% senior notes maturing on </w:t>
      </w:r>
      <w:r>
        <w:rPr>
          <w:rFonts w:ascii="Arial" w:cs="Arial" w:eastAsia="Arial" w:hAnsi="Arial"/>
          <w:sz w:val="16"/>
          <w:szCs w:val="16"/>
          <w:color w:val="000000"/>
        </w:rPr>
        <w:t>January 15, 2024</w:t>
      </w:r>
      <w:r>
        <w:rPr>
          <w:rFonts w:ascii="Arial" w:cs="Arial" w:eastAsia="Arial" w:hAnsi="Arial"/>
          <w:sz w:val="16"/>
          <w:szCs w:val="16"/>
          <w:color w:val="212529"/>
        </w:rPr>
        <w:t xml:space="preserve"> for an additional $300.0 million with a yield to maturity of</w:t>
      </w:r>
    </w:p>
    <w:p>
      <w:pPr>
        <w:spacing w:after="0" w:line="2" w:lineRule="exact"/>
        <w:rPr>
          <w:rFonts w:ascii="Arial" w:cs="Arial" w:eastAsia="Arial" w:hAnsi="Arial"/>
          <w:sz w:val="16"/>
          <w:szCs w:val="16"/>
          <w:color w:val="212529"/>
        </w:rPr>
      </w:pPr>
    </w:p>
    <w:p>
      <w:pPr>
        <w:ind w:left="340" w:right="200"/>
        <w:spacing w:after="0" w:line="250" w:lineRule="auto"/>
        <w:rPr>
          <w:rFonts w:ascii="Arial" w:cs="Arial" w:eastAsia="Arial" w:hAnsi="Arial"/>
          <w:sz w:val="16"/>
          <w:szCs w:val="16"/>
          <w:color w:val="212529"/>
        </w:rPr>
      </w:pPr>
      <w:r>
        <w:rPr>
          <w:rFonts w:ascii="Arial" w:cs="Arial" w:eastAsia="Arial" w:hAnsi="Arial"/>
          <w:sz w:val="18"/>
          <w:szCs w:val="18"/>
          <w:color w:val="212529"/>
        </w:rPr>
        <w:t>2.944%. We also repaid the $990.0 million outstanding balance on our revolving credit facility and amended how certain covenants are calculated to provide us more operating flexibility. As of June 30, 2020, there is no outstanding balance on our $1.0 billion revolving credit facility and we have cash and cash equivalents of $980.0 million.</w:t>
      </w:r>
    </w:p>
    <w:p>
      <w:pPr>
        <w:spacing w:after="0" w:line="1" w:lineRule="exact"/>
        <w:rPr>
          <w:rFonts w:ascii="Arial" w:cs="Arial" w:eastAsia="Arial" w:hAnsi="Arial"/>
          <w:sz w:val="16"/>
          <w:szCs w:val="16"/>
          <w:color w:val="212529"/>
        </w:rPr>
      </w:pPr>
    </w:p>
    <w:p>
      <w:pPr>
        <w:ind w:left="340" w:right="58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activity has resumed at all of our projects, including Assembly Row and Santana West, where activities were paused as a result of government restrictions. Overall, we are experiencing a slower pace of construction as well as elevated costs as we observe COVID-19 safety protocols at all sites.</w:t>
      </w:r>
    </w:p>
    <w:p>
      <w:pPr>
        <w:spacing w:after="0" w:line="1" w:lineRule="exact"/>
        <w:rPr>
          <w:rFonts w:ascii="Arial" w:cs="Arial" w:eastAsia="Arial" w:hAnsi="Arial"/>
          <w:sz w:val="18"/>
          <w:szCs w:val="18"/>
          <w:color w:val="auto"/>
        </w:rPr>
      </w:pPr>
    </w:p>
    <w:p>
      <w:pPr>
        <w:ind w:left="340" w:right="8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The Pick-Up</w:t>
      </w:r>
      <w:r>
        <w:rPr>
          <w:rFonts w:ascii="Arial" w:cs="Arial" w:eastAsia="Arial" w:hAnsi="Arial"/>
          <w:sz w:val="18"/>
          <w:szCs w:val="18"/>
          <w:color w:val="auto"/>
        </w:rPr>
        <w:t>, a curbside, contactless exchange which creates a singular, reliable, centralized service that retailers and restaurants of all sizes can take advantage of, particularly well-suited for small businesses.</w:t>
      </w:r>
    </w:p>
    <w:p>
      <w:pPr>
        <w:spacing w:after="0" w:line="50"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extent of the effects of COVID-19 on our business, results of operations, cash flows, and growth prospects is highly uncertain and will ultimately depend on future developments, none of which can be predicted with any certainty. See </w:t>
      </w:r>
      <w:hyperlink w:anchor="page33">
        <w:r>
          <w:rPr>
            <w:rFonts w:ascii="Arial" w:cs="Arial" w:eastAsia="Arial" w:hAnsi="Arial"/>
            <w:sz w:val="18"/>
            <w:szCs w:val="18"/>
            <w:u w:val="single" w:color="auto"/>
            <w:color w:val="0000EE"/>
          </w:rPr>
          <w:t>Item 1A</w:t>
        </w:r>
      </w:hyperlink>
      <w:r>
        <w:rPr>
          <w:rFonts w:ascii="Arial" w:cs="Arial" w:eastAsia="Arial" w:hAnsi="Arial"/>
          <w:sz w:val="18"/>
          <w:szCs w:val="18"/>
          <w:color w:val="auto"/>
        </w:rPr>
        <w:t>. Risk Factors. However, we believe the actions we are taking will help minimize interruptions to our operations and will put us in the best position to participate in the resulting economic recovery. Management and our Board of Trustees will continue to actively monitor the effects of the pandemic, including governmental directives in the jurisdictions in which we operate and the recommendations of public health authorities, and will, as needed, take further measures to adapt our business in the best interests of our shareholders and personnel.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Business Continuity</w:t>
      </w:r>
    </w:p>
    <w:p>
      <w:pPr>
        <w:spacing w:after="0" w:line="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212529"/>
        </w:rPr>
        <w:t>We were able to transition all but a limited number of essential employees to remote work and do not anticipate any adverse impact on our ability to continue to operate our business. Transitioning to a largely remote workforce has not had any material adverse impact on our financial reporting systems, our internal controls or disclosure controls and procedures. As government mandated closures and restrictions are gradually lifted through phased re-openings, we are following local, state and federal governments guidelines and limiting the number of employees coming into our offices as well as implementing health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6"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12529"/>
        </w:rPr>
        <w:t>safety guidelines. In addition, we are following the proper guidelines to ensure that property employees are visiting properties only as necessary to ensure that the properties with businesses that are open and operating are able to conduct business and serve their communities. At this time, we have not laid off, furloughed, or terminated any employee in response to COVID-19, nor have we modified the compensation of any employee. The Compensation Committee of our Board of Trustees may reevaluate the performance goals and other aspects of the compensation arrangements of our executive officers later in 2020 as more information about the effects of COVID-19 become known.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Property Acquisitions and Disposition</w:t>
      </w:r>
    </w:p>
    <w:p>
      <w:pPr>
        <w:spacing w:after="0" w:line="17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January 10, 2020, we acquired a 49,000 square foot shopping center in Fairfax, Virginia for $22.3 million. This property is adjacent to, and will be operated as part of our Fairfax Junction property. This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spacing w:after="0" w:line="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February 12, 2020, we acquired two buildings totaling 12,000 square feet in Hoboken, New Jersey for $14.3 million, including the assumption of $8.9 million of mortgage debt. This acquisition is in addition to the 37 buildings previously acquired, and was completed through the joint venture that was formed in 2019, for which we own a 90% interest. Less than $0.1 million and approximately $3.3 million of net assets acquired were allocated to other assets for "above market leases," and other liabilities for "below market leases,"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On April 21, 2020, we sold a building in Pasadena, California for $16.1 million, which resulted in a gain of $11.7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Debt and Equity Transactions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two buildings we acquired in Hoboken, New Jersey on February 12, 2020, we assumed two mortgage loans with a net face amount of $8.9 million and a fair value of $9.0 million. The mortgage loans bear interest at 4.00% and mature on July 27, 2027.</w:t>
      </w:r>
    </w:p>
    <w:p>
      <w:pPr>
        <w:spacing w:after="0" w:line="3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March 2020, in order to strengthen our financial position and balance sheet, to maximize our liquidity, and to provide maximum financial flexibility to continue our business initiatives as the effects of COVID-19 continue to evolve, we borrowed $990.0 million under our revolving credit facility, representing a draw-down of almost the entirety of our $1.0 billion revolving credit facility. This amount was subsequently repaid when we entered into a $400.0 million unsecured term loan on May 6, 2020 and issued $700.0 million of fixed rate unsecured senior notes on May 11, 2020.</w:t>
      </w:r>
    </w:p>
    <w:p>
      <w:pPr>
        <w:spacing w:after="0" w:line="3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unsecured term loan matures on May 6, 2021, plus one twelve month extension at our option, and bears interest at LIBOR plus 135 basis points based on our current credit rating. Our net proceeds from this transaction after underwriting fees and other costs were $398.7 million.</w:t>
      </w:r>
    </w:p>
    <w:p>
      <w:pPr>
        <w:spacing w:after="0" w:line="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$700.0 million of unsecured senior notes issued in May 2020 comprise a $300.0 million reopening of our 3.95% senior notes maturing on January 15, 2024 and a $400.0 million issuance of 3.50% senior notes maturing on June 1, 2030. The 3.95% senior notes were offered at 103.257% of the principal amount with a yield to maturity of 2.944%, and have the same terms and are of the same series as the $300.0 million senior notes issued on December 9, 2013. The 3.50% senior notes were offered at 98.911% of the principal amount with a yield to maturity of 3.630%. Our net proceeds from these transactions after the net issuance premium, underwriting fees, and other costs were $700.1 million.</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As of June 30, 2020, we had the capacity to issue up to $128.3 million in common shares under our ATM equity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$202 million and $5 million, respectively, for the six months ended June 30, 2020, and $142 million and $4 million, respectively, for the six months ended June 30, 2019. We capitalized external and internal costs related to other property improvements of $27 million and $2 million, respectively, for the six months ended June 30, 2020, and $29 million and $2 million for the six months ended June 30, 2019. We capitalized external and internal costs related to leasing activities of $5 million and $1 million, respectively, for the six months ended June 30, 2020, and $10 million and $1 million, respectively, for the six months ended June 30, 2019. The amount of capitalized internal costs for salaries and related benefits for development and redevelopment activities, other property improvements, and leasing activities were $5 million, $1 million, and $1 million,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6"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respectively, for the six months ended June 30, 2020 and $4 million, $1 million, and $1 million, respectively for the six months ended June 30, 2019. Total capitalized costs were $242 million and $188 million for the six months ended June 30, 2020 and 2019,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86"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our portfolio from property developments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333" w:lineRule="exact"/>
        <w:rPr>
          <w:sz w:val="20"/>
          <w:szCs w:val="20"/>
          <w:color w:val="auto"/>
        </w:rPr>
      </w:pPr>
    </w:p>
    <w:p>
      <w:pPr>
        <w:ind w:left="60" w:right="60"/>
        <w:spacing w:after="0" w:line="277" w:lineRule="auto"/>
        <w:rPr>
          <w:sz w:val="20"/>
          <w:szCs w:val="20"/>
          <w:color w:val="auto"/>
        </w:rPr>
      </w:pPr>
      <w:r>
        <w:rPr>
          <w:rFonts w:ascii="Arial" w:cs="Arial" w:eastAsia="Arial" w:hAnsi="Arial"/>
          <w:sz w:val="18"/>
          <w:szCs w:val="18"/>
          <w:color w:val="auto"/>
        </w:rPr>
        <w:t>While the ongoing COVID-19 pandemic is impacting us in the short-term, our long-term focus has not changed. See our 10-K filed on February 13, 2020, for discussion of our our long-term strategies.</w:t>
      </w:r>
    </w:p>
    <w:p>
      <w:pPr>
        <w:spacing w:after="0" w:line="17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212529"/>
        </w:rPr>
        <w:t>The actions taken by federal, state and local governments to mitigate the spread of COVID-19, initially by ordering closures of non-essential businesses and ordering residents to generally stay at home, and subsequent phased re-openings have resulted in</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212529"/>
        </w:rPr>
        <w:t xml:space="preserve">many of our tenants temporarily or even permanently closing their businesses, and for some, it has impacted their ability to pay rent. As of July 31, 2020, approximately 11% of our tenants (based on occupied square footage) were closed as a result of governmental orders compared to 51% at March 31, 2020. These economic hardships have adversely impacted our business, and had a negative effect on our financial results during the quarter ended June 30, 2020. With very few exceptions, our leases require tenants to continue to pay rent even while closed as a result of the pandemic, however, many tenants did not pay rents and other charges during the second quarter of 2020 and in July 2020. As of June 30, 2020, we have entered into agreements with approximately 20% of our tenants (based on total commercial leases) to defer rent payments to later periods, largely through 2021, although some extend beyond, and negotiations with other tenants are still ongoing. Our percentage of contractual rent actually collected has increased each month since April, including some tenants paying past due amounts. While this is a positive trend driven by government mandated restrictions gradually being lifted, we are expecting that our rent collections will continue to be below our tenants’ contractual rent obligations and historical levels, which will continue to adversely impact our results of operations. The extent of such impact will depend on future developments, which are highly uncertain and cannot be predicted. Depending upon the duration of tenant closures, operating restrictions, and the overall economic downturn resulting from COVID-19, we may find that even deferred rents are difficult to collect, and we may experience higher vacancy levels. </w:t>
      </w:r>
      <w:r>
        <w:rPr>
          <w:rFonts w:ascii="Arial" w:cs="Arial" w:eastAsia="Arial" w:hAnsi="Arial"/>
          <w:sz w:val="16"/>
          <w:szCs w:val="16"/>
          <w:color w:val="000000"/>
        </w:rPr>
        <w:t>While the duration and severity of the economic impact resulting from COVID-19 is</w:t>
      </w:r>
      <w:r>
        <w:rPr>
          <w:rFonts w:ascii="Arial" w:cs="Arial" w:eastAsia="Arial" w:hAnsi="Arial"/>
          <w:sz w:val="16"/>
          <w:szCs w:val="16"/>
          <w:color w:val="212529"/>
        </w:rPr>
        <w:t xml:space="preserve"> </w:t>
      </w:r>
      <w:r>
        <w:rPr>
          <w:rFonts w:ascii="Arial" w:cs="Arial" w:eastAsia="Arial" w:hAnsi="Arial"/>
          <w:sz w:val="16"/>
          <w:szCs w:val="16"/>
          <w:color w:val="000000"/>
        </w:rPr>
        <w:t>unknown, we seek to position the Trust to participate in the resulting economic recovery.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have several development projects in process, albeit at a slower pace due to COVID-19 related restrictions, being delivered as follows:</w:t>
      </w:r>
    </w:p>
    <w:p>
      <w:pPr>
        <w:ind w:left="660" w:hanging="328"/>
        <w:spacing w:after="0" w:line="22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 of 2020, we delivered the fully leased eight story, 301,000 square foot office building at Santana Row.</w:t>
      </w:r>
    </w:p>
    <w:p>
      <w:pPr>
        <w:ind w:left="660" w:right="60" w:hanging="328"/>
        <w:spacing w:after="0" w:line="24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phase of construction on the 12 acres of land that we control across from Santana Row includes an eight story 376,000 square foot office building, with over 1,700 parking spaces. The building is expected to cost between $250 million and $270 million with openings beginning in 2022.</w:t>
      </w:r>
    </w:p>
    <w:p>
      <w:pPr>
        <w:spacing w:after="0" w:line="2" w:lineRule="exact"/>
        <w:rPr>
          <w:rFonts w:ascii="Arial" w:cs="Arial" w:eastAsia="Arial" w:hAnsi="Arial"/>
          <w:sz w:val="18"/>
          <w:szCs w:val="18"/>
          <w:color w:val="auto"/>
        </w:rPr>
      </w:pPr>
    </w:p>
    <w:p>
      <w:pPr>
        <w:jc w:val="both"/>
        <w:ind w:left="660" w:right="1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2021.</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Pike &amp; Rose, we are continuing construction on a 212,000 square foot office building (which includes 4,000 square feet of ground floor retail space), and will include over 600 additional parking spaces. The building is expected to cost between $128 million and $135 million and will begin to open later in 2020.</w:t>
      </w:r>
    </w:p>
    <w:p>
      <w:pPr>
        <w:spacing w:after="0" w:line="1" w:lineRule="exact"/>
        <w:rPr>
          <w:rFonts w:ascii="Arial" w:cs="Arial" w:eastAsia="Arial" w:hAnsi="Arial"/>
          <w:sz w:val="18"/>
          <w:szCs w:val="18"/>
          <w:color w:val="auto"/>
        </w:rPr>
      </w:pPr>
    </w:p>
    <w:p>
      <w:pPr>
        <w:ind w:left="660" w:right="20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$318 million that we expect to stabilize over the next several years.</w:t>
      </w:r>
    </w:p>
    <w:p>
      <w:pPr>
        <w:spacing w:after="0" w:line="18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above includes our best estimates based on information currently known, however, the completion of construction, final costs, and the timing of openings will be dependent upon the duration of governmental restrictions and the duration and severity of the economic impacts of COVID-19.</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6"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June 30, 2020, the leasable square feet in our properties was 93.0% leased and 90.8%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For the second quarter of 2020, we signed leases for a total of 315,000 square feet of retail space including 278,000 square feet of comparable space leases (leases for which there was a prior tenant) at an average rental increase of 11% on a cash basis. New leases for comparable spaces were signed for 123,000 square feet at an average rental increase of 32% on a cash basis. Renewals for comparable spaces were signed for 155,000 square feet at no average rental increase on a cash basis. Tenant improvements and incentives for comparable spaces were $30.94 per square foot, of which, $69.12 per square foot was for new leases and $0.69 per square foot was for renewals for the three months ended June 30, 2020.</w:t>
      </w:r>
    </w:p>
    <w:p>
      <w:pPr>
        <w:spacing w:after="0" w:line="2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For the six months ended June 30, 2020, we signed leases for a total of 806,000 square feet of retail space including 744,000 square feet of comparable space leases (leases for which there was a prior tenant) at an average rental increase of 7% on a cash basis. New leases for comparable spaces were signed for 274,000 square feet at an average rental increase of 16% on a cash basis. Renewals for comparable spaces were signed for 470,000 square feet at an average rental increase of 2% on a cash basis. Tenant improvements and incentives for comparable spaces were $31.21 per square foot, of which, $79.88 per square foot was for new leases and $2.86 per square foot was for renewals for the six months ended June 30, 2020.</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 Costs related to redevelopments requires judgment by management in determining what reflects base building costs and thus, is not included in the "tenant improvements and incentives" amount.</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leases signed in 2020 generally become effective over the following two years though some may not become effective until 2023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Historically, we have executed comparable space leases for 1.3 to 1.9 million square feet of retail space each year, however, we expect that volume and potentially rental rate increases for 2020 to be negatively impacted by the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2020, all or a portion of 98 and 97 properties, respectively, were considered comparable properties and eight properties were considered non-comparable properties. For the three months ended June 30, 2020, one property was moved from acquisitions to comparable properties and one portion of a property was removed from comparable properties, as it was sold, compared to the designations for the three months ended March 31, 2020, which were 97 properties or portion of properties considered comparable and eight considered non-comparable. For the six months ended June 30, 2020, two properties and two portions of properties were moved from non-comparable properties to comparable properties, one property was moved from comparable properties to non-comparable properties, one property was moved from acquisitions to non-comparable properties, and one portion of a property was removed from comparable properties, as it was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sold, compared to the designations for the year ended December 31, 2019.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w:t>
      </w:r>
    </w:p>
    <w:p>
      <w:pPr>
        <w:spacing w:after="0" w:line="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year. Acquisitions are moved to comparable properties once we have owned the property for the entirety of comparable periods and the property is not under development or being repositioned for significant redevelopment and investment.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2020 AND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6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175,479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(54,252)</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230,465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(54,238)</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41,438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5,433</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67,016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66,604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109,211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1,608</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(4,515)</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169.3 %</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income from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(4,253)</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(1,116.3)%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82,667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(71,808)</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80,902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(70,395)</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property revenue decreased $54.2 million, or 23.5%, to $176.2 million in the three months ended June 30, 2020 compared to $230.5 million in the three months ended June 30, 2019. The percentage occupied at our shopping centers was 90.8% at June 30, 2020 compared to 93.3% at June 30, 2019. The most significant driver of the decrease in property revenues is the impact of COVID-19, as many of our tenants were forced to temporarily or in some cases permanently close their businesses resulting in changes in our collectibility estimates and in some cases rent abatement. Changes in the components of property revenue are discussed below.</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decreased $54.3 million, or 23.6%, to $175.5 million in the three months ended June 30, 2020 compared to $229.7 million in the three months ended June 30, 2019 due primarily to the following:</w:t>
      </w:r>
    </w:p>
    <w:p>
      <w:pPr>
        <w:spacing w:after="0" w:line="22" w:lineRule="exact"/>
        <w:rPr>
          <w:sz w:val="20"/>
          <w:szCs w:val="20"/>
          <w:color w:val="auto"/>
        </w:rPr>
      </w:pPr>
    </w:p>
    <w:p>
      <w:pPr>
        <w:ind w:left="1140" w:right="160" w:hanging="241"/>
        <w:spacing w:after="0" w:line="263"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collectibility related adjustments across all properties of $54.2 million primarily the result of COVID-19 impacts. This includes the write-off of $9.4 million of straight-line rent receivables primarily related to tenants who were changed to a cash basis of revenue recognition during the quarter ended June 30, 2020,</w:t>
      </w:r>
    </w:p>
    <w:p>
      <w:pPr>
        <w:spacing w:after="0" w:line="21" w:lineRule="exact"/>
        <w:rPr>
          <w:rFonts w:ascii="Arial" w:cs="Arial" w:eastAsia="Arial" w:hAnsi="Arial"/>
          <w:sz w:val="18"/>
          <w:szCs w:val="18"/>
          <w:color w:val="auto"/>
        </w:rPr>
      </w:pPr>
    </w:p>
    <w:p>
      <w:pPr>
        <w:ind w:left="1140" w:right="280" w:hanging="241"/>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$5.0 million from comparable properties primarily related to lower average occupancy of approximately $3.7 million, $2.2 million of lower parking income and percentage rent primarily due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5"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impacts from COVID-19 related closures, and $1.0 million of lower legal and lease termination fees, partially offset by higher rental rates of approximately $3.0 million, and</w:t>
      </w:r>
    </w:p>
    <w:p>
      <w:pPr>
        <w:spacing w:after="0" w:line="8" w:lineRule="exact"/>
        <w:rPr>
          <w:sz w:val="20"/>
          <w:szCs w:val="20"/>
          <w:color w:val="auto"/>
        </w:rPr>
      </w:pPr>
    </w:p>
    <w:p>
      <w:pPr>
        <w:ind w:right="6740" w:firstLine="899"/>
        <w:spacing w:after="0" w:line="313" w:lineRule="auto"/>
        <w:tabs>
          <w:tab w:leader="none" w:pos="11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$3.3 million from property sales, partially offset by,</w:t>
      </w:r>
    </w:p>
    <w:p>
      <w:pPr>
        <w:ind w:left="1140" w:right="120" w:hanging="241"/>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$5.2 million from acquisitions of Hoboken during the second half of 2019 and early 2020, Georgetowne Shopping Center in November 2019, and Fairfax Junction in January 2020, and</w:t>
      </w:r>
    </w:p>
    <w:p>
      <w:pPr>
        <w:spacing w:after="0" w:line="8" w:lineRule="exact"/>
        <w:rPr>
          <w:rFonts w:ascii="Arial" w:cs="Arial" w:eastAsia="Arial" w:hAnsi="Arial"/>
          <w:sz w:val="18"/>
          <w:szCs w:val="18"/>
          <w:color w:val="auto"/>
        </w:rPr>
      </w:pPr>
    </w:p>
    <w:p>
      <w:pPr>
        <w:jc w:val="both"/>
        <w:ind w:left="1140" w:right="160" w:hanging="241"/>
        <w:spacing w:after="0" w:line="342"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$2.9 million from non-comparable properties primarily driven by the opening of our new office building at Santana Row in early 2020, partially offset by $1.0 million related to lower parking income primarily due to the impacts from COVID-19 related 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property expenses increased $0.4 million, or 0.6%, to $67.0 million in the three months ended June 30, 2020 compared to $66.6 million in the three months ended June 30, 2019.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Rental expenses decreased $5.0 million, or 12.1%, to $36.4 million in the three months ended June 30, 2020 compared to $41.4 million in the three months ended June 30, 2019. This decrease is primarily due to the following:</w:t>
      </w:r>
    </w:p>
    <w:p>
      <w:pPr>
        <w:spacing w:after="0" w:line="8" w:lineRule="exact"/>
        <w:rPr>
          <w:sz w:val="20"/>
          <w:szCs w:val="20"/>
          <w:color w:val="auto"/>
        </w:rPr>
      </w:pPr>
    </w:p>
    <w:p>
      <w:pPr>
        <w:ind w:left="1140" w:hanging="241"/>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$5.2 million from comparable properties due primarily to lower repairs and maintenance costs and utilities primarily driven by the impact of COVID-19,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$0.3 million from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40" w:hanging="241"/>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$0.7 million from acquisitions of Hoboken during the second half of 2019 and early 2020 and Georgetowne Shopping Center in November 2019.</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20.8% in the three months ended June 30, 2020 from 18.0% in the three months ended June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200"/>
        <w:spacing w:after="0" w:line="298" w:lineRule="auto"/>
        <w:rPr>
          <w:sz w:val="20"/>
          <w:szCs w:val="20"/>
          <w:color w:val="auto"/>
        </w:rPr>
      </w:pPr>
      <w:r>
        <w:rPr>
          <w:rFonts w:ascii="Arial" w:cs="Arial" w:eastAsia="Arial" w:hAnsi="Arial"/>
          <w:sz w:val="17"/>
          <w:szCs w:val="17"/>
          <w:color w:val="auto"/>
        </w:rPr>
        <w:t>Real estate tax expense increased $5.4 million, or 21.6%, to $30.6 million in the three months ended June 30, 2020 compared to $25.2 million in the three months ended June 30, 2019. This increase is primarily due to the following:</w:t>
      </w:r>
    </w:p>
    <w:p>
      <w:pPr>
        <w:spacing w:after="0" w:line="1" w:lineRule="exact"/>
        <w:rPr>
          <w:sz w:val="20"/>
          <w:szCs w:val="20"/>
          <w:color w:val="auto"/>
        </w:rPr>
      </w:pPr>
    </w:p>
    <w:p>
      <w:pPr>
        <w:ind w:left="1140" w:right="38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$4.4 million from comparable properties primarily due to 2019 tax refunds from a multi-year appeal and reassessment at three of our properties, and higher current year assessments,</w:t>
      </w:r>
    </w:p>
    <w:p>
      <w:pPr>
        <w:spacing w:after="0" w:line="8" w:lineRule="exact"/>
        <w:rPr>
          <w:rFonts w:ascii="Arial" w:cs="Arial" w:eastAsia="Arial" w:hAnsi="Arial"/>
          <w:sz w:val="18"/>
          <w:szCs w:val="18"/>
          <w:color w:val="auto"/>
        </w:rPr>
      </w:pPr>
    </w:p>
    <w:p>
      <w:pPr>
        <w:ind w:left="1140" w:right="4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$0.8 million from acquisitions of Hoboken during the second half of 2019 and early 2020 and Georgetowne Shopping Center in November 2019, and</w:t>
      </w:r>
    </w:p>
    <w:p>
      <w:pPr>
        <w:spacing w:after="0" w:line="8" w:lineRule="exact"/>
        <w:rPr>
          <w:rFonts w:ascii="Arial" w:cs="Arial" w:eastAsia="Arial" w:hAnsi="Arial"/>
          <w:sz w:val="18"/>
          <w:szCs w:val="18"/>
          <w:color w:val="auto"/>
        </w:rPr>
      </w:pPr>
    </w:p>
    <w:p>
      <w:pPr>
        <w:ind w:left="1140" w:right="2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$0.5 million from non-comparable properties due primarily to the opening of our new office building at Santana Row in early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$0.3 million from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operating income decreased $54.7 million, or 33.4%, to $109.2 million in the three months ended June 30, 2020 compared to $163.9 million in the three months ended June 30, 2019. This decrease is primarily due to the impact of COVID-19, which resulted in higher collectibility related adjustments, lower percentage rent, and lower parking income, partially offset by property acquisitions and the opening of our new office building at Santana Row in early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General and administrative expense decreased $1.6 million, or 14.1%, to $9.8 million in the three months ended June 30, 2020 from $11.4 million in the three months ended June 30, 2019. This decrease is due primarily to COVID-19 impacts including office closures and cancellations of all non-essential business travel and company events, as well as lower personnel related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Depreciation and amortization expense increased $3.7 million, or 6.3%, to $62.8 million in the three months ended June 30, 2020 from $59.1 million in the three months ended June 30, 2019. This increase is due primarily to 2019 acquisitions and the opening of our new office building at Santana Row in early 2020, partially offset by property sales.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$11.7 million gain on sale of real estate, net for the three months ended June 30, 2020 is due primarily to the sale of a building in Pasadena, California.</w:t>
      </w:r>
    </w:p>
    <w:p>
      <w:pPr>
        <w:spacing w:after="0" w:line="113" w:lineRule="exact"/>
        <w:rPr>
          <w:sz w:val="20"/>
          <w:szCs w:val="20"/>
          <w:color w:val="auto"/>
        </w:rPr>
      </w:pPr>
    </w:p>
    <w:p>
      <w:pPr>
        <w:ind w:right="2220"/>
        <w:spacing w:after="0" w:line="277" w:lineRule="auto"/>
        <w:rPr>
          <w:sz w:val="20"/>
          <w:szCs w:val="20"/>
          <w:color w:val="auto"/>
        </w:rPr>
      </w:pPr>
      <w:r>
        <w:rPr>
          <w:rFonts w:ascii="Arial" w:cs="Arial" w:eastAsia="Arial" w:hAnsi="Arial"/>
          <w:sz w:val="18"/>
          <w:szCs w:val="18"/>
          <w:color w:val="auto"/>
        </w:rPr>
        <w:t>The $16.2 million gain on sale of real estate, net for the three months ended June 30, 2019 is due primarily to the sale of Free State Shopping Center and a land parcel at Northeast Shopping Center.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income decreased $61.3 million, or 55.9%, to $48.3 million in the three months ended June 30, 2020 compared to $109.6 million in the three months ended June 30, 2019. This decrease is primarily due to the impacts of COVID-19, which resulted in higher collectibility related adjustments, lower percentage rent, and lower parking income, as well as a lower net gain on the sale of real estate compared to prior year, partially offset by lower rental expenses and general and administrative expenses due to the impact COVID-19, the opening of our new office building at Santana Row in early 2020, and property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increased $6.6 million, or 24.0%, to $34.1 million in the three months ended June 30, 2020 compared to $27.5 million in the three months ended June 30, 2019. This increase is due primarily to the following:</w:t>
      </w:r>
    </w:p>
    <w:p>
      <w:pPr>
        <w:spacing w:after="0" w:line="8" w:lineRule="exact"/>
        <w:rPr>
          <w:sz w:val="20"/>
          <w:szCs w:val="20"/>
          <w:color w:val="auto"/>
        </w:rPr>
      </w:pPr>
    </w:p>
    <w:p>
      <w:pPr>
        <w:ind w:left="1140" w:right="500" w:hanging="241"/>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$5.7 million from higher borrowings in response to the COVID-19 pandemic (see further discussion in "Impacts of the COVID-19 Pandemic" earlier in Item 2 of this document), and</w:t>
      </w:r>
    </w:p>
    <w:p>
      <w:pPr>
        <w:spacing w:after="0" w:line="8" w:lineRule="exact"/>
        <w:rPr>
          <w:rFonts w:ascii="Arial" w:cs="Arial" w:eastAsia="Arial" w:hAnsi="Arial"/>
          <w:sz w:val="18"/>
          <w:szCs w:val="18"/>
          <w:color w:val="auto"/>
        </w:rPr>
      </w:pPr>
    </w:p>
    <w:p>
      <w:pPr>
        <w:jc w:val="both"/>
        <w:ind w:left="1140" w:right="400" w:hanging="241"/>
        <w:spacing w:after="0" w:line="26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$3.3 million due to higher weighted average borrowings primarily from the $400 million issuance of our 3.20% notes in 2019, and $106.9 million of mortgage loans associated with our Hoboken acquisitions, partially offset by the repayment of our $275.0 million term loan in June 2019,</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$1.4 million due to a lower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$1.0 million in capitalized interest, primarily attributable to the development of Phase III of Assembly Row and Pike &amp; Rose.</w:t>
      </w:r>
    </w:p>
    <w:p>
      <w:pPr>
        <w:spacing w:after="0" w:line="11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interest costs were $39.8 million and $32.2 million in the three months ended June 30, 2020 and 2019, respectively. Capitalized interest was $5.7 million and $4.7 million for the three months ended June 30, 2020 and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partnerships</w:t>
      </w:r>
    </w:p>
    <w:p>
      <w:pPr>
        <w:spacing w:after="0" w:line="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Loss from partnerships increased $4.3 million to $3.9 million in the three months ended June 30, 2020 compared to income of $0.4 million in the three months ended June 30, 2019. This decrease is primarily due to our share of losses from our hotel investments at Assembly Row and Pike &amp; Rose, largely the result of COVID-19 closures and restrictions.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2020 AND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3"/>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406,277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461,223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(54,946)</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407,784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462,692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(54,908)</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80,729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85,698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(4,969)</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6,810</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140,392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138,551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1,841</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922</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(4,515)</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(66,635)</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451</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123.2 %</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from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(3,983)</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378.3 %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67,300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144,470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(77,170)</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65,270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141,046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(75,776)</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Total property revenue decreased $54.9 million, or 11.9%, to $407.8 million in the six months ended June 30, 2020 compared to $462.7 million in the six months ended June 30, 2019. The percentage occupied at our shopping centers was 90.8% at June 30, 2020 compared to 93.3% at June 30, 2019. The most significant driver of the decrease in property revenue is the impact of COVID-19, as some of our tenants were forced to temporarily or in some cases permanently close their businesses resulting in changes in our collectibility estimates and in some cases rent abatement. Changes in the components of property revenue are discussed below.</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decreased $54.9 million, or 11.9%, to $406.3 million in the six months ended June 30, 2020 compared to $461.2 million in the six months ended June 30, 2019 due primarily to the following:</w:t>
      </w:r>
    </w:p>
    <w:p>
      <w:pPr>
        <w:spacing w:after="0" w:line="22" w:lineRule="exact"/>
        <w:rPr>
          <w:sz w:val="20"/>
          <w:szCs w:val="20"/>
          <w:color w:val="auto"/>
        </w:rPr>
      </w:pPr>
    </w:p>
    <w:p>
      <w:pPr>
        <w:ind w:left="1140" w:right="160" w:hanging="241"/>
        <w:spacing w:after="0" w:line="263"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collectibility related adjustments across all properties of $56.4 million primarily the result of COVID-19 impacts. This includes the write-off of $9.4 million of straight-line rent receivables primarily related to tenants who were changed to a cash basis of revenue recognition during the quarter ended June 30, 2020,</w:t>
      </w:r>
    </w:p>
    <w:p>
      <w:pPr>
        <w:spacing w:after="0" w:line="21" w:lineRule="exact"/>
        <w:rPr>
          <w:rFonts w:ascii="Arial" w:cs="Arial" w:eastAsia="Arial" w:hAnsi="Arial"/>
          <w:sz w:val="18"/>
          <w:szCs w:val="18"/>
          <w:color w:val="auto"/>
        </w:rPr>
      </w:pPr>
    </w:p>
    <w:p>
      <w:pPr>
        <w:ind w:left="1140" w:hanging="241"/>
        <w:spacing w:after="0" w:line="259"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$7.9 million from comparable properties due primarily to lower average occupancy of approximately $6.4 million, lower lease termination fees and legal fees of $3.8 million, lower parking income and percentage rent of $2.4 million primarily due to the impacts from COVID-19 related closures, and lower recoveries of $1.8 million primarily the result of lower snow removal expense, partially offset by higher rental rates of approximately $8.1 million, and</w:t>
      </w:r>
    </w:p>
    <w:p>
      <w:pPr>
        <w:spacing w:after="0" w:line="24" w:lineRule="exact"/>
        <w:rPr>
          <w:rFonts w:ascii="Arial" w:cs="Arial" w:eastAsia="Arial" w:hAnsi="Arial"/>
          <w:sz w:val="18"/>
          <w:szCs w:val="18"/>
          <w:color w:val="auto"/>
        </w:rPr>
      </w:pPr>
    </w:p>
    <w:p>
      <w:pPr>
        <w:ind w:left="1140" w:hanging="24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$6.9 million from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5" w:lineRule="exact"/>
        <w:rPr>
          <w:sz w:val="20"/>
          <w:szCs w:val="20"/>
          <w:color w:val="auto"/>
        </w:rPr>
      </w:pPr>
    </w:p>
    <w:p>
      <w:pPr>
        <w:ind w:left="1140" w:hanging="241"/>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$10.5 million from acquisitions of Hoboken during the second half of 2019 and early 2020, Georgetowne Shopping Center in November 2019, and Fairfax Junction in January 2020,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of $5.8 million from non comparable properties driven by the opening of our new office building at Santana Row in early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property expenses increased $1.8 million, or 1.3%, to $140.4 million in the six months ended June 30, 2020 compared to $138.6 million in the six months ended June 30, 2019.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Rental expenses decreased $5.0 million, or 5.8%, to $80.7 million in the six months ended June 30, 2020 compared to $85.7 million in the six months ended June 30, 2019 due primarily to the following:</w:t>
      </w:r>
    </w:p>
    <w:p>
      <w:pPr>
        <w:spacing w:after="0" w:line="8" w:lineRule="exact"/>
        <w:rPr>
          <w:sz w:val="20"/>
          <w:szCs w:val="20"/>
          <w:color w:val="auto"/>
        </w:rPr>
      </w:pPr>
    </w:p>
    <w:p>
      <w:pPr>
        <w:ind w:left="1140" w:right="60" w:hanging="241"/>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$6.5 million from comparable properties due to lower snow removal expense, and lower repairs and maintenance and utilities primarily driven by the impact of COVID-19.</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$0.8 million from our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18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increase of $1.5 million from acquisitions of Hoboken during the second half of 2019 and early 2020, Georgetowne Shopping Center in November 2019, and Fairfax Junction in January 2020, and</w:t>
      </w:r>
    </w:p>
    <w:p>
      <w:pPr>
        <w:spacing w:after="0" w:line="8" w:lineRule="exact"/>
        <w:rPr>
          <w:rFonts w:ascii="Arial" w:cs="Arial" w:eastAsia="Arial" w:hAnsi="Arial"/>
          <w:sz w:val="18"/>
          <w:szCs w:val="18"/>
          <w:color w:val="auto"/>
        </w:rPr>
      </w:pPr>
    </w:p>
    <w:p>
      <w:pPr>
        <w:ind w:left="114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$0.4 million from non-comparable properties due primarily to the opening of our new office building at Santana Row in early 2020.</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19.9% in the six months ended June 30, 2020 from 18.6% in the six months ended June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340"/>
        <w:spacing w:after="0" w:line="298" w:lineRule="auto"/>
        <w:rPr>
          <w:sz w:val="20"/>
          <w:szCs w:val="20"/>
          <w:color w:val="auto"/>
        </w:rPr>
      </w:pPr>
      <w:r>
        <w:rPr>
          <w:rFonts w:ascii="Arial" w:cs="Arial" w:eastAsia="Arial" w:hAnsi="Arial"/>
          <w:sz w:val="17"/>
          <w:szCs w:val="17"/>
          <w:color w:val="auto"/>
        </w:rPr>
        <w:t>Real estate tax expense increased $6.8 million, or 12.9%, to $59.7 million in the six months ended June 30, 2020 compared to $52.9 million in the six months ended June 30, 2019. This increase is primarily due to the following:</w:t>
      </w:r>
    </w:p>
    <w:p>
      <w:pPr>
        <w:spacing w:after="0" w:line="1" w:lineRule="exact"/>
        <w:rPr>
          <w:sz w:val="20"/>
          <w:szCs w:val="20"/>
          <w:color w:val="auto"/>
        </w:rPr>
      </w:pPr>
    </w:p>
    <w:p>
      <w:pPr>
        <w:ind w:left="1140" w:right="240" w:hanging="241"/>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$4.8 million from comparable properties primarily due to a 2019 tax refunds from a multi-year appeal and reassessment at three of our properties, and higher current year assessments,</w:t>
      </w:r>
    </w:p>
    <w:p>
      <w:pPr>
        <w:spacing w:after="0" w:line="8" w:lineRule="exact"/>
        <w:rPr>
          <w:rFonts w:ascii="Arial" w:cs="Arial" w:eastAsia="Arial" w:hAnsi="Arial"/>
          <w:sz w:val="18"/>
          <w:szCs w:val="18"/>
          <w:color w:val="auto"/>
        </w:rPr>
      </w:pPr>
    </w:p>
    <w:p>
      <w:pPr>
        <w:ind w:left="1140" w:right="100" w:hanging="241"/>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$1.7 million from acquisitions of Hoboken during the second half of 2019 and early 2020, Georgetowne Shopping Center in November 2019, and Fairfax Junction in January 2020, and</w:t>
      </w:r>
    </w:p>
    <w:p>
      <w:pPr>
        <w:spacing w:after="0" w:line="8" w:lineRule="exact"/>
        <w:rPr>
          <w:rFonts w:ascii="Arial" w:cs="Arial" w:eastAsia="Arial" w:hAnsi="Arial"/>
          <w:sz w:val="18"/>
          <w:szCs w:val="18"/>
          <w:color w:val="auto"/>
        </w:rPr>
      </w:pPr>
    </w:p>
    <w:p>
      <w:pPr>
        <w:ind w:left="1140" w:hanging="241"/>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$0.9 million from non-comparable properties due primarily to the opening of our new office building at Santana Row in early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$0.6 million from our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Property operating income decreased $56.7 million, or 17.5%, to $267.4 million in the six months ended June 30, 2020 compared to $324.1 million in the six months ended June 30, 2019. This decrease is primarily due to the impact of COVID-19, which resulted in higher collectibility related adjustments, lower percentage rent, and lower parking income, in addition to property sales, and lower lease termination fee income, partially offset by property acquisitions and the opening of our new office building at Santana Row in early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General and administrative expense decreased $0.9 million, or 4.4%, to $20.1 million in the six months ended June 30, 2020 from $21.0 million in the six months ended June 30, 2019. This decrease is due primarily to COVID-19 impacts including office closures and cancellations of all non-essential business travel and company events, and lower personnel related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Depreciation and amortization expense increased $6.3 million, or 5.3%, to $125.0 million in the six months ended June 30, 2020 from $118.7 million in the six months ended June 30, 2019. This increase is due primarily to property acquisitions and the opening of our new office building at Santana Row in early 2020, partially offset by property sales.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$11.7 million gain on sale of real estate, net for the six months ended June 30, 2020 is due to the sale of a building in Pasadena, California.</w:t>
      </w:r>
    </w:p>
    <w:p>
      <w:pPr>
        <w:spacing w:after="0" w:line="1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$16.2 million gain on sale of real estate, net for the six months ended June 30, 2019 is due to the sale of Free State Shopping Center, a land parcel at Northeast Shopping Center, and condominium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Operating income decreased $66.6 million, or 33.2%, to $134.0 million in the six months ended June 30, 2020 compared to $200.7 million in the six months ended June 30, 2019. This decrease is primarily due to the impacts of COVID-19, which resulted in higher collectibility related adjustments, lower percentage rent, and lower parking income, as well as lower net gain on the sale of real estate and the impact of property sales, partially offset by the opening of our new office building at Santana Row in early 2020, property acquisitions, and lower rental expenses, largely due to the impact of COVID-19.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expense increased $7.0 million, or 12.6%, to $62.5 million in the six months ended June 30, 2020 compared to $55.5 million in the six months ended June 30, 2019. This increase is due primarily to the following:</w:t>
      </w:r>
    </w:p>
    <w:p>
      <w:pPr>
        <w:spacing w:after="0" w:line="8" w:lineRule="exact"/>
        <w:rPr>
          <w:sz w:val="20"/>
          <w:szCs w:val="20"/>
          <w:color w:val="auto"/>
        </w:rPr>
      </w:pPr>
    </w:p>
    <w:p>
      <w:pPr>
        <w:ind w:left="1140" w:right="500" w:hanging="241"/>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$6.3 million from higher borrowings in response to the COVID-19 pandemic (see further discussion in "Impacts of the COVID-19 Pandemic" earlier in Item 2 of this document), and</w:t>
      </w:r>
    </w:p>
    <w:p>
      <w:pPr>
        <w:spacing w:after="0" w:line="8" w:lineRule="exact"/>
        <w:rPr>
          <w:rFonts w:ascii="Arial" w:cs="Arial" w:eastAsia="Arial" w:hAnsi="Arial"/>
          <w:sz w:val="18"/>
          <w:szCs w:val="18"/>
          <w:color w:val="auto"/>
        </w:rPr>
      </w:pPr>
    </w:p>
    <w:p>
      <w:pPr>
        <w:ind w:left="1140" w:right="280" w:hanging="241"/>
        <w:spacing w:after="0" w:line="263"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$5.4 million due to higher weighted average borrowings primarily from the $400.0 million issuance of our 3.20% notes in 2019, and $106.9 million of mortgage loans associated with our Hoboken acquisitions, partially offset by the repayment of our $275.0 million term loan in June 2019,</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$2.5 million due to a lower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of $2.2 million in capitalized interest, primarily attributable to the development of Phase III of Assembly Row and Pike &amp; Rose.</w:t>
      </w:r>
    </w:p>
    <w:p>
      <w:pPr>
        <w:spacing w:after="0" w:line="1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Gross interest costs were $73.9 million and $64.8 million in the six months ended June 30, 2020 and 2019, respectively. Capitalized interest was $11.4 million and $9.2 million for the six months ended June 30, 2020 and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9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Loss from partnerships increased $4.0 million to $5.0 million in the six months ended June 30, 2020 compared to $1.1 million in the six months ended June 30, 2019. This increase is primarily due to our share of losses from our hotel investments at Assembly Row and Pike &amp; Rose, largely the result of COVID-19 closures and restrictions.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Due to the nature of our business and strategy, we typically generate significant amounts of cash from operations which is largely paid to our common and preferred shareholders in the form of dividends because as a REIT, we are generally required to make annual distributions to shareholders of at least 90% of our taxable income.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16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currently experiencing lower levels of cash from operations due to lower rent collections from tenants impacted by the COVID-19 pandemic (see further discussion under the "Outlook" section of this Item 2). While the overall economic impacts of the pandemic are unknown, we have taken multiple steps during the last several months to strengthen our financial position, maximize liquidity, and to provide maximum flexibility during these uncertain times. In March 2020, we borrowed $990.0 million under our revolving credit facility, representing a draw-down of almost the entirety of our $1.0 billion credit facility. In May 2020, we entered into a $400.0 million unsecured term loan and issued $700.0 million of fixed rate unsecured senior notes for combined net proceeds of $1.1 billion. We subsequently repaid the outstanding balance on our revolving credit facility and amended how certain covenants are calculated to provide us more operating flexibility. As of June 30, 2020, there is no outstanding balance on our $1.0 billion unsecured revolving credit facility and we have cash and cash equivalents of $980.0 million.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2020, our weighted average borrowing rate on the revolving credit facility, before amortization of debt fees, was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the capacity to issue up to $128.3 million in common shares under our ATM equity program.</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Over the next 12 months, we have $330.3 million of debt maturing, excluding our $400.0 million term loan, which may be extended for an additional twelve months at our option. Additionally, our overall capital requirements for the remainder of 2020 will depend upon the nature of government mandated closures and restrictions and the overall economic impact of COVD-19, as well as general timing of our redevelopment and development activities. During the second quarter 2020, we experienced lower levels of capital investment as the result of COVID-19 related closures. However, we were able to restart all construction related activities during the quarter and consequently expect to see higher levels of investment during the remainder of the year, absent further requirements to halt construction activities.</w:t>
      </w:r>
    </w:p>
    <w:p>
      <w:pPr>
        <w:spacing w:after="0" w:line="13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We believe that the cash </w:t>
      </w:r>
      <w:r>
        <w:rPr>
          <w:rFonts w:ascii="Arial" w:cs="Arial" w:eastAsia="Arial" w:hAnsi="Arial"/>
          <w:sz w:val="17"/>
          <w:szCs w:val="17"/>
          <w:color w:val="212529"/>
        </w:rPr>
        <w:t>on our balance sheet together with rents we collect as well as our $1.0 billion revolving credit facility will allow us to continue to</w:t>
      </w:r>
      <w:r>
        <w:rPr>
          <w:rFonts w:ascii="Arial" w:cs="Arial" w:eastAsia="Arial" w:hAnsi="Arial"/>
          <w:sz w:val="17"/>
          <w:szCs w:val="17"/>
          <w:color w:val="auto"/>
        </w:rPr>
        <w:t xml:space="preserve"> </w:t>
      </w:r>
      <w:r>
        <w:rPr>
          <w:rFonts w:ascii="Arial" w:cs="Arial" w:eastAsia="Arial" w:hAnsi="Arial"/>
          <w:sz w:val="17"/>
          <w:szCs w:val="17"/>
          <w:color w:val="212529"/>
        </w:rPr>
        <w:t xml:space="preserve">operate our business in the near-term. </w:t>
      </w:r>
      <w:r>
        <w:rPr>
          <w:rFonts w:ascii="Arial" w:cs="Arial" w:eastAsia="Arial" w:hAnsi="Arial"/>
          <w:sz w:val="17"/>
          <w:szCs w:val="17"/>
          <w:color w:val="000000"/>
        </w:rPr>
        <w:t>Given our recent ability to access the capital markets, we also expect debt or equity to be available to us. We may</w:t>
      </w:r>
      <w:r>
        <w:rPr>
          <w:rFonts w:ascii="Arial" w:cs="Arial" w:eastAsia="Arial" w:hAnsi="Arial"/>
          <w:sz w:val="17"/>
          <w:szCs w:val="17"/>
          <w:color w:val="212529"/>
        </w:rPr>
        <w:t xml:space="preserve"> </w:t>
      </w:r>
      <w:r>
        <w:rPr>
          <w:rFonts w:ascii="Arial" w:cs="Arial" w:eastAsia="Arial" w:hAnsi="Arial"/>
          <w:sz w:val="17"/>
          <w:szCs w:val="17"/>
          <w:color w:val="000000"/>
        </w:rPr>
        <w:t>also further delay the timing of certain development and redevelopment projects as well as limit future acquisitions, reduce our operating expenditures, or re-evaluate our dividend policy. We continue to monitor governmental financial assistance programs being made available to address impacts of COVID-19 and may access one or more of these programs to supplement our liquidity if we qualify for them.</w:t>
      </w:r>
    </w:p>
    <w:p>
      <w:pPr>
        <w:spacing w:after="0" w:line="17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While the COVID-19 pandemic has negatively impacted our business during the quarter ended June 30, 2020 and, we expect it will continue to negatively impact our business in the short term, we maintain our long term commitment to a conservative capital structure that will allow us to maintain strong debt service coverage and fixed-charge coverage ratios as part of our commitment to investment-grade debt ratings.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181,382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242,287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(257,198)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(113,368)</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923,439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(96,982)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847,623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31,937</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153,614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108,332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1,001,237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140,269</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operating activities decreased $60.9 million to $181.4 million during the six months ended June 30, 2020 from $242.3 million during the six months ended June 30, 2019. The decrease was primarily attributable to lower net income before non-cash items and higher accounts receivable balances as we experienced lower rent collection rates in the second quarter 2020 as a result of the COVID-19 pandemic, partially offset by the timing of interest payments on our senior notes and lower prepaid expenses.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increased $143.8 million to $257.2 million during the six months ended June 30, 2020 from $113.4 million during the six months ended June 30, 2019. The increase was primarily attributable to:</w:t>
      </w:r>
    </w:p>
    <w:p>
      <w:pPr>
        <w:spacing w:after="0" w:line="8" w:lineRule="exact"/>
        <w:rPr>
          <w:sz w:val="20"/>
          <w:szCs w:val="20"/>
          <w:color w:val="auto"/>
        </w:rPr>
      </w:pPr>
    </w:p>
    <w:p>
      <w:pPr>
        <w:ind w:left="1140" w:right="120" w:hanging="241"/>
        <w:spacing w:after="0" w:line="263"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$76.0 million decrease in proceeds from the sale of real estate resulting from the sale of a building in Pasadena, California in April 2020, as compared to the sales of our Free State Shopping Center, a land parcel at our Northeast Shopping Center, and condominiums at our Assembly Row and Pike &amp; Rose properties in 2019,</w:t>
      </w:r>
    </w:p>
    <w:p>
      <w:pPr>
        <w:spacing w:after="0" w:line="21" w:lineRule="exact"/>
        <w:rPr>
          <w:rFonts w:ascii="Arial" w:cs="Arial" w:eastAsia="Arial" w:hAnsi="Arial"/>
          <w:sz w:val="18"/>
          <w:szCs w:val="18"/>
          <w:color w:val="auto"/>
        </w:rPr>
      </w:pPr>
    </w:p>
    <w:p>
      <w:pPr>
        <w:ind w:left="1140" w:right="840" w:hanging="241"/>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$73.3 million increase in capital expenditures as we continue to invest in Pike &amp; Rose, Assembly Row, Santana Row and other redevelopments,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$12.9 million for net costs paid in 2020 relating to the partial sale under threat of condemnation at San Antonio Center in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120" w:hanging="241"/>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$15.8 million decrease in acquisition of real estate, primarily due to the February 2019 acquisition of Fairfax Junction, partially offset by the acquisition of two buildings in Hoboken, New Jersey in February 2020.</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provided by financing activities increased $1,020.4 million to $923.4 million during the six months ended June 30, 2020 from $97.0 million used in the six months ended June 30, 2019. The increase was primarily attributable to:</w:t>
      </w:r>
    </w:p>
    <w:p>
      <w:pPr>
        <w:spacing w:after="0" w:line="8" w:lineRule="exact"/>
        <w:rPr>
          <w:sz w:val="20"/>
          <w:szCs w:val="20"/>
          <w:color w:val="auto"/>
        </w:rPr>
      </w:pPr>
    </w:p>
    <w:p>
      <w:pPr>
        <w:ind w:left="1140" w:right="540" w:hanging="241"/>
        <w:spacing w:after="0" w:line="263"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$403.0 increase due to net proceeds of $700.1 million from the issuance of $400.0 million of 3.50% unsecured senior notes and the $300.0 million reopening of our 3.95% unsecured senior notes in May 2020 as compared to $297.1 million in net proceeds from the issuance of $300.0 million of 3.20% unsecured senior notes in June 2019,</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$398.7 million in net proceeds from our unsecured term loan in May 2020, and</w:t>
      </w:r>
    </w:p>
    <w:p>
      <w:pPr>
        <w:spacing w:after="0" w:line="63" w:lineRule="exact"/>
        <w:rPr>
          <w:rFonts w:ascii="Arial" w:cs="Arial" w:eastAsia="Arial" w:hAnsi="Arial"/>
          <w:sz w:val="18"/>
          <w:szCs w:val="18"/>
          <w:color w:val="auto"/>
        </w:rPr>
      </w:pPr>
    </w:p>
    <w:p>
      <w:pPr>
        <w:ind w:left="1140" w:right="300" w:hanging="241"/>
        <w:spacing w:after="0" w:line="263"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$294.8 million decrease in repayment of mortgages, finance leases, and notes payable primarily due to the repayment of our $275.0 million unsecured term loan in June 2019 and the $20.3 million repayment of the mortgage loan on Rollingwood Apartments in January 2019,</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240" w:hanging="241"/>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$68.4 million decrease in net proceeds from the issuance of common shares under our ATM program during the six months ended June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Principal Balance</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Stated Interest Rate as of</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Debt</w:t>
            </w: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Issued</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as of June 30, 2020</w:t>
            </w:r>
          </w:p>
        </w:tc>
        <w:tc>
          <w:tcPr>
            <w:tcW w:w="12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2020</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540" w:type="dxa"/>
            <w:vAlign w:val="bottom"/>
            <w:tcBorders>
              <w:top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60,995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3,754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Plaza Del Sol</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8,136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66,554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Bell Gardens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12,544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43,600</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Hoboken (24 Buildings) (1)</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+ 1.95%</w:t>
            </w: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 Hoboken (14 Buildings) (2)</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33,130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5,418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Hoboken (1 Building) (3)</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16,719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552,941</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Total mortgages payable, net</w:t>
            </w:r>
          </w:p>
        </w:tc>
        <w:tc>
          <w:tcPr>
            <w:tcW w:w="1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551,034</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Term Loan</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400,000</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+ 1.35%</w:t>
            </w:r>
          </w:p>
        </w:tc>
        <w:tc>
          <w:tcPr>
            <w:tcW w:w="1800" w:type="dxa"/>
            <w:vAlign w:val="bottom"/>
          </w:tcPr>
          <w:p>
            <w:pPr>
              <w:jc w:val="right"/>
              <w:spacing w:after="0"/>
              <w:rPr>
                <w:sz w:val="20"/>
                <w:szCs w:val="20"/>
                <w:color w:val="auto"/>
              </w:rPr>
            </w:pPr>
            <w:r>
              <w:rPr>
                <w:rFonts w:ascii="Arial" w:cs="Arial" w:eastAsia="Arial" w:hAnsi="Arial"/>
                <w:sz w:val="16"/>
                <w:szCs w:val="16"/>
                <w:color w:val="auto"/>
              </w:rPr>
              <w:t>May 6,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(4)</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1,000,000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+ 0.775%</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Various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7,239</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3,609</w:t>
            </w:r>
          </w:p>
        </w:tc>
        <w:tc>
          <w:tcPr>
            <w:tcW w:w="1740" w:type="dxa"/>
            <w:vAlign w:val="bottom"/>
            <w:gridSpan w:val="2"/>
          </w:tcPr>
          <w:p>
            <w:pPr>
              <w:jc w:val="right"/>
              <w:ind w:right="82"/>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403,609</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 net</w:t>
            </w: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402,477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3.25%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475,000</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3.20%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400,000</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3.50%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3,519,200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Total senior notes and debentures, net</w:t>
            </w:r>
          </w:p>
        </w:tc>
        <w:tc>
          <w:tcPr>
            <w:tcW w:w="1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3,508,461</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Total debt, net</w:t>
            </w:r>
          </w:p>
        </w:tc>
        <w:tc>
          <w:tcPr>
            <w:tcW w:w="13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4,461,972</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this mortgage loan at 3.67%.</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ectPr>
          <w:pgSz w:w="11900" w:h="16838" w:orient="portrait"/>
          <w:cols w:equalWidth="0" w:num="1">
            <w:col w:w="11240"/>
          </w:cols>
          <w:pgMar w:left="320" w:top="126" w:right="339" w:bottom="25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6" w:right="339" w:bottom="25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5" w:lineRule="exact"/>
        <w:rPr>
          <w:sz w:val="20"/>
          <w:szCs w:val="20"/>
          <w:color w:val="auto"/>
        </w:rPr>
      </w:pPr>
    </w:p>
    <w:p>
      <w:pPr>
        <w:ind w:left="660" w:right="8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six months ended June 30, 2020 was $990.0 million, and the weighted average interest rate on borrowings under our revolving credit facility, before amortization of debt fees, was 1.5%.</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June 30, 2020, we were in compliance with all financial and other covenants related to our revolving credit facility, term loan, and senior notes. Additionally, as of June 30, 2020,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2020:</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Secured</w:t>
            </w:r>
          </w:p>
        </w:tc>
        <w:tc>
          <w:tcPr>
            <w:tcW w:w="320" w:type="dxa"/>
            <w:vAlign w:val="bottom"/>
          </w:tcPr>
          <w:p>
            <w:pPr>
              <w:spacing w:after="0"/>
              <w:rPr>
                <w:sz w:val="16"/>
                <w:szCs w:val="16"/>
                <w:color w:val="auto"/>
              </w:rPr>
            </w:pPr>
          </w:p>
        </w:tc>
        <w:tc>
          <w:tcPr>
            <w:tcW w:w="14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63,251</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63,630</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650,680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31,756</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682,436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250,756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119,706</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370,462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275,775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3,549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279,324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600,665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3,688</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604,353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2,144,554</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330,991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2,475,545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3,922,809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552,941</w:t>
            </w: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4,475,750  (3)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$400.0 million term loan matures on May 6, 2021 plus one twelve month extension, at our option.</w:t>
      </w:r>
    </w:p>
    <w:p>
      <w:pPr>
        <w:spacing w:after="0" w:line="74" w:lineRule="exact"/>
        <w:rPr>
          <w:rFonts w:ascii="Arial" w:cs="Arial" w:eastAsia="Arial" w:hAnsi="Arial"/>
          <w:sz w:val="17"/>
          <w:szCs w:val="17"/>
          <w:color w:val="auto"/>
        </w:rPr>
      </w:pPr>
    </w:p>
    <w:p>
      <w:pPr>
        <w:ind w:left="820" w:right="320" w:hanging="812"/>
        <w:spacing w:after="0" w:line="277" w:lineRule="auto"/>
        <w:tabs>
          <w:tab w:leader="none" w:pos="1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June 30, 2020, there was no outstanding balance under this credit facility.</w:t>
      </w:r>
    </w:p>
    <w:p>
      <w:pPr>
        <w:spacing w:after="0" w:line="8" w:lineRule="exact"/>
        <w:rPr>
          <w:rFonts w:ascii="Arial" w:cs="Arial" w:eastAsia="Arial" w:hAnsi="Arial"/>
          <w:sz w:val="18"/>
          <w:szCs w:val="18"/>
          <w:color w:val="auto"/>
        </w:rPr>
      </w:pPr>
    </w:p>
    <w:p>
      <w:pPr>
        <w:ind w:left="820" w:right="120" w:hanging="812"/>
        <w:spacing w:after="0" w:line="277" w:lineRule="auto"/>
        <w:tabs>
          <w:tab w:leader="none" w:pos="1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June 30, 2020, we have two interest rate swap agreements that effectively fix the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earnings as of June 30,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60" w:hanging="801"/>
        <w:spacing w:after="0" w:line="277"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6"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9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40" w:type="dxa"/>
            <w:vAlign w:val="bottom"/>
            <w:gridSpan w:val="7"/>
          </w:tcPr>
          <w:p>
            <w:pPr>
              <w:ind w:left="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10,859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82,667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67,300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144,470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106,812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122,565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240,948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Dividends on preferred shares (1)</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 (2)</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57,982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121,005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172,961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237,898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75,394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75,456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76,126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75,235</w:t>
            </w:r>
          </w:p>
        </w:tc>
        <w:tc>
          <w:tcPr>
            <w:tcW w:w="0" w:type="dxa"/>
            <w:vAlign w:val="bottom"/>
          </w:tcPr>
          <w:p>
            <w:pPr>
              <w:spacing w:after="0"/>
              <w:rPr>
                <w:sz w:val="1"/>
                <w:szCs w:val="1"/>
                <w:color w:val="auto"/>
              </w:rPr>
            </w:pPr>
          </w:p>
        </w:tc>
      </w:tr>
      <w:tr>
        <w:trPr>
          <w:trHeight w:val="67"/>
        </w:trPr>
        <w:tc>
          <w:tcPr>
            <w:tcW w:w="68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0.77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9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the three and six months ended June 30, 2019, dividends on our Series 1 preferred stock were not deducted in the calculation of FFO available to common shareholders, as the related shares were dilutive and included in "weighted average common shares, diluted."</w:t>
      </w:r>
    </w:p>
    <w:p>
      <w:pPr>
        <w:jc w:val="both"/>
        <w:ind w:left="660" w:right="80" w:hanging="652"/>
        <w:spacing w:after="0" w:line="31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the three months ended June 30, 2020, income attributable to operating partnership units is not added back in the calculation of FFO available to common shareholders, as the related shares are not dilutive and are not included in "weighted average common shares, diluted" for this period.</w:t>
      </w:r>
    </w:p>
    <w:p>
      <w:pPr>
        <w:spacing w:after="0" w:line="1" w:lineRule="exact"/>
        <w:rPr>
          <w:rFonts w:ascii="Arial" w:cs="Arial" w:eastAsia="Arial" w:hAnsi="Arial"/>
          <w:sz w:val="16"/>
          <w:szCs w:val="16"/>
          <w:color w:val="auto"/>
        </w:rPr>
      </w:pPr>
    </w:p>
    <w:p>
      <w:pPr>
        <w:jc w:val="both"/>
        <w:ind w:left="660" w:right="40" w:hanging="652"/>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six months ended June 30, 2020 and the three and six months ended June 30, 2019, 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June 30, 2020, we had $4.1 billion of fixed-rate debt outstanding, including $56.5 million of mortgage payables for which the rate is effectively fixed by two interest rate swap agreements. If market interest rates used to calculate the fair value on our fixed-rate debt instruments at June 30, 2020 had been 1.0% higher, the fair value of those debt instruments on that date would have decreased by approximately $278.5 million. If market interest rates used to calculate the fair value on our fixed-rate debt instruments at June 30, 2020 had been 1.0% lower, the fair value of those debt instruments on that date would have increased by approximately $317.5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June 30, 2020, we had $400.0 million of variable rate debt outstanding (the principal balance on our unsecured term loan). Based upon this amount of variable rate debt and the specific terms, if market interest rates increased 1.0%, our annual interest expense would increase approximately $4.0 million with a corresponding decrease in our net income and cash flows for the year. Conversely, if market interest rates decreased 1.0%, our annual interest expense would decrease by approximately $4.0 million with a corresponding increase in our net income and cash flows for the year.</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2020. Based on this evaluation, our management, including our Chief Executive Officer and Chief Financial Officer, concluded that our disclosure controls and procedures were effective as of June 30, 2020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6"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2019.</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While we attempt to identify, manage and mitigate risks and uncertainties associated with our business to the extent practical under the circumstances, some level of risk and uncertainty will always be present. . “Item 1A. Risk Factors” of our Annual Report to our Form 10-K for the year ended December 31, 2019 filed with the SEC on February 10, 2020 describes some of the risks and uncertainties associated with our business. These risks and uncertainties have the potential to materially affect our business, results of operations, financial condition, cash flows, projected results and future prospects. Except for the risk factor discussed below, we do not believe that there have been any material changes to the risk factors disclosed in our 2019 Annual Report.</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Natural disasters, climate change and public health crises, including the COVID-19 pandemic, could have an adverse impact on our cash flow and operating results.</w:t>
      </w:r>
    </w:p>
    <w:p>
      <w:pPr>
        <w:spacing w:after="0" w:line="11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Climate change may add to the unpredictability and frequency of natural disasters and severe weather conditions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our business is subject to risks related to the effects of public health crises, epidemics and pandemics, including the COVID-19 pandemic. Such events could inhibit global, national and local economic activity; adversely affect trading activity in securities markets, which could negatively impact the trading prices of our common shares and debt securities and our ability to access the securities markets as a source of liquidity; adversely affect our tenants’ financial condition by limiting foot traffic and staffing at their businesses, which could affect their ability to pay rent and willingness to make new leasing commitments; reduce our cash flow, which could impact our ability to pay dividends or to service our debt; temporarily or permanently reduce the demand for retail or office space; interfere with our business operations by requiring our personnel to work remotely; increase the frequency of cyber-attacks; disrupt supply chains that could be important in our development and redevelopment activities; interfere with potential purchases and sales of properties; and have other direct and indirect effects that are difficult to predict. 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duration of stay-at-home and other government orders instituted in response to the COVID-19 pandemic, which vary by jurisdiction, or the pandemics' short and long term economic effects, each of which could have a material adverse effect on our business.</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ectPr>
          <w:pgSz w:w="11900" w:h="16838" w:orient="portrait"/>
          <w:cols w:equalWidth="0" w:num="1">
            <w:col w:w="11200"/>
          </w:cols>
          <w:pgMar w:left="320" w:top="12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0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9100" w:type="dxa"/>
            <w:vAlign w:val="bottom"/>
          </w:tcPr>
          <w:p>
            <w:pPr>
              <w:spacing w:after="0"/>
              <w:rPr>
                <w:sz w:val="24"/>
                <w:szCs w:val="24"/>
                <w:color w:val="auto"/>
              </w:rPr>
            </w:pPr>
          </w:p>
        </w:tc>
      </w:tr>
      <w:tr>
        <w:trPr>
          <w:trHeight w:val="364"/>
        </w:trPr>
        <w:tc>
          <w:tcPr>
            <w:tcW w:w="1000" w:type="dxa"/>
            <w:vAlign w:val="bottom"/>
            <w:tcBorders>
              <w:top w:val="single" w:sz="8" w:color="auto"/>
            </w:tcBorders>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31.1</w:t>
              </w:r>
            </w:hyperlink>
          </w:p>
        </w:tc>
        <w:tc>
          <w:tcPr>
            <w:tcW w:w="140" w:type="dxa"/>
            <w:vAlign w:val="bottom"/>
          </w:tcPr>
          <w:p>
            <w:pPr>
              <w:spacing w:after="0"/>
              <w:rPr>
                <w:sz w:val="24"/>
                <w:szCs w:val="24"/>
                <w:color w:val="auto"/>
              </w:rPr>
            </w:pPr>
          </w:p>
        </w:tc>
        <w:tc>
          <w:tcPr>
            <w:tcW w:w="10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31.2</w:t>
              </w:r>
            </w:hyperlink>
          </w:p>
        </w:tc>
        <w:tc>
          <w:tcPr>
            <w:tcW w:w="140" w:type="dxa"/>
            <w:vAlign w:val="bottom"/>
          </w:tcPr>
          <w:p>
            <w:pPr>
              <w:spacing w:after="0"/>
              <w:rPr>
                <w:sz w:val="24"/>
                <w:szCs w:val="24"/>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32.1</w:t>
              </w:r>
            </w:hyperlink>
          </w:p>
        </w:tc>
        <w:tc>
          <w:tcPr>
            <w:tcW w:w="1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w w:val="91"/>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32.2</w:t>
              </w:r>
            </w:hyperlink>
          </w:p>
        </w:tc>
        <w:tc>
          <w:tcPr>
            <w:tcW w:w="1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w w:val="91"/>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bl>
    <w:p>
      <w:pPr>
        <w:spacing w:after="0" w:line="161" w:lineRule="exact"/>
        <w:rPr>
          <w:sz w:val="20"/>
          <w:szCs w:val="20"/>
          <w:color w:val="auto"/>
        </w:rPr>
      </w:pPr>
    </w:p>
    <w:p>
      <w:pPr>
        <w:ind w:left="1160" w:right="200" w:hanging="1125"/>
        <w:spacing w:after="0" w:line="259"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2020,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146" w:lineRule="exact"/>
        <w:rPr>
          <w:sz w:val="20"/>
          <w:szCs w:val="20"/>
          <w:color w:val="auto"/>
        </w:rPr>
      </w:pPr>
    </w:p>
    <w:p>
      <w:pPr>
        <w:ind w:left="5540" w:right="3560" w:hanging="5505"/>
        <w:spacing w:after="0" w:line="559" w:lineRule="auto"/>
        <w:tabs>
          <w:tab w:leader="none" w:pos="11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35</w:t>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520" w:val="left"/>
          <w:tab w:leader="none" w:pos="7860" w:val="left"/>
        </w:tabs>
        <w:rPr>
          <w:sz w:val="20"/>
          <w:szCs w:val="20"/>
          <w:color w:val="auto"/>
        </w:rPr>
      </w:pPr>
      <w:r>
        <w:rPr>
          <w:rFonts w:ascii="Arial" w:cs="Arial" w:eastAsia="Arial" w:hAnsi="Arial"/>
          <w:sz w:val="18"/>
          <w:szCs w:val="18"/>
          <w:color w:val="auto"/>
        </w:rPr>
        <w:t>August 5,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President, Chief Executive Officer and Trustee</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460" w:val="left"/>
          <w:tab w:leader="none" w:pos="7820" w:val="left"/>
        </w:tabs>
        <w:rPr>
          <w:sz w:val="20"/>
          <w:szCs w:val="20"/>
          <w:color w:val="auto"/>
        </w:rPr>
      </w:pPr>
      <w:r>
        <w:rPr>
          <w:rFonts w:ascii="Arial" w:cs="Arial" w:eastAsia="Arial" w:hAnsi="Arial"/>
          <w:sz w:val="18"/>
          <w:szCs w:val="18"/>
          <w:color w:val="auto"/>
        </w:rPr>
        <w:t>August 5,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72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5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40"/>
          </w:cols>
          <w:pgMar w:left="320" w:top="126" w:right="1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160" w:hanging="467"/>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80" w:right="140" w:hanging="467"/>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120" w:hanging="467"/>
        <w:spacing w:after="0" w:line="291"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4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40"/>
        <w:spacing w:after="0" w:line="334" w:lineRule="auto"/>
        <w:tabs>
          <w:tab w:leader="none" w:pos="14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16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80" w:right="80" w:hanging="467"/>
        <w:spacing w:after="0" w:line="334"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380" w:hanging="440"/>
        <w:spacing w:after="0" w:line="334" w:lineRule="auto"/>
        <w:tabs>
          <w:tab w:leader="none" w:pos="14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80" w:hanging="440"/>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55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160" w:hanging="467"/>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80" w:right="140" w:hanging="467"/>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120" w:hanging="467"/>
        <w:spacing w:after="0" w:line="291"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40"/>
        <w:spacing w:after="0" w:line="263"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40" w:hanging="440"/>
        <w:spacing w:after="0" w:line="263"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40"/>
        <w:spacing w:after="0" w:line="334" w:lineRule="auto"/>
        <w:tabs>
          <w:tab w:leader="none" w:pos="14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160" w:hanging="440"/>
        <w:spacing w:after="0" w:line="263"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80" w:right="80" w:hanging="467"/>
        <w:spacing w:after="0" w:line="334"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380" w:hanging="440"/>
        <w:spacing w:after="0" w:line="334" w:lineRule="auto"/>
        <w:tabs>
          <w:tab w:leader="none" w:pos="14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80" w:hanging="440"/>
        <w:spacing w:after="0" w:line="277"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640" w:val="left"/>
        </w:tabs>
        <w:rPr>
          <w:sz w:val="20"/>
          <w:szCs w:val="20"/>
          <w:color w:val="auto"/>
        </w:rPr>
      </w:pP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55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2020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55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20" w:firstLine="432"/>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2020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640" w:val="left"/>
        </w:tabs>
        <w:rPr>
          <w:sz w:val="20"/>
          <w:szCs w:val="20"/>
          <w:color w:val="auto"/>
        </w:rPr>
      </w:pP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4"/>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01"/>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2020-08-05T15:36:10Z</dcterms:created>
  <dcterms:modified xsi:type="dcterms:W3CDTF">2020-08-05T15:36:10Z</dcterms:modified>
</cp:coreProperties>
</file>