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VASSALLUZZO JOSEPH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1,386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2"/>
              </w:rPr>
              <w:t>8,200.366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1. Includes 15.056 shares acquired through the dividend reinvestment program since the last Form 4 filing.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Dawn M. Becker, by power of atty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02/11/2008</w:t>
            </w:r>
          </w:p>
        </w:tc>
      </w:tr>
      <w:tr>
        <w:trPr>
          <w:trHeight w:val="150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Joseph S. Vassalluzzo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Joseph S. Vassalluzzo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2019-12-17T11:29:11Z</dcterms:created>
  <dcterms:modified xsi:type="dcterms:W3CDTF">2019-12-17T11:29:11Z</dcterms:modified>
</cp:coreProperties>
</file>