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3.95% Notes due 2024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$300,000,000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$38,640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26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filing fee is calculated in accordance with Rule 457(r) under the Securities Act of 1933, as amended (the “Securities Act”), and relates to the Registration Statement on Form S-3 (No. 333-181236) filed on May 8, 2012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422910</wp:posOffset>
            </wp:positionV>
            <wp:extent cx="2152650"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3.95%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notes offered by this prospectus supplement will bear interest at the rate of 3.95% per year. Interest on the notes will be payable on January 15 and July 15 of each year, beginning on July 15, 2014. The notes will mature on January 15, 2024. We may redeem some or all of the notes at any time before maturity. The redemption prices are discussed under the caption “Description of Notes — Optional Redemption.”</w:t>
      </w:r>
    </w:p>
    <w:p>
      <w:pPr>
        <w:spacing w:after="0" w:line="5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senior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listed on any securities exchange. There is currently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Investing in the notes involves risks. See “Risk Factors” beginning on page S-6 of this prospectus supplement,</w:t>
      </w:r>
    </w:p>
    <w:p>
      <w:pPr>
        <w:spacing w:after="0" w:line="70" w:lineRule="exact"/>
        <w:rPr>
          <w:sz w:val="20"/>
          <w:szCs w:val="20"/>
          <w:color w:val="auto"/>
        </w:rPr>
      </w:pPr>
    </w:p>
    <w:p>
      <w:pPr>
        <w:jc w:val="center"/>
        <w:spacing w:after="0" w:line="328" w:lineRule="auto"/>
        <w:rPr>
          <w:sz w:val="20"/>
          <w:szCs w:val="20"/>
          <w:color w:val="auto"/>
        </w:rPr>
      </w:pPr>
      <w:r>
        <w:rPr>
          <w:rFonts w:ascii="Arial" w:cs="Arial" w:eastAsia="Arial" w:hAnsi="Arial"/>
          <w:sz w:val="21"/>
          <w:szCs w:val="21"/>
          <w:b w:val="1"/>
          <w:bCs w:val="1"/>
          <w:color w:val="auto"/>
        </w:rPr>
        <w:t>on page 3 of the accompanying prospectus and in our Annual Report on Form 10-K for the year ended December 31, 2012, filed with the Securities and Exchange Commission, or the SEC, on February 12, 2013.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Note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2"/>
        </w:trPr>
        <w:tc>
          <w:tcPr>
            <w:tcW w:w="78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99.018%</w:t>
            </w:r>
          </w:p>
        </w:tc>
        <w:tc>
          <w:tcPr>
            <w:tcW w:w="8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297,054,000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Underwriting discount</w:t>
            </w: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0.65%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r>
              <w:rPr>
                <w:rFonts w:ascii="Arial" w:cs="Arial" w:eastAsia="Arial" w:hAnsi="Arial"/>
                <w:sz w:val="11"/>
                <w:szCs w:val="11"/>
                <w:color w:val="auto"/>
              </w:rPr>
              <w:t>(1)</w:t>
            </w: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8"/>
              </w:rPr>
              <w:t>98.368%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295,104,000</w:t>
            </w:r>
          </w:p>
        </w:tc>
      </w:tr>
    </w:tbl>
    <w:p>
      <w:pPr>
        <w:spacing w:after="0" w:line="15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1"/>
          <w:szCs w:val="11"/>
          <w:color w:val="auto"/>
        </w:rPr>
      </w:pPr>
      <w:r>
        <w:rPr>
          <w:rFonts w:ascii="Arial" w:cs="Arial" w:eastAsia="Arial" w:hAnsi="Arial"/>
          <w:sz w:val="18"/>
          <w:szCs w:val="18"/>
          <w:color w:val="auto"/>
        </w:rPr>
        <w:t>Plus accrued interest from December 9, 2013, if settlement occurs after that date.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December 9, 2013.</w:t>
      </w:r>
    </w:p>
    <w:p>
      <w:pPr>
        <w:spacing w:after="0" w:line="126"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43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Joint Book-Running Managers</w:t>
            </w:r>
          </w:p>
        </w:tc>
        <w:tc>
          <w:tcPr>
            <w:tcW w:w="3260" w:type="dxa"/>
            <w:vAlign w:val="bottom"/>
          </w:tcPr>
          <w:p>
            <w:pPr>
              <w:spacing w:after="0"/>
              <w:rPr>
                <w:sz w:val="19"/>
                <w:szCs w:val="19"/>
                <w:color w:val="auto"/>
              </w:rPr>
            </w:pPr>
          </w:p>
        </w:tc>
      </w:tr>
      <w:tr>
        <w:trPr>
          <w:trHeight w:val="584"/>
        </w:trPr>
        <w:tc>
          <w:tcPr>
            <w:tcW w:w="3820" w:type="dxa"/>
            <w:vAlign w:val="bottom"/>
          </w:tcPr>
          <w:p>
            <w:pPr>
              <w:spacing w:after="0"/>
              <w:rPr>
                <w:sz w:val="20"/>
                <w:szCs w:val="20"/>
                <w:color w:val="auto"/>
              </w:rPr>
            </w:pPr>
            <w:r>
              <w:rPr>
                <w:rFonts w:ascii="Arial" w:cs="Arial" w:eastAsia="Arial" w:hAnsi="Arial"/>
                <w:sz w:val="32"/>
                <w:szCs w:val="32"/>
                <w:b w:val="1"/>
                <w:bCs w:val="1"/>
                <w:color w:val="auto"/>
              </w:rPr>
              <w:t>Wells Fargo Securities</w:t>
            </w:r>
          </w:p>
        </w:tc>
        <w:tc>
          <w:tcPr>
            <w:tcW w:w="4340" w:type="dxa"/>
            <w:vAlign w:val="bottom"/>
          </w:tcPr>
          <w:p>
            <w:pPr>
              <w:ind w:left="1280"/>
              <w:spacing w:after="0"/>
              <w:rPr>
                <w:sz w:val="20"/>
                <w:szCs w:val="20"/>
                <w:color w:val="auto"/>
              </w:rPr>
            </w:pPr>
            <w:r>
              <w:rPr>
                <w:rFonts w:ascii="Arial" w:cs="Arial" w:eastAsia="Arial" w:hAnsi="Arial"/>
                <w:sz w:val="32"/>
                <w:szCs w:val="32"/>
                <w:b w:val="1"/>
                <w:bCs w:val="1"/>
                <w:color w:val="auto"/>
              </w:rPr>
              <w:t>Citigroup</w:t>
            </w:r>
          </w:p>
        </w:tc>
        <w:tc>
          <w:tcPr>
            <w:tcW w:w="3260" w:type="dxa"/>
            <w:vAlign w:val="bottom"/>
          </w:tcPr>
          <w:p>
            <w:pPr>
              <w:jc w:val="right"/>
              <w:spacing w:after="0"/>
              <w:rPr>
                <w:sz w:val="20"/>
                <w:szCs w:val="20"/>
                <w:color w:val="auto"/>
              </w:rPr>
            </w:pPr>
            <w:r>
              <w:rPr>
                <w:rFonts w:ascii="Arial" w:cs="Arial" w:eastAsia="Arial" w:hAnsi="Arial"/>
                <w:sz w:val="32"/>
                <w:szCs w:val="32"/>
                <w:b w:val="1"/>
                <w:bCs w:val="1"/>
                <w:color w:val="auto"/>
              </w:rPr>
              <w:t>J.P. Morgan</w:t>
            </w:r>
          </w:p>
        </w:tc>
      </w:tr>
      <w:tr>
        <w:trPr>
          <w:trHeight w:val="375"/>
        </w:trPr>
        <w:tc>
          <w:tcPr>
            <w:tcW w:w="3820" w:type="dxa"/>
            <w:vAlign w:val="bottom"/>
          </w:tcPr>
          <w:p>
            <w:pPr>
              <w:spacing w:after="0"/>
              <w:rPr>
                <w:sz w:val="24"/>
                <w:szCs w:val="24"/>
                <w:color w:val="auto"/>
              </w:rPr>
            </w:pPr>
          </w:p>
        </w:tc>
        <w:tc>
          <w:tcPr>
            <w:tcW w:w="434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Co-Managers</w:t>
            </w:r>
          </w:p>
        </w:tc>
        <w:tc>
          <w:tcPr>
            <w:tcW w:w="3260" w:type="dxa"/>
            <w:vAlign w:val="bottom"/>
          </w:tcPr>
          <w:p>
            <w:pPr>
              <w:spacing w:after="0"/>
              <w:rPr>
                <w:sz w:val="24"/>
                <w:szCs w:val="24"/>
                <w:color w:val="auto"/>
              </w:rPr>
            </w:pPr>
          </w:p>
        </w:tc>
      </w:tr>
      <w:tr>
        <w:trPr>
          <w:trHeight w:val="420"/>
        </w:trPr>
        <w:tc>
          <w:tcPr>
            <w:tcW w:w="3820" w:type="dxa"/>
            <w:vAlign w:val="bottom"/>
          </w:tcPr>
          <w:p>
            <w:pPr>
              <w:spacing w:after="0"/>
              <w:rPr>
                <w:sz w:val="20"/>
                <w:szCs w:val="20"/>
                <w:color w:val="auto"/>
              </w:rPr>
            </w:pPr>
            <w:r>
              <w:rPr>
                <w:rFonts w:ascii="Arial" w:cs="Arial" w:eastAsia="Arial" w:hAnsi="Arial"/>
                <w:sz w:val="22"/>
                <w:szCs w:val="22"/>
                <w:b w:val="1"/>
                <w:bCs w:val="1"/>
                <w:color w:val="auto"/>
              </w:rPr>
              <w:t>Deutsche Bank Securities</w:t>
            </w:r>
          </w:p>
        </w:tc>
        <w:tc>
          <w:tcPr>
            <w:tcW w:w="4340" w:type="dxa"/>
            <w:vAlign w:val="bottom"/>
          </w:tcPr>
          <w:p>
            <w:pPr>
              <w:jc w:val="center"/>
              <w:ind w:right="190"/>
              <w:spacing w:after="0"/>
              <w:rPr>
                <w:sz w:val="20"/>
                <w:szCs w:val="20"/>
                <w:color w:val="auto"/>
              </w:rPr>
            </w:pPr>
            <w:r>
              <w:rPr>
                <w:rFonts w:ascii="Arial" w:cs="Arial" w:eastAsia="Arial" w:hAnsi="Arial"/>
                <w:sz w:val="22"/>
                <w:szCs w:val="22"/>
                <w:b w:val="1"/>
                <w:bCs w:val="1"/>
                <w:color w:val="auto"/>
                <w:w w:val="95"/>
              </w:rPr>
              <w:t>PNC Capital Markets LLC</w:t>
            </w:r>
          </w:p>
        </w:tc>
        <w:tc>
          <w:tcPr>
            <w:tcW w:w="3260" w:type="dxa"/>
            <w:vAlign w:val="bottom"/>
          </w:tcPr>
          <w:p>
            <w:pPr>
              <w:jc w:val="right"/>
              <w:spacing w:after="0"/>
              <w:rPr>
                <w:sz w:val="20"/>
                <w:szCs w:val="20"/>
                <w:color w:val="auto"/>
              </w:rPr>
            </w:pPr>
            <w:r>
              <w:rPr>
                <w:rFonts w:ascii="Arial" w:cs="Arial" w:eastAsia="Arial" w:hAnsi="Arial"/>
                <w:sz w:val="22"/>
                <w:szCs w:val="22"/>
                <w:b w:val="1"/>
                <w:bCs w:val="1"/>
                <w:color w:val="auto"/>
              </w:rPr>
              <w:t>RBC Capital Markets</w:t>
            </w:r>
          </w:p>
        </w:tc>
      </w:tr>
      <w:tr>
        <w:trPr>
          <w:trHeight w:val="257"/>
        </w:trPr>
        <w:tc>
          <w:tcPr>
            <w:tcW w:w="3820" w:type="dxa"/>
            <w:vAlign w:val="bottom"/>
          </w:tcPr>
          <w:p>
            <w:pPr>
              <w:spacing w:after="0"/>
              <w:rPr>
                <w:sz w:val="20"/>
                <w:szCs w:val="20"/>
                <w:color w:val="auto"/>
              </w:rPr>
            </w:pPr>
            <w:r>
              <w:rPr>
                <w:rFonts w:ascii="Arial" w:cs="Arial" w:eastAsia="Arial" w:hAnsi="Arial"/>
                <w:sz w:val="22"/>
                <w:szCs w:val="22"/>
                <w:b w:val="1"/>
                <w:bCs w:val="1"/>
                <w:color w:val="auto"/>
              </w:rPr>
              <w:t>BBVA</w:t>
            </w:r>
          </w:p>
        </w:tc>
        <w:tc>
          <w:tcPr>
            <w:tcW w:w="4340" w:type="dxa"/>
            <w:vAlign w:val="bottom"/>
          </w:tcPr>
          <w:p>
            <w:pPr>
              <w:jc w:val="center"/>
              <w:ind w:right="190"/>
              <w:spacing w:after="0"/>
              <w:rPr>
                <w:sz w:val="20"/>
                <w:szCs w:val="20"/>
                <w:color w:val="auto"/>
              </w:rPr>
            </w:pPr>
            <w:r>
              <w:rPr>
                <w:rFonts w:ascii="Arial" w:cs="Arial" w:eastAsia="Arial" w:hAnsi="Arial"/>
                <w:sz w:val="22"/>
                <w:szCs w:val="22"/>
                <w:b w:val="1"/>
                <w:bCs w:val="1"/>
                <w:color w:val="auto"/>
                <w:w w:val="89"/>
              </w:rPr>
              <w:t>Capital One Securities</w:t>
            </w:r>
          </w:p>
        </w:tc>
        <w:tc>
          <w:tcPr>
            <w:tcW w:w="3260" w:type="dxa"/>
            <w:vAlign w:val="bottom"/>
          </w:tcPr>
          <w:p>
            <w:pPr>
              <w:jc w:val="right"/>
              <w:spacing w:after="0"/>
              <w:rPr>
                <w:sz w:val="20"/>
                <w:szCs w:val="20"/>
                <w:color w:val="auto"/>
              </w:rPr>
            </w:pPr>
            <w:r>
              <w:rPr>
                <w:rFonts w:ascii="Arial" w:cs="Arial" w:eastAsia="Arial" w:hAnsi="Arial"/>
                <w:sz w:val="22"/>
                <w:szCs w:val="22"/>
                <w:b w:val="1"/>
                <w:bCs w:val="1"/>
                <w:color w:val="auto"/>
              </w:rPr>
              <w:t>Regions Securities LLC</w:t>
            </w:r>
          </w:p>
        </w:tc>
      </w:tr>
      <w:tr>
        <w:trPr>
          <w:trHeight w:val="281"/>
        </w:trPr>
        <w:tc>
          <w:tcPr>
            <w:tcW w:w="3820" w:type="dxa"/>
            <w:vAlign w:val="bottom"/>
          </w:tcPr>
          <w:p>
            <w:pPr>
              <w:spacing w:after="0"/>
              <w:rPr>
                <w:sz w:val="20"/>
                <w:szCs w:val="20"/>
                <w:color w:val="auto"/>
              </w:rPr>
            </w:pPr>
            <w:r>
              <w:rPr>
                <w:rFonts w:ascii="Arial" w:cs="Arial" w:eastAsia="Arial" w:hAnsi="Arial"/>
                <w:sz w:val="22"/>
                <w:szCs w:val="22"/>
                <w:b w:val="1"/>
                <w:bCs w:val="1"/>
                <w:color w:val="auto"/>
              </w:rPr>
              <w:t>SunTrust Robinson Humphrey</w:t>
            </w:r>
          </w:p>
        </w:tc>
        <w:tc>
          <w:tcPr>
            <w:tcW w:w="4340" w:type="dxa"/>
            <w:vAlign w:val="bottom"/>
          </w:tcPr>
          <w:p>
            <w:pPr>
              <w:jc w:val="center"/>
              <w:ind w:right="190"/>
              <w:spacing w:after="0"/>
              <w:rPr>
                <w:sz w:val="20"/>
                <w:szCs w:val="20"/>
                <w:color w:val="auto"/>
              </w:rPr>
            </w:pPr>
            <w:r>
              <w:rPr>
                <w:rFonts w:ascii="Arial" w:cs="Arial" w:eastAsia="Arial" w:hAnsi="Arial"/>
                <w:sz w:val="22"/>
                <w:szCs w:val="22"/>
                <w:b w:val="1"/>
                <w:bCs w:val="1"/>
                <w:color w:val="auto"/>
                <w:w w:val="88"/>
              </w:rPr>
              <w:t>TD Securities</w:t>
            </w:r>
          </w:p>
        </w:tc>
        <w:tc>
          <w:tcPr>
            <w:tcW w:w="3260" w:type="dxa"/>
            <w:vAlign w:val="bottom"/>
          </w:tcPr>
          <w:p>
            <w:pPr>
              <w:jc w:val="right"/>
              <w:spacing w:after="0"/>
              <w:rPr>
                <w:sz w:val="20"/>
                <w:szCs w:val="20"/>
                <w:color w:val="auto"/>
              </w:rPr>
            </w:pPr>
            <w:r>
              <w:rPr>
                <w:rFonts w:ascii="Arial" w:cs="Arial" w:eastAsia="Arial" w:hAnsi="Arial"/>
                <w:sz w:val="22"/>
                <w:szCs w:val="22"/>
                <w:b w:val="1"/>
                <w:bCs w:val="1"/>
                <w:color w:val="auto"/>
              </w:rPr>
              <w:t>US Bancorp</w:t>
            </w:r>
          </w:p>
        </w:tc>
      </w:tr>
    </w:tbl>
    <w:p>
      <w:pPr>
        <w:spacing w:after="0" w:line="13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5"/>
          <w:szCs w:val="15"/>
          <w:b w:val="1"/>
          <w:bCs w:val="1"/>
          <w:color w:val="auto"/>
        </w:rPr>
        <w:t>The date of this prospectus supplement is December 4, 2013.</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11"/>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2460" w:type="dxa"/>
            <w:vAlign w:val="bottom"/>
            <w:gridSpan w:val="7"/>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11"/>
            <w:vMerge w:val="continue"/>
          </w:tcPr>
          <w:p>
            <w:pPr>
              <w:spacing w:after="0"/>
              <w:rPr>
                <w:sz w:val="13"/>
                <w:szCs w:val="13"/>
                <w:color w:val="auto"/>
              </w:rPr>
            </w:pPr>
          </w:p>
        </w:tc>
        <w:tc>
          <w:tcPr>
            <w:tcW w:w="2460" w:type="dxa"/>
            <w:vAlign w:val="bottom"/>
            <w:gridSpan w:val="7"/>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Notes</w:t>
              </w:r>
            </w:hyperlink>
          </w:p>
        </w:tc>
        <w:tc>
          <w:tcPr>
            <w:tcW w:w="3420" w:type="dxa"/>
            <w:vAlign w:val="bottom"/>
            <w:gridSpan w:val="1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S-24</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8"/>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900" w:type="dxa"/>
            <w:vAlign w:val="bottom"/>
            <w:gridSpan w:val="18"/>
            <w:vMerge w:val="continue"/>
          </w:tcPr>
          <w:p>
            <w:pPr>
              <w:spacing w:after="0"/>
              <w:rPr>
                <w:sz w:val="13"/>
                <w:szCs w:val="13"/>
                <w:color w:val="auto"/>
              </w:rPr>
            </w:pPr>
          </w:p>
        </w:tc>
        <w:tc>
          <w:tcPr>
            <w:tcW w:w="6060" w:type="dxa"/>
            <w:vAlign w:val="bottom"/>
            <w:gridSpan w:val="2"/>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Forward-Looking Statements</w:t>
              </w:r>
            </w:hyperlink>
          </w:p>
        </w:tc>
        <w:tc>
          <w:tcPr>
            <w:tcW w:w="2820" w:type="dxa"/>
            <w:vAlign w:val="bottom"/>
            <w:gridSpan w:val="10"/>
          </w:tcPr>
          <w:p>
            <w:pPr>
              <w:spacing w:after="0"/>
              <w:rPr>
                <w:sz w:val="18"/>
                <w:szCs w:val="18"/>
                <w:color w:val="auto"/>
              </w:rPr>
            </w:pP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Prospectus Summary</w:t>
              </w:r>
            </w:hyperlink>
          </w:p>
        </w:tc>
        <w:tc>
          <w:tcPr>
            <w:tcW w:w="3360" w:type="dxa"/>
            <w:vAlign w:val="bottom"/>
            <w:gridSpan w:val="11"/>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Debt Securities</w:t>
              </w:r>
            </w:hyperlink>
          </w:p>
        </w:tc>
        <w:tc>
          <w:tcPr>
            <w:tcW w:w="2760" w:type="dxa"/>
            <w:vAlign w:val="bottom"/>
            <w:gridSpan w:val="9"/>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Shares of Beneficial Interest</w:t>
              </w:r>
            </w:hyperlink>
          </w:p>
        </w:tc>
        <w:tc>
          <w:tcPr>
            <w:tcW w:w="1840" w:type="dxa"/>
            <w:vAlign w:val="bottom"/>
            <w:gridSpan w:val="4"/>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Plan of Distribution</w:t>
              </w:r>
            </w:hyperlink>
          </w:p>
        </w:tc>
        <w:tc>
          <w:tcPr>
            <w:tcW w:w="1760" w:type="dxa"/>
            <w:vAlign w:val="bottom"/>
            <w:gridSpan w:val="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Legal Matters</w:t>
              </w:r>
            </w:hyperlink>
          </w:p>
        </w:tc>
        <w:tc>
          <w:tcPr>
            <w:tcW w:w="3500" w:type="dxa"/>
            <w:vAlign w:val="bottom"/>
            <w:gridSpan w:val="1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Experts</w:t>
              </w:r>
            </w:hyperlink>
          </w:p>
        </w:tc>
        <w:tc>
          <w:tcPr>
            <w:tcW w:w="3920" w:type="dxa"/>
            <w:vAlign w:val="bottom"/>
            <w:gridSpan w:val="15"/>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Where You Can Find More Information</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2012, filed with the SEC on February 12, 2013,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right="14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2013, we owned or had a controlling interest in community and neighborhood shopping centers and mixed-use properties which are operated as 87 predominantly retail real estate projects comprising approximately 19.5 million square feet (excludes unconsolidated joint venture properties). In total, the real estate projects were 95.3% leased and 94.6% occupied at September 30, 2013. A joint venture in which we own a 30% interest owned seven retail real estate projects totaling approximately 1.0 million square feet as of September 30, 2013. In total, the joint venture properties in which we own a 30% interest were 85.3% leased and occupied at September 30, 2013. We have paid quarterly dividends to our shareholders continuously since our founding in 1962 and have increased our dividends per common share for 46 consecutive years.</w:t>
      </w:r>
    </w:p>
    <w:p>
      <w:pPr>
        <w:spacing w:after="0" w:line="37"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8420" w:type="dxa"/>
            <w:vAlign w:val="bottom"/>
            <w:gridSpan w:val="7"/>
          </w:tcPr>
          <w:p>
            <w:pPr>
              <w:ind w:left="440"/>
              <w:spacing w:after="0"/>
              <w:rPr>
                <w:sz w:val="20"/>
                <w:szCs w:val="20"/>
                <w:color w:val="auto"/>
              </w:rPr>
            </w:pPr>
            <w:r>
              <w:rPr>
                <w:rFonts w:ascii="Arial" w:cs="Arial" w:eastAsia="Arial" w:hAnsi="Arial"/>
                <w:sz w:val="18"/>
                <w:szCs w:val="18"/>
                <w:color w:val="auto"/>
                <w:w w:val="97"/>
              </w:rPr>
              <w:t>The following table sets forth our historical ratios of earnings to fixed charges for the periods indicated:</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4200" w:type="dxa"/>
            <w:vAlign w:val="bottom"/>
          </w:tcPr>
          <w:p>
            <w:pPr>
              <w:spacing w:after="0"/>
              <w:rPr>
                <w:sz w:val="24"/>
                <w:szCs w:val="24"/>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For the Nine Months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200" w:type="dxa"/>
            <w:vAlign w:val="bottom"/>
          </w:tcPr>
          <w:p>
            <w:pPr>
              <w:spacing w:after="0"/>
              <w:rPr>
                <w:sz w:val="19"/>
                <w:szCs w:val="19"/>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Ended September 30,</w:t>
            </w:r>
          </w:p>
        </w:tc>
        <w:tc>
          <w:tcPr>
            <w:tcW w:w="420" w:type="dxa"/>
            <w:vAlign w:val="bottom"/>
          </w:tcPr>
          <w:p>
            <w:pPr>
              <w:spacing w:after="0"/>
              <w:rPr>
                <w:sz w:val="19"/>
                <w:szCs w:val="19"/>
                <w:color w:val="auto"/>
              </w:rPr>
            </w:pPr>
          </w:p>
        </w:tc>
        <w:tc>
          <w:tcPr>
            <w:tcW w:w="3700" w:type="dxa"/>
            <w:vAlign w:val="bottom"/>
            <w:gridSpan w:val="7"/>
          </w:tcPr>
          <w:p>
            <w:pPr>
              <w:ind w:left="580"/>
              <w:spacing w:after="0"/>
              <w:rPr>
                <w:sz w:val="20"/>
                <w:szCs w:val="20"/>
                <w:color w:val="auto"/>
              </w:rPr>
            </w:pPr>
            <w:r>
              <w:rPr>
                <w:rFonts w:ascii="Arial" w:cs="Arial" w:eastAsia="Arial" w:hAnsi="Arial"/>
                <w:sz w:val="18"/>
                <w:szCs w:val="18"/>
                <w:b w:val="1"/>
                <w:bCs w:val="1"/>
                <w:color w:val="auto"/>
              </w:rPr>
              <w:t>For the Years Ended December 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20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58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2012</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w:t>
            </w: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2009</w:t>
            </w:r>
          </w:p>
        </w:tc>
        <w:tc>
          <w:tcPr>
            <w:tcW w:w="6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9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89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540" w:firstLine="443"/>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ind w:left="200"/>
              <w:spacing w:after="0"/>
              <w:rPr>
                <w:sz w:val="20"/>
                <w:szCs w:val="20"/>
                <w:color w:val="auto"/>
              </w:rPr>
            </w:pPr>
            <w:r>
              <w:rPr>
                <w:rFonts w:ascii="Arial" w:cs="Arial" w:eastAsia="Arial" w:hAnsi="Arial"/>
                <w:sz w:val="18"/>
                <w:szCs w:val="18"/>
                <w:color w:val="auto"/>
              </w:rPr>
              <w:t>Issuer</w:t>
            </w:r>
          </w:p>
        </w:tc>
        <w:tc>
          <w:tcPr>
            <w:tcW w:w="7940" w:type="dxa"/>
            <w:vAlign w:val="bottom"/>
          </w:tcPr>
          <w:p>
            <w:pPr>
              <w:ind w:left="980"/>
              <w:spacing w:after="0"/>
              <w:rPr>
                <w:sz w:val="20"/>
                <w:szCs w:val="20"/>
                <w:color w:val="auto"/>
              </w:rPr>
            </w:pPr>
            <w:r>
              <w:rPr>
                <w:rFonts w:ascii="Arial" w:cs="Arial" w:eastAsia="Arial" w:hAnsi="Arial"/>
                <w:sz w:val="18"/>
                <w:szCs w:val="18"/>
                <w:color w:val="auto"/>
              </w:rPr>
              <w:t>Federal Realty Investment Trust.</w:t>
            </w:r>
          </w:p>
        </w:tc>
      </w:tr>
      <w:tr>
        <w:trPr>
          <w:trHeight w:val="311"/>
        </w:trPr>
        <w:tc>
          <w:tcPr>
            <w:tcW w:w="35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980"/>
              <w:spacing w:after="0"/>
              <w:rPr>
                <w:sz w:val="20"/>
                <w:szCs w:val="20"/>
                <w:color w:val="auto"/>
              </w:rPr>
            </w:pPr>
            <w:r>
              <w:rPr>
                <w:rFonts w:ascii="Arial" w:cs="Arial" w:eastAsia="Arial" w:hAnsi="Arial"/>
                <w:sz w:val="18"/>
                <w:szCs w:val="18"/>
                <w:color w:val="auto"/>
              </w:rPr>
              <w:t>$300.0 million aggregate principal amount of 3.95% notes due 2024.</w:t>
            </w:r>
          </w:p>
        </w:tc>
      </w:tr>
      <w:tr>
        <w:trPr>
          <w:trHeight w:val="304"/>
        </w:trPr>
        <w:tc>
          <w:tcPr>
            <w:tcW w:w="35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7940" w:type="dxa"/>
            <w:vAlign w:val="bottom"/>
          </w:tcPr>
          <w:p>
            <w:pPr>
              <w:ind w:left="980"/>
              <w:spacing w:after="0"/>
              <w:rPr>
                <w:sz w:val="20"/>
                <w:szCs w:val="20"/>
                <w:color w:val="auto"/>
              </w:rPr>
            </w:pPr>
            <w:r>
              <w:rPr>
                <w:rFonts w:ascii="Arial" w:cs="Arial" w:eastAsia="Arial" w:hAnsi="Arial"/>
                <w:sz w:val="18"/>
                <w:szCs w:val="18"/>
                <w:color w:val="auto"/>
                <w:w w:val="95"/>
              </w:rPr>
              <w:t>Unless redeemed prior to maturity as described below, the notes will mature on January 15,</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2024.</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980"/>
              <w:spacing w:after="0"/>
              <w:rPr>
                <w:sz w:val="20"/>
                <w:szCs w:val="20"/>
                <w:color w:val="auto"/>
              </w:rPr>
            </w:pPr>
            <w:r>
              <w:rPr>
                <w:rFonts w:ascii="Arial" w:cs="Arial" w:eastAsia="Arial" w:hAnsi="Arial"/>
                <w:sz w:val="18"/>
                <w:szCs w:val="18"/>
                <w:color w:val="auto"/>
                <w:w w:val="98"/>
              </w:rPr>
              <w:t>Interest on the notes will be payable semi-annually in arrears on January 15 and July 15,</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beginning on July 15, 2014, and at maturity.</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Ranking</w:t>
            </w: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 xml:space="preserve">The notes will be our senior unsecured obligations and will rank </w:t>
            </w:r>
            <w:r>
              <w:rPr>
                <w:rFonts w:ascii="Arial" w:cs="Arial" w:eastAsia="Arial" w:hAnsi="Arial"/>
                <w:sz w:val="18"/>
                <w:szCs w:val="18"/>
                <w:i w:val="1"/>
                <w:iCs w:val="1"/>
                <w:color w:val="auto"/>
                <w:w w:val="92"/>
              </w:rPr>
              <w:t>pari passu</w:t>
            </w:r>
            <w:r>
              <w:rPr>
                <w:rFonts w:ascii="Arial" w:cs="Arial" w:eastAsia="Arial" w:hAnsi="Arial"/>
                <w:sz w:val="18"/>
                <w:szCs w:val="18"/>
                <w:color w:val="auto"/>
                <w:w w:val="92"/>
              </w:rPr>
              <w:t>, or equally, with all</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of our other senior unsecured and unsubordinated indebtedness. The notes will be effectively</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subordinated to the prior claims of each secured mortgage lender to any specific property that</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secures such lender’s mortgage and to all of the unsecured indebtedness of our subsidiaries. At</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September 30, 2013, after giving effect to this offering and to the use of the net proceeds from</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this offering, including the Mortgage Note Redemption described below under “Use of</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Proceeds,” we had outstanding approximately $581 million (excluding net unamortized</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premium) of secured indebtedness, collateralized by all or parts of 14 properties, which ranks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5"/>
              </w:rPr>
              <w:t>senior to the notes to the extent of the securing collateral (approximately $404 million of this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amount, which was issued by our subsidiaries, is also structurally senior to the notes),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approximately $25 million of unsecured indebtedness issued by our subsidiaries, which ranks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senior to the notes, and approximately $1,644 million of unsecured indebtedness (including the</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9"/>
              </w:rPr>
              <w:t>notes sold in this offering, but excluding net unamortized discount), which ranks equally.</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980"/>
              <w:spacing w:after="0"/>
              <w:rPr>
                <w:sz w:val="20"/>
                <w:szCs w:val="20"/>
                <w:color w:val="auto"/>
              </w:rPr>
            </w:pPr>
            <w:r>
              <w:rPr>
                <w:rFonts w:ascii="Arial" w:cs="Arial" w:eastAsia="Arial" w:hAnsi="Arial"/>
                <w:sz w:val="18"/>
                <w:szCs w:val="18"/>
                <w:color w:val="auto"/>
                <w:w w:val="94"/>
              </w:rPr>
              <w:t>We intend to use the net proceeds from this offering to redeem our outstanding 5.95% Notes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due 2014, to pay off the outstanding balance under our revolving credit facility and for general</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corporate purposes, which may include without limitation funding potential acquisition</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4"/>
              </w:rPr>
              <w:t>opportunities or funding our redevelopment pipeline. See “Use of Proceeds” on page S-8 for</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more information.</w:t>
            </w:r>
          </w:p>
        </w:tc>
      </w:tr>
      <w:tr>
        <w:trPr>
          <w:trHeight w:val="297"/>
        </w:trPr>
        <w:tc>
          <w:tcPr>
            <w:tcW w:w="3520" w:type="dxa"/>
            <w:vAlign w:val="bottom"/>
          </w:tcPr>
          <w:p>
            <w:pPr>
              <w:ind w:left="200"/>
              <w:spacing w:after="0"/>
              <w:rPr>
                <w:sz w:val="20"/>
                <w:szCs w:val="20"/>
                <w:color w:val="auto"/>
              </w:rPr>
            </w:pPr>
            <w:r>
              <w:rPr>
                <w:rFonts w:ascii="Arial" w:cs="Arial" w:eastAsia="Arial" w:hAnsi="Arial"/>
                <w:sz w:val="18"/>
                <w:szCs w:val="18"/>
                <w:color w:val="auto"/>
              </w:rPr>
              <w:t>Limitations on incurrence of debt</w:t>
            </w:r>
          </w:p>
        </w:tc>
        <w:tc>
          <w:tcPr>
            <w:tcW w:w="7940" w:type="dxa"/>
            <w:vAlign w:val="bottom"/>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04"/>
        </w:trPr>
        <w:tc>
          <w:tcPr>
            <w:tcW w:w="3520" w:type="dxa"/>
            <w:vAlign w:val="bottom"/>
          </w:tcPr>
          <w:p>
            <w:pPr>
              <w:spacing w:after="0"/>
              <w:rPr>
                <w:sz w:val="24"/>
                <w:szCs w:val="24"/>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(1) we will not, and will not permit any subsidiary to, incur any Debt if, immediately after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6"/>
              </w:rPr>
              <w:t>giving effect to the incurrence of such Debt and the application of the proceeds thereof,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consolidated basis determined in accordance with generally accepted accounting principles is</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greater than 60% of the sum of (without duplication) (a) Total Assets as of the end of</w:t>
            </w:r>
          </w:p>
        </w:tc>
      </w:tr>
      <w:tr>
        <w:trPr>
          <w:trHeight w:val="161"/>
        </w:trPr>
        <w:tc>
          <w:tcPr>
            <w:tcW w:w="352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59"/>
        </w:trPr>
        <w:tc>
          <w:tcPr>
            <w:tcW w:w="3520" w:type="dxa"/>
            <w:vAlign w:val="bottom"/>
          </w:tcPr>
          <w:p>
            <w:pPr>
              <w:spacing w:after="0"/>
              <w:rPr>
                <w:sz w:val="24"/>
                <w:szCs w:val="24"/>
                <w:color w:val="auto"/>
              </w:rPr>
            </w:pPr>
          </w:p>
        </w:tc>
        <w:tc>
          <w:tcPr>
            <w:tcW w:w="7940" w:type="dxa"/>
            <w:vAlign w:val="bottom"/>
          </w:tcPr>
          <w:p>
            <w:pPr>
              <w:ind w:left="20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right="100"/>
        <w:spacing w:after="0" w:line="310" w:lineRule="auto"/>
        <w:rPr>
          <w:sz w:val="20"/>
          <w:szCs w:val="20"/>
          <w:color w:val="auto"/>
        </w:rPr>
      </w:pPr>
      <w:r>
        <w:rPr>
          <w:rFonts w:ascii="Arial" w:cs="Arial" w:eastAsia="Arial" w:hAnsi="Arial"/>
          <w:sz w:val="15"/>
          <w:szCs w:val="15"/>
          <w:color w:val="auto"/>
        </w:rPr>
        <w:t>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41" w:lineRule="exact"/>
        <w:rPr>
          <w:sz w:val="20"/>
          <w:szCs w:val="20"/>
          <w:color w:val="auto"/>
        </w:rPr>
      </w:pPr>
    </w:p>
    <w:p>
      <w:pPr>
        <w:ind w:left="4500" w:firstLine="5"/>
        <w:spacing w:after="0" w:line="285"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0" w:lineRule="exact"/>
        <w:rPr>
          <w:rFonts w:ascii="Arial" w:cs="Arial" w:eastAsia="Arial" w:hAnsi="Arial"/>
          <w:sz w:val="16"/>
          <w:szCs w:val="16"/>
          <w:color w:val="auto"/>
        </w:rPr>
      </w:pPr>
    </w:p>
    <w:p>
      <w:pPr>
        <w:ind w:left="4500" w:right="80" w:firstLine="5"/>
        <w:spacing w:after="0" w:line="289"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860" w:type="dxa"/>
            <w:vAlign w:val="bottom"/>
            <w:tcBorders>
              <w:top w:val="single" w:sz="8" w:color="auto"/>
              <w:left w:val="single" w:sz="8" w:color="auto"/>
            </w:tcBorders>
          </w:tcPr>
          <w:p>
            <w:pPr>
              <w:spacing w:after="0"/>
              <w:rPr>
                <w:sz w:val="24"/>
                <w:szCs w:val="24"/>
                <w:color w:val="auto"/>
              </w:rPr>
            </w:pPr>
          </w:p>
        </w:tc>
        <w:tc>
          <w:tcPr>
            <w:tcW w:w="76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7"/>
              </w:rPr>
              <w:t>beginning of such period; (b) the repayment or retirement of any other Debt by us and our</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6"/>
              </w:rPr>
              <w:t>subsidiaries since the first day of such four-quarter period had been repaid or retired at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beginning of such period (except that, in making such computation, the amount of Debt under</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any revolving credit facility shall be computed based upon the average daily balance of such</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Debt during such period); (c) in the case of Acquired Debt or Debt incurred in connection with</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8"/>
              </w:rPr>
              <w:t>any acquisition since the first day of such four-quarter period, the related acquisition had</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0"/>
              </w:rPr>
              <w:t>occurred as of the first day of such period, with the appropriate adjustments with respect to such</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acquisition being included in such unaudited pro forma calculation; and (d) in the case of any</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acquisition or disposition by us or our subsidiaries of any asset or group of assets since the first</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89"/>
              </w:rPr>
              <w:t>day of such four-quarter period, whether by merger, stock purchase or sale, or asset purchase or</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sale, such acquisition or disposition or any related repayment of Debt had occurred as of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5"/>
              </w:rPr>
              <w:t>first day of such period, with the appropriate adjustments with respect to such acquisition or</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disposition being included in such unaudited pro forma calculation; and</w:t>
            </w:r>
          </w:p>
        </w:tc>
      </w:tr>
      <w:tr>
        <w:trPr>
          <w:trHeight w:val="304"/>
        </w:trPr>
        <w:tc>
          <w:tcPr>
            <w:tcW w:w="3860" w:type="dxa"/>
            <w:vAlign w:val="bottom"/>
            <w:tcBorders>
              <w:left w:val="single" w:sz="8" w:color="auto"/>
            </w:tcBorders>
          </w:tcPr>
          <w:p>
            <w:pPr>
              <w:spacing w:after="0"/>
              <w:rPr>
                <w:sz w:val="24"/>
                <w:szCs w:val="24"/>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2"/>
              </w:rPr>
              <w:t>(4) we, together with our subsidiaries, will maintain an Unencumbered Total Asset Value in an</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2"/>
              </w:rPr>
              <w:t>amount not less than 150% of the aggregate outstanding principal amount of all of our and our</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subsidiaries’ unsecured Debt, taken as a whole.</w:t>
            </w:r>
          </w:p>
        </w:tc>
      </w:tr>
      <w:tr>
        <w:trPr>
          <w:trHeight w:val="291"/>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notes are redeemable at any time at our option, in whole or in part. If the notes are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redeemed before 90 days prior to the maturity date, the redemption price will be equal to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2"/>
              </w:rPr>
              <w:t>greater of (1) 100% of the principal amount of the notes being redeemed, or (2) the sum of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present values of the remaining scheduled payments of principal and interest thereon,</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89"/>
              </w:rPr>
              <w:t>discounted to the redemption date on a semi-annual basis at the Adjusted Treasury Rate plus 20</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basis points (0.20%), plus, in each case, accrued and unpaid interest thereon to, but excluding,</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0"/>
              </w:rPr>
              <w:t>the redemption date. If the notes are redeemed on or after 90 days prior to the maturity date,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redemption price will be equal to 100% of the principal amount of the notes being redeemed</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plus accrued and unpaid interest thereon to, but excluding, the redemption date.</w:t>
            </w:r>
          </w:p>
        </w:tc>
      </w:tr>
      <w:tr>
        <w:trPr>
          <w:trHeight w:val="297"/>
        </w:trPr>
        <w:tc>
          <w:tcPr>
            <w:tcW w:w="3860" w:type="dxa"/>
            <w:vAlign w:val="bottom"/>
            <w:tcBorders>
              <w:left w:val="single" w:sz="8" w:color="auto"/>
            </w:tcBorders>
          </w:tcPr>
          <w:p>
            <w:pPr>
              <w:spacing w:after="0"/>
              <w:rPr>
                <w:sz w:val="24"/>
                <w:szCs w:val="24"/>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A detailed description is in “Description of Notes — Optional Redemption.”</w:t>
            </w:r>
          </w:p>
        </w:tc>
      </w:tr>
      <w:tr>
        <w:trPr>
          <w:trHeight w:val="291"/>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Material federal income tax considerations</w:t>
            </w: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For a description of the material U.S. federal income tax considerations of an investment in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notes, please review the disclosure in this prospectus supplement under “Additional Material</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6"/>
              </w:rPr>
              <w:t>Federal Income Tax Considerations” and in the accompanying prospectus under “Material</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Federal Income Tax Considerations.”</w:t>
            </w:r>
          </w:p>
        </w:tc>
      </w:tr>
      <w:tr>
        <w:trPr>
          <w:trHeight w:val="161"/>
        </w:trPr>
        <w:tc>
          <w:tcPr>
            <w:tcW w:w="3860" w:type="dxa"/>
            <w:vAlign w:val="bottom"/>
            <w:tcBorders>
              <w:left w:val="single" w:sz="8" w:color="auto"/>
              <w:bottom w:val="single" w:sz="8" w:color="auto"/>
            </w:tcBorders>
          </w:tcPr>
          <w:p>
            <w:pPr>
              <w:spacing w:after="0"/>
              <w:rPr>
                <w:sz w:val="13"/>
                <w:szCs w:val="13"/>
                <w:color w:val="auto"/>
              </w:rPr>
            </w:pPr>
          </w:p>
        </w:tc>
        <w:tc>
          <w:tcPr>
            <w:tcW w:w="7600" w:type="dxa"/>
            <w:vAlign w:val="bottom"/>
            <w:tcBorders>
              <w:bottom w:val="single" w:sz="8" w:color="auto"/>
              <w:right w:val="single" w:sz="8" w:color="auto"/>
            </w:tcBorders>
          </w:tcPr>
          <w:p>
            <w:pPr>
              <w:spacing w:after="0"/>
              <w:rPr>
                <w:sz w:val="13"/>
                <w:szCs w:val="13"/>
                <w:color w:val="auto"/>
              </w:rPr>
            </w:pPr>
          </w:p>
        </w:tc>
      </w:tr>
      <w:tr>
        <w:trPr>
          <w:trHeight w:val="359"/>
        </w:trPr>
        <w:tc>
          <w:tcPr>
            <w:tcW w:w="3860" w:type="dxa"/>
            <w:vAlign w:val="bottom"/>
          </w:tcPr>
          <w:p>
            <w:pPr>
              <w:spacing w:after="0"/>
              <w:rPr>
                <w:sz w:val="24"/>
                <w:szCs w:val="24"/>
                <w:color w:val="auto"/>
              </w:rPr>
            </w:pPr>
          </w:p>
        </w:tc>
        <w:tc>
          <w:tcPr>
            <w:tcW w:w="7600" w:type="dxa"/>
            <w:vAlign w:val="bottom"/>
          </w:tcPr>
          <w:p>
            <w:pPr>
              <w:ind w:left="17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7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8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color w:val="auto"/>
                <w:w w:val="90"/>
              </w:rPr>
              <w:t>Investing in the notes involves risks. Please review the risk factors discussed beginning on page</w:t>
            </w:r>
          </w:p>
        </w:tc>
      </w:tr>
      <w:tr>
        <w:trPr>
          <w:trHeight w:val="216"/>
        </w:trPr>
        <w:tc>
          <w:tcPr>
            <w:tcW w:w="2780" w:type="dxa"/>
            <w:vAlign w:val="bottom"/>
            <w:tcBorders>
              <w:left w:val="single" w:sz="8" w:color="auto"/>
            </w:tcBorders>
          </w:tcPr>
          <w:p>
            <w:pPr>
              <w:spacing w:after="0"/>
              <w:rPr>
                <w:sz w:val="18"/>
                <w:szCs w:val="18"/>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7"/>
              </w:rPr>
              <w:t>S-6 of this prospectus supplement, on page 3 of the accompanying prospectus and in our</w:t>
            </w:r>
          </w:p>
        </w:tc>
      </w:tr>
      <w:tr>
        <w:trPr>
          <w:trHeight w:val="216"/>
        </w:trPr>
        <w:tc>
          <w:tcPr>
            <w:tcW w:w="2780" w:type="dxa"/>
            <w:vAlign w:val="bottom"/>
            <w:tcBorders>
              <w:left w:val="single" w:sz="8" w:color="auto"/>
            </w:tcBorders>
          </w:tcPr>
          <w:p>
            <w:pPr>
              <w:spacing w:after="0"/>
              <w:rPr>
                <w:sz w:val="18"/>
                <w:szCs w:val="18"/>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5"/>
              </w:rPr>
              <w:t>Annual Report on Form 10-K for the year ended December 31, 2012, filed with the SEC on</w:t>
            </w:r>
          </w:p>
        </w:tc>
      </w:tr>
      <w:tr>
        <w:trPr>
          <w:trHeight w:val="216"/>
        </w:trPr>
        <w:tc>
          <w:tcPr>
            <w:tcW w:w="2780" w:type="dxa"/>
            <w:vAlign w:val="bottom"/>
            <w:tcBorders>
              <w:left w:val="single" w:sz="8" w:color="auto"/>
            </w:tcBorders>
          </w:tcPr>
          <w:p>
            <w:pPr>
              <w:spacing w:after="0"/>
              <w:rPr>
                <w:sz w:val="18"/>
                <w:szCs w:val="18"/>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5"/>
              </w:rPr>
              <w:t>February 12, 2013, and the other information contained or incorporated by reference in this</w:t>
            </w:r>
          </w:p>
        </w:tc>
      </w:tr>
      <w:tr>
        <w:trPr>
          <w:trHeight w:val="216"/>
        </w:trPr>
        <w:tc>
          <w:tcPr>
            <w:tcW w:w="2780" w:type="dxa"/>
            <w:vAlign w:val="bottom"/>
            <w:tcBorders>
              <w:left w:val="single" w:sz="8" w:color="auto"/>
            </w:tcBorders>
          </w:tcPr>
          <w:p>
            <w:pPr>
              <w:spacing w:after="0"/>
              <w:rPr>
                <w:sz w:val="18"/>
                <w:szCs w:val="18"/>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0"/>
              </w:rPr>
              <w:t>prospectus supplement and the accompanying prospectus for a discussion of factors you should</w:t>
            </w:r>
          </w:p>
        </w:tc>
      </w:tr>
      <w:tr>
        <w:trPr>
          <w:trHeight w:val="216"/>
        </w:trPr>
        <w:tc>
          <w:tcPr>
            <w:tcW w:w="2780" w:type="dxa"/>
            <w:vAlign w:val="bottom"/>
            <w:tcBorders>
              <w:left w:val="single" w:sz="8" w:color="auto"/>
            </w:tcBorders>
          </w:tcPr>
          <w:p>
            <w:pPr>
              <w:spacing w:after="0"/>
              <w:rPr>
                <w:sz w:val="18"/>
                <w:szCs w:val="18"/>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1"/>
              </w:rPr>
              <w:t>consider before deciding to invest in the notes. You may obtain a copy of our Annual Report on</w:t>
            </w:r>
          </w:p>
        </w:tc>
      </w:tr>
      <w:tr>
        <w:trPr>
          <w:trHeight w:val="216"/>
        </w:trPr>
        <w:tc>
          <w:tcPr>
            <w:tcW w:w="2780" w:type="dxa"/>
            <w:vAlign w:val="bottom"/>
            <w:tcBorders>
              <w:left w:val="single" w:sz="8" w:color="auto"/>
            </w:tcBorders>
          </w:tcPr>
          <w:p>
            <w:pPr>
              <w:spacing w:after="0"/>
              <w:rPr>
                <w:sz w:val="18"/>
                <w:szCs w:val="18"/>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3"/>
              </w:rPr>
              <w:t>Form 10-K and the other documents incorporated by reference in this prospectus supplement</w:t>
            </w:r>
          </w:p>
        </w:tc>
      </w:tr>
      <w:tr>
        <w:trPr>
          <w:trHeight w:val="216"/>
        </w:trPr>
        <w:tc>
          <w:tcPr>
            <w:tcW w:w="2780" w:type="dxa"/>
            <w:vAlign w:val="bottom"/>
            <w:tcBorders>
              <w:left w:val="single" w:sz="8" w:color="auto"/>
            </w:tcBorders>
          </w:tcPr>
          <w:p>
            <w:pPr>
              <w:spacing w:after="0"/>
              <w:rPr>
                <w:sz w:val="18"/>
                <w:szCs w:val="18"/>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4"/>
              </w:rPr>
              <w:t>and the accompanying prospectus by following the procedures described under “Where You</w:t>
            </w:r>
          </w:p>
        </w:tc>
      </w:tr>
      <w:tr>
        <w:trPr>
          <w:trHeight w:val="222"/>
        </w:trPr>
        <w:tc>
          <w:tcPr>
            <w:tcW w:w="2780" w:type="dxa"/>
            <w:vAlign w:val="bottom"/>
            <w:tcBorders>
              <w:left w:val="single" w:sz="8" w:color="auto"/>
            </w:tcBorders>
          </w:tcPr>
          <w:p>
            <w:pPr>
              <w:spacing w:after="0"/>
              <w:rPr>
                <w:sz w:val="19"/>
                <w:szCs w:val="19"/>
                <w:color w:val="auto"/>
              </w:rPr>
            </w:pPr>
          </w:p>
        </w:tc>
        <w:tc>
          <w:tcPr>
            <w:tcW w:w="868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Can Find More Information” on page 53 of the accompanying prospectus.</w:t>
            </w:r>
          </w:p>
        </w:tc>
      </w:tr>
      <w:tr>
        <w:trPr>
          <w:trHeight w:val="161"/>
        </w:trPr>
        <w:tc>
          <w:tcPr>
            <w:tcW w:w="2780" w:type="dxa"/>
            <w:vAlign w:val="bottom"/>
            <w:tcBorders>
              <w:left w:val="single" w:sz="8" w:color="auto"/>
              <w:bottom w:val="single" w:sz="8" w:color="auto"/>
            </w:tcBorders>
          </w:tcPr>
          <w:p>
            <w:pPr>
              <w:spacing w:after="0"/>
              <w:rPr>
                <w:sz w:val="13"/>
                <w:szCs w:val="13"/>
                <w:color w:val="auto"/>
              </w:rPr>
            </w:pPr>
          </w:p>
        </w:tc>
        <w:tc>
          <w:tcPr>
            <w:tcW w:w="8680" w:type="dxa"/>
            <w:vAlign w:val="bottom"/>
            <w:tcBorders>
              <w:bottom w:val="single" w:sz="8" w:color="auto"/>
              <w:right w:val="single" w:sz="8" w:color="auto"/>
            </w:tcBorders>
          </w:tcPr>
          <w:p>
            <w:pPr>
              <w:spacing w:after="0"/>
              <w:rPr>
                <w:sz w:val="13"/>
                <w:szCs w:val="13"/>
                <w:color w:val="auto"/>
              </w:rPr>
            </w:pPr>
          </w:p>
        </w:tc>
      </w:tr>
      <w:tr>
        <w:trPr>
          <w:trHeight w:val="359"/>
        </w:trPr>
        <w:tc>
          <w:tcPr>
            <w:tcW w:w="2780" w:type="dxa"/>
            <w:vAlign w:val="bottom"/>
          </w:tcPr>
          <w:p>
            <w:pPr>
              <w:spacing w:after="0"/>
              <w:rPr>
                <w:sz w:val="24"/>
                <w:szCs w:val="24"/>
                <w:color w:val="auto"/>
              </w:rPr>
            </w:pPr>
          </w:p>
        </w:tc>
        <w:tc>
          <w:tcPr>
            <w:tcW w:w="8680" w:type="dxa"/>
            <w:vAlign w:val="bottom"/>
          </w:tcPr>
          <w:p>
            <w:pPr>
              <w:ind w:left="28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2012 filed with the SEC on February 12, 2013 before you decide to purchase the notes. The risks and uncertainties described below and in the incorporated Form 10-K for the year ended December 31, 2012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September 30, 2013, after giving effect to this offering, and to the issuance of the notes and the application of the net proceeds of this offering, including the Mortgage Note Redemption described below under “Use of Proceeds,” our subsidiaries had approximately $429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2013, after giving effect to this offering and the application of the net proceeds of this offering, including the Mortgage Note Redemption described below under “Use of Proceeds,” we had approximately $581 million (excluding net unamortized premium) of secured debt outstanding, all of which was effectively senior to the notes to the extent of the value of the securing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approximately $294.6 million after deducting the underwriting discount and other estimated expenses of this offering payable by us. We intend to use these net proceeds to redeem all of our outstanding 5.95% Notes due 2014, to pay off an expected balance of $72 million outstanding under our revolving credit facility due to the Mortgage Note Redemption described below, and for general corporate purposes, which may include without limitation funding potential acquisition opportunities or funding our redevelopment pipeline. As of September 30, 2013, $150 million of our 5.95% Notes due 2014 was outstanding. In addition to the payment of outstanding principal amount and accrued but unpaid interest, redemption of the 5.95% Notes due 2014 will be subject to a make-whole premium in the aggregate amount of approximately $5.0 million. The 5.95% Notes due 2014 are scheduled to mature on August 15, 2014.</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December 1, 2013, we had no outstanding balance under our revolving credit facility. On December 5, 2013, we intend to repay our 7.50% mortgage notes due 2014 in full (the “Mortgage Note Redemption”) in accordance with their terms using cash on hand and a draw of approximately $72 million under our revolving credit facility. Our 7.50% mortgage notes due 2014 have an outstanding principal balance of $129 million and are scheduled to mature on June 5, 2014. In addition to the payment of our outstanding principal amount and accrued but unpaid interest, the Mortgage Note Redemption is subject to a prepayment premium of approximately $4.4 million.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In addition, certain of the underwriters and their affiliates may be holders of 5.95% Notes due 2014. Such underwriters and their affiliates will receive a portion of the net proceeds from this offering to the extent they continue to hold 5.95% Notes due 2014 on any scheduled redemption date in relation thereto. See “Underwriting (Conflicts of Interest) — Conflicts of Interest.” Pending application of the net proceeds, we may invest the net proceeds in short-term income-producing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$300.0 million of our 3.95% notes maturing on January 15, 2024, which may be redeemed prior to that date in accordance with their terms.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pay interest on the notes semi-annually in arrears on January 15 and July 15 of each year, beginning July 15, 2014, to the registered holders of the notes on the preceding January 1 and July 1. Interest will be computed and paid on the basis of a 360-day year consisting of twelve 30-day months. If any interest payment date falls on a day that is not a business day, the payment will be made on the next business day, and no interest shall accrue on the amount of interest due on that interest payment date for the period from and after such interest payment date to the next business day.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senior unsecured and unsubordinated indebtedness. The notes will be effectively subordinated to the prior claims of each secured mortgage lender to any specific property that secures such lender’s mortgage and to all of the unsecured indebtedness of our subsidiaries. At September 30, 2013, after giving effect to this offering and to the use of the net proceeds from this offering, including the Mortgage Note Redemption described above under “Use of Proceeds,” we had outstanding approximately $581 million (excluding net unamortized premium) of secured indebtedness, collateralized by all or parts of 14 properties, which ranks senior to the notes to the extent of securing collateral (approximately $404 million of this amount, which was issued by our subsidiaries, is also structurally senior to the notes), approximately $25 million of unsecured indebtedness issued by our subsidiaries, which ranks senior to the notes, and approximately $1,644 million of unsecured indebtedness (including the notes sold in this offering, but excluding net unamortized discount), which ranks equally.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90 days prior to the maturity date,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(0.20%), plus, in each case, accrued and unpaid interest thereon to, but excluding, the redemption date. If the notes are redeemed on or after 90 days prior to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maturity date, the redemption price will be equal to 100% of the principal amount of the notes being redeemed plus accrued and unpaid interest thereon to, but excluding, the redemption date.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a Primary Treasury Dealer (as defined below) selected by Wells Fargo Securities, LLC, Citigroup Global Markets Inc. and J.P. Morgan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two other Primary Treasury Dealers selected by us.</w:t>
      </w:r>
    </w:p>
    <w:p>
      <w:pPr>
        <w:spacing w:after="0" w:line="6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4"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4"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i w:val="1"/>
          <w:iCs w:val="1"/>
          <w:color w:val="auto"/>
        </w:rPr>
        <w:t xml:space="preserve">“Unencumbered Total Asset Value” </w:t>
      </w:r>
      <w:r>
        <w:rPr>
          <w:rFonts w:ascii="Arial" w:cs="Arial" w:eastAsia="Arial" w:hAnsi="Arial"/>
          <w:sz w:val="15"/>
          <w:szCs w:val="15"/>
          <w:color w:val="auto"/>
        </w:rPr>
        <w:t>as of any date means the sum of (a) those Undepreciated Real Estate Assets not encumbered by any mortgage, lien,</w:t>
      </w:r>
      <w:r>
        <w:rPr>
          <w:rFonts w:ascii="Arial" w:cs="Arial" w:eastAsia="Arial" w:hAnsi="Arial"/>
          <w:sz w:val="15"/>
          <w:szCs w:val="15"/>
          <w:i w:val="1"/>
          <w:iCs w:val="1"/>
          <w:color w:val="auto"/>
        </w:rPr>
        <w:t xml:space="preserve"> </w:t>
      </w:r>
      <w:r>
        <w:rPr>
          <w:rFonts w:ascii="Arial" w:cs="Arial" w:eastAsia="Arial" w:hAnsi="Arial"/>
          <w:sz w:val="15"/>
          <w:szCs w:val="15"/>
          <w:color w:val="auto"/>
        </w:rPr>
        <w:t>charge, pledge or security interest and (b) all of our and our subsidiaries’ other assets on a consolidated basis determined in accordance with generally accepted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90" w:lineRule="exact"/>
        <w:rPr>
          <w:sz w:val="20"/>
          <w:szCs w:val="20"/>
          <w:color w:val="auto"/>
        </w:rPr>
      </w:pPr>
    </w:p>
    <w:p>
      <w:pPr>
        <w:ind w:right="44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right="58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90" w:lineRule="exact"/>
        <w:rPr>
          <w:rFonts w:ascii="Arial" w:cs="Arial" w:eastAsia="Arial" w:hAnsi="Arial"/>
          <w:sz w:val="18"/>
          <w:szCs w:val="18"/>
          <w:color w:val="auto"/>
        </w:rPr>
      </w:pPr>
    </w:p>
    <w:p>
      <w:pPr>
        <w:ind w:right="40" w:firstLine="464"/>
        <w:spacing w:after="0" w:line="289"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right="200" w:firstLine="693"/>
        <w:spacing w:after="0" w:line="268" w:lineRule="auto"/>
        <w:tabs>
          <w:tab w:leader="none" w:pos="933"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 or</w:t>
      </w:r>
    </w:p>
    <w:p>
      <w:pPr>
        <w:spacing w:after="0" w:line="113" w:lineRule="exact"/>
        <w:rPr>
          <w:rFonts w:ascii="Arial" w:cs="Arial" w:eastAsia="Arial" w:hAnsi="Arial"/>
          <w:sz w:val="16"/>
          <w:szCs w:val="16"/>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4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82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40" w:hanging="206"/>
        <w:spacing w:after="0" w:line="357"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30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as ordinary income when received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in accordance with the U.S. Holder’s regular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3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 redemption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31"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i w:val="1"/>
          <w:iCs w:val="1"/>
          <w:color w:val="auto"/>
        </w:rPr>
        <w:t>Unearned Income Medicare Contribution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taxable years beginning after December 31, 2012, certain U.S. Holders that are individuals, estates or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subject to a 3.8% Medicare tax on all or a 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22" w:lineRule="exact"/>
        <w:rPr>
          <w:sz w:val="20"/>
          <w:szCs w:val="20"/>
          <w:color w:val="auto"/>
        </w:rPr>
      </w:pPr>
    </w:p>
    <w:p>
      <w:pPr>
        <w:ind w:right="66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rules described below under “— Unearned Income Medicare Contribution for Foreign Estates and Trusts,”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Reporting and Backup Withholding” and “— FATCA Regime,” a Non-U.S. Holder generally will not be subject to U.S. federal income or withholding tax on payments of interest on a note, provided that:</w:t>
      </w:r>
    </w:p>
    <w:p>
      <w:pPr>
        <w:spacing w:after="0" w:line="59"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right="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These forms may be required to be periodically updated.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b w:val="1"/>
          <w:bCs w:val="1"/>
          <w:i w:val="1"/>
          <w:iCs w:val="1"/>
          <w:color w:val="auto"/>
        </w:rPr>
        <w:t xml:space="preserve">Sale, Exchange, Redemption, or Other Taxable Disposition of the Notes. </w:t>
      </w:r>
      <w:r>
        <w:rPr>
          <w:rFonts w:ascii="Arial" w:cs="Arial" w:eastAsia="Arial" w:hAnsi="Arial"/>
          <w:sz w:val="15"/>
          <w:szCs w:val="15"/>
          <w:color w:val="auto"/>
        </w:rPr>
        <w:t>Subject to the rules described below under “— Unearned Income Medicare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Contribution for Foreign Estates and Trusts,” “—Information Reporting and Backup Withholding” and “— FATCA Regime,” a Non-U.S. Holder generally will not be subject to U.S. federal income or withholding tax on gain from the sale, exchange, redemption or other taxable disposition of a note unless:</w:t>
      </w:r>
    </w:p>
    <w:p>
      <w:pPr>
        <w:spacing w:after="0" w:line="7" w:lineRule="exact"/>
        <w:rPr>
          <w:sz w:val="20"/>
          <w:szCs w:val="20"/>
          <w:color w:val="auto"/>
        </w:rPr>
      </w:pPr>
    </w:p>
    <w:p>
      <w:pPr>
        <w:ind w:left="660" w:right="56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Unearned Income Medicare Contribution for Foreign Estates and Trusts. </w:t>
      </w:r>
      <w:r>
        <w:rPr>
          <w:rFonts w:ascii="Arial" w:cs="Arial" w:eastAsia="Arial" w:hAnsi="Arial"/>
          <w:sz w:val="18"/>
          <w:szCs w:val="18"/>
          <w:color w:val="auto"/>
        </w:rPr>
        <w:t>As discussed in more detail under “—U.S. Holders — Unearned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 Contribution,” a 3.8% Medicare tax will apply, in addition to regular income tax, to certain net investment income. The 3.8% tax generally applies only to U.S. Holders. However, the IRS has indicated in proposed Treasury regulations that the 3.8% Medicare tax may be applicable to Non-U.S. Holders that are estates or trusts and have one or more U.S. beneficiaries. Non-U.S. Holders that are estates or trusts should consult their tax advisors about the possible application of the 3.8% Medicare tax.</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when applicable, will impose a U.S. federal withholding tax of 30% on certain payments to foreign financial institutions and other non-U.S. persons that fail to comply with certain certification and information reporting requirements (unless alternative procedures apply pursuant to an applicable intergovernmental agreement between the United States and the relevant foreign government). The obligation to withhold under FATCA is currently expected to apply to payments of U.S.-source interest and OID on obligations made on or after July 1, 2014 and payments of gross proceeds from the sale or other disposition of such obligations made on or after January 1, 2017. However, FATCA withholding will not apply to obligations outstanding on, and not the subject of a significant modification on or after, July 1, 2014 (or such other date as is specified in guidance issued by the U.S. Treasury Department). Because the notes will be issued prior to, and will be outstanding on, July 1, 2014, this new withholding tax is not expected to apply to payments on the notes unless they are modified on or after such date, in which case payments on, and the gross proceeds from the sale or other disposition of, the notes to certain foreign entities could become subject to the FATCA withholding tax. We will not pay any additional amounts in respect of any amounts withheld under FATCA.</w:t>
      </w:r>
    </w:p>
    <w:p>
      <w:pPr>
        <w:spacing w:after="0" w:line="121" w:lineRule="exact"/>
        <w:rPr>
          <w:sz w:val="20"/>
          <w:szCs w:val="20"/>
          <w:color w:val="auto"/>
        </w:rPr>
      </w:pPr>
    </w:p>
    <w:p>
      <w:pPr>
        <w:ind w:right="300" w:firstLine="456"/>
        <w:spacing w:after="0" w:line="391"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New Tax Rates for U.S. Individuals, Estates and Trusts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extends most of the reduced rates for U.S. individuals, estates and trusts with respect to ordinary income, qualified dividend income and long-term capital gains that were set to expire on December 31, 2012. The 2012 Relief Act, however, does not extend all of the reduced rates for high-income taxpayers. Beginning January 1, 2013, in the case of married couples filing joint returns with taxable income in excess of $450,000, heads of households with taxable income in excess of $425,000 and other individuals with taxable income in excess of $400,000, the maximum tax rate on ordinary income will be 39.6% (as compared to 35% prior to 2013) and the maximum tax rate on long-term capital gains and qualified dividend income will be 20% (as compared to 15% prior to 2013). Estates and trusts have more compressed rate schedules. Prospective investors are urged to consult their tax advisors regarding the effect of the new tax rates and other tax provisions in the 2012 Relief Act on an investment in the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Citigroup Global Markets Inc. and J.P. Morgan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53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3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0.40% of the principal amount of the notes. The underwriters may allow, and the dealers may reallow, a discount not in excess of 0.25% of the principal amount of the notes on sales to other dealers. After the initial offering, the public offering price and concession to dealers may be changed.</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Paid by 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0" w:type="dxa"/>
            <w:vAlign w:val="bottom"/>
            <w:vMerge w:val="continue"/>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Certain of the underwriters and their affiliates may be holders of 5.95% Notes due 2014. Such underwriters and their affiliates will receive a portion of the net proceeds from this offering to the extent they continue to hold 5.95% Notes due 2014 on any scheduled redemption date in relation thereto.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300" w:firstLine="443"/>
        <w:spacing w:after="0" w:line="28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84"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w:t>
      </w:r>
    </w:p>
    <w:p>
      <w:pPr>
        <w:spacing w:after="0" w:line="1"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314325</wp:posOffset>
            </wp:positionV>
            <wp:extent cx="2152650" cy="823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auto"/>
        </w:rPr>
        <w:t>3.95%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151765</wp:posOffset>
            </wp:positionV>
            <wp:extent cx="15862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Citigroup</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Deutsche Bank Securities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PNC Capital Markets LLC</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RBC Capital Markets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BBVA</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Capital One Securities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Regions Securities LLC</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SunTrust Robinson Humphrey</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TD Securities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US Bancorp</w:t>
      </w:r>
    </w:p>
    <w:p>
      <w:pPr>
        <w:spacing w:after="0" w:line="18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December 4, 2013</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lvl w:ilvl="1">
      <w:lvlJc w:val="left"/>
      <w:lvlText w:val="•"/>
      <w:numFmt w:val="bullet"/>
      <w:start w:val="1"/>
    </w:lvl>
  </w:abstractNum>
  <w:abstractNum w:abstractNumId="4">
    <w:nsid w:val="684A481A"/>
    <w:multiLevelType w:val="hybridMultilevel"/>
    <w:lvl w:ilvl="0">
      <w:lvlJc w:val="left"/>
      <w:lvlText w:val="(%1)"/>
      <w:numFmt w:val="lowerLetter"/>
      <w:start w:val="1"/>
    </w:lvl>
  </w:abstractNum>
  <w:abstractNum w:abstractNumId="5">
    <w:nsid w:val="579478FE"/>
    <w:multiLevelType w:val="hybridMultilevel"/>
    <w:lvl w:ilvl="0">
      <w:lvlJc w:val="left"/>
      <w:lvlText w:val="(%1)"/>
      <w:numFmt w:val="decimal"/>
      <w:start w:val="2"/>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lvl w:ilvl="1">
      <w:lvlJc w:val="left"/>
      <w:lvlText w:val="(%2)"/>
      <w:numFmt w:val="lowerLetter"/>
      <w:start w:val="1"/>
    </w:lvl>
  </w:abstractNum>
  <w:abstractNum w:abstractNumId="8">
    <w:nsid w:val="1BA026FA"/>
    <w:multiLevelType w:val="hybridMultilevel"/>
    <w:lvl w:ilvl="0">
      <w:lvlJc w:val="left"/>
      <w:lvlText w:val="%1."/>
      <w:numFmt w:val="decimal"/>
      <w:start w:val="7"/>
    </w:lvl>
    <w:lvl w:ilvl="1">
      <w:lvlJc w:val="left"/>
      <w:lvlText w:val="(%2)"/>
      <w:numFmt w:val="lowerLetter"/>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lvl w:ilvl="1">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lowerLetter"/>
      <w:start w:val="3"/>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lvl w:ilvl="1">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lvl w:ilvl="1">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lvl w:ilvl="1">
      <w:lvlJc w:val="left"/>
      <w:lvlText w:val="(%2)"/>
      <w:numFmt w:val="lowerLetter"/>
      <w:start w:val="1"/>
    </w:lvl>
  </w:abstractNum>
  <w:abstractNum w:abstractNumId="42">
    <w:nsid w:val="5DB70AE5"/>
    <w:multiLevelType w:val="hybridMultilevel"/>
    <w:lvl w:ilvl="0">
      <w:lvlJc w:val="left"/>
      <w:lvlText w:val="%1."/>
      <w:numFmt w:val="decimal"/>
      <w:start w:val="7"/>
    </w:lvl>
    <w:lvl w:ilvl="1">
      <w:lvlJc w:val="left"/>
      <w:lvlText w:val="(%2)"/>
      <w:numFmt w:val="lowerLetter"/>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lvl w:ilvl="1">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1)"/>
      <w:numFmt w:val="upperLetter"/>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lvl w:ilvl="1">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lvl w:ilvl="1">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lowerRoman"/>
      <w:start w:val="3"/>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lvl w:ilvl="1">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lowerRoman"/>
      <w:start w:val="2"/>
    </w:lvl>
  </w:abstractNum>
  <w:abstractNum w:abstractNumId="85">
    <w:nsid w:val="74DE0EE3"/>
    <w:multiLevelType w:val="hybridMultilevel"/>
    <w:lvl w:ilvl="0">
      <w:lvlJc w:val="left"/>
      <w:lvlText w:val="\emdash "/>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4"/>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2019-12-05T10:06:14Z</dcterms:created>
  <dcterms:modified xsi:type="dcterms:W3CDTF">2019-12-05T10:06:14Z</dcterms:modified>
</cp:coreProperties>
</file>